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p>
      <w:pPr>
        <w:ind w:left="40"/>
        <w:spacing w:after="0" w:line="207" w:lineRule="exact"/>
        <w:tabs>
          <w:tab w:leader="none" w:pos="3200" w:val="left"/>
          <w:tab w:leader="none" w:pos="790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217" w:lineRule="exact"/>
        <w:rPr>
          <w:sz w:val="24"/>
          <w:szCs w:val="24"/>
          <w:color w:val="auto"/>
        </w:rPr>
      </w:pPr>
    </w:p>
    <w:p>
      <w:pPr>
        <w:ind w:left="40"/>
        <w:spacing w:after="0"/>
        <w:tabs>
          <w:tab w:leader="none" w:pos="3200" w:val="left"/>
          <w:tab w:leader="none" w:pos="790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66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April 30, 2013</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92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9,396,860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80" w:type="dxa"/>
            <w:vAlign w:val="bottom"/>
          </w:tcPr>
          <w:p>
            <w:pPr>
              <w:spacing w:after="0"/>
              <w:rPr>
                <w:sz w:val="20"/>
                <w:szCs w:val="20"/>
                <w:color w:val="auto"/>
              </w:rPr>
            </w:pPr>
            <w:r>
              <w:rPr>
                <w:rFonts w:ascii="Arial" w:cs="Arial" w:eastAsia="Arial" w:hAnsi="Arial"/>
                <w:sz w:val="14"/>
                <w:szCs w:val="14"/>
                <w:color w:val="auto"/>
              </w:rPr>
              <w:t>Item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20" w:type="dxa"/>
            <w:vAlign w:val="bottom"/>
            <w:gridSpan w:val="8"/>
          </w:tcPr>
          <w:p>
            <w:pPr>
              <w:jc w:val="center"/>
              <w:ind w:right="3660"/>
              <w:spacing w:after="0" w:line="189"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3620" w:type="dxa"/>
            <w:vAlign w:val="bottom"/>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2960" w:type="dxa"/>
            <w:vAlign w:val="bottom"/>
            <w:tcBorders>
              <w:top w:val="single" w:sz="8" w:color="0000FF"/>
            </w:tcBorders>
            <w:gridSpan w:val="6"/>
          </w:tcPr>
          <w:p>
            <w:pPr>
              <w:spacing w:after="0"/>
              <w:rPr>
                <w:sz w:val="22"/>
                <w:szCs w:val="22"/>
                <w:color w:val="auto"/>
              </w:rPr>
            </w:pPr>
          </w:p>
        </w:tc>
        <w:tc>
          <w:tcPr>
            <w:tcW w:w="3660" w:type="dxa"/>
            <w:vAlign w:val="bottom"/>
            <w:gridSpan w:val="2"/>
          </w:tcPr>
          <w:p>
            <w:pPr>
              <w:spacing w:after="0"/>
              <w:rPr>
                <w:sz w:val="22"/>
                <w:szCs w:val="22"/>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02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 March 31, 2013 and December 31, 2012</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02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Statements of Consolidated Comprehensive Loss - Three Months Ended March 31, 2013 and 2012</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50"/>
        </w:trPr>
        <w:tc>
          <w:tcPr>
            <w:tcW w:w="580" w:type="dxa"/>
            <w:vAlign w:val="bottom"/>
          </w:tcPr>
          <w:p>
            <w:pPr>
              <w:spacing w:after="0"/>
              <w:rPr>
                <w:sz w:val="21"/>
                <w:szCs w:val="21"/>
                <w:color w:val="auto"/>
              </w:rPr>
            </w:pPr>
          </w:p>
        </w:tc>
        <w:tc>
          <w:tcPr>
            <w:tcW w:w="64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Statements of Consolidated Cash Flows - Three Months Ended March 31, 2013 and 2012</w:t>
              </w:r>
            </w:hyperlink>
          </w:p>
        </w:tc>
        <w:tc>
          <w:tcPr>
            <w:tcW w:w="640" w:type="dxa"/>
            <w:vAlign w:val="bottom"/>
            <w:tcBorders>
              <w:top w:val="single" w:sz="8" w:color="0000FF"/>
            </w:tcBorders>
            <w:gridSpan w:val="2"/>
          </w:tcPr>
          <w:p>
            <w:pPr>
              <w:spacing w:after="0"/>
              <w:rPr>
                <w:sz w:val="21"/>
                <w:szCs w:val="21"/>
                <w:color w:val="auto"/>
              </w:rPr>
            </w:pPr>
          </w:p>
        </w:tc>
        <w:tc>
          <w:tcPr>
            <w:tcW w:w="31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102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Statement of Consolidated Shareholders' Deficit - Three Months Ended March 31, 2013</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50"/>
        </w:trPr>
        <w:tc>
          <w:tcPr>
            <w:tcW w:w="580" w:type="dxa"/>
            <w:vAlign w:val="bottom"/>
          </w:tcPr>
          <w:p>
            <w:pPr>
              <w:spacing w:after="0"/>
              <w:rPr>
                <w:sz w:val="21"/>
                <w:szCs w:val="21"/>
                <w:color w:val="auto"/>
              </w:rPr>
            </w:pPr>
          </w:p>
        </w:tc>
        <w:tc>
          <w:tcPr>
            <w:tcW w:w="6320" w:type="dxa"/>
            <w:vAlign w:val="bottom"/>
            <w:tcBorders>
              <w:top w:val="single" w:sz="8" w:color="0000FF"/>
            </w:tcBorders>
            <w:gridSpan w:val="1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3920" w:type="dxa"/>
            <w:vAlign w:val="bottom"/>
            <w:gridSpan w:val="4"/>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3"/>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Management’s Discussion and Analysis of Financial Condition and Results of Operations</w:t>
              </w:r>
            </w:hyperlink>
          </w:p>
        </w:tc>
        <w:tc>
          <w:tcPr>
            <w:tcW w:w="37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0"/>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1"/>
                <w:szCs w:val="21"/>
                <w:color w:val="auto"/>
              </w:rPr>
            </w:pPr>
          </w:p>
        </w:tc>
        <w:tc>
          <w:tcPr>
            <w:tcW w:w="37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588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50"/>
        </w:trPr>
        <w:tc>
          <w:tcPr>
            <w:tcW w:w="5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tcBorders>
              <w:bottom w:val="single" w:sz="8" w:color="0000FF"/>
            </w:tcBorders>
            <w:gridSpan w:val="4"/>
          </w:tcPr>
          <w:p>
            <w:pPr>
              <w:jc w:val="center"/>
              <w:ind w:right="20"/>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PART II – OTHER INFORMATION</w:t>
              </w:r>
            </w:hyperlink>
          </w:p>
        </w:tc>
        <w:tc>
          <w:tcPr>
            <w:tcW w:w="378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1320" w:type="dxa"/>
            <w:vAlign w:val="bottom"/>
            <w:gridSpan w:val="4"/>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Legal Proceedings</w:t>
              </w:r>
            </w:hyperlink>
          </w:p>
        </w:tc>
        <w:tc>
          <w:tcPr>
            <w:tcW w:w="89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920" w:type="dxa"/>
            <w:vAlign w:val="bottom"/>
            <w:tcBorders>
              <w:left w:val="single" w:sz="8" w:color="0000FF"/>
            </w:tcBorders>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1A</w:t>
            </w:r>
          </w:p>
        </w:tc>
        <w:tc>
          <w:tcPr>
            <w:tcW w:w="132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89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1320" w:type="dxa"/>
            <w:vAlign w:val="bottom"/>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Other Information</w:t>
              </w:r>
            </w:hyperlink>
          </w:p>
        </w:tc>
        <w:tc>
          <w:tcPr>
            <w:tcW w:w="89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9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Exhibits</w:t>
              </w:r>
            </w:hyperlink>
          </w:p>
        </w:tc>
        <w:tc>
          <w:tcPr>
            <w:tcW w:w="720" w:type="dxa"/>
            <w:vAlign w:val="bottom"/>
            <w:gridSpan w:val="3"/>
          </w:tcPr>
          <w:p>
            <w:pPr>
              <w:spacing w:after="0"/>
              <w:rPr>
                <w:sz w:val="21"/>
                <w:szCs w:val="21"/>
                <w:color w:val="auto"/>
              </w:rPr>
            </w:pPr>
          </w:p>
        </w:tc>
        <w:tc>
          <w:tcPr>
            <w:tcW w:w="89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8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Signatures</w:t>
              </w:r>
            </w:hyperlink>
          </w:p>
        </w:tc>
        <w:tc>
          <w:tcPr>
            <w:tcW w:w="948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723"/>
        </w:trPr>
        <w:tc>
          <w:tcPr>
            <w:tcW w:w="58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4380" w:type="dxa"/>
            <w:vAlign w:val="bottom"/>
            <w:gridSpan w:val="9"/>
          </w:tcPr>
          <w:p>
            <w:pPr>
              <w:jc w:val="center"/>
              <w:ind w:left="4190"/>
              <w:spacing w:after="0"/>
              <w:rPr>
                <w:sz w:val="20"/>
                <w:szCs w:val="20"/>
                <w:color w:val="auto"/>
              </w:rPr>
            </w:pPr>
            <w:r>
              <w:rPr>
                <w:rFonts w:ascii="Arial" w:cs="Arial" w:eastAsia="Arial" w:hAnsi="Arial"/>
                <w:sz w:val="18"/>
                <w:szCs w:val="18"/>
                <w:color w:val="auto"/>
                <w:w w:val="99"/>
              </w:rPr>
              <w:t>2</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vacations and employees’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1,934.4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YRC Worldwide Inc. shareholders’ deficit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Operating Revenue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Operating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200"/>
        <w:spacing w:after="0" w:line="258" w:lineRule="auto"/>
        <w:rPr>
          <w:sz w:val="20"/>
          <w:szCs w:val="20"/>
          <w:color w:val="auto"/>
        </w:rPr>
      </w:pPr>
      <w:r>
        <w:rPr>
          <w:rFonts w:ascii="Arial" w:cs="Arial" w:eastAsia="Arial" w:hAnsi="Arial"/>
          <w:sz w:val="18"/>
          <w:szCs w:val="18"/>
          <w:color w:val="auto"/>
        </w:rPr>
        <w:t>STATEMENTS OF CONSOLIDATED COMPREHENSIVE LOSS YRC Worldwide Inc. and Subsidiaries For the Three Months Ended March 31 (Amounts in millions except per share data, shares in thousands)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40"/>
        <w:spacing w:after="0"/>
        <w:tabs>
          <w:tab w:leader="none" w:pos="618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20955</wp:posOffset>
            </wp:positionV>
            <wp:extent cx="656018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39" w:lineRule="exact"/>
        <w:rPr>
          <w:sz w:val="20"/>
          <w:szCs w:val="20"/>
          <w:color w:val="auto"/>
        </w:rPr>
      </w:pPr>
    </w:p>
    <w:p>
      <w:pPr>
        <w:jc w:val="both"/>
        <w:ind w:left="4080"/>
        <w:spacing w:after="0"/>
        <w:tabs>
          <w:tab w:leader="none" w:pos="4860" w:val="left"/>
          <w:tab w:leader="none" w:pos="5620" w:val="left"/>
          <w:tab w:leader="none" w:pos="6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1,162.5</w:t>
        <w:tab/>
        <w:t>$</w:t>
      </w:r>
      <w:r>
        <w:rPr>
          <w:sz w:val="20"/>
          <w:szCs w:val="20"/>
          <w:color w:val="auto"/>
        </w:rPr>
        <w:tab/>
      </w:r>
      <w:r>
        <w:rPr>
          <w:rFonts w:ascii="Arial" w:cs="Arial" w:eastAsia="Arial" w:hAnsi="Arial"/>
          <w:sz w:val="16"/>
          <w:szCs w:val="16"/>
          <w:color w:val="auto"/>
        </w:rPr>
        <w:t>1,194.3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31750</wp:posOffset>
            </wp:positionV>
            <wp:extent cx="1903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2560" w:space="720"/>
            <w:col w:w="7060"/>
          </w:cols>
          <w:pgMar w:left="240" w:top="122" w:right="1319" w:bottom="1440" w:gutter="0" w:footer="0" w:header="0"/>
        </w:sectPr>
      </w:pPr>
    </w:p>
    <w:tbl>
      <w:tblPr>
        <w:tblLayout w:type="fixed"/>
        <w:tblInd w:w="0" w:type="dxa"/>
        <w:tblCellMar>
          <w:top w:w="0" w:type="dxa"/>
          <w:left w:w="0" w:type="dxa"/>
          <w:bottom w:w="0" w:type="dxa"/>
          <w:right w:w="0" w:type="dxa"/>
        </w:tblCellMar>
      </w:tblPr>
      <w:tr>
        <w:trPr>
          <w:trHeight w:val="270"/>
        </w:trPr>
        <w:tc>
          <w:tcPr>
            <w:tcW w:w="7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Salaries, wages and employees’ benefits</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704.8</w:t>
            </w:r>
          </w:p>
        </w:tc>
      </w:tr>
      <w:tr>
        <w:trPr>
          <w:trHeight w:val="243"/>
        </w:trPr>
        <w:tc>
          <w:tcPr>
            <w:tcW w:w="7340" w:type="dxa"/>
            <w:vAlign w:val="bottom"/>
          </w:tcPr>
          <w:p>
            <w:pPr>
              <w:ind w:left="380"/>
              <w:spacing w:after="0"/>
              <w:rPr>
                <w:sz w:val="20"/>
                <w:szCs w:val="20"/>
                <w:color w:val="auto"/>
              </w:rPr>
            </w:pPr>
            <w:r>
              <w:rPr>
                <w:rFonts w:ascii="Arial" w:cs="Arial" w:eastAsia="Arial" w:hAnsi="Arial"/>
                <w:sz w:val="18"/>
                <w:szCs w:val="18"/>
                <w:color w:val="auto"/>
              </w:rPr>
              <w:t>Operating expenses and supplies</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293.2</w:t>
            </w:r>
          </w:p>
        </w:tc>
      </w:tr>
      <w:tr>
        <w:trPr>
          <w:trHeight w:val="27"/>
        </w:trPr>
        <w:tc>
          <w:tcPr>
            <w:tcW w:w="7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transportation</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r>
      <w:tr>
        <w:trPr>
          <w:trHeight w:val="243"/>
        </w:trPr>
        <w:tc>
          <w:tcPr>
            <w:tcW w:w="7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7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43"/>
        </w:trPr>
        <w:tc>
          <w:tcPr>
            <w:tcW w:w="73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7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1,243.1</w:t>
            </w:r>
          </w:p>
        </w:tc>
      </w:tr>
      <w:tr>
        <w:trPr>
          <w:trHeight w:val="237"/>
        </w:trPr>
        <w:tc>
          <w:tcPr>
            <w:tcW w:w="7340" w:type="dxa"/>
            <w:vAlign w:val="bottom"/>
          </w:tcPr>
          <w:p>
            <w:pPr>
              <w:ind w:left="1140"/>
              <w:spacing w:after="0"/>
              <w:rPr>
                <w:sz w:val="20"/>
                <w:szCs w:val="20"/>
                <w:color w:val="auto"/>
              </w:rPr>
            </w:pPr>
            <w:r>
              <w:rPr>
                <w:rFonts w:ascii="Arial" w:cs="Arial" w:eastAsia="Arial" w:hAnsi="Arial"/>
                <w:sz w:val="18"/>
                <w:szCs w:val="18"/>
                <w:b w:val="1"/>
                <w:bCs w:val="1"/>
                <w:color w:val="auto"/>
              </w:rPr>
              <w:t>Operating Income (Loss)</w:t>
            </w: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7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7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7340" w:type="dxa"/>
            <w:vAlign w:val="bottom"/>
          </w:tcPr>
          <w:p>
            <w:pPr>
              <w:ind w:left="720"/>
              <w:spacing w:after="0"/>
              <w:rPr>
                <w:sz w:val="20"/>
                <w:szCs w:val="20"/>
                <w:color w:val="auto"/>
              </w:rPr>
            </w:pPr>
            <w:r>
              <w:rPr>
                <w:rFonts w:ascii="Arial" w:cs="Arial" w:eastAsia="Arial" w:hAnsi="Arial"/>
                <w:sz w:val="18"/>
                <w:szCs w:val="18"/>
                <w:color w:val="auto"/>
              </w:rPr>
              <w:t>Nonoperating expenses, net</w:t>
            </w: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7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4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 Attributable to YRC Worldwide Inc.</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7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Comprehensive Loss Attributable to YRC Worldwide Inc. Shareholders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6,893</w:t>
            </w:r>
          </w:p>
        </w:tc>
      </w:tr>
      <w:tr>
        <w:trPr>
          <w:trHeight w:val="27"/>
        </w:trPr>
        <w:tc>
          <w:tcPr>
            <w:tcW w:w="7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73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Net Loss Per Share – 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7"/>
        </w:trPr>
        <w:tc>
          <w:tcPr>
            <w:tcW w:w="7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Share – 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7"/>
        </w:trPr>
        <w:tc>
          <w:tcPr>
            <w:tcW w:w="7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40"/>
          </w:cols>
          <w:pgMar w:left="240" w:top="122" w:right="131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receipts,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refund, net</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5"/>
              </w:rPr>
              <w:t>STATEMENT OF CONSOLIDATED SHAREHOLDERS’ DEFICIT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2"/>
              </w:rPr>
              <w:t>YRC Worldwide Inc. and Subsidiaries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0"/>
              </w:rPr>
              <w:t>For the Three Months Ended March 31, 2013</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5"/>
              </w:rPr>
              <w:t>(Amounts in millions)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1,926.5</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upon conversion of Series B Notes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1,934.4</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loss attributable to YRC Worldwide Inc.</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(2,095.1)</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Reclassification of net pension actuarial losses to net loss, net of tax</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994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 below.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YRC Worldwide Inc. (also referred to as “YRC Worldwide,” the “Company,” “we,” “us” or “our”), one of the largest transportation service providers in the world,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heavyweight shipments and flexible supply chain solutions, ensuring customers can ship industrial, commercial and retail goods with confidence. Our reporting segments include the following:</w:t>
      </w:r>
    </w:p>
    <w:p>
      <w:pPr>
        <w:spacing w:after="0" w:line="193" w:lineRule="exact"/>
        <w:rPr>
          <w:sz w:val="20"/>
          <w:szCs w:val="20"/>
          <w:color w:val="auto"/>
        </w:rPr>
      </w:pPr>
    </w:p>
    <w:p>
      <w:pPr>
        <w:jc w:val="both"/>
        <w:ind w:left="660" w:hanging="328"/>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YRC Freight is the reporting segment that focuses on longer haul business opportunities in national, regional and 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15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2013, approximately 77% of our labor force is subject to collective bargaining agreements, which predominantly expire in March 2015.</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YRC Worldwide and its wholly owned subsidiaries. All significant intercompany accounts and transactions have been eliminated in consolidation. Investments in non-majority owned affiliates, or those in which we do not have control where the entity is either not a variable interest entity or we are not the primary beneficiary, are accounted for on the equity method.</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all normal recurring adjustments necessary for a fair statement of the financial position, results of operations and cash flows for the interim periods included in these financial statements herein have been made.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plan to dispose of property or equipment by sale, the asset is recorded in the financial statements at the lower of the carrying amount or estimated fair value, less cost to sell, and is reclassified to assets held for sale. Additionally, after such reclassification, there is no further depreciation taken on the asset. For an asset to be classified as held for sale, management must approve and commit to a formal plan, the sale should be anticipated during the ensuing year and the asset must be actively marketed, be available for immediate sale, and meet certain other specified criteria. We use level 3 inputs to determine the fair value of each property considered held for sale.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2013 and December 31, 2012, the net book value of assets held for sale was $6.4 million and $7.3 million, respectively. This amount is included in “Property and Equipment” in the accompanying consolidated balance sheets. We recorded charges of $0.6 million for the three months ended March 31, 2013 and $10.5 million for the three months ended March 31, 2012 to reduce properties held for sale to estimated fair value, less cost to sell. These charges are included in “(Gains) losses on property disposals, net” in the accompanying statements of consolidated 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March 31, 2013:</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For the three months ended March 31, 2013, we reclassified the amortization of our net pension loss totaling $3.7 million from accumulated other comprehensive loss to net loss. This reclassification is a component of net periodic pension cost and is discussed in the "Employee Benefits" footnote.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outstanding debt, please refer to the "Debt and Financing" footnote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amended and restated credit agreement has certain covenants that require us to maintain a minimum Consolidated EBITDA, a maximum Total Leverage Ratio and a minimum Interest Coverage Ratio (as defined in the amended and restated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covenants for each of the remaining test periods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0" w:type="dxa"/>
            <w:vAlign w:val="bottom"/>
            <w:gridSpan w:val="2"/>
          </w:tcPr>
          <w:p>
            <w:pPr>
              <w:jc w:val="center"/>
              <w:ind w:left="1134"/>
              <w:spacing w:after="0"/>
              <w:rPr>
                <w:sz w:val="20"/>
                <w:szCs w:val="20"/>
                <w:color w:val="auto"/>
              </w:rPr>
            </w:pPr>
            <w:r>
              <w:rPr>
                <w:rFonts w:ascii="Arial" w:cs="Arial" w:eastAsia="Arial" w:hAnsi="Arial"/>
                <w:sz w:val="14"/>
                <w:szCs w:val="14"/>
                <w:color w:val="auto"/>
                <w:w w:val="96"/>
              </w:rPr>
              <w:t>Minimum Consolidated</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Maximum Total</w:t>
            </w:r>
          </w:p>
        </w:tc>
        <w:tc>
          <w:tcPr>
            <w:tcW w:w="1940" w:type="dxa"/>
            <w:vAlign w:val="bottom"/>
          </w:tcPr>
          <w:p>
            <w:pPr>
              <w:jc w:val="center"/>
              <w:spacing w:after="0"/>
              <w:rPr>
                <w:sz w:val="20"/>
                <w:szCs w:val="20"/>
                <w:color w:val="auto"/>
              </w:rPr>
            </w:pPr>
            <w:r>
              <w:rPr>
                <w:rFonts w:ascii="Arial" w:cs="Arial" w:eastAsia="Arial" w:hAnsi="Arial"/>
                <w:sz w:val="14"/>
                <w:szCs w:val="14"/>
                <w:color w:val="auto"/>
                <w:w w:val="96"/>
              </w:rPr>
              <w:t>Minimum Interest</w:t>
            </w:r>
          </w:p>
        </w:tc>
      </w:tr>
      <w:tr>
        <w:trPr>
          <w:trHeight w:val="18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Four Consecutive Fiscal Quarters Ending</w:t>
            </w:r>
          </w:p>
        </w:tc>
        <w:tc>
          <w:tcPr>
            <w:tcW w:w="3280" w:type="dxa"/>
            <w:vAlign w:val="bottom"/>
            <w:tcBorders>
              <w:bottom w:val="single" w:sz="8" w:color="auto"/>
            </w:tcBorders>
          </w:tcPr>
          <w:p>
            <w:pPr>
              <w:jc w:val="center"/>
              <w:ind w:left="1274"/>
              <w:spacing w:after="0"/>
              <w:rPr>
                <w:sz w:val="20"/>
                <w:szCs w:val="20"/>
                <w:color w:val="auto"/>
              </w:rPr>
            </w:pPr>
            <w:r>
              <w:rPr>
                <w:rFonts w:ascii="Arial" w:cs="Arial" w:eastAsia="Arial" w:hAnsi="Arial"/>
                <w:sz w:val="14"/>
                <w:szCs w:val="14"/>
                <w:color w:val="auto"/>
              </w:rPr>
              <w:t>EBITDA</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Leverage Ratio</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Coverage Ratio</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$200,000,000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7.4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June 30, 2013</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$235,000,000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6.5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1.45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$260,000,000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6.0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$275,000,000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5.7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1.65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$300,000,000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5.1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$325,000,000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4.8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1.90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$355,000,000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4.6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$365,000,000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4.4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2.15 to 1.00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Minimum Consolidated EBITDA, as defined in our credit facilities, is a non-GAAP measure that reflects our earnings before interest, taxes, depreciation, and amortization expense, and further adjusted for letter of credit fees, equity-based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 net gains or losses on property disposals and certain other items, including restructuring professional fees and results of permitted dispositions and discontinued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required to maintain a minimum cash balance (as defined in our credit facilities) of at least $50.0 million. This requirement increases starting in August of 2013 and, by November 2013, the minimum cash balance requirement is $119.4 million. This increase is required to ensure we have sufficient liquidity to pay the outstanding balance of our 6% convertible senior notes, which mature in February of 2014. We were in compliance with each of these covenants as of March 31, 2013.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minimum cash balance covenant represents our highest risk of default. If our future operating results indicate that we will not meet our minimum cash balance covenant, we will take actions to improve our liquidity, which may include (without limitation) deferring the timing of our capital expenditures and our discretionary workers' compensation settlement payments. We believe that these actions, if deemed necessary, will allow us to meet any shortfall in our minimum cash balance.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we fail to meet this or any other financial covenant, we would be considered in default under our credit facilities, which would enable lenders thereunder to accelerate the repayment of amounts outstanding and exercise remedies with respect to collateral and we would need to seek an amendment or waiver from our lenders. In the event that our lenders under our credit facilities demand payment, we will not have sufficient cash to repay such indebtedness. In addition, a default under our credit facilities or the lenders exercising their remedies thereunder would trigger cross-default provisions in our other indebtedness and certain other operating agreements. Our ability to amend our credit facilities or otherwise obtain waivers from our lenders depends on matters that are outside of our control and there can be no assurance that we will be successful in that regard.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Future 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liquidity are cash and cash equivalents, available borrowings under our $400 million ABL facility and any prospective net operating cash flows from operations. As of March 31, 2013, we had cash and cash equivalents and availability under the ABL facility of $214.8 million and the borrowing base under our ABL facility was $359.0 million. For the three months ended March 31, 2013, our cash flow from operating activities used net cash of $13.9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the multi-employer pension funds, and to meet our other cash obligations including, but not limited to, paying cash interest and principal on our funded debt, payments on our equipment leases, letter of credit fees under our credit facilities and funding capital expenditures.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 considerable amount of indebtedness, a substantial portion of which will mature in late 2014 or early 2015. As of March 31, 2013, we had $1,369.7 million in aggregate principal amount of outstanding indebtedness, which will increase over time as a portion of our indebtedness accrues paid-in-kind interest. We intend to refinance or restructure the portions of our debt that mature in late 2014 and early 2015. The refinancing or restructuring of these debt obligations is outside of our control and there can be no assurance that such transaction will occur, or if it does occur, on what terms. We also have considerable future funding obligations for our single-employer pension plans and the multi-employer pension funds. We expect our funding obligations for the remainder of the year for our single-employer pension plans and multi-employer pension funds will be $50.4 million and $60.9 million, respectively. In addition, we have, and will continue to have, substantial operating lease obligations. As of March 31, 2013, our minimum rental expense under operating leases for the remainder of the year is $37.0 million. As of March 31, 2013, our operating lease obligations through 2025 totaled $136.8 million and is expected to increase as we lease additional revenue equipment.</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capital expenditures for the three months ended March 31, 2013 and 2012 were $17.2 million and $15.1 million, respectively. These amounts were principally used to fund replacement engines and trailer refurbishments for our revenue fleet and capitalized costs for our network facilities and technology infrastructure. In light of our recent operating results and liquidity needs, we have deferred the majority of capital expenditures and expect to continue to do so for the foreseeable future, including the remainder of 2013. As a result, the average age of our fleet is increasing, which may affect our maintenance costs and operational efficiency unless we are able to obtain suitable lease financing to meet our replacement equipment needs.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cash equivalents, results of operations and availability under our credit facilities will be sufficient for us to comply with the covenants in our credit facilities, fund our operations, increase working capital as necessary to support our planned revenue growth and fund capital expenditures for the foreseeable future, including the next twelve months. Our ability to satisfy our liquidity needs beyond the next twelve months is dependent on a number of factors, some of which are outside of our control. These factors include:</w:t>
      </w:r>
    </w:p>
    <w:p>
      <w:pPr>
        <w:spacing w:after="0" w:line="187" w:lineRule="exact"/>
        <w:rPr>
          <w:sz w:val="20"/>
          <w:szCs w:val="20"/>
          <w:color w:val="auto"/>
        </w:rPr>
      </w:pPr>
    </w:p>
    <w:p>
      <w:pPr>
        <w:ind w:left="5660" w:right="2980" w:hanging="5328"/>
        <w:spacing w:after="0" w:line="559"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to achieve improvements in our operating results which rely upon pricing and shipping volumes; 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comply with covenants and other terms of our credit facilities so as to have access to the borrowings available to us under such credit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securing suitable lease financing arrangements to replace revenue equipment;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implement and realize cost saving measures to match our costs with business levels and in a manner that does not harm operations, and our productivity and efficiency initiatives must be successful;</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generating operating cash flows that are sufficient to meet the minimum cash balance requirement under our credit facilities, cash requirements for pension contributions to our single-employer pension plan and our multi-employer pension funds, cash interest and principal payments on our funded debt, payments on our equipment leases, letter of credit fees under our credit facilities and for capital expenditures or additional lease payments for new revenue equipment;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or refinancing our debt obligations prior to scheduled maturities in 2014 and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Total debt as of March 31, 2013 and December 31, 2012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2013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$137.4, availability $32.4)</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B Facility (capacity $225.0,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$221.6,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139.6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301.0</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B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6%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2012 (in millions)</w:t>
            </w:r>
          </w:p>
        </w:tc>
        <w:tc>
          <w:tcPr>
            <w:tcW w:w="240" w:type="dxa"/>
            <w:vAlign w:val="bottom"/>
          </w:tcPr>
          <w:p>
            <w:pPr>
              <w:spacing w:after="0"/>
              <w:rPr>
                <w:sz w:val="23"/>
                <w:szCs w:val="23"/>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23"/>
                <w:szCs w:val="23"/>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23"/>
                <w:szCs w:val="2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$147.6, availability $42.6)</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B Facility (capacity $225.0,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$222.2,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306.9</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B Facility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10% Series A Convertible Senior Secured Notes due 2015 (the "Series A Notes") are convertible into our common stock beginning July 22, 2013 at the conversion price per share of $34.0059 and a conversion rate of 29.4067 common shares per $1,000 of Series A Notes. As of March 31, 2013 and April 30, 2013, there was $165.2 million and $166.5 million, respectively, in aggregate principal amount of Series A Notes outstanding that are convertible into approximately 5.9 million shares of our common stock at the maturity date.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2013, the effective conversion price and conversion rate for our 10% Series B Convertible Senior Secured Notes due 2015 (the "Series B Notes") (after taking into account the make whole premium) was $15.2475 and 65.5847 common shares per $1,000 of Series B Notes, respectively. During the three months ended March 31, 2013, $5.8 million of aggregate principal amount of Series B Notes were converted into 398,000 shares of our common stock, which includes the make whole premium. Upon conversion, during the three months ended March 31, 2013, we recorded $3.4 million of additional interest expense representing the $1.6 million make whole premium and $1.8 million of accelerated amortization of the discount on converted Series B Notes. As of March 31, 2013, there was $87.9 million in aggregate principal amount of Series B Notes outstanding that are convertible into approximately 5.8 million shares of our common stock (after taking into account the make whole premium). There were no Series B Note conversions from March 31, 2013 through April 30, 2013.</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2013 and April 30, 2013, a maximum of 17,600 shares of our common stock is available for future issuance upon conversion of 6% Notes. The limitation on the number of shares of common stock issuable upon conversion of the 6% Notes applies on a pro rata basis to the $69.4 million in aggregate principal amount of outstanding 6%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and estimated fair values of our long-term debt, including current maturities and other financial instruments, are summarized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44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Notes and Series B Notes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306.9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1,369.7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1,011.2</w:t>
            </w: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Restructured Term Loan, ABL Facility, Series A Notes, Series B Notes, 6% Notes (included in “Other” above) and A&amp;R CDA (included in “Other” above) were estimated based on observable prices (level two inputs for fair value measurements). The carrying amount of the lease financing obligations approximates fair value.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months ended March 31:</w:t>
      </w:r>
    </w:p>
    <w:p>
      <w:pPr>
        <w:spacing w:after="0" w:line="200" w:lineRule="exact"/>
        <w:rPr>
          <w:sz w:val="20"/>
          <w:szCs w:val="20"/>
          <w:color w:val="auto"/>
        </w:rPr>
      </w:pP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88"/>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2012</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Total periodic pension cost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5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$62.6 million to our company-sponsored pension plans in 2013 of which we have contributed $12.2 million through March 31, 2013.</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Income Taxes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effective tax rate for the three months ended March 31, 2013 was 15.5% compared to 3.8%, for the three months ended March 31, 2012. The significant items impacting the rate for the three months ended March 31, 2013 include a net state tax provision, certain permanent items and a change in the valuation allowance established for the net deferred tax asset balance projected for December 31, 2013.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history, expected future earnings, loss carry-back and carry-forward periods, reversals of existing deferred tax liabilities and tax planning strategies that potentially enhance the likelihood of the realization of a deferred tax asset. At March 31, 2013 and December 31, 2012, substantially all of our net deferred tax assets were subject to a valuation allowance.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three months ended March 31, 2013: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2013</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awards, net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204</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conversion of Series B Notes</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8,578</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Loss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three months ended March 31, 2013 and March 31, 2012, there were no dilutive securities for these periods.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Anti-dilutive options and share units were 857,600 and 781,100 at March 31, 2013 and 2012, respectively. Anti-dilutive 6% Note conversion shares, including the make whole premium, were 17,600 at March 31, 2013 and 2012. Anti-dilutive Series A Note conversion shares were 4,857,000 and 4,406,000 at March 31, 2013 and 2012, respectively. Anti-dilutive Series B Note conversion shares, including the make whole premiums, were 5,751,000 and 7,199,000 at March 31, 2013 and 2012,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Business Segments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financial and descriptive information about our reporting segments on a basis consistent with that used internally for evaluating segment performance and allocating resources to segments. We evaluate segment performance primarily on revenue and operating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reportable segments, which are strategic business units that offer complementary transportation services to their customers:</w:t>
      </w:r>
    </w:p>
    <w:p>
      <w:pPr>
        <w:spacing w:after="0" w:line="233"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charge management fees and other corporate services to our segments based on the direct benefits received or an overhead allocation basis. Corporate and other operating losses represent residual operating expenses of the holding company. Corporate identifiable assets primarily consist of cash, cash equivalents, an investment in an equity method affiliate and deferred debt issuance costs. Intersegment revenue primarily relates to transportation services between our segments.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Regional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Corporate/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3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YRC Freight</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Eliminations</w:t>
            </w:r>
          </w:p>
        </w:tc>
        <w:tc>
          <w:tcPr>
            <w:tcW w:w="200" w:type="dxa"/>
            <w:vAlign w:val="bottom"/>
          </w:tcPr>
          <w:p>
            <w:pPr>
              <w:spacing w:after="0"/>
              <w:rPr>
                <w:sz w:val="16"/>
                <w:szCs w:val="16"/>
                <w:color w:val="auto"/>
              </w:rPr>
            </w:pPr>
          </w:p>
        </w:tc>
        <w:tc>
          <w:tcPr>
            <w:tcW w:w="1140" w:type="dxa"/>
            <w:vAlign w:val="bottom"/>
          </w:tcPr>
          <w:p>
            <w:pPr>
              <w:jc w:val="right"/>
              <w:ind w:right="212"/>
              <w:spacing w:after="0"/>
              <w:rPr>
                <w:sz w:val="20"/>
                <w:szCs w:val="20"/>
                <w:color w:val="auto"/>
              </w:rPr>
            </w:pPr>
            <w:r>
              <w:rPr>
                <w:rFonts w:ascii="Arial" w:cs="Arial" w:eastAsia="Arial" w:hAnsi="Arial"/>
                <w:sz w:val="14"/>
                <w:szCs w:val="14"/>
                <w:color w:val="auto"/>
              </w:rPr>
              <w:t>Consolidated</w:t>
            </w:r>
          </w:p>
        </w:tc>
      </w:tr>
      <w:tr>
        <w:trPr>
          <w:trHeight w:val="250"/>
        </w:trPr>
        <w:tc>
          <w:tcPr>
            <w:tcW w:w="3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2013</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2,200.9</w:t>
            </w: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2012</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2,225.5</w:t>
            </w: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2013</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1,162.5</w:t>
            </w: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2012</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1,194.3</w:t>
            </w: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Network Optimization</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2013, our YRC Freight reporting segment committed to a plan to optimize its freight network. This optimization will reduce the number of handling and relay locations in an effort to improve customer service, increase linehaul density and load average, reduce empty miles and improve our ability to direct load with less handling. Costs associated with this plan, which consist of lease termination costs, employee separation costs and other exit costs, will be recorded at either their contractual amounts or their fair value. We estimate that these costs will total between $8.0 million and $12.0 million, substantially all of which we expect to be recorded in the second and third quarters of 2013 in the YRC Freight reporting segment. The projected timing and range of total costs is an estimate and may vary depending upon the actual exit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ABF Lawsuit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 2010, ABF Freight System, Inc. (“ABF”) filed a complaint in the U.S. District Court for the Western District of Arkansas against several parties, including our subsidiaries YRC Inc., New Penn Motor Express, Inc. and USF Holland Inc. and the International Brotherhood of Teamsters and the local Teamster unions that are party to the National Master Freight Agreement (“NMFA”), alleging violation of the NMFA due to modifications to the NMFA that provided relief to our subsidiaries without providing the same relief to ABF. The complaint sought to have the modifications to the NMFA declared null and void and damages of $750.0 million from the named defendants. We believe the allegations are without merit.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2010, the District Court dismissed the complaint. ABF appealed the dismissal on January 18, 2011 to the U.S. Court of Appeals for the 8th Circuit. On July 6, 2011, the Court of Appeals vacated the District Court's dismissal of the litigation on jurisdictional grounds and remanded the case back to the District Court for further proceedings. ABF filed an amended complaint on October 12, 2011, containing allegations consistent with the original complaint. Our subsidiaries filed a motion to dismiss the amended complaint. On August 1, 2012, the District Court dismissed ABF's amended complaint without prejudice. ABF has appealed the dismissal to the Court of Appeals, and oral arguments were conducted on April 10, 2013. Although we believe we have meritorious defenses to this case, the ultimate outcome of this matter cannot be reasonably estimated at this time. Therefore, we have not recorded any liability for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2011, a putative class action was filed by Bryant Holdings LLC ("Bryant")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defendants are former officers of our Company. No current officers or directors were named in the lawsuit.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parties participated in voluntary mediation between March 11, 2013 and April 15, 2013. The mediation resulted in an agreement in principle, which is subject to the execution of a mutually acceptable definitive agreement and approval by the court. Court approval cannot be assured. Substantially all of the payments contemplated by the settlement will be covered by our liability insurance. The self-insured retention on this matter has been accrued as of March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other litigation or proceedings that arise in ordinary business activities.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Condensed Consolidating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of the 6% Convertible Senior Notes Due 2014</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23, 2010, and August 3, 2010, we issued $70 million in aggregate principal amount of 6% convertible senior notes due 2014 (the “6% Notes”). In connection with the 6% Notes, the following wholly owned subsidiaries of YRC Worldwide have issued guarantees in favor of the holders of the notes: YRC Inc., YRC Enterprise Services, Inc., Roadway LLC, Roadway Next Day Corporation, YRC Regional Transportation, Inc., USF Holland Inc., USF Reddaway Inc., USF Glen Moore Inc. and YRC Logistics Services, Inc. Each of the guarantees is full and unconditional and joint and several, subject to customary release provisions.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consolidating financial statements are presented in lieu of separate financial statements and other related disclosures of the subsidiary guarantors and issuer because we do not believe that such separate financial statements and related disclosures would be material to investors. There are currently no significant restrictions on the ability of YRC Worldwide or any guarantor to obtain funds from its subsidiaries by dividend or loan. Certain prior period amounts have been reclassified to conform to current presentation.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represents condensed consolidating financial information as of March 31, 2013 and December 31, 2012, with respect to the financial position and for the three months ended March 31, 2013 and 2012, for results of operations and for the cash flows of YRC Worldwide and its subsidiaries. The Parent column presents the financial information of YRC Worldwide, the primary obligor of the 6% Notes. The Guarantor Subsidiaries column presents the financial information of all guarantor subsidiaries of the 6% Notes. The Non-Guarantor Subsidiaries column presents the financial information of all non-guarantor subsidiaries, including those subsidiaries that are governed by foreign laws and YRCW Receivables LLC, the special-purpose entity that is associated with our ABL facility.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Balance Sheets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March 31, 2013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182.4</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103.4</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2,850.4</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1,167.2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242.9</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2,200.9</w:t>
            </w:r>
          </w:p>
        </w:tc>
      </w:tr>
      <w:tr>
        <w:trPr>
          <w:trHeight w:val="67"/>
        </w:trPr>
        <w:tc>
          <w:tcPr>
            <w:tcW w:w="46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171.0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218.9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679.7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1,296.0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538.1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2,200.9</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42"/>
        </w:trPr>
        <w:tc>
          <w:tcPr>
            <w:tcW w:w="102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As of December 31, 2012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105.3</w:t>
            </w:r>
          </w:p>
        </w:tc>
      </w:tr>
      <w:tr>
        <w:trPr>
          <w:trHeight w:val="27"/>
        </w:trPr>
        <w:tc>
          <w:tcPr>
            <w:tcW w:w="10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2,869.0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(1,677.6)</w:t>
            </w:r>
          </w:p>
        </w:tc>
      </w:tr>
      <w:tr>
        <w:trPr>
          <w:trHeight w:val="237"/>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1,191.4</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67"/>
        </w:trPr>
        <w:tc>
          <w:tcPr>
            <w:tcW w:w="1020" w:type="dxa"/>
            <w:vAlign w:val="bottom"/>
            <w:tcBorders>
              <w:bottom w:val="single" w:sz="8" w:color="CCEEFF"/>
            </w:tcBorders>
          </w:tcPr>
          <w:p>
            <w:pPr>
              <w:spacing w:after="0"/>
              <w:rPr>
                <w:sz w:val="5"/>
                <w:szCs w:val="5"/>
                <w:color w:val="auto"/>
              </w:rPr>
            </w:pPr>
          </w:p>
        </w:tc>
        <w:tc>
          <w:tcPr>
            <w:tcW w:w="3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190.9</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233.2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1,366.3</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548.8</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Comprehensive Income (Loss)</w:t>
      </w:r>
    </w:p>
    <w:p>
      <w:pPr>
        <w:spacing w:after="0" w:line="343"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Guarantor</w:t>
            </w:r>
          </w:p>
        </w:tc>
        <w:tc>
          <w:tcPr>
            <w:tcW w:w="1120" w:type="dxa"/>
            <w:vAlign w:val="bottom"/>
            <w:gridSpan w:val="3"/>
          </w:tcPr>
          <w:p>
            <w:pPr>
              <w:ind w:left="60"/>
              <w:spacing w:after="0"/>
              <w:rPr>
                <w:sz w:val="20"/>
                <w:szCs w:val="20"/>
                <w:color w:val="auto"/>
              </w:rPr>
            </w:pPr>
            <w:r>
              <w:rPr>
                <w:rFonts w:ascii="Arial" w:cs="Arial" w:eastAsia="Arial" w:hAnsi="Arial"/>
                <w:sz w:val="14"/>
                <w:szCs w:val="14"/>
                <w:color w:val="auto"/>
              </w:rPr>
              <w:t>Non-Guarantor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Three Months Ended March 31, 2013 (in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1,162.5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Salaries, wages and employees’ benefits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Operating expenses and supplies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transportation</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Gains on property disposals, net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1,152.6</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Interest expense (income)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3640" w:type="dxa"/>
            <w:vAlign w:val="bottom"/>
          </w:tcPr>
          <w:p>
            <w:pPr>
              <w:ind w:left="36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w w:val="97"/>
              </w:rPr>
              <w:t>Other comprehensive income (loss), net of tax</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YRC Worldwide Inc. Shareholders</w:t>
            </w:r>
          </w:p>
        </w:tc>
        <w:tc>
          <w:tcPr>
            <w:tcW w:w="2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40" w:top="122" w:right="14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93"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Guarantor</w:t>
            </w:r>
          </w:p>
        </w:tc>
        <w:tc>
          <w:tcPr>
            <w:tcW w:w="1120" w:type="dxa"/>
            <w:vAlign w:val="bottom"/>
            <w:gridSpan w:val="3"/>
          </w:tcPr>
          <w:p>
            <w:pPr>
              <w:ind w:left="60"/>
              <w:spacing w:after="0"/>
              <w:rPr>
                <w:sz w:val="20"/>
                <w:szCs w:val="20"/>
                <w:color w:val="auto"/>
              </w:rPr>
            </w:pPr>
            <w:r>
              <w:rPr>
                <w:rFonts w:ascii="Arial" w:cs="Arial" w:eastAsia="Arial" w:hAnsi="Arial"/>
                <w:sz w:val="14"/>
                <w:szCs w:val="14"/>
                <w:color w:val="auto"/>
              </w:rPr>
              <w:t>Non-Guarantor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Three Months Ended March 31, 2012 (in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1,194.3</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Salaries, wages and employees’ benefits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Operating expenses and supplies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transportation</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Losses (gains) on property disposals, net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1,243.1</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3"/>
        </w:trPr>
        <w:tc>
          <w:tcPr>
            <w:tcW w:w="3640" w:type="dxa"/>
            <w:vAlign w:val="bottom"/>
          </w:tcPr>
          <w:p>
            <w:pPr>
              <w:ind w:left="36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w w:val="95"/>
              </w:rPr>
              <w:t>Less: Net income attributable to non-controlling</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YRC</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 Inc.</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YRC Worldwide Inc. Shareholders</w:t>
            </w:r>
          </w:p>
        </w:tc>
        <w:tc>
          <w:tcPr>
            <w:tcW w:w="2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40" w:top="122" w:right="14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Statements of Cash Flows</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8"/>
        </w:trPr>
        <w:tc>
          <w:tcPr>
            <w:tcW w:w="4680" w:type="dxa"/>
            <w:vAlign w:val="bottom"/>
          </w:tcPr>
          <w:p>
            <w:pPr>
              <w:ind w:left="20"/>
              <w:spacing w:after="0"/>
              <w:rPr>
                <w:sz w:val="20"/>
                <w:szCs w:val="20"/>
                <w:color w:val="auto"/>
              </w:rPr>
            </w:pPr>
            <w:r>
              <w:rPr>
                <w:rFonts w:ascii="Arial" w:cs="Arial" w:eastAsia="Arial" w:hAnsi="Arial"/>
                <w:sz w:val="14"/>
                <w:szCs w:val="14"/>
                <w:color w:val="auto"/>
              </w:rPr>
              <w:t>Three Months Ended March 31, 2013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color w:val="auto"/>
                <w:w w:val="97"/>
              </w:rPr>
              <w:t>Consolidated</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Restricted escrow receipts, net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182.4</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1"/>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4680" w:type="dxa"/>
            <w:vAlign w:val="bottom"/>
          </w:tcPr>
          <w:p>
            <w:pPr>
              <w:ind w:left="20"/>
              <w:spacing w:after="0"/>
              <w:rPr>
                <w:sz w:val="20"/>
                <w:szCs w:val="20"/>
                <w:color w:val="auto"/>
              </w:rPr>
            </w:pPr>
            <w:r>
              <w:rPr>
                <w:rFonts w:ascii="Arial" w:cs="Arial" w:eastAsia="Arial" w:hAnsi="Arial"/>
                <w:sz w:val="14"/>
                <w:szCs w:val="14"/>
                <w:color w:val="auto"/>
              </w:rPr>
              <w:t>Three Months Ended March 31, 2012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color w:val="auto"/>
                <w:w w:val="97"/>
              </w:rPr>
              <w:t>Consolidated</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4680" w:type="dxa"/>
            <w:vAlign w:val="bottom"/>
          </w:tcPr>
          <w:p>
            <w:pPr>
              <w:ind w:left="820"/>
              <w:spacing w:after="0"/>
              <w:rPr>
                <w:sz w:val="20"/>
                <w:szCs w:val="20"/>
                <w:color w:val="auto"/>
              </w:rPr>
            </w:pPr>
            <w:r>
              <w:rPr>
                <w:rFonts w:ascii="Arial" w:cs="Arial" w:eastAsia="Arial" w:hAnsi="Arial"/>
                <w:sz w:val="18"/>
                <w:szCs w:val="18"/>
                <w:color w:val="auto"/>
              </w:rPr>
              <w:t>Restricted escrow receipts, net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4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226.3</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of the Series A Notes and the Series B Notes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2011, we issued $140 million in aggregate principal amount of our Series A Notes and $100 million in aggregate principal amount of our Series B Notes (collectively, the “Convertible Secured Notes”). In connection with the Convertible Secured Notes, the following wholly owned subsidiaries of YRC Worldwide issued guarantees in favor of the holders of the New Convertible Secured Notes: YRC Inc., YRC Enterprise Services, Inc., Roadway LLC, Roadway Reverse Logistics, Inc., Roadway Express International, Inc., Roadway Next Day Corporation, New Penn Motor Express Inc., YRC Regional Transportation, Inc., USF Holland Inc., USF Reddaway Inc., USF Glen Moore Inc., YRC Logistics Services, Inc., USF Bestway Inc., USF Dugan Inc., USF RedStar LLC, YRC Mortgages, LLC, YRC Association Solutions Inc., YRC International Investments Inc., and Express Lane Services Inc. Each of the guarantees is full and unconditional and joint and several, subject to customary release provisions.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consolidating financial statements are presented in lieu of separate financial statements and other related disclosures of the subsidiary guarantors and issuer because we do not believe that such separate financial statements and related disclosures would be material to investors. There are currently no significant restrictions on the ability of YRC Worldwide or any guarantor to obtain funds from its subsidiaries by dividend or loan. Certain prior period amounts have been reclassified to conform to current presentation.</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represents condensed consolidating financial information as of March 31, 2013 and December 31, 2012, with respect to the financial position and for the three months ended March 31, 2013 and 2012, for results of operations and for the statement of cash flows of YRC Worldwide and its subsidiaries. The Parent column presents the financial information of YRC Worldwide, the primary obligor of the New Convertible Secured Notes. The Guarantor Subsidiaries column presents the financial information of all guarantor subsidiaries of the New Convertible Secured Notes. The Non-Guarantor Subsidiaries column presents the financial information of all non-guarantor subsidiaries, including those subsidiaries that are governed by foreign laws and YRCW Receivables LLC, the special-purpose entity that is associated with our ABL facility.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Balance Sheets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As of March 31, 2013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182.4</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103.4</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2,850.4</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1,167.2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242.9</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2,200.9</w:t>
            </w:r>
          </w:p>
        </w:tc>
      </w:tr>
      <w:tr>
        <w:trPr>
          <w:trHeight w:val="67"/>
        </w:trPr>
        <w:tc>
          <w:tcPr>
            <w:tcW w:w="46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171.0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218.9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679.7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1,296.0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538.1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2,200.9</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42"/>
        </w:trPr>
        <w:tc>
          <w:tcPr>
            <w:tcW w:w="102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 of December 31, 2012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105.3</w:t>
            </w:r>
          </w:p>
        </w:tc>
      </w:tr>
      <w:tr>
        <w:trPr>
          <w:trHeight w:val="27"/>
        </w:trPr>
        <w:tc>
          <w:tcPr>
            <w:tcW w:w="10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2,869.0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(1,677.6)</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1,191.4</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67"/>
        </w:trPr>
        <w:tc>
          <w:tcPr>
            <w:tcW w:w="1020" w:type="dxa"/>
            <w:vAlign w:val="bottom"/>
            <w:tcBorders>
              <w:bottom w:val="single" w:sz="8" w:color="CCEEFF"/>
            </w:tcBorders>
          </w:tcPr>
          <w:p>
            <w:pPr>
              <w:spacing w:after="0"/>
              <w:rPr>
                <w:sz w:val="5"/>
                <w:szCs w:val="5"/>
                <w:color w:val="auto"/>
              </w:rPr>
            </w:pPr>
          </w:p>
        </w:tc>
        <w:tc>
          <w:tcPr>
            <w:tcW w:w="3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190.9</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233.2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1,366.3</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548.8</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Comprehensive Income (Loss)</w:t>
      </w:r>
    </w:p>
    <w:p>
      <w:pPr>
        <w:spacing w:after="0" w:line="37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Guarantor</w:t>
            </w:r>
          </w:p>
        </w:tc>
        <w:tc>
          <w:tcPr>
            <w:tcW w:w="1120" w:type="dxa"/>
            <w:vAlign w:val="bottom"/>
            <w:gridSpan w:val="3"/>
          </w:tcPr>
          <w:p>
            <w:pPr>
              <w:ind w:left="60"/>
              <w:spacing w:after="0"/>
              <w:rPr>
                <w:sz w:val="20"/>
                <w:szCs w:val="20"/>
                <w:color w:val="auto"/>
              </w:rPr>
            </w:pPr>
            <w:r>
              <w:rPr>
                <w:rFonts w:ascii="Arial" w:cs="Arial" w:eastAsia="Arial" w:hAnsi="Arial"/>
                <w:sz w:val="14"/>
                <w:szCs w:val="14"/>
                <w:color w:val="auto"/>
              </w:rPr>
              <w:t>Non-Guarantor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Three Months Ended March 31, 2013 (in millions)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1"/>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1"/>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23"/>
        </w:trPr>
        <w:tc>
          <w:tcPr>
            <w:tcW w:w="36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Salaries, wages and employees’ benefits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Operating expenses and supplies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transportation</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Gains on property disposals, net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Interest expense (income)</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Arial" w:cs="Arial" w:eastAsia="Arial" w:hAnsi="Arial"/>
                <w:sz w:val="18"/>
                <w:szCs w:val="18"/>
                <w:color w:val="auto"/>
              </w:rPr>
              <w:t>Nonoperating expenses (income), net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YRC Worldwide Inc. Shareholders</w:t>
            </w:r>
          </w:p>
        </w:tc>
        <w:tc>
          <w:tcPr>
            <w:tcW w:w="22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121" w:right="14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93"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Guarantor</w:t>
            </w:r>
          </w:p>
        </w:tc>
        <w:tc>
          <w:tcPr>
            <w:tcW w:w="1120" w:type="dxa"/>
            <w:vAlign w:val="bottom"/>
            <w:gridSpan w:val="3"/>
          </w:tcPr>
          <w:p>
            <w:pPr>
              <w:ind w:left="60"/>
              <w:spacing w:after="0"/>
              <w:rPr>
                <w:sz w:val="20"/>
                <w:szCs w:val="20"/>
                <w:color w:val="auto"/>
              </w:rPr>
            </w:pPr>
            <w:r>
              <w:rPr>
                <w:rFonts w:ascii="Arial" w:cs="Arial" w:eastAsia="Arial" w:hAnsi="Arial"/>
                <w:sz w:val="14"/>
                <w:szCs w:val="14"/>
                <w:color w:val="auto"/>
              </w:rPr>
              <w:t>Non-Guarantor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Three Months Ended March 31, 2012 (in millions)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Parent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Salaries, wages and employees’ benefits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auto"/>
              </w:rPr>
              <w:t>Operating expenses and supplies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Purchased transportation</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auto"/>
              </w:rPr>
              <w:t>Gains on property disposals, net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37"/>
        </w:trPr>
        <w:tc>
          <w:tcPr>
            <w:tcW w:w="362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362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3"/>
        </w:trPr>
        <w:tc>
          <w:tcPr>
            <w:tcW w:w="3620" w:type="dxa"/>
            <w:vAlign w:val="bottom"/>
          </w:tcPr>
          <w:p>
            <w:pPr>
              <w:ind w:left="36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YRC</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 Inc.</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YRC Worldwide Shareholders</w:t>
            </w:r>
          </w:p>
        </w:tc>
        <w:tc>
          <w:tcPr>
            <w:tcW w:w="22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121" w:right="14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Statements of Cash Flows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Three Months Ended March 31, 2013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Restricted amounts held in escrow</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182.4</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61"/>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Three Months Ended March 31, 2012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43"/>
        </w:trPr>
        <w:tc>
          <w:tcPr>
            <w:tcW w:w="4680" w:type="dxa"/>
            <w:vAlign w:val="bottom"/>
          </w:tcPr>
          <w:p>
            <w:pPr>
              <w:ind w:left="820"/>
              <w:spacing w:after="0"/>
              <w:rPr>
                <w:sz w:val="20"/>
                <w:szCs w:val="20"/>
                <w:color w:val="auto"/>
              </w:rPr>
            </w:pPr>
            <w:r>
              <w:rPr>
                <w:rFonts w:ascii="Arial" w:cs="Arial" w:eastAsia="Arial" w:hAnsi="Arial"/>
                <w:sz w:val="18"/>
                <w:szCs w:val="18"/>
                <w:color w:val="auto"/>
              </w:rPr>
              <w:t>Restricted amounts held in escrow</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r>
      <w:tr>
        <w:trPr>
          <w:trHeight w:val="223"/>
        </w:trPr>
        <w:tc>
          <w:tcPr>
            <w:tcW w:w="46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200.5</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226.3</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“project,” “forecast,” “propose,” “plan,” “designed,” "estimate," “enable” and similar expressions. Forward-looking statements are inherently uncertain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0"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recovery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operational and productivity improvements, including (without limitation) our continued ability to meet high on-time and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scheduled increases in debt covenants and our cash reserve requirement;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refinance or restructure our indebtedness, a substantial portion of which matures in late 2014 or early 2015;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and availability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sudden 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and competitive pressure on service and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 volatility, including (without limitation) volatility due to changes in rail service or pricing for rail service;</w:t>
      </w:r>
    </w:p>
    <w:p>
      <w:pPr>
        <w:spacing w:after="0" w:line="63" w:lineRule="exact"/>
        <w:rPr>
          <w:rFonts w:ascii="Arial" w:cs="Arial" w:eastAsia="Arial" w:hAnsi="Arial"/>
          <w:sz w:val="18"/>
          <w:szCs w:val="18"/>
          <w:color w:val="auto"/>
        </w:rPr>
      </w:pPr>
    </w:p>
    <w:p>
      <w:pPr>
        <w:ind w:left="660" w:right="20" w:hanging="328"/>
        <w:spacing w:after="0" w:line="29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relations, including (without limitation)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contingencies, including (without limitation) the risk factors that are included in our reports filed with the SEC, including those described under “Risk Factors” in our annual report on Form 10-K and quarterly reports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months ended March 31, 2013</w:t>
      </w:r>
      <w:r>
        <w:rPr>
          <w:rFonts w:ascii="Arial" w:cs="Arial" w:eastAsia="Arial" w:hAnsi="Arial"/>
          <w:sz w:val="18"/>
          <w:szCs w:val="18"/>
          <w:b w:val="1"/>
          <w:bCs w:val="1"/>
          <w:color w:val="auto"/>
        </w:rPr>
        <w:t xml:space="preserve"> </w:t>
      </w:r>
      <w:r>
        <w:rPr>
          <w:rFonts w:ascii="Arial" w:cs="Arial" w:eastAsia="Arial" w:hAnsi="Arial"/>
          <w:sz w:val="18"/>
          <w:szCs w:val="18"/>
          <w:color w:val="auto"/>
        </w:rPr>
        <w:t>and 2012.</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months ended March 31, 2013 and 2012</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two reporting segments: YRC Freight and Regional Transportation.</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2013 and 2012.</w:t>
      </w:r>
    </w:p>
    <w:p>
      <w:pPr>
        <w:spacing w:after="0" w:line="121"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the years discussed below refers to the three months ended March 31.</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holding company that, through wholly owned operating subsidiaries and our interest in a Chinese joint venture,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heavyweight shipments and flexible supply chain solutions, ensuring customers can ship industrial, commercial and retail goods with confidence.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Operating Revenue: </w:t>
      </w:r>
      <w:r>
        <w:rPr>
          <w:rFonts w:ascii="Arial" w:cs="Arial" w:eastAsia="Arial" w:hAnsi="Arial"/>
          <w:sz w:val="17"/>
          <w:szCs w:val="17"/>
          <w:color w:val="auto"/>
        </w:rPr>
        <w:t>Our operating revenue has two primary components: volume (commonly evaluated using number of shipments and weight per</w:t>
      </w:r>
      <w:r>
        <w:rPr>
          <w:rFonts w:ascii="Arial" w:cs="Arial" w:eastAsia="Arial" w:hAnsi="Arial"/>
          <w:sz w:val="17"/>
          <w:szCs w:val="17"/>
          <w:b w:val="1"/>
          <w:bCs w:val="1"/>
          <w:color w:val="auto"/>
        </w:rPr>
        <w:t xml:space="preserve"> </w:t>
      </w:r>
      <w:r>
        <w:rPr>
          <w:rFonts w:ascii="Arial" w:cs="Arial" w:eastAsia="Arial" w:hAnsi="Arial"/>
          <w:sz w:val="17"/>
          <w:szCs w:val="17"/>
          <w:color w:val="auto"/>
        </w:rPr>
        <w:t>shipment) and yield or price (commonly evaluated on a per hundredweight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77"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Operating income (loss) is our operating revenue less operating expenses. Our consolidated operating income (loss)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certain corporate charges that are not allocated to our reporting segments.</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EBITDA and adjusted free cash flow (deficit):</w:t>
      </w:r>
    </w:p>
    <w:p>
      <w:pPr>
        <w:spacing w:after="0" w:line="165" w:lineRule="exact"/>
        <w:rPr>
          <w:rFonts w:ascii="Arial" w:cs="Arial" w:eastAsia="Arial" w:hAnsi="Arial"/>
          <w:sz w:val="18"/>
          <w:szCs w:val="18"/>
          <w:color w:val="auto"/>
        </w:rPr>
      </w:pPr>
    </w:p>
    <w:p>
      <w:pPr>
        <w:jc w:val="both"/>
        <w:ind w:left="1300" w:hanging="320"/>
        <w:spacing w:after="0" w:line="26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our earnings before interest, taxes, depreciation, and amortization expense, and</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adjusted for letter of credit fees, equity-based compensation expense, net gains or losses on property disposals and certain other items, including restructuring professional fees and results of permitted dispositions and discontinued operations as defined in our credit facilities. Adjusted EBITDA is used for internal management purposes as a financial measure that reflects our core operating performance and to measure compliance with financial covenants in our credit facilities.</w:t>
      </w:r>
    </w:p>
    <w:p>
      <w:pPr>
        <w:spacing w:after="0" w:line="3" w:lineRule="exact"/>
        <w:rPr>
          <w:rFonts w:ascii="Arial" w:cs="Arial" w:eastAsia="Arial" w:hAnsi="Arial"/>
          <w:sz w:val="17"/>
          <w:szCs w:val="17"/>
          <w:color w:val="auto"/>
        </w:rPr>
      </w:pPr>
    </w:p>
    <w:p>
      <w:pPr>
        <w:ind w:left="1300" w:hanging="320"/>
        <w:spacing w:after="0" w:line="26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Adjusted Free Cash Flow (Deficit): </w:t>
      </w:r>
      <w:r>
        <w:rPr>
          <w:rFonts w:ascii="Arial" w:cs="Arial" w:eastAsia="Arial" w:hAnsi="Arial"/>
          <w:sz w:val="18"/>
          <w:szCs w:val="18"/>
          <w:color w:val="auto"/>
        </w:rPr>
        <w:t>a non-GAAP measure that reflects our net cash provided by (used in) operating activities minus gross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excludes restructuring costs included in operating cash flow.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320"/>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letter of credit fees, service interest or principal payments on our outstanding debt;</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ind w:left="1300" w:hanging="320"/>
        <w:spacing w:after="0" w:line="265"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Equity 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free cash flow (deficit) excludes the cash usage by our restructuring activities, debt issuance costs,</w:t>
      </w:r>
    </w:p>
    <w:p>
      <w:pPr>
        <w:spacing w:after="0" w:line="9" w:lineRule="exact"/>
        <w:rPr>
          <w:rFonts w:ascii="Arial" w:cs="Arial" w:eastAsia="Arial" w:hAnsi="Arial"/>
          <w:sz w:val="18"/>
          <w:szCs w:val="18"/>
          <w:color w:val="auto"/>
        </w:rPr>
      </w:pPr>
    </w:p>
    <w:p>
      <w:pPr>
        <w:ind w:left="1300" w:right="20"/>
        <w:spacing w:after="0" w:line="250" w:lineRule="auto"/>
        <w:rPr>
          <w:rFonts w:ascii="Arial" w:cs="Arial" w:eastAsia="Arial" w:hAnsi="Arial"/>
          <w:sz w:val="18"/>
          <w:szCs w:val="18"/>
          <w:color w:val="auto"/>
        </w:rPr>
      </w:pPr>
      <w:r>
        <w:rPr>
          <w:rFonts w:ascii="Arial" w:cs="Arial" w:eastAsia="Arial" w:hAnsi="Arial"/>
          <w:sz w:val="18"/>
          <w:szCs w:val="18"/>
          <w:color w:val="auto"/>
        </w:rPr>
        <w:t>equity issuance costs and principal payments on our outstanding debt and the resulting reduction in our liquidity position from those cash outflows; and</w:t>
      </w:r>
    </w:p>
    <w:p>
      <w:pPr>
        <w:ind w:left="1300" w:hanging="320"/>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and adjusted free cash flow (deficit) differently than we do, potentially limiting their usefulness as comparative measures.</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results include the consolidated results of our reporting segments as well as any unallocated corporate charges. A more detailed discussion of the operating results of our segments is presented in the "Reporting Segment Results of Operations"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first quarter of 2013 and 2012:</w:t>
      </w:r>
    </w:p>
    <w:p>
      <w:pPr>
        <w:spacing w:after="0" w:line="200" w:lineRule="exact"/>
        <w:rPr>
          <w:sz w:val="20"/>
          <w:szCs w:val="20"/>
          <w:color w:val="auto"/>
        </w:rPr>
      </w:pP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First Quarter</w:t>
            </w:r>
          </w:p>
        </w:tc>
        <w:tc>
          <w:tcPr>
            <w:tcW w:w="1380" w:type="dxa"/>
            <w:vAlign w:val="bottom"/>
            <w:tcBorders>
              <w:bottom w:val="single" w:sz="8" w:color="auto"/>
            </w:tcBorders>
          </w:tcPr>
          <w:p>
            <w:pPr>
              <w:spacing w:after="0"/>
              <w:rPr>
                <w:sz w:val="16"/>
                <w:szCs w:val="16"/>
                <w:color w:val="auto"/>
              </w:rPr>
            </w:pPr>
          </w:p>
        </w:tc>
      </w:tr>
      <w:tr>
        <w:trPr>
          <w:trHeight w:val="264"/>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Percent Change</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1,194.3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Nonoperating expenses,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r>
      <w:tr>
        <w:trPr>
          <w:trHeight w:val="27"/>
        </w:trPr>
        <w:tc>
          <w:tcPr>
            <w:tcW w:w="4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2013 Compared to the First Quarter of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operating revenue decreased 2.7% during the first quarter of 2013 compared to the same period in 2012. The decrease in revenue is primarily attributable to lower volumes over the comparable prior year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first quarter of 2013 decreased $90.5 million or 7.3% compared to the same period in 2012 primarily related to a $25.4 million decrease in operating expenses and supplies, a $23.8 million decrease in salaries, wages and employees' benefits and a $18.3 million decrease in other operating expenses. Gains on property sales of $4.5 million in 2013 compared to losses of $8.3 million in 2012 also contributed to the favorable variance to the prior year.</w:t>
      </w:r>
    </w:p>
    <w:p>
      <w:pPr>
        <w:spacing w:after="0" w:line="187" w:lineRule="exact"/>
        <w:rPr>
          <w:sz w:val="20"/>
          <w:szCs w:val="20"/>
          <w:color w:val="auto"/>
        </w:rPr>
      </w:pPr>
    </w:p>
    <w:p>
      <w:pPr>
        <w:jc w:val="both"/>
        <w:ind w:left="660" w:hanging="328"/>
        <w:spacing w:after="0" w:line="26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$25.4 million decrease in operating expenses and supplies was primarily driven by lower fuel expenses of $11.3 million or 7.6% and a $3.3 million or 7.3% decrease in vehicle maintenance expenses. The decrease in fuel expenses and vehicle maintenance expenses is primarily a function of fewer miles driven at our YRC Freight reporting segment. Our operating expenses in the first quarter of 2012 were unfavorably impacted by a $7.0 million increase to our legal reserves related to our estimated losses for legal claims from prior years.</w:t>
      </w:r>
    </w:p>
    <w:p>
      <w:pPr>
        <w:spacing w:after="0" w:line="2"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$23.8 million decrease in salaries, wages and employees' benefits was largely due to a $9.5 million or 2.7% decrease in wages driven by fewer shipments as well as a $6.5 million or 18.6% reduction in workers' compensation expense driven by safety initiatives and settlement activity that are reducing our claims outstanding.</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$18.3 million decrease in other operating expenses was primarily driven by a $13.3 million decrease in our bodily injury and property damage expense due to our settlement initiatives and a $4.3 million decrease in cargo claims driven by favorable claim development and lower shipping volumes compared to the first quarter of 2012.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for the first quarter of 2013 and 2012 was 15.5% and 3.8%, respectively. Significant items impacting the first quarter 2013 rate include a net state tax provision, certain permanent items and a change in the valuation allowance established for the net deferred tax asset balance projected for December 31, 2013.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2013 and December 31, 2012, substantially all of our net deferred tax assets are subject to a valuation allowance.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business using our two reporting segments:</w:t>
      </w:r>
    </w:p>
    <w:p>
      <w:pPr>
        <w:spacing w:after="0" w:line="221" w:lineRule="exact"/>
        <w:rPr>
          <w:sz w:val="20"/>
          <w:szCs w:val="20"/>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Freight represented 65% and 66% of our consolidated operating revenue for the first quarter of 2013 and 2012, respectively. The table below provides summary financial information for YRC Freight for the first quarter of 2013 and 2012:</w:t>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First Quarter</w:t>
            </w:r>
          </w:p>
        </w:tc>
        <w:tc>
          <w:tcPr>
            <w:tcW w:w="1160" w:type="dxa"/>
            <w:vAlign w:val="bottom"/>
            <w:tcBorders>
              <w:bottom w:val="single" w:sz="8" w:color="auto"/>
            </w:tcBorders>
          </w:tcPr>
          <w:p>
            <w:pPr>
              <w:spacing w:after="0"/>
              <w:rPr>
                <w:sz w:val="16"/>
                <w:szCs w:val="16"/>
                <w:color w:val="auto"/>
              </w:rPr>
            </w:pPr>
          </w:p>
        </w:tc>
      </w:tr>
      <w:tr>
        <w:trPr>
          <w:trHeight w:val="156"/>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277"/>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Change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104.3 %</w:t>
            </w:r>
          </w:p>
        </w:tc>
      </w:tr>
      <w:tr>
        <w:trPr>
          <w:trHeight w:val="479"/>
        </w:trPr>
        <w:tc>
          <w:tcPr>
            <w:tcW w:w="4880" w:type="dxa"/>
            <w:vAlign w:val="bottom"/>
          </w:tcPr>
          <w:p>
            <w:pPr>
              <w:ind w:left="20"/>
              <w:spacing w:after="0"/>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7.4pp</w:t>
            </w:r>
          </w:p>
        </w:tc>
      </w:tr>
    </w:tbl>
    <w:p>
      <w:pPr>
        <w:ind w:left="980" w:hanging="324"/>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2013 Compared to the First Quarter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$753.8 million in the first quarter of 2013, a decrease of $35.3 million or 4.5% compared to the same period in 2012. The table below summarizes the key revenue metrics for the YRC Freight reporting segment for the first quarter of 2013 compared to the first quarter of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5"/>
              </w:rPr>
              <w:t>64.0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756.9</w:t>
            </w:r>
          </w:p>
        </w:tc>
        <w:tc>
          <w:tcPr>
            <w:tcW w:w="120" w:type="dxa"/>
            <w:vAlign w:val="bottom"/>
          </w:tcPr>
          <w:p>
            <w:pPr>
              <w:spacing w:after="0"/>
              <w:rPr>
                <w:sz w:val="23"/>
                <w:szCs w:val="23"/>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792.8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25.69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44.23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46.68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 per shipment</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9"/>
              </w:rPr>
              <w:t>265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r>
      <w:tr>
        <w:trPr>
          <w:trHeight w:val="615"/>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First Quarter</w:t>
            </w:r>
          </w:p>
        </w:tc>
        <w:tc>
          <w:tcPr>
            <w:tcW w:w="8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4720" w:type="dxa"/>
            <w:vAlign w:val="bottom"/>
            <w:gridSpan w:val="2"/>
          </w:tcPr>
          <w:p>
            <w:pPr>
              <w:jc w:val="right"/>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753.8</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756.9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decreases in the volume metrics above were primarily driven by customer mix management while the increases in yield were a result of a more disciplined pricing environment.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for YRC Freight was $2.4 million in the first quarter of 2013 compared to operating loss of $56.1 million in the same period in 2012. Operating revenue in the first quarter of 2013 was lower by $35.3 million while total costs decreased by $93.8 million. The cost decreases consisted primarily of a $32.3 million reduction in salary, wages and employees' benefits, a $25.6 million decrease in operating expenses and supplies and a $16.5 million decrease in other operating expenses. Gains on property sales of $4.5 million in 2013 compared to losses of $8.0 million in 2012 also contributed to the favorable variance to the prior year.</w:t>
      </w:r>
    </w:p>
    <w:p>
      <w:pPr>
        <w:spacing w:after="0" w:line="188" w:lineRule="exact"/>
        <w:rPr>
          <w:sz w:val="20"/>
          <w:szCs w:val="20"/>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$32.3 million decrease in salary, wages and employees' benefits in the first quarter of 2013 was primarily the result of a $13.0 million reduction in workers' compensation expense driven by safety initiatives and settlement activity that has reduced our outstanding claims and a $11.1 million decrease in wages driven by fewer shipments.</w:t>
      </w: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$25.6 million decrease in operating expenses and supplies in the first quarter of 2013 was primarily driven by lower fuel expenses of $9.1 million and a $2.9 million decrease in vehicle maintenance expenses. The decrease in fuel expenses and vehicle maintenance expenses is primarily a function of fewer miles driven. Our operating expenses and supplies in the first quarter of 2012 were unfavorably impacted by a $7.0 million increase to our legal reserves related to our estimated losses for legal claims from prior years.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$16.5 million decrease in other operating expenses in the first quarter of 2013 was primarily driven by an $11.7 million decrease in our bodily injury and property damage expense due to our settlement initiatives and a $4.1 million decrease in cargo claims driven by favorable claim development compared to the first quarter of 2012.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Regional Transportation represented 35% and 34% of consolidated revenue in the first quarter of 2013 and 2012, respectively. The table below provides summary financial information for Regional Transportation for the first quarter of 2013 and 2012:</w:t>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First Quarter</w:t>
            </w:r>
          </w:p>
        </w:tc>
        <w:tc>
          <w:tcPr>
            <w:tcW w:w="1180" w:type="dxa"/>
            <w:vAlign w:val="bottom"/>
            <w:tcBorders>
              <w:bottom w:val="single" w:sz="8" w:color="auto"/>
            </w:tcBorders>
          </w:tcPr>
          <w:p>
            <w:pPr>
              <w:spacing w:after="0"/>
              <w:rPr>
                <w:sz w:val="16"/>
                <w:szCs w:val="16"/>
                <w:color w:val="auto"/>
              </w:rPr>
            </w:pPr>
          </w:p>
        </w:tc>
      </w:tr>
      <w:tr>
        <w:trPr>
          <w:trHeight w:val="156"/>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ind w:left="380"/>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Change</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1"/>
                <w:szCs w:val="21"/>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1.7%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5.3%</w:t>
            </w:r>
          </w:p>
        </w:tc>
      </w:tr>
      <w:tr>
        <w:trPr>
          <w:trHeight w:val="263"/>
        </w:trPr>
        <w:tc>
          <w:tcPr>
            <w:tcW w:w="516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Operating ratio </w:t>
            </w:r>
            <w:r>
              <w:rPr>
                <w:rFonts w:ascii="Arial" w:cs="Arial" w:eastAsia="Arial" w:hAnsi="Arial"/>
                <w:sz w:val="25"/>
                <w:szCs w:val="25"/>
                <w:color w:val="auto"/>
                <w:vertAlign w:val="superscript"/>
              </w:rPr>
              <w:t>(a)</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2"/>
                <w:szCs w:val="22"/>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w w:val="91"/>
              </w:rPr>
              <w:t>0.1 pp</w:t>
            </w:r>
          </w:p>
        </w:tc>
      </w:tr>
    </w:tbl>
    <w:p>
      <w:pPr>
        <w:ind w:left="980" w:hanging="324"/>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2013 Compared to the First Quarter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$408.7 million for the first quarter of 2013, an increase of $6.7 million, or 1.7%, from the first quarter of 2012. The table below summarizes the key revenue metrics for the Regional Transportation reporting segment for the first quarter of 2013 compared to the first quarter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5"/>
              </w:rPr>
              <w:t>64.0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409.0</w:t>
            </w:r>
          </w:p>
        </w:tc>
        <w:tc>
          <w:tcPr>
            <w:tcW w:w="120" w:type="dxa"/>
            <w:vAlign w:val="bottom"/>
          </w:tcPr>
          <w:p>
            <w:pPr>
              <w:spacing w:after="0"/>
              <w:rPr>
                <w:sz w:val="23"/>
                <w:szCs w:val="23"/>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1.7 %</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29.30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2,480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39.68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 per shipment</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9"/>
              </w:rPr>
              <w:t>162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r>
      <w:tr>
        <w:trPr>
          <w:trHeight w:val="615"/>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First Quarter</w:t>
            </w:r>
          </w:p>
        </w:tc>
        <w:tc>
          <w:tcPr>
            <w:tcW w:w="8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4720" w:type="dxa"/>
            <w:vAlign w:val="bottom"/>
            <w:gridSpan w:val="2"/>
          </w:tcPr>
          <w:p>
            <w:pPr>
              <w:jc w:val="right"/>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408.7</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409.0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increases in the volume metrics above were primarily driven by the slightly improving economic environment while the increases in yield were a result of a more disciplined pricing market.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for Regional Transportation was $12.0 million for the first quarter of 2013, an increase of $0.6 million from the same period in 2012, consisting of the $6.7 million increase in revenue offset by a $6.1 million increase in total costs. The increase in total costs was primarily driven by a $9.0 million increase in salary, wages and employees' benefits, partially offset by a $2.2 million decrease in other operating expenses.</w:t>
      </w:r>
    </w:p>
    <w:p>
      <w:pPr>
        <w:spacing w:after="0" w:line="166" w:lineRule="exact"/>
        <w:rPr>
          <w:sz w:val="20"/>
          <w:szCs w:val="20"/>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$9.0 million increase in salary, wages and employees' benefits was primarily driven by a $5.2 million increase in workers' compensation expense that was impacted by unfavorable development on prior year claims and a $2.1 million increase in wages driven by increased shipping volumes.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$2.2 million decrease in other operating expenses was primarily driven by a $2.7 million decrease in our bodily injury and property damage expense due to our settlement initiatives.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operating income (loss) to adjusted EBITDA for the first quarter of 2013 and 2012 is as follows:</w:t>
      </w:r>
    </w:p>
    <w:p>
      <w:pPr>
        <w:spacing w:after="0" w:line="200" w:lineRule="exact"/>
        <w:rPr>
          <w:sz w:val="20"/>
          <w:szCs w:val="20"/>
          <w:color w:val="auto"/>
        </w:rPr>
      </w:pPr>
    </w:p>
    <w:p>
      <w:pPr>
        <w:spacing w:after="0" w:line="223"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20955</wp:posOffset>
            </wp:positionV>
            <wp:extent cx="1475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2012</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Reconciliation of operating income (loss) to adjusted EBITDA:</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(Gain) loss on permitted dispositions and other</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Other nonoperating,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Free Cash Flow (Deficit)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adjusted EBITDA to adjusted free cash flow (deficit) for the first quarter of 2013 and 2012 including the reconciliation to free cash flow (deficit) is as follows:</w:t>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First Quarter</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2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letter of credit fees</w:t>
            </w:r>
          </w:p>
        </w:tc>
        <w:tc>
          <w:tcPr>
            <w:tcW w:w="2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w w:val="99"/>
              </w:rPr>
              <w:t>Working Capital cash flows excluding income tax, net</w:t>
            </w: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 before income taxes</w:t>
            </w:r>
          </w:p>
        </w:tc>
        <w:tc>
          <w:tcPr>
            <w:tcW w:w="2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Cash received for income taxes, net</w:t>
            </w: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2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Adjusted Free Cash Flow (Deficit)</w:t>
            </w:r>
          </w:p>
        </w:tc>
        <w:tc>
          <w:tcPr>
            <w:tcW w:w="2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40" w:type="dxa"/>
            <w:vAlign w:val="bottom"/>
            <w:vMerge w:val="restart"/>
          </w:tcPr>
          <w:p>
            <w:pPr>
              <w:jc w:val="right"/>
              <w:ind w:right="1430"/>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first quarter of 2013 and 2012:</w:t>
      </w:r>
    </w:p>
    <w:p>
      <w:pPr>
        <w:spacing w:after="0" w:line="200" w:lineRule="exact"/>
        <w:rPr>
          <w:sz w:val="20"/>
          <w:szCs w:val="20"/>
          <w:color w:val="auto"/>
        </w:rPr>
      </w:pP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5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First Quarter</w:t>
            </w:r>
          </w:p>
        </w:tc>
        <w:tc>
          <w:tcPr>
            <w:tcW w:w="700" w:type="dxa"/>
            <w:vAlign w:val="bottom"/>
            <w:tcBorders>
              <w:bottom w:val="single" w:sz="8" w:color="auto"/>
            </w:tcBorders>
          </w:tcPr>
          <w:p>
            <w:pPr>
              <w:spacing w:after="0"/>
              <w:rPr>
                <w:sz w:val="16"/>
                <w:szCs w:val="16"/>
                <w:color w:val="auto"/>
              </w:rPr>
            </w:pPr>
          </w:p>
        </w:tc>
      </w:tr>
      <w:tr>
        <w:trPr>
          <w:trHeight w:val="26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w w:val="96"/>
              </w:rPr>
              <w:t>2012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Adjusted EBITDA by segment: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YRC Freight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Regional Transportation</w:t>
            </w:r>
          </w:p>
        </w:tc>
        <w:tc>
          <w:tcPr>
            <w:tcW w:w="26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operating income (loss), by segment, to adjusted EBITDA for the first quarter of 2013 and 2012 is as follows:</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5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color w:val="auto"/>
                <w:w w:val="96"/>
              </w:rPr>
              <w:t>First Quarter</w:t>
            </w:r>
          </w:p>
        </w:tc>
        <w:tc>
          <w:tcPr>
            <w:tcW w:w="680" w:type="dxa"/>
            <w:vAlign w:val="bottom"/>
            <w:tcBorders>
              <w:bottom w:val="single" w:sz="8" w:color="auto"/>
            </w:tcBorders>
          </w:tcPr>
          <w:p>
            <w:pPr>
              <w:spacing w:after="0"/>
              <w:rPr>
                <w:sz w:val="16"/>
                <w:szCs w:val="16"/>
                <w:color w:val="auto"/>
              </w:rPr>
            </w:pPr>
          </w:p>
        </w:tc>
      </w:tr>
      <w:tr>
        <w:trPr>
          <w:trHeight w:val="26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YRC Freight segment (in millions)</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89"/>
              </w:rPr>
              <w:t>2012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Reconciliation of operating income (loss) to adjusted EBITDA:</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569"/>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color w:val="auto"/>
                <w:w w:val="94"/>
              </w:rPr>
              <w:t>First Quarter</w:t>
            </w:r>
          </w:p>
        </w:tc>
        <w:tc>
          <w:tcPr>
            <w:tcW w:w="680" w:type="dxa"/>
            <w:vAlign w:val="bottom"/>
            <w:tcBorders>
              <w:bottom w:val="single" w:sz="8" w:color="auto"/>
            </w:tcBorders>
          </w:tcPr>
          <w:p>
            <w:pPr>
              <w:spacing w:after="0"/>
              <w:rPr>
                <w:sz w:val="24"/>
                <w:szCs w:val="24"/>
                <w:color w:val="auto"/>
              </w:rPr>
            </w:pPr>
          </w:p>
        </w:tc>
      </w:tr>
      <w:tr>
        <w:trPr>
          <w:trHeight w:val="26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Regional Transportation segment (in millions)</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2013</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w w:val="96"/>
              </w:rPr>
              <w:t>2012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Reconciliation of operating income to adjusted EBITDA:</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569"/>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color w:val="auto"/>
                <w:w w:val="96"/>
              </w:rPr>
              <w:t>First Quarter</w:t>
            </w:r>
          </w:p>
        </w:tc>
        <w:tc>
          <w:tcPr>
            <w:tcW w:w="680" w:type="dxa"/>
            <w:vAlign w:val="bottom"/>
            <w:tcBorders>
              <w:bottom w:val="single" w:sz="8" w:color="auto"/>
            </w:tcBorders>
          </w:tcPr>
          <w:p>
            <w:pPr>
              <w:spacing w:after="0"/>
              <w:rPr>
                <w:sz w:val="24"/>
                <w:szCs w:val="24"/>
                <w:color w:val="auto"/>
              </w:rPr>
            </w:pPr>
          </w:p>
        </w:tc>
      </w:tr>
      <w:tr>
        <w:trPr>
          <w:trHeight w:val="26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 and other segment (in millions)</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89"/>
              </w:rPr>
              <w:t>2012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Reconciliation of operating loss to adjusted EBITDA:</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property disposals, net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(Gain) loss on permitted dispositions and other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Other nonoperating income, net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219"/>
          </w:cols>
          <w:pgMar w:left="240" w:top="121" w:right="1440"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Condition/Liquidity and Capital Resources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and cash equivalents, available borrowings under our $400.0 million ABL facility and any prospective net operating cash flows from our operations. As of March 31, 2013, we had cash and cash equivalents and availability under the ABL facility of $214.8 million and the borrowing base under our ABL facility was $359.0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uses of cash are to fund our operations, including making contributions to our single-employer pension plans and the multi-employer pension funds, and to meet our other cash obligations, including paying cash interest and principal on our funded debt, letter of credit fees under our credit facilities and funding capital expenditures. For the first quarter of 2013, our cash flow from operating activities used net cash of $13.9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considerable amount of indebtedness, a substantial portion of which will mature in late 2014 or early 2015. As of March 31, 2013, we had $1,369.7 million in aggregate principal amount of outstanding indebtedness, which will increase over time as a portion of our debt accrues paid-in-kind interest. We intend to restructure or refinance the portions of our debt which will mature in late 2014 and early 2015. The refinancing of these debt obligations is outside of our control and there can be no assurance that such transaction will occur, or if it does occur, on what terms. Our Standard &amp; Poor's credit rating as of March 31, 2013 was "CCC".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for the first quarter of 2013 and 2012 were $17.2 million and $15.1 million, respectively. These amounts were principally used to fund replacement engines and trailer refurbishments for our revenue fleet, capitalized costs for our network facilities and technology infrastructure. In light of our liquidity needs, we have deferred certain capital expenditures and expect to continue to do so for the foreseeable future. We plan to procure substantially all of our new revenue equipment using operating leases for the remainder of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amended and restated credit agreement has certain covenants that require us to maintain a minimum Consolidated EBITDA, a maximum Total Leverage Ratio and a minimum Interest Coverage Ratio (as defined in the amended and restated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covenants for each of the remaining test periods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0" w:type="dxa"/>
            <w:vAlign w:val="bottom"/>
            <w:gridSpan w:val="2"/>
          </w:tcPr>
          <w:p>
            <w:pPr>
              <w:jc w:val="center"/>
              <w:ind w:left="1134"/>
              <w:spacing w:after="0"/>
              <w:rPr>
                <w:sz w:val="20"/>
                <w:szCs w:val="20"/>
                <w:color w:val="auto"/>
              </w:rPr>
            </w:pPr>
            <w:r>
              <w:rPr>
                <w:rFonts w:ascii="Arial" w:cs="Arial" w:eastAsia="Arial" w:hAnsi="Arial"/>
                <w:sz w:val="14"/>
                <w:szCs w:val="14"/>
                <w:color w:val="auto"/>
                <w:w w:val="96"/>
              </w:rPr>
              <w:t>Minimum Consolidated</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Maximum Total</w:t>
            </w:r>
          </w:p>
        </w:tc>
        <w:tc>
          <w:tcPr>
            <w:tcW w:w="1940" w:type="dxa"/>
            <w:vAlign w:val="bottom"/>
          </w:tcPr>
          <w:p>
            <w:pPr>
              <w:jc w:val="center"/>
              <w:spacing w:after="0"/>
              <w:rPr>
                <w:sz w:val="20"/>
                <w:szCs w:val="20"/>
                <w:color w:val="auto"/>
              </w:rPr>
            </w:pPr>
            <w:r>
              <w:rPr>
                <w:rFonts w:ascii="Arial" w:cs="Arial" w:eastAsia="Arial" w:hAnsi="Arial"/>
                <w:sz w:val="14"/>
                <w:szCs w:val="14"/>
                <w:color w:val="auto"/>
                <w:w w:val="96"/>
              </w:rPr>
              <w:t>Minimum Interest</w:t>
            </w:r>
          </w:p>
        </w:tc>
      </w:tr>
      <w:tr>
        <w:trPr>
          <w:trHeight w:val="18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Four Consecutive Fiscal Quarters Ending</w:t>
            </w:r>
          </w:p>
        </w:tc>
        <w:tc>
          <w:tcPr>
            <w:tcW w:w="3280" w:type="dxa"/>
            <w:vAlign w:val="bottom"/>
            <w:tcBorders>
              <w:bottom w:val="single" w:sz="8" w:color="auto"/>
            </w:tcBorders>
          </w:tcPr>
          <w:p>
            <w:pPr>
              <w:jc w:val="center"/>
              <w:ind w:left="1274"/>
              <w:spacing w:after="0"/>
              <w:rPr>
                <w:sz w:val="20"/>
                <w:szCs w:val="20"/>
                <w:color w:val="auto"/>
              </w:rPr>
            </w:pPr>
            <w:r>
              <w:rPr>
                <w:rFonts w:ascii="Arial" w:cs="Arial" w:eastAsia="Arial" w:hAnsi="Arial"/>
                <w:sz w:val="14"/>
                <w:szCs w:val="14"/>
                <w:color w:val="auto"/>
              </w:rPr>
              <w:t>EBITDA</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Leverage Ratio</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Coverage Ratio</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$200,000,000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7.4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June 30, 2013</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$235,000,000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6.5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1.45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$260,000,000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6.0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$275,000,000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5.7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1.65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$300,000,000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5.1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$325,000,000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4.8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1.90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$355,000,000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4.6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$365,000,000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4.4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2.15 to 1.00</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Minimum Consolidated EBITDA, as defined in our credit facilities, is a non-GAAP measure that reflects our earnings before interest, taxes, depreciation, and amortization expense, and further adjusted for letter of credit fees, equity-based compensation expense, net gains or losses on property disposals and certain other items, including restructuring professional fees and results of permitted dispositions and discontinued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required to maintain a minimum cash balance (as defined in our credit facilities) of at least $50.0 million. This requirement increases starting in August of 2013 and, by November 2013, the minimum cash balance requirement is $119.4 million. This increase is required to ensure we have sufficient liquidity to pay the outstanding balance of our 6% convertible senior notes, which mature in February of 2014. We were in compliance with each of these covenants as of March 31, 2013.</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our minimum cash balance covenant represents our highest risk of default over the next twelve months. If our future operating results indicate that we will not meet our minimum cash balance covenant, we will take actions to improve our liquidity, which include (without limitation) deferring the timing of our capital expenditures and our discretionary workers'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compensation settlement payments. We believe that these actions, if deemed necessary, will allow us to meet any shortfall in our minimum cash balance.</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we fail to meet this or any other financial covenant, we would be considered in default under our credit facilities, which would enable lenders thereunder to accelerate the repayment of amounts outstanding and exercise remedies with respect to collateral and we would need to seek an amendment or waiver from our lenders. In the event that our lenders under our credit facilities demand payment, we will not have sufficient cash to repay such indebtedness. In addition, a default under our credit facilities or the lenders exercising their remedies thereunder would trigger cross-default provisions in our other indebtedness and certain other operating agreements. Our ability to amend our credit facilities or otherwise obtain waivers from our lenders depends on matters that are outside of our control and there can be no assurance that we will be successful in that regard.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cash equivalents, results of operations and availability under our credit facilities will be sufficient for us to comply with the covenants in our credit facilities, fund our operations, increase working capital as necessary to support our planned revenue growth and fund capital expenditures for the foreseeable future, including the next twelve months. Our ability to satisfy our liquidity needs beyond the next twelve months is dependent on a number of factors, some of which are outside of our control. These factors include:</w:t>
      </w:r>
    </w:p>
    <w:p>
      <w:pPr>
        <w:spacing w:after="0" w:line="1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to achieve improvements in our operating results which rely upon pricing and shipping volumes;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to comply with covenants and other terms of our credit facilities so as to have access to the borrowings available to us under such credit facilities;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securing suitable lease financing arrangements to replace revenue equipment;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to implement and realize cost saving measures to match our costs with business levels and in a manner that does not harm operations, and our productivity and efficiency initiatives must be successful;</w:t>
      </w: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generating operating cash flows that are sufficient to meet the minimum cash balance requirement under our credit facilities, cash requirements for pension contributions to our single-employer pension plans and our multi-employer pension funds, cash interest and principal payments on our funded debt, payments on our equipment leases, letter of credit fees under our credit facilities and for capital expenditures or additional lease payments for new revenue equipment;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or refinancing our debt obligations prior to scheduled maturities in 2014 and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was $13.9 million in the first quarter of 2013 compared to $17.1 million in the first quarter of 2012. This reduction of cash utilization is primarily attributable to a $57.1 million year-over-year reduction in net losses, partially offset by unfavorable working capital changes in accounts receivable and accounts payable. The unfavorable working capital change in accounts receivable was driven by increases in our days sales outstanding due to an increase in the payment terms for certain customers. Our unfavorable working capital changes in accounts payable was primarily due to the timing of payments this year compared to last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cash flows decreased by $15.3 million during the first quarter of 2013 compared to the same period in 2012, largely driven by a reduction in proceeds from asset sales in 2013 compared to 2012. The $2.1 million increase in the acquisition of property and equipment is related to the additions of replacement engines and trailer refurbishments as well as capitalized costs for our network facilities and technology infrastructure.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first quarter of 2013 was $2.1 million compared to net cash provided by financing activities of $37.9 million in the first quarter of 2012. The use of cash during the first quarter of 2013 was driven by $2.4 million of repayments on our long-term debt. During the first quarter of 2012, we increased our net borrowings under our ABL facility by $45.0 million, which was partially offset by $6.0 million of repayments on other long-term debt from asset sale proceeds and $1.1 million in debt issuance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March 31,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March 31,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Payments Due by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3-5 years</w:t>
            </w: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After 5 years</w:t>
            </w:r>
          </w:p>
        </w:tc>
        <w:tc>
          <w:tcPr>
            <w:tcW w:w="320" w:type="dxa"/>
            <w:vAlign w:val="bottom"/>
          </w:tcPr>
          <w:p>
            <w:pPr>
              <w:spacing w:after="0"/>
              <w:rPr>
                <w:sz w:val="22"/>
                <w:szCs w:val="22"/>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22"/>
                <w:szCs w:val="22"/>
                <w:color w:val="auto"/>
              </w:rPr>
            </w:pPr>
          </w:p>
        </w:tc>
      </w:tr>
      <w:tr>
        <w:trPr>
          <w:trHeight w:val="270"/>
        </w:trPr>
        <w:tc>
          <w:tcPr>
            <w:tcW w:w="37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Balance sheet obligations:</w:t>
            </w:r>
            <w:r>
              <w:rPr>
                <w:rFonts w:ascii="Arial" w:cs="Arial" w:eastAsia="Arial" w:hAnsi="Arial"/>
                <w:sz w:val="25"/>
                <w:szCs w:val="25"/>
                <w:color w:val="auto"/>
                <w:vertAlign w:val="superscript"/>
              </w:rPr>
              <w:t>(a)</w:t>
            </w: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ABL borrowings, including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394.8</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including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291.9</w:t>
            </w:r>
          </w:p>
        </w:tc>
        <w:tc>
          <w:tcPr>
            <w:tcW w:w="380" w:type="dxa"/>
            <w:vAlign w:val="bottom"/>
          </w:tcPr>
          <w:p>
            <w:pPr>
              <w:ind w:left="80"/>
              <w:spacing w:after="0"/>
              <w:rPr>
                <w:sz w:val="20"/>
                <w:szCs w:val="20"/>
                <w:color w:val="auto"/>
              </w:rPr>
            </w:pPr>
            <w:r>
              <w:rPr>
                <w:rFonts w:ascii="Arial" w:cs="Arial" w:eastAsia="Arial" w:hAnsi="Arial"/>
                <w:sz w:val="13"/>
                <w:szCs w:val="13"/>
                <w:color w:val="auto"/>
              </w:rPr>
              <w:t>(b)</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Multi-employer pension deferral obligations,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w w:val="90"/>
              </w:rPr>
              <w:t>Workers’ compensation, property damage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liability claims obligations</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w:t>
            </w:r>
          </w:p>
        </w:tc>
        <w:tc>
          <w:tcPr>
            <w:tcW w:w="380" w:type="dxa"/>
            <w:vAlign w:val="bottom"/>
          </w:tcPr>
          <w:p>
            <w:pPr>
              <w:ind w:left="80"/>
              <w:spacing w:after="0"/>
              <w:rPr>
                <w:sz w:val="20"/>
                <w:szCs w:val="20"/>
                <w:color w:val="auto"/>
              </w:rPr>
            </w:pPr>
            <w:r>
              <w:rPr>
                <w:rFonts w:ascii="Arial" w:cs="Arial" w:eastAsia="Arial" w:hAnsi="Arial"/>
                <w:sz w:val="13"/>
                <w:szCs w:val="13"/>
                <w:color w:val="auto"/>
              </w:rPr>
              <w:t>(c)</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 balance sheet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136.8</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fees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w:t>
            </w: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21"/>
                <w:szCs w:val="2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right="20" w:hanging="332"/>
        <w:spacing w:after="0" w:line="25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liabilities for unrecognized tax benefits as of March 31, 2013 were $27.6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$291.9 million of lease financing obligation payments represent interest payments of $215.1 million and principal payments of $76.8 million. The remaining principle obligation is offset by the estimated book value of leased property at the expiration date of each lease agreement.</w:t>
      </w:r>
    </w:p>
    <w:p>
      <w:pPr>
        <w:ind w:left="340" w:hanging="332"/>
        <w:spacing w:after="0"/>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2" w:lineRule="exact"/>
        <w:rPr>
          <w:rFonts w:ascii="Arial" w:cs="Arial" w:eastAsia="Arial" w:hAnsi="Arial"/>
          <w:sz w:val="13"/>
          <w:szCs w:val="13"/>
          <w:color w:val="auto"/>
        </w:rPr>
      </w:pPr>
    </w:p>
    <w:p>
      <w:pPr>
        <w:ind w:left="340" w:hanging="332"/>
        <w:spacing w:after="0" w:line="255"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letter of credit fees are related to the cash collateral for our outstanding letters of credit on our previous ABS facility, as well as the amended and restated credit agreement outstanding letters of credit.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color w:val="auto"/>
              </w:rPr>
              <w:t>Amount of Commitment Expiration Per Period</w:t>
            </w: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00" w:type="dxa"/>
            <w:vAlign w:val="bottom"/>
          </w:tcPr>
          <w:p>
            <w:pPr>
              <w:spacing w:after="0"/>
              <w:rPr>
                <w:sz w:val="22"/>
                <w:szCs w:val="22"/>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color w:val="auto"/>
              </w:rPr>
              <w:t>1-3 years</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3-5 years</w:t>
            </w:r>
          </w:p>
        </w:tc>
        <w:tc>
          <w:tcPr>
            <w:tcW w:w="1080" w:type="dxa"/>
            <w:vAlign w:val="bottom"/>
          </w:tcPr>
          <w:p>
            <w:pPr>
              <w:jc w:val="right"/>
              <w:spacing w:after="0"/>
              <w:rPr>
                <w:sz w:val="20"/>
                <w:szCs w:val="20"/>
                <w:color w:val="auto"/>
              </w:rPr>
            </w:pPr>
            <w:r>
              <w:rPr>
                <w:rFonts w:ascii="Arial" w:cs="Arial" w:eastAsia="Arial" w:hAnsi="Arial"/>
                <w:sz w:val="14"/>
                <w:szCs w:val="14"/>
                <w:color w:val="auto"/>
              </w:rPr>
              <w:t>After 5 years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color w:val="auto"/>
              </w:rPr>
              <w:t>Total</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ABL Facility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32.4</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(a)</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413.3</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87"/>
              </w:rPr>
              <w:t>(b)</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94.8</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447.3</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hold in restricted escrow $15.5 million, which represents cash collateral for our outstanding letters of credit on our previous ABS facility.</w:t>
      </w:r>
    </w:p>
    <w:p>
      <w:pPr>
        <w:spacing w:after="0" w:line="13"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Under our credit facilities, we hold in restricted escrow $12.4 million of cash related to the net cash proceeds from certain asset sales. This restricted escrow provides additional cash collateral for our outstanding letters of credit.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2013 and has concluded that our disclosure controls and procedures were effective as of March 31, 2013.</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March 31, 2013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Condition/Liquidity and Capital Resources” included in this quarterly report on Form 10-Q for information regarding our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providing the following disclosure in lieu of providing this information in a current report on Form 8-K pursuant to Item 5.07, “Submission of Matters to a Vote of Security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held our annual meeting of stockholders on April 30, 2013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outstanding common stock, Series A Voting Preferred Stock, 10% Series A Convertible Senior Secured Notes due 2015 ("Series A Notes"), and 10% Series B Convertible Senior Secured Notes due 2015 ("Series B Notes," and together with the Series A Notes, the "Convertible Notes") voted together as a single class on all proposals at the Annual Meeting.</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Each share of common stock and Series A Voting Preferred Stock was entitled to one vote. Pursuant to our Amended and Restated Certificate of Incorporation, as amended ("Certificate") and the indentures governing the Convertible Notes, holders of Convertible Notes are entitled to vote on an as-converted-to-common stock basis on all matters on which holders of common stock are entitled to vote, subject to certain limitations discussed below. Each holder of Series A Notes was entitled, on an as-converted-to-common stock basis, to 29.4067 shares of common stock for each $1,000 principal amount of Series A Notes held on the record date for the Annual Meeting. Each holder of Series B Notes was entitled, on an as-converted-to-common stock basis, to 53.9567 shares of common stock per $1,000 principal amount of Series B Notes held on the record date, which includes shares issuable as a Make Whole Premium (as defined in the Series B Notes indenture). However, as described in the Certificate and the Convertible Notes indentures, in order to comply with NASDAQ Listing Rule 5640, each holder of Series A Notes is limited to 0.1089 votes for each share of common stock on an as-converted-to-common stock basis and each holder of Series B Notes is limited to 0.0594 votes for each share of common stock on an as-converted-to-common stock basis. On the record date, the holders of Series A Notes collectively held 503,625 votes and the holders of Series B Notes collectively held 267,574 votes.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holders of our common stock, Series A Voting Preferred Stock and Convertible Notes voted on the following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nominee was elected to the Board of Directors.</w:t>
      </w:r>
    </w:p>
    <w:p>
      <w:pPr>
        <w:spacing w:after="0" w:line="370"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8"/>
              </w:rPr>
              <w:t>Nominees</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Votes For</w:t>
            </w:r>
          </w:p>
        </w:tc>
        <w:tc>
          <w:tcPr>
            <w:tcW w:w="860" w:type="dxa"/>
            <w:vAlign w:val="bottom"/>
          </w:tcPr>
          <w:p>
            <w:pPr>
              <w:spacing w:after="0"/>
              <w:rPr>
                <w:sz w:val="18"/>
                <w:szCs w:val="18"/>
                <w:color w:val="auto"/>
              </w:rPr>
            </w:pPr>
          </w:p>
        </w:tc>
        <w:tc>
          <w:tcPr>
            <w:tcW w:w="2020" w:type="dxa"/>
            <w:vAlign w:val="bottom"/>
            <w:gridSpan w:val="2"/>
          </w:tcPr>
          <w:p>
            <w:pPr>
              <w:jc w:val="center"/>
              <w:ind w:right="900"/>
              <w:spacing w:after="0"/>
              <w:rPr>
                <w:sz w:val="20"/>
                <w:szCs w:val="20"/>
                <w:color w:val="auto"/>
              </w:rPr>
            </w:pPr>
            <w:r>
              <w:rPr>
                <w:rFonts w:ascii="Arial" w:cs="Arial" w:eastAsia="Arial" w:hAnsi="Arial"/>
                <w:sz w:val="18"/>
                <w:szCs w:val="18"/>
                <w:color w:val="auto"/>
                <w:w w:val="92"/>
              </w:rPr>
              <w:t>Votes Withheld</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Broker Non-Votes</w:t>
            </w: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91"/>
        </w:trPr>
        <w:tc>
          <w:tcPr>
            <w:tcW w:w="2400" w:type="dxa"/>
            <w:vAlign w:val="bottom"/>
            <w:gridSpan w:val="3"/>
          </w:tcPr>
          <w:p>
            <w:pPr>
              <w:spacing w:after="0"/>
              <w:rPr>
                <w:sz w:val="20"/>
                <w:szCs w:val="20"/>
                <w:color w:val="auto"/>
              </w:rPr>
            </w:pPr>
            <w:r>
              <w:rPr>
                <w:rFonts w:ascii="Arial" w:cs="Arial" w:eastAsia="Arial" w:hAnsi="Arial"/>
                <w:sz w:val="18"/>
                <w:szCs w:val="18"/>
                <w:color w:val="auto"/>
              </w:rPr>
              <w:t>Raymond J. Bromark</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5,010,898</w:t>
            </w:r>
          </w:p>
        </w:tc>
        <w:tc>
          <w:tcPr>
            <w:tcW w:w="198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500,445</w:t>
            </w:r>
          </w:p>
        </w:tc>
        <w:tc>
          <w:tcPr>
            <w:tcW w:w="9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2,244,526</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Matthew A. Doheny</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4,970,729</w:t>
            </w:r>
          </w:p>
        </w:tc>
        <w:tc>
          <w:tcPr>
            <w:tcW w:w="198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540,614</w:t>
            </w:r>
          </w:p>
        </w:tc>
        <w:tc>
          <w:tcPr>
            <w:tcW w:w="9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2,244,526</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Robert L. Friedman</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5,035,627</w:t>
            </w:r>
          </w:p>
        </w:tc>
        <w:tc>
          <w:tcPr>
            <w:tcW w:w="198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475,716</w:t>
            </w:r>
          </w:p>
        </w:tc>
        <w:tc>
          <w:tcPr>
            <w:tcW w:w="9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2,244,526</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James E. Hoffman</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5,005,256</w:t>
            </w:r>
          </w:p>
        </w:tc>
        <w:tc>
          <w:tcPr>
            <w:tcW w:w="198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506,087</w:t>
            </w:r>
          </w:p>
        </w:tc>
        <w:tc>
          <w:tcPr>
            <w:tcW w:w="9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2,244,526</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Michael J. Kneeland</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5,024,548</w:t>
            </w:r>
          </w:p>
        </w:tc>
        <w:tc>
          <w:tcPr>
            <w:tcW w:w="198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486,795</w:t>
            </w:r>
          </w:p>
        </w:tc>
        <w:tc>
          <w:tcPr>
            <w:tcW w:w="9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2,244,526</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James L. Welch</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5,029,171</w:t>
            </w:r>
          </w:p>
        </w:tc>
        <w:tc>
          <w:tcPr>
            <w:tcW w:w="198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482,172</w:t>
            </w:r>
          </w:p>
        </w:tc>
        <w:tc>
          <w:tcPr>
            <w:tcW w:w="9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2,244,526</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James F. Winestock</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5,027,991</w:t>
            </w:r>
          </w:p>
        </w:tc>
        <w:tc>
          <w:tcPr>
            <w:tcW w:w="198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483,352</w:t>
            </w:r>
          </w:p>
        </w:tc>
        <w:tc>
          <w:tcPr>
            <w:tcW w:w="9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2,244,526</w:t>
            </w:r>
          </w:p>
        </w:tc>
      </w:tr>
      <w:tr>
        <w:trPr>
          <w:trHeight w:val="486"/>
        </w:trPr>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39</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advisory vote on named executive officer compensation was approved.</w:t>
      </w:r>
    </w:p>
    <w:p>
      <w:pPr>
        <w:spacing w:after="0" w:line="370"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7"/>
              </w:rPr>
              <w:t>Votes For</w:t>
            </w:r>
          </w:p>
        </w:tc>
        <w:tc>
          <w:tcPr>
            <w:tcW w:w="13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Votes Against</w:t>
            </w:r>
          </w:p>
        </w:tc>
        <w:tc>
          <w:tcPr>
            <w:tcW w:w="27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Votes Abstaining</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0"/>
        </w:trPr>
        <w:tc>
          <w:tcPr>
            <w:tcW w:w="7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91"/>
        </w:trPr>
        <w:tc>
          <w:tcPr>
            <w:tcW w:w="2060" w:type="dxa"/>
            <w:vAlign w:val="bottom"/>
            <w:gridSpan w:val="2"/>
          </w:tcPr>
          <w:p>
            <w:pPr>
              <w:spacing w:after="0"/>
              <w:rPr>
                <w:sz w:val="20"/>
                <w:szCs w:val="20"/>
                <w:color w:val="auto"/>
              </w:rPr>
            </w:pPr>
            <w:r>
              <w:rPr>
                <w:rFonts w:ascii="Arial" w:cs="Arial" w:eastAsia="Arial" w:hAnsi="Arial"/>
                <w:sz w:val="18"/>
                <w:szCs w:val="18"/>
                <w:color w:val="auto"/>
              </w:rPr>
              <w:t>4,565,443</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850,903</w:t>
            </w:r>
          </w:p>
        </w:tc>
        <w:tc>
          <w:tcPr>
            <w:tcW w:w="540" w:type="dxa"/>
            <w:vAlign w:val="bottom"/>
          </w:tcPr>
          <w:p>
            <w:pPr>
              <w:spacing w:after="0"/>
              <w:rPr>
                <w:sz w:val="24"/>
                <w:szCs w:val="24"/>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94,997</w:t>
            </w:r>
          </w:p>
        </w:tc>
        <w:tc>
          <w:tcPr>
            <w:tcW w:w="920" w:type="dxa"/>
            <w:vAlign w:val="bottom"/>
          </w:tcPr>
          <w:p>
            <w:pPr>
              <w:spacing w:after="0"/>
              <w:rPr>
                <w:sz w:val="24"/>
                <w:szCs w:val="24"/>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2,244,526</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KPMG LLP as our independent registered public accounting firm for 2013 was ratified.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7"/>
              </w:rPr>
              <w:t>Votes For</w:t>
            </w:r>
          </w:p>
        </w:tc>
        <w:tc>
          <w:tcPr>
            <w:tcW w:w="13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Votes Against</w:t>
            </w:r>
          </w:p>
        </w:tc>
        <w:tc>
          <w:tcPr>
            <w:tcW w:w="520" w:type="dxa"/>
            <w:vAlign w:val="bottom"/>
          </w:tcPr>
          <w:p>
            <w:pPr>
              <w:spacing w:after="0"/>
              <w:rPr>
                <w:sz w:val="17"/>
                <w:szCs w:val="17"/>
                <w:color w:val="auto"/>
              </w:rPr>
            </w:pPr>
          </w:p>
        </w:tc>
        <w:tc>
          <w:tcPr>
            <w:tcW w:w="4580" w:type="dxa"/>
            <w:vAlign w:val="bottom"/>
            <w:gridSpan w:val="3"/>
          </w:tcPr>
          <w:p>
            <w:pPr>
              <w:jc w:val="center"/>
              <w:ind w:right="2260"/>
              <w:spacing w:after="0"/>
              <w:rPr>
                <w:sz w:val="20"/>
                <w:szCs w:val="20"/>
                <w:color w:val="auto"/>
              </w:rPr>
            </w:pPr>
            <w:r>
              <w:rPr>
                <w:rFonts w:ascii="Arial" w:cs="Arial" w:eastAsia="Arial" w:hAnsi="Arial"/>
                <w:sz w:val="18"/>
                <w:szCs w:val="18"/>
                <w:color w:val="auto"/>
                <w:w w:val="91"/>
              </w:rPr>
              <w:t>Votes Abstaining</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91"/>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gridSpan w:val="3"/>
          </w:tcPr>
          <w:p>
            <w:pPr>
              <w:ind w:left="1900"/>
              <w:spacing w:after="0"/>
              <w:rPr>
                <w:sz w:val="20"/>
                <w:szCs w:val="20"/>
                <w:color w:val="auto"/>
              </w:rPr>
            </w:pPr>
            <w:r>
              <w:rPr>
                <w:rFonts w:ascii="Arial" w:cs="Arial" w:eastAsia="Arial" w:hAnsi="Arial"/>
                <w:sz w:val="18"/>
                <w:szCs w:val="18"/>
                <w:color w:val="auto"/>
              </w:rPr>
              <w:t>7,363,184</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259,577</w:t>
            </w:r>
          </w:p>
        </w:tc>
        <w:tc>
          <w:tcPr>
            <w:tcW w:w="520" w:type="dxa"/>
            <w:vAlign w:val="bottom"/>
          </w:tcPr>
          <w:p>
            <w:pPr>
              <w:spacing w:after="0"/>
              <w:rPr>
                <w:sz w:val="24"/>
                <w:szCs w:val="24"/>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133,108</w:t>
            </w:r>
          </w:p>
        </w:tc>
        <w:tc>
          <w:tcPr>
            <w:tcW w:w="2800" w:type="dxa"/>
            <w:vAlign w:val="bottom"/>
          </w:tcPr>
          <w:p>
            <w:pPr>
              <w:spacing w:after="0"/>
              <w:rPr>
                <w:sz w:val="24"/>
                <w:szCs w:val="24"/>
                <w:color w:val="auto"/>
              </w:rPr>
            </w:pPr>
          </w:p>
        </w:tc>
      </w:tr>
      <w:tr>
        <w:trPr>
          <w:trHeight w:val="419"/>
        </w:trPr>
        <w:tc>
          <w:tcPr>
            <w:tcW w:w="128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573"/>
        </w:trPr>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8"/>
          </w:tcPr>
          <w:p>
            <w:pPr>
              <w:ind w:left="140"/>
              <w:spacing w:after="0"/>
              <w:rPr>
                <w:sz w:val="20"/>
                <w:szCs w:val="20"/>
                <w:color w:val="auto"/>
              </w:rPr>
            </w:pPr>
            <w:r>
              <w:rPr>
                <w:rFonts w:ascii="Arial" w:cs="Arial" w:eastAsia="Arial" w:hAnsi="Arial"/>
                <w:sz w:val="18"/>
                <w:szCs w:val="18"/>
                <w:color w:val="auto"/>
                <w:w w:val="93"/>
              </w:rPr>
              <w:t>Advisory Agreement, dated February 20, 2013, between the Company and MAEVA Group, LLC (incorporated by reference to Exhibit</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80" w:type="dxa"/>
            <w:vAlign w:val="bottom"/>
            <w:gridSpan w:val="8"/>
          </w:tcPr>
          <w:p>
            <w:pPr>
              <w:ind w:left="140"/>
              <w:spacing w:after="0"/>
              <w:rPr>
                <w:sz w:val="20"/>
                <w:szCs w:val="20"/>
                <w:color w:val="auto"/>
              </w:rPr>
            </w:pPr>
            <w:r>
              <w:rPr>
                <w:rFonts w:ascii="Arial" w:cs="Arial" w:eastAsia="Arial" w:hAnsi="Arial"/>
                <w:sz w:val="18"/>
                <w:szCs w:val="18"/>
                <w:color w:val="auto"/>
                <w:w w:val="95"/>
              </w:rPr>
              <w:t>10.37 to the Annual Report on Form 10-K for the year ended December 31, 2012, filed on February 21, 2013, File No. 000-12255).</w:t>
            </w: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8"/>
          </w:tcPr>
          <w:p>
            <w:pPr>
              <w:ind w:left="140"/>
              <w:spacing w:after="0"/>
              <w:rPr>
                <w:sz w:val="20"/>
                <w:szCs w:val="20"/>
                <w:color w:val="auto"/>
              </w:rPr>
            </w:pPr>
            <w:r>
              <w:rPr>
                <w:rFonts w:ascii="Arial" w:cs="Arial" w:eastAsia="Arial" w:hAnsi="Arial"/>
                <w:sz w:val="18"/>
                <w:szCs w:val="18"/>
                <w:color w:val="auto"/>
                <w:w w:val="94"/>
              </w:rPr>
              <w:t>Certification of James L. Welch filed pursuant to Exchange Act Rules 13a-14 and 15d-14, as adopted pursuant to Section 302 of the</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Sarbanes-Oxley Act of 2002.</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8"/>
          </w:tcPr>
          <w:p>
            <w:pPr>
              <w:ind w:left="140"/>
              <w:spacing w:after="0"/>
              <w:rPr>
                <w:sz w:val="20"/>
                <w:szCs w:val="20"/>
                <w:color w:val="auto"/>
              </w:rPr>
            </w:pPr>
            <w:r>
              <w:rPr>
                <w:rFonts w:ascii="Arial" w:cs="Arial" w:eastAsia="Arial" w:hAnsi="Arial"/>
                <w:sz w:val="18"/>
                <w:szCs w:val="18"/>
                <w:color w:val="auto"/>
                <w:w w:val="93"/>
              </w:rPr>
              <w:t>Certification of Jamie G. Pierson filed pursuant to Exchange Act Rules 13a-14 and 15d-14, as adopted pursuant to Section 302 of the</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Sarbanes-Oxley Act of 2002.</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8"/>
          </w:tcPr>
          <w:p>
            <w:pPr>
              <w:ind w:left="140"/>
              <w:spacing w:after="0"/>
              <w:rPr>
                <w:sz w:val="20"/>
                <w:szCs w:val="20"/>
                <w:color w:val="auto"/>
              </w:rPr>
            </w:pPr>
            <w:r>
              <w:rPr>
                <w:rFonts w:ascii="Arial" w:cs="Arial" w:eastAsia="Arial" w:hAnsi="Arial"/>
                <w:sz w:val="18"/>
                <w:szCs w:val="18"/>
                <w:color w:val="auto"/>
                <w:w w:val="90"/>
              </w:rPr>
              <w:t>Certification of James L. Welch furnished pursuant to 18 U.S.C. Section 1350, as adopted pursuant to Section 906 of the Sarbanes-Oxley</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Act of 2002.</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8"/>
          </w:tcPr>
          <w:p>
            <w:pPr>
              <w:ind w:left="140"/>
              <w:spacing w:after="0"/>
              <w:rPr>
                <w:sz w:val="20"/>
                <w:szCs w:val="20"/>
                <w:color w:val="auto"/>
              </w:rPr>
            </w:pPr>
            <w:r>
              <w:rPr>
                <w:rFonts w:ascii="Arial" w:cs="Arial" w:eastAsia="Arial" w:hAnsi="Arial"/>
                <w:sz w:val="18"/>
                <w:szCs w:val="18"/>
                <w:color w:val="auto"/>
                <w:w w:val="89"/>
              </w:rPr>
              <w:t>Certification of Jamie G. Pierson furnished pursuant to 18 U.S.C. Section 1350, as adopted pursuant to Section 906 of the Sarbanes-Oxley</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Act of 2002.</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101.SCH**</w:t>
            </w: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w:t>
            </w: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w w:val="97"/>
              </w:rPr>
              <w:t>XBRL Taxonomy Extension Calculation Linkbase</w:t>
            </w: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101.DEF**</w:t>
            </w: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w:t>
            </w: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w:t>
            </w: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w w:val="94"/>
              </w:rPr>
              <w:t>XBRL Taxonomy Extension Presentation Linkbase</w:t>
            </w: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0" w:type="dxa"/>
            <w:vAlign w:val="bottom"/>
          </w:tcPr>
          <w:p>
            <w:pPr>
              <w:spacing w:after="0"/>
              <w:rPr>
                <w:sz w:val="23"/>
                <w:szCs w:val="23"/>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9" w:lineRule="exact"/>
        <w:rPr>
          <w:sz w:val="20"/>
          <w:szCs w:val="20"/>
          <w:color w:val="auto"/>
        </w:rPr>
      </w:pPr>
    </w:p>
    <w:p>
      <w:pPr>
        <w:jc w:val="both"/>
        <w:ind w:left="340" w:hanging="332"/>
        <w:spacing w:after="0" w:line="255"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 11 or 12 of the Securities Act of 1933, is deemed not filed for purposes of section 18 of the Securities Exchange Act of 1934, and otherwise is not subject to liability under these sections.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May 3, 2013</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May 3, 2013</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12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 2013</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 2013</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March 31, 2013,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 2013</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March 31, 2013,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 2013</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lvl w:ilvl="1">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2019-12-05T19:59:34Z</dcterms:created>
  <dcterms:modified xsi:type="dcterms:W3CDTF">2019-12-05T19:59:34Z</dcterms:modified>
</cp:coreProperties>
</file>