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80010</wp:posOffset>
            </wp:positionV>
            <wp:extent cx="17659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100965</wp:posOffset>
            </wp:positionV>
            <wp:extent cx="17659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6" w:lineRule="exact"/>
        <w:rPr>
          <w:rFonts w:ascii="MS PGothic" w:cs="MS PGothic" w:eastAsia="MS PGothic" w:hAnsi="MS PGothic"/>
          <w:sz w:val="20"/>
          <w:szCs w:val="20"/>
          <w:color w:val="auto"/>
        </w:rPr>
      </w:pPr>
    </w:p>
    <w:p>
      <w:pPr>
        <w:ind w:left="4100"/>
        <w:spacing w:after="0"/>
        <w:rPr>
          <w:rFonts w:ascii="MS PGothic" w:cs="MS PGothic" w:eastAsia="MS PGothic" w:hAnsi="MS PGothic"/>
          <w:sz w:val="20"/>
          <w:szCs w:val="20"/>
          <w:color w:val="auto"/>
        </w:rPr>
      </w:pPr>
      <w:r>
        <w:rPr>
          <w:rFonts w:ascii="Arial" w:cs="Arial" w:eastAsia="Arial" w:hAnsi="Arial"/>
          <w:sz w:val="17"/>
          <w:szCs w:val="17"/>
          <w:b w:val="1"/>
          <w:bCs w:val="1"/>
          <w:color w:val="auto"/>
        </w:rPr>
        <w:t>For the quarterly period ended June 30, 2017</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3" w:lineRule="exact"/>
        <w:rPr>
          <w:sz w:val="24"/>
          <w:szCs w:val="24"/>
          <w:color w:val="auto"/>
        </w:rPr>
      </w:pPr>
    </w:p>
    <w:p>
      <w:pPr>
        <w:ind w:left="380" w:hanging="354"/>
        <w:spacing w:after="0"/>
        <w:tabs>
          <w:tab w:leader="none" w:pos="380" w:val="left"/>
        </w:tabs>
        <w:numPr>
          <w:ilvl w:val="0"/>
          <w:numId w:val="2"/>
        </w:numPr>
        <w:rPr>
          <w:rFonts w:ascii="Arial" w:cs="Arial" w:eastAsia="Arial" w:hAnsi="Arial"/>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6" w:lineRule="exact"/>
        <w:rPr>
          <w:sz w:val="24"/>
          <w:szCs w:val="24"/>
          <w:color w:val="auto"/>
        </w:rPr>
      </w:pPr>
    </w:p>
    <w:p>
      <w:pPr>
        <w:ind w:left="370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0-12255</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-269875</wp:posOffset>
            </wp:positionV>
            <wp:extent cx="1765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90170</wp:posOffset>
            </wp:positionV>
            <wp:extent cx="1765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tbl>
      <w:tblPr>
        <w:tblLayout w:type="fixed"/>
        <w:tblInd w:w="1260" w:type="dxa"/>
        <w:tblCellMar>
          <w:top w:w="0" w:type="dxa"/>
          <w:left w:w="0" w:type="dxa"/>
          <w:bottom w:w="0" w:type="dxa"/>
          <w:right w:w="0" w:type="dxa"/>
        </w:tblCellMar>
      </w:tblPr>
      <w:tr>
        <w:trPr>
          <w:trHeight w:val="217"/>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91"/>
              </w:rPr>
              <w:t>Delaware</w:t>
            </w:r>
          </w:p>
        </w:tc>
        <w:tc>
          <w:tcPr>
            <w:tcW w:w="1460" w:type="dxa"/>
            <w:vAlign w:val="bottom"/>
          </w:tcPr>
          <w:p>
            <w:pPr>
              <w:jc w:val="right"/>
              <w:ind w:right="46"/>
              <w:spacing w:after="0"/>
              <w:rPr>
                <w:sz w:val="20"/>
                <w:szCs w:val="20"/>
                <w:color w:val="auto"/>
              </w:rPr>
            </w:pPr>
            <w:r>
              <w:rPr>
                <w:rFonts w:ascii="Arial" w:cs="Arial" w:eastAsia="Arial" w:hAnsi="Arial"/>
                <w:sz w:val="17"/>
                <w:szCs w:val="17"/>
                <w:b w:val="1"/>
                <w:bCs w:val="1"/>
                <w:color w:val="auto"/>
              </w:rPr>
              <w:t>48-0948788</w:t>
            </w:r>
          </w:p>
        </w:tc>
      </w:tr>
      <w:tr>
        <w:trPr>
          <w:trHeight w:val="169"/>
        </w:trPr>
        <w:tc>
          <w:tcPr>
            <w:tcW w:w="6360" w:type="dxa"/>
            <w:vAlign w:val="bottom"/>
          </w:tcPr>
          <w:p>
            <w:pPr>
              <w:jc w:val="center"/>
              <w:ind w:right="3205"/>
              <w:spacing w:after="0"/>
              <w:rPr>
                <w:sz w:val="20"/>
                <w:szCs w:val="20"/>
                <w:color w:val="auto"/>
              </w:rPr>
            </w:pPr>
            <w:r>
              <w:rPr>
                <w:rFonts w:ascii="Arial" w:cs="Arial" w:eastAsia="Arial" w:hAnsi="Arial"/>
                <w:sz w:val="13"/>
                <w:szCs w:val="13"/>
                <w:b w:val="1"/>
                <w:bCs w:val="1"/>
                <w:color w:val="auto"/>
                <w:w w:val="94"/>
              </w:rPr>
              <w:t>(State or other jurisdiction of</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3"/>
              </w:rPr>
              <w:t>incorporation or organization)</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Identification No.)</w:t>
            </w:r>
          </w:p>
        </w:tc>
      </w:tr>
      <w:tr>
        <w:trPr>
          <w:trHeight w:val="350"/>
        </w:trPr>
        <w:tc>
          <w:tcPr>
            <w:tcW w:w="6360" w:type="dxa"/>
            <w:vAlign w:val="bottom"/>
          </w:tcPr>
          <w:p>
            <w:pPr>
              <w:jc w:val="center"/>
              <w:ind w:right="3205"/>
              <w:spacing w:after="0"/>
              <w:rPr>
                <w:sz w:val="20"/>
                <w:szCs w:val="20"/>
                <w:color w:val="auto"/>
              </w:rPr>
            </w:pPr>
            <w:r>
              <w:rPr>
                <w:rFonts w:ascii="Arial" w:cs="Arial" w:eastAsia="Arial" w:hAnsi="Arial"/>
                <w:sz w:val="17"/>
                <w:szCs w:val="17"/>
                <w:b w:val="1"/>
                <w:bCs w:val="1"/>
                <w:color w:val="auto"/>
                <w:w w:val="89"/>
              </w:rPr>
              <w:t>10990 Roe Avenue, Overland Park, Kansas</w:t>
            </w:r>
          </w:p>
        </w:tc>
        <w:tc>
          <w:tcPr>
            <w:tcW w:w="1460" w:type="dxa"/>
            <w:vAlign w:val="bottom"/>
          </w:tcPr>
          <w:p>
            <w:pPr>
              <w:jc w:val="right"/>
              <w:ind w:right="246"/>
              <w:spacing w:after="0"/>
              <w:rPr>
                <w:sz w:val="20"/>
                <w:szCs w:val="20"/>
                <w:color w:val="auto"/>
              </w:rPr>
            </w:pPr>
            <w:r>
              <w:rPr>
                <w:rFonts w:ascii="Arial" w:cs="Arial" w:eastAsia="Arial" w:hAnsi="Arial"/>
                <w:sz w:val="17"/>
                <w:szCs w:val="17"/>
                <w:b w:val="1"/>
                <w:bCs w:val="1"/>
                <w:color w:val="auto"/>
              </w:rPr>
              <w:t>66211</w:t>
            </w:r>
          </w:p>
        </w:tc>
      </w:tr>
      <w:tr>
        <w:trPr>
          <w:trHeight w:val="204"/>
        </w:trPr>
        <w:tc>
          <w:tcPr>
            <w:tcW w:w="6360" w:type="dxa"/>
            <w:vAlign w:val="bottom"/>
          </w:tcPr>
          <w:p>
            <w:pPr>
              <w:jc w:val="center"/>
              <w:ind w:right="3225"/>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1460" w:type="dxa"/>
            <w:vAlign w:val="bottom"/>
          </w:tcPr>
          <w:p>
            <w:pPr>
              <w:jc w:val="center"/>
              <w:ind w:left="326"/>
              <w:spacing w:after="0"/>
              <w:rPr>
                <w:sz w:val="20"/>
                <w:szCs w:val="20"/>
                <w:color w:val="auto"/>
              </w:rPr>
            </w:pPr>
            <w:r>
              <w:rPr>
                <w:rFonts w:ascii="Arial" w:cs="Arial" w:eastAsia="Arial" w:hAnsi="Arial"/>
                <w:sz w:val="13"/>
                <w:szCs w:val="13"/>
                <w:b w:val="1"/>
                <w:bCs w:val="1"/>
                <w:color w:val="auto"/>
                <w:w w:val="96"/>
              </w:rPr>
              <w:t>(Zip Code)</w:t>
            </w:r>
          </w:p>
        </w:tc>
      </w:tr>
      <w:tr>
        <w:trPr>
          <w:trHeight w:val="325"/>
        </w:trPr>
        <w:tc>
          <w:tcPr>
            <w:tcW w:w="6360" w:type="dxa"/>
            <w:vAlign w:val="bottom"/>
          </w:tcPr>
          <w:p>
            <w:pPr>
              <w:jc w:val="center"/>
              <w:ind w:left="2485"/>
              <w:spacing w:after="0"/>
              <w:rPr>
                <w:sz w:val="20"/>
                <w:szCs w:val="20"/>
                <w:color w:val="auto"/>
              </w:rPr>
            </w:pPr>
            <w:r>
              <w:rPr>
                <w:rFonts w:ascii="Arial" w:cs="Arial" w:eastAsia="Arial" w:hAnsi="Arial"/>
                <w:sz w:val="17"/>
                <w:szCs w:val="17"/>
                <w:b w:val="1"/>
                <w:bCs w:val="1"/>
                <w:color w:val="auto"/>
                <w:w w:val="89"/>
              </w:rPr>
              <w:t>(913) 696-6100</w:t>
            </w:r>
          </w:p>
        </w:tc>
        <w:tc>
          <w:tcPr>
            <w:tcW w:w="1460" w:type="dxa"/>
            <w:vAlign w:val="bottom"/>
          </w:tcPr>
          <w:p>
            <w:pPr>
              <w:spacing w:after="0"/>
              <w:rPr>
                <w:sz w:val="24"/>
                <w:szCs w:val="24"/>
                <w:color w:val="auto"/>
              </w:rPr>
            </w:pPr>
          </w:p>
        </w:tc>
      </w:tr>
      <w:tr>
        <w:trPr>
          <w:trHeight w:val="179"/>
        </w:trPr>
        <w:tc>
          <w:tcPr>
            <w:tcW w:w="6360" w:type="dxa"/>
            <w:vAlign w:val="bottom"/>
          </w:tcPr>
          <w:p>
            <w:pPr>
              <w:jc w:val="center"/>
              <w:ind w:left="2465"/>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1460" w:type="dxa"/>
            <w:vAlign w:val="bottom"/>
          </w:tcPr>
          <w:p>
            <w:pPr>
              <w:spacing w:after="0"/>
              <w:rPr>
                <w:sz w:val="15"/>
                <w:szCs w:val="15"/>
                <w:color w:val="auto"/>
              </w:rPr>
            </w:pPr>
          </w:p>
        </w:tc>
      </w:tr>
      <w:tr>
        <w:trPr>
          <w:trHeight w:val="224"/>
        </w:trPr>
        <w:tc>
          <w:tcPr>
            <w:tcW w:w="6360" w:type="dxa"/>
            <w:vAlign w:val="bottom"/>
          </w:tcPr>
          <w:p>
            <w:pPr>
              <w:jc w:val="center"/>
              <w:ind w:left="2465"/>
              <w:spacing w:after="0"/>
              <w:rPr>
                <w:sz w:val="20"/>
                <w:szCs w:val="20"/>
                <w:color w:val="auto"/>
              </w:rPr>
            </w:pPr>
            <w:r>
              <w:rPr>
                <w:rFonts w:ascii="Arial" w:cs="Arial" w:eastAsia="Arial" w:hAnsi="Arial"/>
                <w:sz w:val="17"/>
                <w:szCs w:val="17"/>
                <w:b w:val="1"/>
                <w:bCs w:val="1"/>
                <w:color w:val="auto"/>
                <w:w w:val="89"/>
              </w:rPr>
              <w:t>None</w:t>
            </w:r>
          </w:p>
        </w:tc>
        <w:tc>
          <w:tcPr>
            <w:tcW w:w="1460" w:type="dxa"/>
            <w:vAlign w:val="bottom"/>
          </w:tcPr>
          <w:p>
            <w:pPr>
              <w:spacing w:after="0"/>
              <w:rPr>
                <w:sz w:val="19"/>
                <w:szCs w:val="19"/>
                <w:color w:val="auto"/>
              </w:rPr>
            </w:pPr>
          </w:p>
        </w:tc>
      </w:tr>
    </w:tbl>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293370</wp:posOffset>
            </wp:positionV>
            <wp:extent cx="1765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11"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2" w:lineRule="exact"/>
        <w:rPr>
          <w:sz w:val="24"/>
          <w:szCs w:val="24"/>
          <w:color w:val="auto"/>
        </w:rPr>
      </w:pPr>
    </w:p>
    <w:p>
      <w:pPr>
        <w:jc w:val="both"/>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264"/>
        </w:trPr>
        <w:tc>
          <w:tcPr>
            <w:tcW w:w="236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w:t>
            </w:r>
          </w:p>
        </w:tc>
        <w:tc>
          <w:tcPr>
            <w:tcW w:w="3220" w:type="dxa"/>
            <w:vAlign w:val="bottom"/>
            <w:vMerge w:val="restart"/>
          </w:tcPr>
          <w:p>
            <w:pPr>
              <w:ind w:left="700"/>
              <w:spacing w:after="0"/>
              <w:rPr>
                <w:sz w:val="20"/>
                <w:szCs w:val="20"/>
                <w:color w:val="auto"/>
              </w:rPr>
            </w:pPr>
            <w:r>
              <w:rPr>
                <w:rFonts w:ascii="Arial" w:cs="Arial" w:eastAsia="Arial" w:hAnsi="Arial"/>
                <w:sz w:val="17"/>
                <w:szCs w:val="17"/>
                <w:color w:val="auto"/>
              </w:rPr>
              <w:t>Accelerated filer</w:t>
            </w:r>
          </w:p>
        </w:tc>
        <w:tc>
          <w:tcPr>
            <w:tcW w:w="820" w:type="dxa"/>
            <w:vAlign w:val="bottom"/>
          </w:tcPr>
          <w:p>
            <w:pPr>
              <w:ind w:left="68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83"/>
        </w:trPr>
        <w:tc>
          <w:tcPr>
            <w:tcW w:w="2360" w:type="dxa"/>
            <w:vAlign w:val="bottom"/>
            <w:vMerge w:val="continue"/>
          </w:tcPr>
          <w:p>
            <w:pPr>
              <w:spacing w:after="0"/>
              <w:rPr>
                <w:sz w:val="7"/>
                <w:szCs w:val="7"/>
                <w:color w:val="auto"/>
              </w:rPr>
            </w:pPr>
          </w:p>
        </w:tc>
        <w:tc>
          <w:tcPr>
            <w:tcW w:w="484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6"/>
        </w:trPr>
        <w:tc>
          <w:tcPr>
            <w:tcW w:w="2360" w:type="dxa"/>
            <w:vAlign w:val="bottom"/>
          </w:tcPr>
          <w:p>
            <w:pPr>
              <w:spacing w:after="0"/>
              <w:rPr>
                <w:sz w:val="20"/>
                <w:szCs w:val="20"/>
                <w:color w:val="auto"/>
              </w:rPr>
            </w:pPr>
            <w:r>
              <w:rPr>
                <w:rFonts w:ascii="Arial" w:cs="Arial" w:eastAsia="Arial" w:hAnsi="Arial"/>
                <w:sz w:val="17"/>
                <w:szCs w:val="17"/>
                <w:color w:val="auto"/>
              </w:rPr>
              <w:t>Non-accelerated filer</w:t>
            </w:r>
          </w:p>
        </w:tc>
        <w:tc>
          <w:tcPr>
            <w:tcW w:w="4840" w:type="dxa"/>
            <w:vAlign w:val="bottom"/>
          </w:tcPr>
          <w:p>
            <w:pPr>
              <w:ind w:left="860"/>
              <w:spacing w:after="0"/>
              <w:rPr>
                <w:sz w:val="20"/>
                <w:szCs w:val="20"/>
                <w:color w:val="auto"/>
              </w:rPr>
            </w:pPr>
            <w:r>
              <w:rPr>
                <w:rFonts w:ascii="Arial" w:cs="Arial" w:eastAsia="Arial" w:hAnsi="Arial"/>
                <w:sz w:val="17"/>
                <w:szCs w:val="17"/>
                <w:color w:val="auto"/>
              </w:rPr>
              <w:t>o (Do not check if a smaller reporting company)</w:t>
            </w:r>
          </w:p>
        </w:tc>
        <w:tc>
          <w:tcPr>
            <w:tcW w:w="322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365"/>
        </w:trPr>
        <w:tc>
          <w:tcPr>
            <w:tcW w:w="23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22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820" w:type="dxa"/>
            <w:vAlign w:val="bottom"/>
          </w:tcPr>
          <w:p>
            <w:pPr>
              <w:ind w:left="680"/>
              <w:spacing w:after="0"/>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bl>
    <w:p>
      <w:pPr>
        <w:spacing w:after="0" w:line="63"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30" w:lineRule="exact"/>
        <w:rPr>
          <w:sz w:val="24"/>
          <w:szCs w:val="24"/>
          <w:color w:val="auto"/>
        </w:rPr>
      </w:pPr>
    </w:p>
    <w:p>
      <w:pPr>
        <w:spacing w:after="0" w:line="196" w:lineRule="exact"/>
        <w:tabs>
          <w:tab w:leader="none" w:pos="560" w:val="left"/>
        </w:tabs>
        <w:rPr>
          <w:sz w:val="20"/>
          <w:szCs w:val="20"/>
          <w:color w:val="auto"/>
        </w:rPr>
      </w:pP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14" w:lineRule="exact"/>
        <w:rPr>
          <w:sz w:val="24"/>
          <w:szCs w:val="24"/>
          <w:color w:val="auto"/>
        </w:rPr>
      </w:pPr>
    </w:p>
    <w:p>
      <w:pPr>
        <w:ind w:left="2640"/>
        <w:spacing w:after="0"/>
        <w:tabs>
          <w:tab w:leader="none" w:pos="7760" w:val="left"/>
        </w:tabs>
        <w:rPr>
          <w:sz w:val="20"/>
          <w:szCs w:val="20"/>
          <w:color w:val="auto"/>
        </w:rPr>
      </w:pPr>
      <w:r>
        <w:rPr>
          <w:rFonts w:ascii="Arial" w:cs="Arial" w:eastAsia="Arial" w:hAnsi="Arial"/>
          <w:sz w:val="13"/>
          <w:szCs w:val="13"/>
          <w:u w:val="single" w:color="auto"/>
          <w:color w:val="auto"/>
        </w:rPr>
        <w:t>Class</w:t>
      </w:r>
      <w:r>
        <w:rPr>
          <w:sz w:val="20"/>
          <w:szCs w:val="20"/>
          <w:color w:val="auto"/>
        </w:rPr>
        <w:tab/>
      </w:r>
      <w:r>
        <w:rPr>
          <w:rFonts w:ascii="Arial" w:cs="Arial" w:eastAsia="Arial" w:hAnsi="Arial"/>
          <w:sz w:val="13"/>
          <w:szCs w:val="13"/>
          <w:u w:val="single" w:color="auto"/>
          <w:color w:val="auto"/>
        </w:rPr>
        <w:t>Outstanding at July 28, 2017</w:t>
      </w:r>
    </w:p>
    <w:p>
      <w:pPr>
        <w:sectPr>
          <w:pgSz w:w="11900" w:h="16838" w:orient="portrait"/>
          <w:cols w:equalWidth="0" w:num="1">
            <w:col w:w="11420"/>
          </w:cols>
          <w:pgMar w:left="240" w:top="222" w:right="239" w:bottom="1440" w:gutter="0" w:footer="0" w:header="0"/>
        </w:sectPr>
      </w:pPr>
    </w:p>
    <w:p>
      <w:pPr>
        <w:spacing w:after="0" w:line="45" w:lineRule="exact"/>
        <w:rPr>
          <w:sz w:val="24"/>
          <w:szCs w:val="24"/>
          <w:color w:val="auto"/>
        </w:rPr>
      </w:pPr>
    </w:p>
    <w:p>
      <w:pPr>
        <w:ind w:left="1380"/>
        <w:spacing w:after="0"/>
        <w:tabs>
          <w:tab w:leader="none" w:pos="7920" w:val="left"/>
        </w:tabs>
        <w:rPr>
          <w:sz w:val="20"/>
          <w:szCs w:val="20"/>
          <w:color w:val="auto"/>
        </w:rPr>
      </w:pPr>
      <w:r>
        <w:rPr>
          <w:rFonts w:ascii="Arial" w:cs="Arial" w:eastAsia="Arial" w:hAnsi="Arial"/>
          <w:sz w:val="17"/>
          <w:szCs w:val="17"/>
          <w:color w:val="auto"/>
        </w:rPr>
        <w:t>Common Stock, $0.01 par value per share</w:t>
      </w:r>
      <w:r>
        <w:rPr>
          <w:sz w:val="20"/>
          <w:szCs w:val="20"/>
          <w:color w:val="auto"/>
        </w:rPr>
        <w:tab/>
      </w:r>
      <w:r>
        <w:rPr>
          <w:rFonts w:ascii="Arial" w:cs="Arial" w:eastAsia="Arial" w:hAnsi="Arial"/>
          <w:sz w:val="14"/>
          <w:szCs w:val="14"/>
          <w:color w:val="auto"/>
        </w:rPr>
        <w:t>33,532,231 shares</w:t>
      </w:r>
    </w:p>
    <w:p>
      <w:pPr>
        <w:sectPr>
          <w:pgSz w:w="11900" w:h="16838" w:orient="portrait"/>
          <w:cols w:equalWidth="0" w:num="1">
            <w:col w:w="11420"/>
          </w:cols>
          <w:pgMar w:left="240" w:top="222" w:right="239" w:bottom="1440" w:gutter="0" w:footer="0" w:header="0"/>
          <w:type w:val="continuous"/>
        </w:sectPr>
      </w:pPr>
    </w:p>
    <w:bookmarkStart w:id="1" w:name="page2"/>
    <w:bookmarkEnd w:id="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80" w:type="dxa"/>
            <w:vAlign w:val="bottom"/>
          </w:tcPr>
          <w:p>
            <w:pPr>
              <w:spacing w:after="0"/>
              <w:rPr>
                <w:sz w:val="20"/>
                <w:szCs w:val="20"/>
                <w:color w:val="auto"/>
              </w:rPr>
            </w:pPr>
            <w:r>
              <w:rPr>
                <w:rFonts w:ascii="Arial" w:cs="Arial" w:eastAsia="Arial" w:hAnsi="Arial"/>
                <w:sz w:val="13"/>
                <w:szCs w:val="13"/>
                <w:color w:val="auto"/>
              </w:rPr>
              <w:t>Item</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color w:val="auto"/>
              </w:rPr>
              <w:t>Page</w:t>
            </w:r>
          </w:p>
        </w:tc>
      </w:tr>
      <w:tr>
        <w:trPr>
          <w:trHeight w:val="176"/>
        </w:trPr>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580" w:type="dxa"/>
            <w:vAlign w:val="bottom"/>
            <w:gridSpan w:val="10"/>
          </w:tcPr>
          <w:p>
            <w:pPr>
              <w:jc w:val="center"/>
              <w:ind w:right="3820"/>
              <w:spacing w:after="0" w:line="176" w:lineRule="exact"/>
              <w:rPr>
                <w:rFonts w:ascii="Arial" w:cs="Arial" w:eastAsia="Arial" w:hAnsi="Arial"/>
                <w:sz w:val="17"/>
                <w:szCs w:val="17"/>
                <w:color w:val="0000FF"/>
                <w:w w:val="96"/>
              </w:rPr>
            </w:pPr>
            <w:hyperlink w:anchor="page3">
              <w:r>
                <w:rPr>
                  <w:rFonts w:ascii="Arial" w:cs="Arial" w:eastAsia="Arial" w:hAnsi="Arial"/>
                  <w:sz w:val="17"/>
                  <w:szCs w:val="17"/>
                  <w:color w:val="0000FF"/>
                  <w:w w:val="96"/>
                </w:rPr>
                <w:t>PART I – FINANCIAL INFORMATION</w:t>
              </w:r>
            </w:hyperlink>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4"/>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400" w:type="dxa"/>
            <w:vAlign w:val="bottom"/>
            <w:gridSpan w:val="6"/>
          </w:tcPr>
          <w:p>
            <w:pPr>
              <w:spacing w:after="0"/>
              <w:rPr>
                <w:rFonts w:ascii="Arial" w:cs="Arial" w:eastAsia="Arial" w:hAnsi="Arial"/>
                <w:sz w:val="17"/>
                <w:szCs w:val="17"/>
                <w:color w:val="0000FF"/>
                <w:w w:val="86"/>
              </w:rPr>
            </w:pPr>
            <w:hyperlink w:anchor="page3">
              <w:r>
                <w:rPr>
                  <w:rFonts w:ascii="Arial" w:cs="Arial" w:eastAsia="Arial" w:hAnsi="Arial"/>
                  <w:sz w:val="17"/>
                  <w:szCs w:val="17"/>
                  <w:color w:val="0000FF"/>
                  <w:w w:val="86"/>
                </w:rPr>
                <w:t>Financial Statements</w:t>
              </w:r>
            </w:hyperlink>
          </w:p>
        </w:tc>
        <w:tc>
          <w:tcPr>
            <w:tcW w:w="2380" w:type="dxa"/>
            <w:vAlign w:val="bottom"/>
            <w:gridSpan w:val="3"/>
          </w:tcPr>
          <w:p>
            <w:pPr>
              <w:spacing w:after="0"/>
              <w:rPr>
                <w:sz w:val="21"/>
                <w:szCs w:val="21"/>
                <w:color w:val="auto"/>
              </w:rPr>
            </w:pPr>
          </w:p>
        </w:tc>
        <w:tc>
          <w:tcPr>
            <w:tcW w:w="2760" w:type="dxa"/>
            <w:vAlign w:val="bottom"/>
            <w:tcBorders>
              <w:top w:val="single" w:sz="8" w:color="0000FF"/>
            </w:tcBorders>
            <w:gridSpan w:val="8"/>
          </w:tcPr>
          <w:p>
            <w:pPr>
              <w:spacing w:after="0"/>
              <w:rPr>
                <w:sz w:val="21"/>
                <w:szCs w:val="21"/>
                <w:color w:val="auto"/>
              </w:rPr>
            </w:pPr>
          </w:p>
        </w:tc>
        <w:tc>
          <w:tcPr>
            <w:tcW w:w="382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8"/>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Consolidated Balance Sheets - June 30, 2017 and December 31, 2016</w:t>
              </w:r>
            </w:hyperlink>
          </w:p>
        </w:tc>
        <w:tc>
          <w:tcPr>
            <w:tcW w:w="5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40" w:type="dxa"/>
            <w:vAlign w:val="bottom"/>
            <w:gridSpan w:val="18"/>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Statements of Consolidated Comprehensive Income - Three and Six Months Ended June 30, 2017 and 2016</w:t>
              </w:r>
            </w:hyperlink>
          </w:p>
        </w:tc>
        <w:tc>
          <w:tcPr>
            <w:tcW w:w="560" w:type="dxa"/>
            <w:vAlign w:val="bottom"/>
            <w:gridSpan w:val="4"/>
          </w:tcPr>
          <w:p>
            <w:pPr>
              <w:jc w:val="right"/>
              <w:ind w:right="20"/>
              <w:spacing w:after="0"/>
              <w:rPr>
                <w:rFonts w:ascii="Arial" w:cs="Arial" w:eastAsia="Arial" w:hAnsi="Arial"/>
                <w:sz w:val="17"/>
                <w:szCs w:val="17"/>
                <w:color w:val="0000FF"/>
              </w:rPr>
            </w:pPr>
            <w:hyperlink w:anchor="page4">
              <w:r>
                <w:rPr>
                  <w:rFonts w:ascii="Arial" w:cs="Arial" w:eastAsia="Arial" w:hAnsi="Arial"/>
                  <w:sz w:val="17"/>
                  <w:szCs w:val="17"/>
                  <w:color w:val="0000FF"/>
                </w:rPr>
                <w:t>4</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2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Statements of Consolidated Cash Flows - Six Months Ended June 30, 2017 and 2016</w:t>
              </w:r>
            </w:hyperlink>
          </w:p>
        </w:tc>
        <w:tc>
          <w:tcPr>
            <w:tcW w:w="2920" w:type="dxa"/>
            <w:vAlign w:val="bottom"/>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00" w:type="dxa"/>
            <w:vAlign w:val="bottom"/>
            <w:gridSpan w:val="13"/>
          </w:tcPr>
          <w:p>
            <w:pPr>
              <w:spacing w:after="0"/>
              <w:rPr>
                <w:rFonts w:ascii="Arial" w:cs="Arial" w:eastAsia="Arial" w:hAnsi="Arial"/>
                <w:sz w:val="17"/>
                <w:szCs w:val="17"/>
                <w:color w:val="0000EE"/>
                <w:w w:val="90"/>
              </w:rPr>
            </w:pPr>
            <w:hyperlink w:anchor="page6">
              <w:r>
                <w:rPr>
                  <w:rFonts w:ascii="Arial" w:cs="Arial" w:eastAsia="Arial" w:hAnsi="Arial"/>
                  <w:sz w:val="17"/>
                  <w:szCs w:val="17"/>
                  <w:color w:val="0000EE"/>
                  <w:w w:val="90"/>
                </w:rPr>
                <w:t>Statement of Consolidated Shareholders’ Deficit - Six Months Ended June 30, 2017</w:t>
              </w:r>
            </w:hyperlink>
          </w:p>
        </w:tc>
        <w:tc>
          <w:tcPr>
            <w:tcW w:w="4440" w:type="dxa"/>
            <w:vAlign w:val="bottom"/>
            <w:gridSpan w:val="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7"/>
          </w:tcPr>
          <w:p>
            <w:pPr>
              <w:spacing w:after="0"/>
              <w:rPr>
                <w:rFonts w:ascii="Arial" w:cs="Arial" w:eastAsia="Arial" w:hAnsi="Arial"/>
                <w:sz w:val="17"/>
                <w:szCs w:val="17"/>
                <w:color w:val="0000FF"/>
                <w:w w:val="88"/>
              </w:rPr>
            </w:pPr>
            <w:hyperlink w:anchor="page7">
              <w:r>
                <w:rPr>
                  <w:rFonts w:ascii="Arial" w:cs="Arial" w:eastAsia="Arial" w:hAnsi="Arial"/>
                  <w:sz w:val="17"/>
                  <w:szCs w:val="17"/>
                  <w:color w:val="0000FF"/>
                  <w:w w:val="88"/>
                </w:rPr>
                <w:t>Notes to Consolidated Financial Statements</w:t>
              </w:r>
            </w:hyperlink>
          </w:p>
        </w:tc>
        <w:tc>
          <w:tcPr>
            <w:tcW w:w="2680" w:type="dxa"/>
            <w:vAlign w:val="bottom"/>
            <w:gridSpan w:val="5"/>
          </w:tcPr>
          <w:p>
            <w:pPr>
              <w:spacing w:after="0"/>
              <w:rPr>
                <w:sz w:val="20"/>
                <w:szCs w:val="20"/>
                <w:color w:val="auto"/>
              </w:rPr>
            </w:pPr>
          </w:p>
        </w:tc>
        <w:tc>
          <w:tcPr>
            <w:tcW w:w="4520" w:type="dxa"/>
            <w:vAlign w:val="bottom"/>
            <w:gridSpan w:val="6"/>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7">
              <w:r>
                <w:rPr>
                  <w:rFonts w:ascii="Arial" w:cs="Arial" w:eastAsia="Arial" w:hAnsi="Arial"/>
                  <w:sz w:val="17"/>
                  <w:szCs w:val="17"/>
                  <w:color w:val="0000FF"/>
                </w:rPr>
                <w:t>7</w:t>
              </w:r>
            </w:hyperlink>
          </w:p>
        </w:tc>
      </w:tr>
      <w:tr>
        <w:trPr>
          <w:trHeight w:val="20"/>
        </w:trPr>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2</w:t>
            </w:r>
          </w:p>
        </w:tc>
        <w:tc>
          <w:tcPr>
            <w:tcW w:w="6020" w:type="dxa"/>
            <w:vAlign w:val="bottom"/>
            <w:gridSpan w:val="15"/>
          </w:tcPr>
          <w:p>
            <w:pPr>
              <w:spacing w:after="0"/>
              <w:rPr>
                <w:rFonts w:ascii="Arial" w:cs="Arial" w:eastAsia="Arial" w:hAnsi="Arial"/>
                <w:sz w:val="17"/>
                <w:szCs w:val="17"/>
                <w:color w:val="0000FF"/>
                <w:w w:val="89"/>
              </w:rPr>
            </w:pPr>
            <w:hyperlink w:anchor="page14">
              <w:r>
                <w:rPr>
                  <w:rFonts w:ascii="Arial" w:cs="Arial" w:eastAsia="Arial" w:hAnsi="Arial"/>
                  <w:sz w:val="17"/>
                  <w:szCs w:val="17"/>
                  <w:color w:val="0000FF"/>
                  <w:w w:val="89"/>
                </w:rPr>
                <w:t>Management’s Discussion and Analysis of Financial Condition and Results of Operations</w:t>
              </w:r>
            </w:hyperlink>
          </w:p>
        </w:tc>
        <w:tc>
          <w:tcPr>
            <w:tcW w:w="4340" w:type="dxa"/>
            <w:vAlign w:val="bottom"/>
            <w:gridSpan w:val="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14">
              <w:r>
                <w:rPr>
                  <w:rFonts w:ascii="Arial" w:cs="Arial" w:eastAsia="Arial" w:hAnsi="Arial"/>
                  <w:sz w:val="17"/>
                  <w:szCs w:val="17"/>
                  <w:color w:val="0000FF"/>
                </w:rPr>
                <w:t>14</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3</w:t>
            </w:r>
          </w:p>
        </w:tc>
        <w:tc>
          <w:tcPr>
            <w:tcW w:w="6020" w:type="dxa"/>
            <w:vAlign w:val="bottom"/>
            <w:gridSpan w:val="15"/>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Quantitative and Qualitative Disclosures About Market Risk</w:t>
              </w:r>
            </w:hyperlink>
          </w:p>
        </w:tc>
        <w:tc>
          <w:tcPr>
            <w:tcW w:w="380" w:type="dxa"/>
            <w:vAlign w:val="bottom"/>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28</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4</w:t>
            </w:r>
          </w:p>
        </w:tc>
        <w:tc>
          <w:tcPr>
            <w:tcW w:w="6400" w:type="dxa"/>
            <w:vAlign w:val="bottom"/>
            <w:gridSpan w:val="16"/>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Controls and Procedures</w:t>
              </w:r>
            </w:hyperlink>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28</w:t>
              </w:r>
            </w:hyperlink>
          </w:p>
        </w:tc>
      </w:tr>
      <w:tr>
        <w:trPr>
          <w:trHeight w:val="232"/>
        </w:trPr>
        <w:tc>
          <w:tcPr>
            <w:tcW w:w="48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40" w:type="dxa"/>
            <w:vAlign w:val="bottom"/>
            <w:gridSpan w:val="9"/>
          </w:tcPr>
          <w:p>
            <w:pPr>
              <w:jc w:val="center"/>
              <w:ind w:right="3960"/>
              <w:spacing w:after="0"/>
              <w:rPr>
                <w:rFonts w:ascii="Arial" w:cs="Arial" w:eastAsia="Arial" w:hAnsi="Arial"/>
                <w:sz w:val="17"/>
                <w:szCs w:val="17"/>
                <w:color w:val="0000FF"/>
                <w:w w:val="94"/>
              </w:rPr>
            </w:pPr>
            <w:hyperlink w:anchor="page30">
              <w:r>
                <w:rPr>
                  <w:rFonts w:ascii="Arial" w:cs="Arial" w:eastAsia="Arial" w:hAnsi="Arial"/>
                  <w:sz w:val="17"/>
                  <w:szCs w:val="17"/>
                  <w:color w:val="0000FF"/>
                  <w:w w:val="94"/>
                </w:rPr>
                <w:t>PART II – OTHER INFORMATION</w:t>
              </w:r>
            </w:hyperlink>
          </w:p>
        </w:tc>
        <w:tc>
          <w:tcPr>
            <w:tcW w:w="38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w:t>
            </w:r>
          </w:p>
        </w:tc>
        <w:tc>
          <w:tcPr>
            <w:tcW w:w="1240" w:type="dxa"/>
            <w:vAlign w:val="bottom"/>
            <w:gridSpan w:val="5"/>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Legal Proceedings</w:t>
              </w:r>
            </w:hyperlink>
          </w:p>
        </w:tc>
        <w:tc>
          <w:tcPr>
            <w:tcW w:w="2680" w:type="dxa"/>
            <w:vAlign w:val="bottom"/>
            <w:gridSpan w:val="5"/>
          </w:tcPr>
          <w:p>
            <w:pPr>
              <w:spacing w:after="0"/>
              <w:rPr>
                <w:sz w:val="20"/>
                <w:szCs w:val="20"/>
                <w:color w:val="auto"/>
              </w:rPr>
            </w:pPr>
          </w:p>
        </w:tc>
        <w:tc>
          <w:tcPr>
            <w:tcW w:w="2480" w:type="dxa"/>
            <w:vAlign w:val="bottom"/>
            <w:tcBorders>
              <w:top w:val="single" w:sz="8" w:color="0000FF"/>
            </w:tcBorders>
            <w:gridSpan w:val="6"/>
          </w:tcPr>
          <w:p>
            <w:pPr>
              <w:spacing w:after="0"/>
              <w:rPr>
                <w:sz w:val="20"/>
                <w:szCs w:val="20"/>
                <w:color w:val="auto"/>
              </w:rPr>
            </w:pPr>
          </w:p>
        </w:tc>
        <w:tc>
          <w:tcPr>
            <w:tcW w:w="3960" w:type="dxa"/>
            <w:vAlign w:val="bottom"/>
            <w:gridSpan w:val="3"/>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29</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1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1A</w:t>
            </w:r>
          </w:p>
        </w:tc>
        <w:tc>
          <w:tcPr>
            <w:tcW w:w="840" w:type="dxa"/>
            <w:vAlign w:val="bottom"/>
            <w:gridSpan w:val="4"/>
          </w:tcPr>
          <w:p>
            <w:pPr>
              <w:spacing w:after="0"/>
              <w:rPr>
                <w:rFonts w:ascii="Arial" w:cs="Arial" w:eastAsia="Arial" w:hAnsi="Arial"/>
                <w:sz w:val="17"/>
                <w:szCs w:val="17"/>
                <w:color w:val="0000FF"/>
                <w:w w:val="86"/>
              </w:rPr>
            </w:pPr>
            <w:hyperlink w:anchor="page30">
              <w:r>
                <w:rPr>
                  <w:rFonts w:ascii="Arial" w:cs="Arial" w:eastAsia="Arial" w:hAnsi="Arial"/>
                  <w:sz w:val="17"/>
                  <w:szCs w:val="17"/>
                  <w:color w:val="0000FF"/>
                  <w:w w:val="86"/>
                </w:rPr>
                <w:t>Risk Factors</w:t>
              </w:r>
            </w:hyperlink>
          </w:p>
        </w:tc>
        <w:tc>
          <w:tcPr>
            <w:tcW w:w="400" w:type="dxa"/>
            <w:vAlign w:val="bottom"/>
          </w:tcPr>
          <w:p>
            <w:pPr>
              <w:spacing w:after="0"/>
              <w:rPr>
                <w:sz w:val="20"/>
                <w:szCs w:val="20"/>
                <w:color w:val="auto"/>
              </w:rPr>
            </w:pPr>
          </w:p>
        </w:tc>
        <w:tc>
          <w:tcPr>
            <w:tcW w:w="9120" w:type="dxa"/>
            <w:vAlign w:val="bottom"/>
            <w:gridSpan w:val="14"/>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29</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52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480" w:type="dxa"/>
            <w:vAlign w:val="bottom"/>
          </w:tcPr>
          <w:p>
            <w:pPr>
              <w:spacing w:after="0"/>
              <w:rPr>
                <w:sz w:val="20"/>
                <w:szCs w:val="20"/>
                <w:color w:val="auto"/>
              </w:rPr>
            </w:pPr>
            <w:r>
              <w:rPr>
                <w:rFonts w:ascii="Arial" w:cs="Arial" w:eastAsia="Arial" w:hAnsi="Arial"/>
                <w:sz w:val="17"/>
                <w:szCs w:val="17"/>
                <w:color w:val="auto"/>
              </w:rPr>
              <w:t>6</w:t>
            </w:r>
          </w:p>
        </w:tc>
        <w:tc>
          <w:tcPr>
            <w:tcW w:w="560" w:type="dxa"/>
            <w:vAlign w:val="bottom"/>
            <w:gridSpan w:val="2"/>
          </w:tcPr>
          <w:p>
            <w:pPr>
              <w:spacing w:after="0"/>
              <w:rPr>
                <w:rFonts w:ascii="Arial" w:cs="Arial" w:eastAsia="Arial" w:hAnsi="Arial"/>
                <w:sz w:val="17"/>
                <w:szCs w:val="17"/>
                <w:color w:val="0000FF"/>
                <w:w w:val="90"/>
              </w:rPr>
            </w:pPr>
            <w:hyperlink w:anchor="page30">
              <w:r>
                <w:rPr>
                  <w:rFonts w:ascii="Arial" w:cs="Arial" w:eastAsia="Arial" w:hAnsi="Arial"/>
                  <w:sz w:val="17"/>
                  <w:szCs w:val="17"/>
                  <w:color w:val="0000FF"/>
                  <w:w w:val="90"/>
                </w:rPr>
                <w:t>Exhibits</w:t>
              </w:r>
            </w:hyperlink>
          </w:p>
        </w:tc>
        <w:tc>
          <w:tcPr>
            <w:tcW w:w="280" w:type="dxa"/>
            <w:vAlign w:val="bottom"/>
            <w:gridSpan w:val="2"/>
          </w:tcPr>
          <w:p>
            <w:pPr>
              <w:spacing w:after="0"/>
              <w:rPr>
                <w:sz w:val="20"/>
                <w:szCs w:val="20"/>
                <w:color w:val="auto"/>
              </w:rPr>
            </w:pPr>
          </w:p>
        </w:tc>
        <w:tc>
          <w:tcPr>
            <w:tcW w:w="9520" w:type="dxa"/>
            <w:vAlign w:val="bottom"/>
            <w:gridSpan w:val="15"/>
          </w:tcPr>
          <w:p>
            <w:pPr>
              <w:spacing w:after="0"/>
              <w:rPr>
                <w:sz w:val="20"/>
                <w:szCs w:val="20"/>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0">
              <w:r>
                <w:rPr>
                  <w:rFonts w:ascii="Arial" w:cs="Arial" w:eastAsia="Arial" w:hAnsi="Arial"/>
                  <w:sz w:val="17"/>
                  <w:szCs w:val="17"/>
                  <w:color w:val="0000FF"/>
                </w:rPr>
                <w:t>29</w:t>
              </w:r>
            </w:hyperlink>
          </w:p>
        </w:tc>
      </w:tr>
      <w:tr>
        <w:trPr>
          <w:trHeight w:val="20"/>
        </w:trPr>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6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2"/>
        </w:trPr>
        <w:tc>
          <w:tcPr>
            <w:tcW w:w="480" w:type="dxa"/>
            <w:vAlign w:val="bottom"/>
          </w:tcPr>
          <w:p>
            <w:pPr>
              <w:spacing w:after="0"/>
              <w:rPr>
                <w:sz w:val="21"/>
                <w:szCs w:val="21"/>
                <w:color w:val="auto"/>
              </w:rPr>
            </w:pPr>
          </w:p>
        </w:tc>
        <w:tc>
          <w:tcPr>
            <w:tcW w:w="700" w:type="dxa"/>
            <w:vAlign w:val="bottom"/>
            <w:gridSpan w:val="3"/>
          </w:tcPr>
          <w:p>
            <w:pPr>
              <w:spacing w:after="0"/>
              <w:rPr>
                <w:rFonts w:ascii="Arial" w:cs="Arial" w:eastAsia="Arial" w:hAnsi="Arial"/>
                <w:sz w:val="17"/>
                <w:szCs w:val="17"/>
                <w:color w:val="0000FF"/>
                <w:w w:val="83"/>
              </w:rPr>
            </w:pPr>
            <w:hyperlink w:anchor="page31">
              <w:r>
                <w:rPr>
                  <w:rFonts w:ascii="Arial" w:cs="Arial" w:eastAsia="Arial" w:hAnsi="Arial"/>
                  <w:sz w:val="17"/>
                  <w:szCs w:val="17"/>
                  <w:color w:val="0000FF"/>
                  <w:w w:val="83"/>
                </w:rPr>
                <w:t>Signatures</w:t>
              </w:r>
            </w:hyperlink>
          </w:p>
        </w:tc>
        <w:tc>
          <w:tcPr>
            <w:tcW w:w="9660" w:type="dxa"/>
            <w:vAlign w:val="bottom"/>
            <w:gridSpan w:val="1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7"/>
                <w:szCs w:val="17"/>
                <w:color w:val="0000FF"/>
              </w:rPr>
            </w:pPr>
            <w:hyperlink w:anchor="page31">
              <w:r>
                <w:rPr>
                  <w:rFonts w:ascii="Arial" w:cs="Arial" w:eastAsia="Arial" w:hAnsi="Arial"/>
                  <w:sz w:val="17"/>
                  <w:szCs w:val="17"/>
                  <w:color w:val="0000FF"/>
                </w:rPr>
                <w:t>30</w:t>
              </w:r>
            </w:hyperlink>
          </w:p>
        </w:tc>
      </w:tr>
      <w:tr>
        <w:trPr>
          <w:trHeight w:val="652"/>
        </w:trPr>
        <w:tc>
          <w:tcPr>
            <w:tcW w:w="48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5140" w:type="dxa"/>
            <w:vAlign w:val="bottom"/>
            <w:gridSpan w:val="10"/>
          </w:tcPr>
          <w:p>
            <w:pPr>
              <w:jc w:val="right"/>
              <w:ind w:right="5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PART I—FINANCIAL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(Amounts in millions except share and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3"/>
                <w:szCs w:val="13"/>
                <w:color w:val="auto"/>
                <w:w w:val="88"/>
              </w:rPr>
              <w:t>June 30,</w:t>
            </w:r>
          </w:p>
        </w:tc>
        <w:tc>
          <w:tcPr>
            <w:tcW w:w="220" w:type="dxa"/>
            <w:vAlign w:val="bottom"/>
          </w:tcPr>
          <w:p>
            <w:pPr>
              <w:spacing w:after="0"/>
              <w:rPr>
                <w:sz w:val="13"/>
                <w:szCs w:val="13"/>
                <w:color w:val="auto"/>
              </w:rPr>
            </w:pPr>
          </w:p>
        </w:tc>
        <w:tc>
          <w:tcPr>
            <w:tcW w:w="1240" w:type="dxa"/>
            <w:vAlign w:val="bottom"/>
          </w:tcPr>
          <w:p>
            <w:pPr>
              <w:jc w:val="right"/>
              <w:ind w:right="277"/>
              <w:spacing w:after="0"/>
              <w:rPr>
                <w:sz w:val="20"/>
                <w:szCs w:val="20"/>
                <w:color w:val="auto"/>
              </w:rPr>
            </w:pPr>
            <w:r>
              <w:rPr>
                <w:rFonts w:ascii="Arial" w:cs="Arial" w:eastAsia="Arial" w:hAnsi="Arial"/>
                <w:sz w:val="13"/>
                <w:szCs w:val="13"/>
                <w:color w:val="auto"/>
              </w:rPr>
              <w:t>December 31,</w:t>
            </w:r>
          </w:p>
        </w:tc>
        <w:tc>
          <w:tcPr>
            <w:tcW w:w="0" w:type="dxa"/>
            <w:vAlign w:val="bottom"/>
          </w:tcPr>
          <w:p>
            <w:pPr>
              <w:spacing w:after="0"/>
              <w:rPr>
                <w:sz w:val="1"/>
                <w:szCs w:val="1"/>
                <w:color w:val="auto"/>
              </w:rPr>
            </w:pPr>
          </w:p>
        </w:tc>
      </w:tr>
      <w:tr>
        <w:trPr>
          <w:trHeight w:val="177"/>
        </w:trPr>
        <w:tc>
          <w:tcPr>
            <w:tcW w:w="8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3"/>
                <w:szCs w:val="13"/>
                <w:color w:val="auto"/>
                <w:w w:val="89"/>
              </w:rPr>
              <w:t>2017</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232"/>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color w:val="auto"/>
                <w:w w:val="97"/>
              </w:rPr>
              <w:t>(Unaudited)</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215.2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136.7</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Restricted amounts held in escrow</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54.0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126.7</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510.7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448.7</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Prepaid expenses and other</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857.0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780.8</w:t>
            </w:r>
          </w:p>
        </w:tc>
        <w:tc>
          <w:tcPr>
            <w:tcW w:w="0" w:type="dxa"/>
            <w:vAlign w:val="bottom"/>
          </w:tcPr>
          <w:p>
            <w:pPr>
              <w:spacing w:after="0"/>
              <w:rPr>
                <w:sz w:val="1"/>
                <w:szCs w:val="1"/>
                <w:color w:val="auto"/>
              </w:rPr>
            </w:pP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
        </w:trPr>
        <w:tc>
          <w:tcPr>
            <w:tcW w:w="8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Cost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2,741.7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2,787.0</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Less – accumulated depreciation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(1,916.4)</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property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826.8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870.6</w:t>
            </w:r>
          </w:p>
        </w:tc>
        <w:tc>
          <w:tcPr>
            <w:tcW w:w="0" w:type="dxa"/>
            <w:vAlign w:val="bottom"/>
          </w:tcPr>
          <w:p>
            <w:pPr>
              <w:spacing w:after="0"/>
              <w:rPr>
                <w:sz w:val="1"/>
                <w:szCs w:val="1"/>
                <w:color w:val="auto"/>
              </w:rPr>
            </w:pP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color w:val="auto"/>
              </w:rPr>
              <w:t>Intangibles, net</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27.5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Deferred income taxes, net</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1,759.1</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66"/>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340" w:type="dxa"/>
            <w:vAlign w:val="bottom"/>
            <w:tcBorders>
              <w:bottom w:val="single" w:sz="8" w:color="CCEEFF"/>
            </w:tcBorders>
            <w:shd w:val="clear" w:color="auto" w:fill="CCEEFF"/>
          </w:tcPr>
          <w:p>
            <w:pPr>
              <w:ind w:left="20"/>
              <w:spacing w:after="0" w:line="179" w:lineRule="exact"/>
              <w:rPr>
                <w:sz w:val="20"/>
                <w:szCs w:val="20"/>
                <w:color w:val="auto"/>
              </w:rPr>
            </w:pPr>
            <w:r>
              <w:rPr>
                <w:rFonts w:ascii="Arial" w:cs="Arial" w:eastAsia="Arial" w:hAnsi="Arial"/>
                <w:sz w:val="17"/>
                <w:szCs w:val="17"/>
                <w:b w:val="1"/>
                <w:bCs w:val="1"/>
                <w:color w:val="auto"/>
              </w:rPr>
              <w:t>Liabilities and Shareholders’ Deficit</w:t>
            </w:r>
          </w:p>
        </w:tc>
        <w:tc>
          <w:tcPr>
            <w:tcW w:w="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163.5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160.6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Wages, vacations and employee benefits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191.0</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Claims and insurance accruals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116.1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114.9</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accrued taxes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current and accrued liabilities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564.1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561.9</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Long-term debt, less current portion</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970.3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980.3</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Deferred income taxes,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Pension and postretirement</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342.5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358.2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Claims and other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289.6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282.2</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Shareholders’ Deficit: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Preferred stock, $1 par value per share</w:t>
            </w:r>
          </w:p>
        </w:tc>
        <w:tc>
          <w:tcPr>
            <w:tcW w:w="28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Common stock, $0.01 par value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Capital surplus</w:t>
            </w:r>
          </w:p>
        </w:tc>
        <w:tc>
          <w:tcPr>
            <w:tcW w:w="28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2,320.8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2,319.2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(2,217.8)</w:t>
            </w:r>
          </w:p>
        </w:tc>
        <w:tc>
          <w:tcPr>
            <w:tcW w:w="0" w:type="dxa"/>
            <w:vAlign w:val="bottom"/>
          </w:tcPr>
          <w:p>
            <w:pPr>
              <w:spacing w:after="0"/>
              <w:rPr>
                <w:sz w:val="1"/>
                <w:szCs w:val="1"/>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(425.2)</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Treasury stock, at cost (410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0" w:type="dxa"/>
            <w:vAlign w:val="bottom"/>
          </w:tcPr>
          <w:p>
            <w:pPr>
              <w:spacing w:after="0"/>
              <w:rPr>
                <w:sz w:val="1"/>
                <w:szCs w:val="1"/>
                <w:color w:val="auto"/>
              </w:rPr>
            </w:pPr>
          </w:p>
        </w:tc>
      </w:tr>
      <w:tr>
        <w:trPr>
          <w:trHeight w:val="219"/>
        </w:trPr>
        <w:tc>
          <w:tcPr>
            <w:tcW w:w="8340" w:type="dxa"/>
            <w:vAlign w:val="bottom"/>
          </w:tcPr>
          <w:p>
            <w:pPr>
              <w:ind w:left="660"/>
              <w:spacing w:after="0"/>
              <w:rPr>
                <w:sz w:val="20"/>
                <w:szCs w:val="20"/>
                <w:color w:val="auto"/>
              </w:rPr>
            </w:pPr>
            <w:r>
              <w:rPr>
                <w:rFonts w:ascii="Arial" w:cs="Arial" w:eastAsia="Arial" w:hAnsi="Arial"/>
                <w:sz w:val="17"/>
                <w:szCs w:val="17"/>
                <w:color w:val="auto"/>
              </w:rPr>
              <w:t>Total shareholders’ deficit</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(410.5)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(416.2)</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Shareholders’ Deficit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7"/>
                <w:szCs w:val="17"/>
                <w:color w:val="auto"/>
                <w:w w:val="96"/>
              </w:rPr>
              <w:t>The accompanying notes are an integral part of these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3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Revenue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Expenses: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3320"/>
        <w:spacing w:after="0"/>
        <w:rPr>
          <w:sz w:val="20"/>
          <w:szCs w:val="20"/>
          <w:color w:val="auto"/>
        </w:rPr>
      </w:pPr>
      <w:r>
        <w:rPr>
          <w:rFonts w:ascii="Arial" w:cs="Arial" w:eastAsia="Arial" w:hAnsi="Arial"/>
          <w:sz w:val="15"/>
          <w:szCs w:val="15"/>
          <w:color w:val="auto"/>
        </w:rPr>
        <w:t>STATEMENTS OF CONSOLIDATED COMPREHENSIVE INCOME</w:t>
      </w:r>
    </w:p>
    <w:p>
      <w:pPr>
        <w:spacing w:after="0" w:line="41" w:lineRule="exact"/>
        <w:rPr>
          <w:sz w:val="20"/>
          <w:szCs w:val="20"/>
          <w:color w:val="auto"/>
        </w:rPr>
      </w:pPr>
    </w:p>
    <w:p>
      <w:pPr>
        <w:jc w:val="center"/>
        <w:ind w:right="3320"/>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ind w:right="3320"/>
        <w:spacing w:after="0"/>
        <w:rPr>
          <w:sz w:val="20"/>
          <w:szCs w:val="20"/>
          <w:color w:val="auto"/>
        </w:rPr>
      </w:pPr>
      <w:r>
        <w:rPr>
          <w:rFonts w:ascii="Arial" w:cs="Arial" w:eastAsia="Arial" w:hAnsi="Arial"/>
          <w:sz w:val="17"/>
          <w:szCs w:val="17"/>
          <w:color w:val="auto"/>
        </w:rPr>
        <w:t>For the Three Months and Six Months Ended June 30</w:t>
      </w:r>
    </w:p>
    <w:p>
      <w:pPr>
        <w:spacing w:after="0" w:line="6" w:lineRule="exact"/>
        <w:rPr>
          <w:sz w:val="20"/>
          <w:szCs w:val="20"/>
          <w:color w:val="auto"/>
        </w:rPr>
      </w:pPr>
    </w:p>
    <w:p>
      <w:pPr>
        <w:jc w:val="center"/>
        <w:ind w:right="3320"/>
        <w:spacing w:after="0"/>
        <w:rPr>
          <w:sz w:val="20"/>
          <w:szCs w:val="20"/>
          <w:color w:val="auto"/>
        </w:rPr>
      </w:pPr>
      <w:r>
        <w:rPr>
          <w:rFonts w:ascii="Arial" w:cs="Arial" w:eastAsia="Arial" w:hAnsi="Arial"/>
          <w:sz w:val="16"/>
          <w:szCs w:val="16"/>
          <w:color w:val="auto"/>
        </w:rPr>
        <w:t>(Amounts in millions except per share data, shares in thousands)</w:t>
      </w:r>
    </w:p>
    <w:p>
      <w:pPr>
        <w:spacing w:after="0" w:line="17" w:lineRule="exact"/>
        <w:rPr>
          <w:sz w:val="20"/>
          <w:szCs w:val="20"/>
          <w:color w:val="auto"/>
        </w:rPr>
      </w:pPr>
    </w:p>
    <w:p>
      <w:pPr>
        <w:jc w:val="center"/>
        <w:ind w:right="3320"/>
        <w:spacing w:after="0"/>
        <w:rPr>
          <w:sz w:val="20"/>
          <w:szCs w:val="20"/>
          <w:color w:val="auto"/>
        </w:rPr>
      </w:pPr>
      <w:r>
        <w:rPr>
          <w:rFonts w:ascii="Arial" w:cs="Arial" w:eastAsia="Arial" w:hAnsi="Arial"/>
          <w:sz w:val="17"/>
          <w:szCs w:val="17"/>
          <w:color w:val="auto"/>
        </w:rPr>
        <w:t>(Unaudited)</w:t>
      </w:r>
    </w:p>
    <w:p>
      <w:pPr>
        <w:spacing w:after="0" w:line="378" w:lineRule="exact"/>
        <w:rPr>
          <w:sz w:val="20"/>
          <w:szCs w:val="20"/>
          <w:color w:val="auto"/>
        </w:rPr>
      </w:pPr>
    </w:p>
    <w:tbl>
      <w:tblPr>
        <w:tblLayout w:type="fixed"/>
        <w:tblInd w:w="1820" w:type="dxa"/>
        <w:tblCellMar>
          <w:top w:w="0" w:type="dxa"/>
          <w:left w:w="0" w:type="dxa"/>
          <w:bottom w:w="0" w:type="dxa"/>
          <w:right w:w="0" w:type="dxa"/>
        </w:tblCellMar>
      </w:tblPr>
      <w:tr>
        <w:trPr>
          <w:trHeight w:val="177"/>
        </w:trPr>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3"/>
                <w:szCs w:val="13"/>
                <w:color w:val="auto"/>
              </w:rPr>
              <w:t>Three Months</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3"/>
                <w:szCs w:val="13"/>
                <w:color w:val="auto"/>
              </w:rPr>
              <w:t>Six Months</w:t>
            </w:r>
          </w:p>
        </w:tc>
        <w:tc>
          <w:tcPr>
            <w:tcW w:w="1040" w:type="dxa"/>
            <w:vAlign w:val="bottom"/>
            <w:tcBorders>
              <w:bottom w:val="single" w:sz="8" w:color="auto"/>
            </w:tcBorders>
          </w:tcPr>
          <w:p>
            <w:pPr>
              <w:spacing w:after="0"/>
              <w:rPr>
                <w:sz w:val="15"/>
                <w:szCs w:val="15"/>
                <w:color w:val="auto"/>
              </w:rPr>
            </w:pPr>
          </w:p>
        </w:tc>
      </w:tr>
      <w:tr>
        <w:trPr>
          <w:trHeight w:val="244"/>
        </w:trPr>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47"/>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color w:val="auto"/>
              </w:rPr>
              <w:t>2016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27"/>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color w:val="auto"/>
              </w:rPr>
              <w:t>2016</w:t>
            </w:r>
          </w:p>
        </w:tc>
      </w:tr>
      <w:tr>
        <w:trPr>
          <w:trHeight w:val="224"/>
        </w:trPr>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47"/>
              <w:spacing w:after="0"/>
              <w:rPr>
                <w:sz w:val="20"/>
                <w:szCs w:val="20"/>
                <w:color w:val="auto"/>
              </w:rPr>
            </w:pPr>
            <w:r>
              <w:rPr>
                <w:rFonts w:ascii="Arial" w:cs="Arial" w:eastAsia="Arial" w:hAnsi="Arial"/>
                <w:sz w:val="17"/>
                <w:szCs w:val="17"/>
                <w:color w:val="auto"/>
              </w:rPr>
              <w:t>1,260.6</w:t>
            </w:r>
          </w:p>
        </w:tc>
        <w:tc>
          <w:tcPr>
            <w:tcW w:w="12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45"/>
              <w:spacing w:after="0"/>
              <w:rPr>
                <w:sz w:val="20"/>
                <w:szCs w:val="20"/>
                <w:color w:val="auto"/>
              </w:rPr>
            </w:pPr>
            <w:r>
              <w:rPr>
                <w:rFonts w:ascii="Arial" w:cs="Arial" w:eastAsia="Arial" w:hAnsi="Arial"/>
                <w:sz w:val="17"/>
                <w:szCs w:val="17"/>
                <w:color w:val="auto"/>
              </w:rPr>
              <w:t>1,207.6</w:t>
            </w:r>
          </w:p>
        </w:tc>
        <w:tc>
          <w:tcPr>
            <w:tcW w:w="10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47"/>
              <w:spacing w:after="0"/>
              <w:rPr>
                <w:sz w:val="20"/>
                <w:szCs w:val="20"/>
                <w:color w:val="auto"/>
              </w:rPr>
            </w:pPr>
            <w:r>
              <w:rPr>
                <w:rFonts w:ascii="Arial" w:cs="Arial" w:eastAsia="Arial" w:hAnsi="Arial"/>
                <w:sz w:val="17"/>
                <w:szCs w:val="17"/>
                <w:color w:val="auto"/>
              </w:rPr>
              <w:t>2,431.2</w:t>
            </w:r>
          </w:p>
        </w:tc>
        <w:tc>
          <w:tcPr>
            <w:tcW w:w="12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25"/>
              <w:spacing w:after="0"/>
              <w:rPr>
                <w:sz w:val="20"/>
                <w:szCs w:val="20"/>
                <w:color w:val="auto"/>
              </w:rPr>
            </w:pPr>
            <w:r>
              <w:rPr>
                <w:rFonts w:ascii="Arial" w:cs="Arial" w:eastAsia="Arial" w:hAnsi="Arial"/>
                <w:sz w:val="17"/>
                <w:szCs w:val="17"/>
                <w:color w:val="auto"/>
              </w:rPr>
              <w:t>2,327.9</w:t>
            </w:r>
          </w:p>
        </w:tc>
      </w:tr>
      <w:tr>
        <w:trPr>
          <w:trHeight w:val="26"/>
        </w:trPr>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-2106930</wp:posOffset>
            </wp:positionH>
            <wp:positionV relativeFrom="paragraph">
              <wp:posOffset>-175260</wp:posOffset>
            </wp:positionV>
            <wp:extent cx="7256145" cy="167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145" cy="16764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2600" w:space="720"/>
            <w:col w:w="8100"/>
          </w:cols>
          <w:pgMar w:left="240" w:top="122" w:right="239" w:bottom="1440" w:gutter="0" w:footer="0" w:header="0"/>
        </w:sectPr>
      </w:pPr>
    </w:p>
    <w:tbl>
      <w:tblPr>
        <w:tblLayout w:type="fixed"/>
        <w:tblInd w:w="0" w:type="dxa"/>
        <w:tblCellMar>
          <w:top w:w="0" w:type="dxa"/>
          <w:left w:w="0" w:type="dxa"/>
          <w:bottom w:w="0" w:type="dxa"/>
          <w:right w:w="0" w:type="dxa"/>
        </w:tblCellMar>
      </w:tblPr>
      <w:tr>
        <w:trPr>
          <w:trHeight w:val="252"/>
        </w:trPr>
        <w:tc>
          <w:tcPr>
            <w:tcW w:w="5140" w:type="dxa"/>
            <w:vAlign w:val="bottom"/>
            <w:shd w:val="clear" w:color="auto" w:fill="BFE4FF"/>
          </w:tcPr>
          <w:p>
            <w:pPr>
              <w:ind w:left="360"/>
              <w:spacing w:after="0"/>
              <w:rPr>
                <w:sz w:val="20"/>
                <w:szCs w:val="20"/>
                <w:color w:val="auto"/>
              </w:rPr>
            </w:pPr>
            <w:r>
              <w:rPr>
                <w:rFonts w:ascii="Arial" w:cs="Arial" w:eastAsia="Arial" w:hAnsi="Arial"/>
                <w:sz w:val="17"/>
                <w:szCs w:val="17"/>
                <w:color w:val="auto"/>
              </w:rPr>
              <w:t>Salaries, wages and employee benefits</w:t>
            </w:r>
          </w:p>
        </w:tc>
        <w:tc>
          <w:tcPr>
            <w:tcW w:w="500" w:type="dxa"/>
            <w:vAlign w:val="bottom"/>
            <w:shd w:val="clear" w:color="auto" w:fill="BFE4FF"/>
          </w:tcPr>
          <w:p>
            <w:pPr>
              <w:spacing w:after="0"/>
              <w:rPr>
                <w:sz w:val="21"/>
                <w:szCs w:val="21"/>
                <w:color w:val="auto"/>
              </w:rPr>
            </w:pPr>
          </w:p>
        </w:tc>
        <w:tc>
          <w:tcPr>
            <w:tcW w:w="102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739.6</w:t>
            </w:r>
          </w:p>
        </w:tc>
        <w:tc>
          <w:tcPr>
            <w:tcW w:w="120" w:type="dxa"/>
            <w:vAlign w:val="bottom"/>
            <w:shd w:val="clear" w:color="auto" w:fill="BFE4FF"/>
          </w:tcPr>
          <w:p>
            <w:pPr>
              <w:spacing w:after="0"/>
              <w:rPr>
                <w:sz w:val="21"/>
                <w:szCs w:val="21"/>
                <w:color w:val="auto"/>
              </w:rPr>
            </w:pPr>
          </w:p>
        </w:tc>
        <w:tc>
          <w:tcPr>
            <w:tcW w:w="48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718.7</w:t>
            </w:r>
          </w:p>
        </w:tc>
        <w:tc>
          <w:tcPr>
            <w:tcW w:w="100" w:type="dxa"/>
            <w:vAlign w:val="bottom"/>
            <w:shd w:val="clear" w:color="auto" w:fill="BFE4FF"/>
          </w:tcPr>
          <w:p>
            <w:pPr>
              <w:spacing w:after="0"/>
              <w:rPr>
                <w:sz w:val="21"/>
                <w:szCs w:val="21"/>
                <w:color w:val="auto"/>
              </w:rPr>
            </w:pPr>
          </w:p>
        </w:tc>
        <w:tc>
          <w:tcPr>
            <w:tcW w:w="50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1,461.3</w:t>
            </w:r>
          </w:p>
        </w:tc>
        <w:tc>
          <w:tcPr>
            <w:tcW w:w="120" w:type="dxa"/>
            <w:vAlign w:val="bottom"/>
            <w:shd w:val="clear" w:color="auto" w:fill="BFE4FF"/>
          </w:tcPr>
          <w:p>
            <w:pPr>
              <w:spacing w:after="0"/>
              <w:rPr>
                <w:sz w:val="21"/>
                <w:szCs w:val="21"/>
                <w:color w:val="auto"/>
              </w:rPr>
            </w:pPr>
          </w:p>
        </w:tc>
        <w:tc>
          <w:tcPr>
            <w:tcW w:w="48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6"/>
              <w:spacing w:after="0"/>
              <w:rPr>
                <w:sz w:val="20"/>
                <w:szCs w:val="20"/>
                <w:color w:val="auto"/>
              </w:rPr>
            </w:pPr>
            <w:r>
              <w:rPr>
                <w:rFonts w:ascii="Arial" w:cs="Arial" w:eastAsia="Arial" w:hAnsi="Arial"/>
                <w:sz w:val="17"/>
                <w:szCs w:val="17"/>
                <w:color w:val="auto"/>
              </w:rPr>
              <w:t>1,416.8</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Operating expenses and supplies</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209.7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198.6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426.0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388.8</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Purchased transportation</w:t>
            </w:r>
          </w:p>
        </w:tc>
        <w:tc>
          <w:tcPr>
            <w:tcW w:w="5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159.6</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136.7</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294.1</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252.2</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74.3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79.2</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operating expenses</w:t>
            </w:r>
          </w:p>
        </w:tc>
        <w:tc>
          <w:tcPr>
            <w:tcW w:w="5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65.5</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69.0</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126.8</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131.7</w:t>
            </w: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BFE4FF"/>
            </w:tcBorders>
            <w:shd w:val="clear" w:color="auto" w:fill="BFE4FF"/>
          </w:tcPr>
          <w:p>
            <w:pPr>
              <w:ind w:left="66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1,210.6</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1,150.4</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2,384.2</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2,257.3</w:t>
            </w:r>
          </w:p>
        </w:tc>
      </w:tr>
      <w:tr>
        <w:trPr>
          <w:trHeight w:val="219"/>
        </w:trPr>
        <w:tc>
          <w:tcPr>
            <w:tcW w:w="5140" w:type="dxa"/>
            <w:vAlign w:val="bottom"/>
          </w:tcPr>
          <w:p>
            <w:pPr>
              <w:ind w:left="1060"/>
              <w:spacing w:after="0"/>
              <w:rPr>
                <w:sz w:val="20"/>
                <w:szCs w:val="20"/>
                <w:color w:val="auto"/>
              </w:rPr>
            </w:pPr>
            <w:r>
              <w:rPr>
                <w:rFonts w:ascii="Arial" w:cs="Arial" w:eastAsia="Arial" w:hAnsi="Arial"/>
                <w:sz w:val="17"/>
                <w:szCs w:val="17"/>
                <w:b w:val="1"/>
                <w:bCs w:val="1"/>
                <w:color w:val="auto"/>
              </w:rPr>
              <w:t>Operating Income</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70.6</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Nonoperating Expenses:</w:t>
            </w:r>
          </w:p>
        </w:tc>
        <w:tc>
          <w:tcPr>
            <w:tcW w:w="500" w:type="dxa"/>
            <w:vAlign w:val="bottom"/>
            <w:tcBorders>
              <w:bottom w:val="single" w:sz="8" w:color="BFE4FF"/>
            </w:tcBorders>
            <w:shd w:val="clear" w:color="auto" w:fill="BFE4FF"/>
          </w:tcPr>
          <w:p>
            <w:pPr>
              <w:spacing w:after="0"/>
              <w:rPr>
                <w:sz w:val="19"/>
                <w:szCs w:val="19"/>
                <w:color w:val="auto"/>
              </w:rPr>
            </w:pPr>
          </w:p>
        </w:tc>
        <w:tc>
          <w:tcPr>
            <w:tcW w:w="102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spacing w:after="0"/>
              <w:rPr>
                <w:sz w:val="19"/>
                <w:szCs w:val="19"/>
                <w:color w:val="auto"/>
              </w:rPr>
            </w:pPr>
          </w:p>
        </w:tc>
        <w:tc>
          <w:tcPr>
            <w:tcW w:w="100" w:type="dxa"/>
            <w:vAlign w:val="bottom"/>
            <w:tcBorders>
              <w:bottom w:val="single" w:sz="8" w:color="BFE4FF"/>
            </w:tcBorders>
            <w:shd w:val="clear" w:color="auto" w:fill="BFE4FF"/>
          </w:tcPr>
          <w:p>
            <w:pPr>
              <w:spacing w:after="0"/>
              <w:rPr>
                <w:sz w:val="19"/>
                <w:szCs w:val="19"/>
                <w:color w:val="auto"/>
              </w:rPr>
            </w:pPr>
          </w:p>
        </w:tc>
        <w:tc>
          <w:tcPr>
            <w:tcW w:w="50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spacing w:after="0"/>
              <w:rPr>
                <w:sz w:val="19"/>
                <w:szCs w:val="19"/>
                <w:color w:val="auto"/>
              </w:rPr>
            </w:pP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spacing w:after="0"/>
              <w:rPr>
                <w:sz w:val="19"/>
                <w:szCs w:val="19"/>
                <w:color w:val="auto"/>
              </w:rPr>
            </w:pPr>
          </w:p>
        </w:tc>
      </w:tr>
      <w:tr>
        <w:trPr>
          <w:trHeight w:val="226"/>
        </w:trPr>
        <w:tc>
          <w:tcPr>
            <w:tcW w:w="5140" w:type="dxa"/>
            <w:vAlign w:val="bottom"/>
          </w:tcPr>
          <w:p>
            <w:pPr>
              <w:ind w:left="360"/>
              <w:spacing w:after="0"/>
              <w:rPr>
                <w:sz w:val="20"/>
                <w:szCs w:val="20"/>
                <w:color w:val="auto"/>
              </w:rPr>
            </w:pPr>
            <w:r>
              <w:rPr>
                <w:rFonts w:ascii="Arial" w:cs="Arial" w:eastAsia="Arial" w:hAnsi="Arial"/>
                <w:sz w:val="17"/>
                <w:szCs w:val="17"/>
                <w:color w:val="auto"/>
              </w:rPr>
              <w:t>Interest expense</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51.1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52.3</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2"/>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color w:val="auto"/>
              </w:rPr>
              <w:t>Other, net</w:t>
            </w:r>
          </w:p>
        </w:tc>
        <w:tc>
          <w:tcPr>
            <w:tcW w:w="50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0.3</w:t>
            </w:r>
          </w:p>
        </w:tc>
      </w:tr>
      <w:tr>
        <w:trPr>
          <w:trHeight w:val="219"/>
        </w:trPr>
        <w:tc>
          <w:tcPr>
            <w:tcW w:w="5140" w:type="dxa"/>
            <w:vAlign w:val="bottom"/>
          </w:tcPr>
          <w:p>
            <w:pPr>
              <w:ind w:left="660"/>
              <w:spacing w:after="0"/>
              <w:rPr>
                <w:sz w:val="20"/>
                <w:szCs w:val="20"/>
                <w:color w:val="auto"/>
              </w:rPr>
            </w:pPr>
            <w:r>
              <w:rPr>
                <w:rFonts w:ascii="Arial" w:cs="Arial" w:eastAsia="Arial" w:hAnsi="Arial"/>
                <w:sz w:val="17"/>
                <w:szCs w:val="17"/>
                <w:color w:val="auto"/>
              </w:rPr>
              <w:t>Nonoperating expenses, net</w:t>
            </w:r>
          </w:p>
        </w:tc>
        <w:tc>
          <w:tcPr>
            <w:tcW w:w="5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27.4</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53.8</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52.6</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Income (loss) before income taxes</w:t>
            </w:r>
          </w:p>
        </w:tc>
        <w:tc>
          <w:tcPr>
            <w:tcW w:w="500" w:type="dxa"/>
            <w:vAlign w:val="bottom"/>
            <w:tcBorders>
              <w:bottom w:val="single" w:sz="8" w:color="BFE4FF"/>
            </w:tcBorders>
            <w:shd w:val="clear" w:color="auto" w:fill="BFE4FF"/>
          </w:tcPr>
          <w:p>
            <w:pPr>
              <w:spacing w:after="0"/>
              <w:rPr>
                <w:sz w:val="19"/>
                <w:szCs w:val="19"/>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22.6</w:t>
            </w: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31.8</w:t>
            </w:r>
          </w:p>
        </w:tc>
        <w:tc>
          <w:tcPr>
            <w:tcW w:w="100" w:type="dxa"/>
            <w:vAlign w:val="bottom"/>
            <w:tcBorders>
              <w:bottom w:val="single" w:sz="8" w:color="BFE4FF"/>
            </w:tcBorders>
            <w:shd w:val="clear" w:color="auto" w:fill="BFE4FF"/>
          </w:tcPr>
          <w:p>
            <w:pPr>
              <w:spacing w:after="0"/>
              <w:rPr>
                <w:sz w:val="19"/>
                <w:szCs w:val="19"/>
                <w:color w:val="auto"/>
              </w:rPr>
            </w:pPr>
          </w:p>
        </w:tc>
        <w:tc>
          <w:tcPr>
            <w:tcW w:w="50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18.0</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2.9</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Net income (loss)</w:t>
            </w:r>
          </w:p>
        </w:tc>
        <w:tc>
          <w:tcPr>
            <w:tcW w:w="500" w:type="dxa"/>
            <w:vAlign w:val="bottom"/>
            <w:tcBorders>
              <w:bottom w:val="single" w:sz="8" w:color="BFE4FF"/>
            </w:tcBorders>
            <w:shd w:val="clear" w:color="auto" w:fill="BFE4FF"/>
          </w:tcPr>
          <w:p>
            <w:pPr>
              <w:spacing w:after="0"/>
              <w:rPr>
                <w:sz w:val="19"/>
                <w:szCs w:val="19"/>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19.0</w:t>
            </w: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27.1</w:t>
            </w:r>
          </w:p>
        </w:tc>
        <w:tc>
          <w:tcPr>
            <w:tcW w:w="100" w:type="dxa"/>
            <w:vAlign w:val="bottom"/>
            <w:tcBorders>
              <w:bottom w:val="single" w:sz="8" w:color="BFE4FF"/>
            </w:tcBorders>
            <w:shd w:val="clear" w:color="auto" w:fill="BFE4FF"/>
          </w:tcPr>
          <w:p>
            <w:pPr>
              <w:spacing w:after="0"/>
              <w:rPr>
                <w:sz w:val="19"/>
                <w:szCs w:val="19"/>
                <w:color w:val="auto"/>
              </w:rPr>
            </w:pPr>
          </w:p>
        </w:tc>
        <w:tc>
          <w:tcPr>
            <w:tcW w:w="50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15.1</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Other comprehensive income, net of tax</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0.6</w:t>
            </w:r>
          </w:p>
        </w:tc>
      </w:tr>
      <w:tr>
        <w:trPr>
          <w:trHeight w:val="26"/>
        </w:trPr>
        <w:tc>
          <w:tcPr>
            <w:tcW w:w="514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9"/>
        </w:trPr>
        <w:tc>
          <w:tcPr>
            <w:tcW w:w="5140" w:type="dxa"/>
            <w:vAlign w:val="bottom"/>
            <w:tcBorders>
              <w:bottom w:val="single" w:sz="8" w:color="BFE4FF"/>
            </w:tcBorders>
            <w:shd w:val="clear" w:color="auto" w:fill="BFE4FF"/>
          </w:tcPr>
          <w:p>
            <w:pPr>
              <w:ind w:left="360"/>
              <w:spacing w:after="0"/>
              <w:rPr>
                <w:sz w:val="20"/>
                <w:szCs w:val="20"/>
                <w:color w:val="auto"/>
              </w:rPr>
            </w:pPr>
            <w:r>
              <w:rPr>
                <w:rFonts w:ascii="Arial" w:cs="Arial" w:eastAsia="Arial" w:hAnsi="Arial"/>
                <w:sz w:val="17"/>
                <w:szCs w:val="17"/>
                <w:b w:val="1"/>
                <w:bCs w:val="1"/>
                <w:color w:val="auto"/>
              </w:rPr>
              <w:t>Comprehensive Income</w:t>
            </w:r>
          </w:p>
        </w:tc>
        <w:tc>
          <w:tcPr>
            <w:tcW w:w="500" w:type="dxa"/>
            <w:vAlign w:val="bottom"/>
            <w:tcBorders>
              <w:bottom w:val="single" w:sz="8" w:color="BFE4FF"/>
            </w:tcBorders>
            <w:shd w:val="clear" w:color="auto" w:fill="BFE4FF"/>
          </w:tcPr>
          <w:p>
            <w:pPr>
              <w:jc w:val="right"/>
              <w:ind w:right="29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25.0</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30.3</w:t>
            </w:r>
          </w:p>
        </w:tc>
        <w:tc>
          <w:tcPr>
            <w:tcW w:w="10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296"/>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4.1</w:t>
            </w:r>
          </w:p>
        </w:tc>
        <w:tc>
          <w:tcPr>
            <w:tcW w:w="120" w:type="dxa"/>
            <w:vAlign w:val="bottom"/>
            <w:tcBorders>
              <w:bottom w:val="single" w:sz="8" w:color="BFE4FF"/>
            </w:tcBorders>
            <w:shd w:val="clear" w:color="auto" w:fill="BFE4FF"/>
          </w:tcPr>
          <w:p>
            <w:pPr>
              <w:spacing w:after="0"/>
              <w:rPr>
                <w:sz w:val="21"/>
                <w:szCs w:val="21"/>
                <w:color w:val="auto"/>
              </w:rPr>
            </w:pPr>
          </w:p>
        </w:tc>
        <w:tc>
          <w:tcPr>
            <w:tcW w:w="480" w:type="dxa"/>
            <w:vAlign w:val="bottom"/>
            <w:tcBorders>
              <w:bottom w:val="single" w:sz="8" w:color="BFE4FF"/>
            </w:tcBorders>
            <w:shd w:val="clear" w:color="auto" w:fill="BFE4FF"/>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15.7</w:t>
            </w:r>
          </w:p>
        </w:tc>
      </w:tr>
      <w:tr>
        <w:trPr>
          <w:trHeight w:val="20"/>
        </w:trPr>
        <w:tc>
          <w:tcPr>
            <w:tcW w:w="514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0"/>
        </w:trPr>
        <w:tc>
          <w:tcPr>
            <w:tcW w:w="5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2"/>
        </w:trPr>
        <w:tc>
          <w:tcPr>
            <w:tcW w:w="51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Average Common Shares Outstanding – Basic</w:t>
            </w:r>
          </w:p>
        </w:tc>
        <w:tc>
          <w:tcPr>
            <w:tcW w:w="5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32,715</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32,459</w:t>
            </w:r>
          </w:p>
        </w:tc>
        <w:tc>
          <w:tcPr>
            <w:tcW w:w="10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7"/>
                <w:szCs w:val="17"/>
                <w:color w:val="auto"/>
              </w:rPr>
              <w:t>32,642</w:t>
            </w:r>
          </w:p>
        </w:tc>
        <w:tc>
          <w:tcPr>
            <w:tcW w:w="12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7"/>
                <w:szCs w:val="17"/>
                <w:color w:val="auto"/>
              </w:rPr>
              <w:t>32,362</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Average Common Shares Outstanding – Diluted</w:t>
            </w:r>
          </w:p>
        </w:tc>
        <w:tc>
          <w:tcPr>
            <w:tcW w:w="5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33,322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32,854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Arial" w:cs="Arial" w:eastAsia="Arial" w:hAnsi="Arial"/>
                <w:sz w:val="17"/>
                <w:szCs w:val="17"/>
                <w:color w:val="auto"/>
              </w:rPr>
              <w:t>32,642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32,814</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7"/>
        </w:trPr>
        <w:tc>
          <w:tcPr>
            <w:tcW w:w="5140" w:type="dxa"/>
            <w:vAlign w:val="bottom"/>
            <w:shd w:val="clear" w:color="auto" w:fill="BFE4FF"/>
          </w:tcPr>
          <w:p>
            <w:pPr>
              <w:spacing w:after="0"/>
              <w:rPr>
                <w:sz w:val="24"/>
                <w:szCs w:val="24"/>
                <w:color w:val="auto"/>
              </w:rPr>
            </w:pPr>
          </w:p>
        </w:tc>
        <w:tc>
          <w:tcPr>
            <w:tcW w:w="500" w:type="dxa"/>
            <w:vAlign w:val="bottom"/>
            <w:shd w:val="clear" w:color="auto" w:fill="BFE4FF"/>
          </w:tcPr>
          <w:p>
            <w:pPr>
              <w:spacing w:after="0"/>
              <w:rPr>
                <w:sz w:val="24"/>
                <w:szCs w:val="24"/>
                <w:color w:val="auto"/>
              </w:rPr>
            </w:pPr>
          </w:p>
        </w:tc>
        <w:tc>
          <w:tcPr>
            <w:tcW w:w="10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50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480" w:type="dxa"/>
            <w:vAlign w:val="bottom"/>
            <w:shd w:val="clear" w:color="auto" w:fill="BFE4FF"/>
          </w:tcPr>
          <w:p>
            <w:pPr>
              <w:spacing w:after="0"/>
              <w:rPr>
                <w:sz w:val="24"/>
                <w:szCs w:val="24"/>
                <w:color w:val="auto"/>
              </w:rPr>
            </w:pPr>
          </w:p>
        </w:tc>
        <w:tc>
          <w:tcPr>
            <w:tcW w:w="980" w:type="dxa"/>
            <w:vAlign w:val="bottom"/>
            <w:shd w:val="clear" w:color="auto" w:fill="BFE4FF"/>
          </w:tcPr>
          <w:p>
            <w:pPr>
              <w:spacing w:after="0"/>
              <w:rPr>
                <w:sz w:val="24"/>
                <w:szCs w:val="24"/>
                <w:color w:val="auto"/>
              </w:rPr>
            </w:pP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Income (loss) Per Share – Basic</w:t>
            </w: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0.58</w:t>
            </w:r>
          </w:p>
        </w:tc>
        <w:tc>
          <w:tcPr>
            <w:tcW w:w="120" w:type="dxa"/>
            <w:vAlign w:val="bottom"/>
          </w:tcPr>
          <w:p>
            <w:pPr>
              <w:spacing w:after="0"/>
              <w:rPr>
                <w:sz w:val="19"/>
                <w:szCs w:val="19"/>
                <w:color w:val="auto"/>
              </w:rPr>
            </w:pPr>
          </w:p>
        </w:tc>
        <w:tc>
          <w:tcPr>
            <w:tcW w:w="48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6"/>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19"/>
                <w:szCs w:val="19"/>
                <w:color w:val="auto"/>
              </w:rPr>
            </w:pPr>
          </w:p>
        </w:tc>
        <w:tc>
          <w:tcPr>
            <w:tcW w:w="50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(0.19)</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6"/>
              <w:spacing w:after="0"/>
              <w:rPr>
                <w:sz w:val="20"/>
                <w:szCs w:val="20"/>
                <w:color w:val="auto"/>
              </w:rPr>
            </w:pPr>
            <w:r>
              <w:rPr>
                <w:rFonts w:ascii="Arial" w:cs="Arial" w:eastAsia="Arial" w:hAnsi="Arial"/>
                <w:sz w:val="17"/>
                <w:szCs w:val="17"/>
                <w:color w:val="auto"/>
              </w:rPr>
              <w:t>0.47</w:t>
            </w:r>
          </w:p>
        </w:tc>
      </w:tr>
      <w:tr>
        <w:trPr>
          <w:trHeight w:val="26"/>
        </w:trPr>
        <w:tc>
          <w:tcPr>
            <w:tcW w:w="5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6"/>
        </w:trPr>
        <w:tc>
          <w:tcPr>
            <w:tcW w:w="514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Income (loss) Per Share – Diluted</w:t>
            </w:r>
          </w:p>
        </w:tc>
        <w:tc>
          <w:tcPr>
            <w:tcW w:w="500" w:type="dxa"/>
            <w:vAlign w:val="bottom"/>
            <w:shd w:val="clear" w:color="auto" w:fill="BFE4FF"/>
          </w:tcPr>
          <w:p>
            <w:pPr>
              <w:jc w:val="right"/>
              <w:ind w:right="296"/>
              <w:spacing w:after="0"/>
              <w:rPr>
                <w:sz w:val="20"/>
                <w:szCs w:val="20"/>
                <w:color w:val="auto"/>
              </w:rPr>
            </w:pPr>
            <w:r>
              <w:rPr>
                <w:rFonts w:ascii="Arial" w:cs="Arial" w:eastAsia="Arial" w:hAnsi="Arial"/>
                <w:sz w:val="17"/>
                <w:szCs w:val="17"/>
                <w:color w:val="auto"/>
              </w:rPr>
              <w:t>$</w:t>
            </w:r>
          </w:p>
        </w:tc>
        <w:tc>
          <w:tcPr>
            <w:tcW w:w="102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0.57</w:t>
            </w:r>
          </w:p>
        </w:tc>
        <w:tc>
          <w:tcPr>
            <w:tcW w:w="120" w:type="dxa"/>
            <w:vAlign w:val="bottom"/>
            <w:shd w:val="clear" w:color="auto" w:fill="BFE4FF"/>
          </w:tcPr>
          <w:p>
            <w:pPr>
              <w:spacing w:after="0"/>
              <w:rPr>
                <w:sz w:val="19"/>
                <w:szCs w:val="19"/>
                <w:color w:val="auto"/>
              </w:rPr>
            </w:pPr>
          </w:p>
        </w:tc>
        <w:tc>
          <w:tcPr>
            <w:tcW w:w="480" w:type="dxa"/>
            <w:vAlign w:val="bottom"/>
            <w:shd w:val="clear" w:color="auto" w:fill="BFE4FF"/>
          </w:tcPr>
          <w:p>
            <w:pPr>
              <w:jc w:val="right"/>
              <w:ind w:right="276"/>
              <w:spacing w:after="0"/>
              <w:rPr>
                <w:sz w:val="20"/>
                <w:szCs w:val="20"/>
                <w:color w:val="auto"/>
              </w:rPr>
            </w:pPr>
            <w:r>
              <w:rPr>
                <w:rFonts w:ascii="Arial" w:cs="Arial" w:eastAsia="Arial" w:hAnsi="Arial"/>
                <w:sz w:val="17"/>
                <w:szCs w:val="17"/>
                <w:color w:val="auto"/>
              </w:rPr>
              <w:t>$</w:t>
            </w:r>
          </w:p>
        </w:tc>
        <w:tc>
          <w:tcPr>
            <w:tcW w:w="1000" w:type="dxa"/>
            <w:vAlign w:val="bottom"/>
            <w:shd w:val="clear" w:color="auto" w:fill="BFE4FF"/>
          </w:tcPr>
          <w:p>
            <w:pPr>
              <w:jc w:val="right"/>
              <w:ind w:right="36"/>
              <w:spacing w:after="0"/>
              <w:rPr>
                <w:sz w:val="20"/>
                <w:szCs w:val="20"/>
                <w:color w:val="auto"/>
              </w:rPr>
            </w:pPr>
            <w:r>
              <w:rPr>
                <w:rFonts w:ascii="Arial" w:cs="Arial" w:eastAsia="Arial" w:hAnsi="Arial"/>
                <w:sz w:val="17"/>
                <w:szCs w:val="17"/>
                <w:color w:val="auto"/>
              </w:rPr>
              <w:t>0.83</w:t>
            </w:r>
          </w:p>
        </w:tc>
        <w:tc>
          <w:tcPr>
            <w:tcW w:w="100" w:type="dxa"/>
            <w:vAlign w:val="bottom"/>
            <w:shd w:val="clear" w:color="auto" w:fill="BFE4FF"/>
          </w:tcPr>
          <w:p>
            <w:pPr>
              <w:spacing w:after="0"/>
              <w:rPr>
                <w:sz w:val="19"/>
                <w:szCs w:val="19"/>
                <w:color w:val="auto"/>
              </w:rPr>
            </w:pPr>
          </w:p>
        </w:tc>
        <w:tc>
          <w:tcPr>
            <w:tcW w:w="500" w:type="dxa"/>
            <w:vAlign w:val="bottom"/>
            <w:shd w:val="clear" w:color="auto" w:fill="BFE4FF"/>
          </w:tcPr>
          <w:p>
            <w:pPr>
              <w:jc w:val="right"/>
              <w:ind w:right="296"/>
              <w:spacing w:after="0"/>
              <w:rPr>
                <w:sz w:val="20"/>
                <w:szCs w:val="20"/>
                <w:color w:val="auto"/>
              </w:rPr>
            </w:pPr>
            <w:r>
              <w:rPr>
                <w:rFonts w:ascii="Arial" w:cs="Arial" w:eastAsia="Arial" w:hAnsi="Arial"/>
                <w:sz w:val="17"/>
                <w:szCs w:val="17"/>
                <w:color w:val="auto"/>
              </w:rPr>
              <w:t>$</w:t>
            </w:r>
          </w:p>
        </w:tc>
        <w:tc>
          <w:tcPr>
            <w:tcW w:w="9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(0.19)</w:t>
            </w:r>
          </w:p>
        </w:tc>
        <w:tc>
          <w:tcPr>
            <w:tcW w:w="120" w:type="dxa"/>
            <w:vAlign w:val="bottom"/>
            <w:shd w:val="clear" w:color="auto" w:fill="BFE4FF"/>
          </w:tcPr>
          <w:p>
            <w:pPr>
              <w:spacing w:after="0"/>
              <w:rPr>
                <w:sz w:val="19"/>
                <w:szCs w:val="19"/>
                <w:color w:val="auto"/>
              </w:rPr>
            </w:pPr>
          </w:p>
        </w:tc>
        <w:tc>
          <w:tcPr>
            <w:tcW w:w="480" w:type="dxa"/>
            <w:vAlign w:val="bottom"/>
            <w:shd w:val="clear" w:color="auto" w:fill="BFE4FF"/>
          </w:tcPr>
          <w:p>
            <w:pPr>
              <w:jc w:val="right"/>
              <w:ind w:right="296"/>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BFE4FF"/>
          </w:tcPr>
          <w:p>
            <w:pPr>
              <w:jc w:val="right"/>
              <w:ind w:right="16"/>
              <w:spacing w:after="0"/>
              <w:rPr>
                <w:sz w:val="20"/>
                <w:szCs w:val="20"/>
                <w:color w:val="auto"/>
              </w:rPr>
            </w:pPr>
            <w:r>
              <w:rPr>
                <w:rFonts w:ascii="Arial" w:cs="Arial" w:eastAsia="Arial" w:hAnsi="Arial"/>
                <w:sz w:val="17"/>
                <w:szCs w:val="17"/>
                <w:color w:val="auto"/>
              </w:rPr>
              <w:t>0.46</w:t>
            </w:r>
          </w:p>
        </w:tc>
      </w:tr>
      <w:tr>
        <w:trPr>
          <w:trHeight w:val="26"/>
        </w:trPr>
        <w:tc>
          <w:tcPr>
            <w:tcW w:w="5140" w:type="dxa"/>
            <w:vAlign w:val="bottom"/>
            <w:shd w:val="clear" w:color="auto" w:fill="BFE4FF"/>
          </w:tcPr>
          <w:p>
            <w:pPr>
              <w:spacing w:after="0"/>
              <w:rPr>
                <w:sz w:val="2"/>
                <w:szCs w:val="2"/>
                <w:color w:val="auto"/>
              </w:rPr>
            </w:pPr>
          </w:p>
        </w:tc>
        <w:tc>
          <w:tcPr>
            <w:tcW w:w="500" w:type="dxa"/>
            <w:vAlign w:val="bottom"/>
            <w:shd w:val="clear" w:color="auto" w:fill="BFE4FF"/>
          </w:tcPr>
          <w:p>
            <w:pPr>
              <w:spacing w:after="0"/>
              <w:rPr>
                <w:sz w:val="2"/>
                <w:szCs w:val="2"/>
                <w:color w:val="auto"/>
              </w:rPr>
            </w:pPr>
          </w:p>
        </w:tc>
        <w:tc>
          <w:tcPr>
            <w:tcW w:w="102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80" w:type="dxa"/>
            <w:vAlign w:val="bottom"/>
            <w:shd w:val="clear" w:color="auto" w:fill="BFE4FF"/>
          </w:tcPr>
          <w:p>
            <w:pPr>
              <w:spacing w:after="0"/>
              <w:rPr>
                <w:sz w:val="2"/>
                <w:szCs w:val="2"/>
                <w:color w:val="auto"/>
              </w:rPr>
            </w:pPr>
          </w:p>
        </w:tc>
        <w:tc>
          <w:tcPr>
            <w:tcW w:w="1000" w:type="dxa"/>
            <w:vAlign w:val="bottom"/>
            <w:shd w:val="clear" w:color="auto" w:fill="BFE4FF"/>
          </w:tcPr>
          <w:p>
            <w:pPr>
              <w:spacing w:after="0"/>
              <w:rPr>
                <w:sz w:val="2"/>
                <w:szCs w:val="2"/>
                <w:color w:val="auto"/>
              </w:rPr>
            </w:pPr>
          </w:p>
        </w:tc>
        <w:tc>
          <w:tcPr>
            <w:tcW w:w="100" w:type="dxa"/>
            <w:vAlign w:val="bottom"/>
            <w:shd w:val="clear" w:color="auto" w:fill="BFE4FF"/>
          </w:tcPr>
          <w:p>
            <w:pPr>
              <w:spacing w:after="0"/>
              <w:rPr>
                <w:sz w:val="2"/>
                <w:szCs w:val="2"/>
                <w:color w:val="auto"/>
              </w:rPr>
            </w:pPr>
          </w:p>
        </w:tc>
        <w:tc>
          <w:tcPr>
            <w:tcW w:w="50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480" w:type="dxa"/>
            <w:vAlign w:val="bottom"/>
            <w:shd w:val="clear" w:color="auto" w:fill="BFE4FF"/>
          </w:tcPr>
          <w:p>
            <w:pPr>
              <w:spacing w:after="0"/>
              <w:rPr>
                <w:sz w:val="2"/>
                <w:szCs w:val="2"/>
                <w:color w:val="auto"/>
              </w:rPr>
            </w:pPr>
          </w:p>
        </w:tc>
        <w:tc>
          <w:tcPr>
            <w:tcW w:w="980" w:type="dxa"/>
            <w:vAlign w:val="bottom"/>
            <w:shd w:val="clear" w:color="auto" w:fill="BFE4FF"/>
          </w:tcPr>
          <w:p>
            <w:pPr>
              <w:spacing w:after="0"/>
              <w:rPr>
                <w:sz w:val="2"/>
                <w:szCs w:val="2"/>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CONSOLIDATED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the Six Months Ended June 30</w:t>
      </w:r>
    </w:p>
    <w:p>
      <w:pPr>
        <w:spacing w:after="0" w:line="6"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(Amounts in millions)</w:t>
      </w:r>
    </w:p>
    <w:p>
      <w:pPr>
        <w:spacing w:after="0" w:line="6"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2017</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color w:val="auto"/>
              </w:rPr>
              <w:t>2016</w:t>
            </w:r>
          </w:p>
        </w:tc>
      </w:tr>
      <w:tr>
        <w:trPr>
          <w:trHeight w:val="229"/>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940" w:type="dxa"/>
            <w:vAlign w:val="bottom"/>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15.1</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Noncash items included in net income (loss):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74.3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79.2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Noncash equity-based compensation and employee benefits expense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11.3</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Gain on disposal of equity method investment</w:t>
            </w:r>
          </w:p>
        </w:tc>
        <w:tc>
          <w:tcPr>
            <w:tcW w:w="9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noncash items, net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6.4</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Changes in assets and liabilities, net: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Accounts receivable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7.3</w:t>
            </w:r>
          </w:p>
        </w:tc>
      </w:tr>
      <w:tr>
        <w:trPr>
          <w:trHeight w:val="226"/>
        </w:trPr>
        <w:tc>
          <w:tcPr>
            <w:tcW w:w="8340" w:type="dxa"/>
            <w:vAlign w:val="bottom"/>
          </w:tcPr>
          <w:p>
            <w:pPr>
              <w:ind w:left="360"/>
              <w:spacing w:after="0"/>
              <w:rPr>
                <w:sz w:val="20"/>
                <w:szCs w:val="20"/>
                <w:color w:val="auto"/>
              </w:rPr>
            </w:pPr>
            <w:r>
              <w:rPr>
                <w:rFonts w:ascii="Arial" w:cs="Arial" w:eastAsia="Arial" w:hAnsi="Arial"/>
                <w:sz w:val="17"/>
                <w:szCs w:val="17"/>
                <w:color w:val="auto"/>
              </w:rPr>
              <w:t>Other operating assets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3.2</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operating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9"/>
        </w:trPr>
        <w:tc>
          <w:tcPr>
            <w:tcW w:w="8340" w:type="dxa"/>
            <w:vAlign w:val="bottom"/>
          </w:tcPr>
          <w:p>
            <w:pPr>
              <w:ind w:left="360"/>
              <w:spacing w:after="0"/>
              <w:rPr>
                <w:sz w:val="20"/>
                <w:szCs w:val="20"/>
                <w:color w:val="auto"/>
              </w:rPr>
            </w:pPr>
            <w:r>
              <w:rPr>
                <w:rFonts w:ascii="Arial" w:cs="Arial" w:eastAsia="Arial" w:hAnsi="Arial"/>
                <w:sz w:val="17"/>
                <w:szCs w:val="17"/>
                <w:b w:val="1"/>
                <w:bCs w:val="1"/>
                <w:color w:val="auto"/>
              </w:rPr>
              <w:t>Net cash provided by operating activities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38.4</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47.5</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Acquisition of property and equipment</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(47.3)</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disposal of property and equipment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21.0</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Restricted escrow receipts</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95.0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57.1</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Restricted escrow deposits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Proceeds from disposal of equity method investment, net</w:t>
            </w:r>
          </w:p>
        </w:tc>
        <w:tc>
          <w:tcPr>
            <w:tcW w:w="94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14.6</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provided by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45.4</w:t>
            </w:r>
          </w:p>
        </w:tc>
      </w:tr>
      <w:tr>
        <w:trPr>
          <w:trHeight w:val="20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8"/>
        </w:trPr>
        <w:tc>
          <w:tcPr>
            <w:tcW w:w="8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Repayments of long-term debt</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6"/>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b w:val="1"/>
                <w:bCs w:val="1"/>
                <w:color w:val="auto"/>
              </w:rPr>
              <w:t>Net cash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78.5</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69.7</w:t>
            </w: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Beginning of Period</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136.7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173.8</w:t>
            </w:r>
          </w:p>
        </w:tc>
      </w:tr>
      <w:tr>
        <w:trPr>
          <w:trHeight w:val="219"/>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End of Period</w:t>
            </w:r>
          </w:p>
        </w:tc>
        <w:tc>
          <w:tcPr>
            <w:tcW w:w="940" w:type="dxa"/>
            <w:vAlign w:val="bottom"/>
            <w:tcBorders>
              <w:top w:val="single" w:sz="8" w:color="auto"/>
            </w:tcBorders>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98"/>
              </w:rPr>
              <w:t>215.2</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243.5</w:t>
            </w:r>
          </w:p>
        </w:tc>
      </w:tr>
      <w:tr>
        <w:trPr>
          <w:trHeight w:val="66"/>
        </w:trPr>
        <w:tc>
          <w:tcPr>
            <w:tcW w:w="83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42"/>
        </w:trPr>
        <w:tc>
          <w:tcPr>
            <w:tcW w:w="8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6"/>
        </w:trPr>
        <w:tc>
          <w:tcPr>
            <w:tcW w:w="8340" w:type="dxa"/>
            <w:vAlign w:val="bottom"/>
          </w:tcPr>
          <w:p>
            <w:pPr>
              <w:ind w:left="20"/>
              <w:spacing w:after="0"/>
              <w:rPr>
                <w:sz w:val="20"/>
                <w:szCs w:val="20"/>
                <w:color w:val="auto"/>
              </w:rPr>
            </w:pPr>
            <w:r>
              <w:rPr>
                <w:rFonts w:ascii="Arial" w:cs="Arial" w:eastAsia="Arial" w:hAnsi="Arial"/>
                <w:sz w:val="17"/>
                <w:szCs w:val="17"/>
                <w:b w:val="1"/>
                <w:bCs w:val="1"/>
                <w:color w:val="auto"/>
              </w:rPr>
              <w:t>Supplemental Cash Flow Information</w:t>
            </w:r>
            <w:r>
              <w:rPr>
                <w:rFonts w:ascii="Arial" w:cs="Arial" w:eastAsia="Arial" w:hAnsi="Arial"/>
                <w:sz w:val="17"/>
                <w:szCs w:val="17"/>
                <w:color w:val="auto"/>
              </w:rPr>
              <w: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
        </w:trPr>
        <w:tc>
          <w:tcPr>
            <w:tcW w:w="8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2"/>
        </w:trPr>
        <w:tc>
          <w:tcPr>
            <w:tcW w:w="8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paid</w:t>
            </w:r>
          </w:p>
        </w:tc>
        <w:tc>
          <w:tcPr>
            <w:tcW w:w="940" w:type="dxa"/>
            <w:vAlign w:val="bottom"/>
            <w:tcBorders>
              <w:bottom w:val="single" w:sz="8" w:color="CCEEFF"/>
            </w:tcBorders>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26"/>
        </w:trPr>
        <w:tc>
          <w:tcPr>
            <w:tcW w:w="8340" w:type="dxa"/>
            <w:vAlign w:val="bottom"/>
          </w:tcPr>
          <w:p>
            <w:pPr>
              <w:ind w:left="160"/>
              <w:spacing w:after="0"/>
              <w:rPr>
                <w:sz w:val="20"/>
                <w:szCs w:val="20"/>
                <w:color w:val="auto"/>
              </w:rPr>
            </w:pPr>
            <w:r>
              <w:rPr>
                <w:rFonts w:ascii="Arial" w:cs="Arial" w:eastAsia="Arial" w:hAnsi="Arial"/>
                <w:sz w:val="17"/>
                <w:szCs w:val="17"/>
                <w:color w:val="auto"/>
              </w:rPr>
              <w:t>Income tax refund (payment), net</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w:t>
            </w: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940" w:type="dxa"/>
            <w:vAlign w:val="bottom"/>
          </w:tcPr>
          <w:p>
            <w:pPr>
              <w:jc w:val="center"/>
              <w:ind w:left="1416"/>
              <w:spacing w:after="0"/>
              <w:rPr>
                <w:sz w:val="20"/>
                <w:szCs w:val="20"/>
                <w:color w:val="auto"/>
              </w:rPr>
            </w:pPr>
            <w:r>
              <w:rPr>
                <w:rFonts w:ascii="Arial" w:cs="Arial" w:eastAsia="Arial" w:hAnsi="Arial"/>
                <w:sz w:val="17"/>
                <w:szCs w:val="17"/>
                <w:color w:val="auto"/>
                <w:w w:val="94"/>
              </w:rPr>
              <w:t>STATEMENT OF CONSOLIDATED SHAREHOLDERS’ DEFICIT</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1"/>
              </w:rPr>
              <w:t>YRC Worldwide Inc. and Subsidiaries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88"/>
              </w:rPr>
              <w:t>For the Six Months Ended June 30, 2017</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5"/>
              </w:rPr>
              <w:t>(Amounts in millions)</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9940" w:type="dxa"/>
            <w:vAlign w:val="bottom"/>
          </w:tcPr>
          <w:p>
            <w:pPr>
              <w:jc w:val="center"/>
              <w:ind w:left="1396"/>
              <w:spacing w:after="0"/>
              <w:rPr>
                <w:sz w:val="20"/>
                <w:szCs w:val="20"/>
                <w:color w:val="auto"/>
              </w:rPr>
            </w:pPr>
            <w:r>
              <w:rPr>
                <w:rFonts w:ascii="Arial" w:cs="Arial" w:eastAsia="Arial" w:hAnsi="Arial"/>
                <w:sz w:val="17"/>
                <w:szCs w:val="17"/>
                <w:color w:val="auto"/>
                <w:w w:val="92"/>
              </w:rPr>
              <w:t>(Unaudited)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02"/>
        </w:trPr>
        <w:tc>
          <w:tcPr>
            <w:tcW w:w="9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2"/>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Preferred Stock:</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0.3</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Capital Surplus: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2,319.2</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Equity-based compensation</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2,320.8</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Deficit:</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(2,217.8)</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Net loss</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9"/>
        </w:trPr>
        <w:tc>
          <w:tcPr>
            <w:tcW w:w="9940" w:type="dxa"/>
            <w:vAlign w:val="bottom"/>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(2,224.1)</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Accumulated Other Comprehensive Loss:</w:t>
            </w:r>
          </w:p>
        </w:tc>
        <w:tc>
          <w:tcPr>
            <w:tcW w:w="4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26"/>
        </w:trPr>
        <w:tc>
          <w:tcPr>
            <w:tcW w:w="9940" w:type="dxa"/>
            <w:vAlign w:val="bottom"/>
          </w:tcPr>
          <w:p>
            <w:pPr>
              <w:ind w:left="160"/>
              <w:spacing w:after="0"/>
              <w:rPr>
                <w:sz w:val="20"/>
                <w:szCs w:val="20"/>
                <w:color w:val="auto"/>
              </w:rPr>
            </w:pPr>
            <w:r>
              <w:rPr>
                <w:rFonts w:ascii="Arial" w:cs="Arial" w:eastAsia="Arial" w:hAnsi="Arial"/>
                <w:sz w:val="17"/>
                <w:szCs w:val="17"/>
                <w:color w:val="auto"/>
              </w:rPr>
              <w:t>Beginning balance</w:t>
            </w:r>
          </w:p>
        </w:tc>
        <w:tc>
          <w:tcPr>
            <w:tcW w:w="46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(425.2)</w:t>
            </w:r>
          </w:p>
        </w:tc>
      </w:tr>
      <w:tr>
        <w:trPr>
          <w:trHeight w:val="26"/>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2"/>
        </w:trPr>
        <w:tc>
          <w:tcPr>
            <w:tcW w:w="9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Reclassification of net pension actuarial losses to net loss, net of tax</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7.8</w:t>
            </w:r>
          </w:p>
        </w:tc>
      </w:tr>
      <w:tr>
        <w:trPr>
          <w:trHeight w:val="226"/>
        </w:trPr>
        <w:tc>
          <w:tcPr>
            <w:tcW w:w="9940" w:type="dxa"/>
            <w:vAlign w:val="bottom"/>
          </w:tcPr>
          <w:p>
            <w:pPr>
              <w:ind w:left="260"/>
              <w:spacing w:after="0"/>
              <w:rPr>
                <w:sz w:val="20"/>
                <w:szCs w:val="20"/>
                <w:color w:val="auto"/>
              </w:rPr>
            </w:pPr>
            <w:r>
              <w:rPr>
                <w:rFonts w:ascii="Arial" w:cs="Arial" w:eastAsia="Arial" w:hAnsi="Arial"/>
                <w:sz w:val="17"/>
                <w:szCs w:val="17"/>
                <w:color w:val="auto"/>
              </w:rPr>
              <w:t>Foreign currency translation adjustments</w:t>
            </w:r>
          </w:p>
        </w:tc>
        <w:tc>
          <w:tcPr>
            <w:tcW w:w="460" w:type="dxa"/>
            <w:vAlign w:val="bottom"/>
          </w:tcPr>
          <w:p>
            <w:pPr>
              <w:spacing w:after="0"/>
              <w:rPr>
                <w:sz w:val="19"/>
                <w:szCs w:val="19"/>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auto"/>
              </w:rPr>
              <w:t>2.6</w:t>
            </w:r>
          </w:p>
        </w:tc>
      </w:tr>
      <w:tr>
        <w:trPr>
          <w:trHeight w:val="26"/>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Ending balance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(414.8)</w:t>
            </w:r>
          </w:p>
        </w:tc>
      </w:tr>
      <w:tr>
        <w:trPr>
          <w:trHeight w:val="206"/>
        </w:trPr>
        <w:tc>
          <w:tcPr>
            <w:tcW w:w="9940" w:type="dxa"/>
            <w:vAlign w:val="bottom"/>
          </w:tcPr>
          <w:p>
            <w:pPr>
              <w:ind w:left="20"/>
              <w:spacing w:after="0"/>
              <w:rPr>
                <w:sz w:val="20"/>
                <w:szCs w:val="20"/>
                <w:color w:val="auto"/>
              </w:rPr>
            </w:pPr>
            <w:r>
              <w:rPr>
                <w:rFonts w:ascii="Arial" w:cs="Arial" w:eastAsia="Arial" w:hAnsi="Arial"/>
                <w:sz w:val="17"/>
                <w:szCs w:val="17"/>
                <w:b w:val="1"/>
                <w:bCs w:val="1"/>
                <w:color w:val="auto"/>
              </w:rPr>
              <w:t>Treasury Stock, At Cost:</w:t>
            </w: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r>
      <w:tr>
        <w:trPr>
          <w:trHeight w:val="38"/>
        </w:trPr>
        <w:tc>
          <w:tcPr>
            <w:tcW w:w="99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9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Beginning and ending balance</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(92.7)</w:t>
            </w:r>
          </w:p>
        </w:tc>
      </w:tr>
      <w:tr>
        <w:trPr>
          <w:trHeight w:val="219"/>
        </w:trPr>
        <w:tc>
          <w:tcPr>
            <w:tcW w:w="9940" w:type="dxa"/>
            <w:vAlign w:val="bottom"/>
          </w:tcPr>
          <w:p>
            <w:pPr>
              <w:ind w:left="20"/>
              <w:spacing w:after="0"/>
              <w:rPr>
                <w:sz w:val="20"/>
                <w:szCs w:val="20"/>
                <w:color w:val="auto"/>
              </w:rPr>
            </w:pPr>
            <w:r>
              <w:rPr>
                <w:rFonts w:ascii="Arial" w:cs="Arial" w:eastAsia="Arial" w:hAnsi="Arial"/>
                <w:sz w:val="17"/>
                <w:szCs w:val="17"/>
                <w:b w:val="1"/>
                <w:bCs w:val="1"/>
                <w:color w:val="auto"/>
              </w:rPr>
              <w:t>Total Shareholders’ Deficit</w:t>
            </w: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(410.5)</w:t>
            </w:r>
          </w:p>
        </w:tc>
      </w:tr>
      <w:tr>
        <w:trPr>
          <w:trHeight w:val="26"/>
        </w:trPr>
        <w:tc>
          <w:tcPr>
            <w:tcW w:w="99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 w:right="239" w:bottom="1440" w:gutter="0" w:footer="0" w:header="0"/>
        </w:sectPr>
      </w:pPr>
    </w:p>
    <w:bookmarkStart w:id="6" w:name="page7"/>
    <w:bookmarkEnd w:id="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YRC Worldwide Inc.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of these Notes to Consolidated Financial Statements contain forward-looking statements, as described in “Management’s Discussion and Analysis of Financial Condition and Results of Operations — Cautionary Note Regarding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YRC Worldwide Inc. (also referred to as “YRC Worldwide,” the “Company,” “we,” “us” or “our”) is a holding company that, through wholly owned operating subsidiaries, offers its customers a wide range of transportation services. YRC Worldwide has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2" w:lineRule="exact"/>
        <w:rPr>
          <w:sz w:val="20"/>
          <w:szCs w:val="20"/>
          <w:color w:val="auto"/>
        </w:rPr>
      </w:pPr>
    </w:p>
    <w:p>
      <w:pPr>
        <w:jc w:val="both"/>
        <w:ind w:left="600" w:hanging="297"/>
        <w:spacing w:after="0" w:line="252"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our LTL subsidiaries YRC Inc. (doing business as, and herein referred to as, “YRC Freight”) and Reimer Express Lines Ltd. (“YRC Reimer”). YRC Reimer is a subsidiary located in Canada that specializes in shipments into, across and out of Canada. In addition to the United States and Canada, YRC Freight also serves parts of Mexico and Puerto Rico.</w:t>
      </w:r>
    </w:p>
    <w:p>
      <w:pPr>
        <w:spacing w:after="0" w:line="181" w:lineRule="exact"/>
        <w:rPr>
          <w:rFonts w:ascii="Arial" w:cs="Arial" w:eastAsia="Arial" w:hAnsi="Arial"/>
          <w:sz w:val="17"/>
          <w:szCs w:val="17"/>
          <w:color w:val="auto"/>
        </w:rPr>
      </w:pPr>
    </w:p>
    <w:p>
      <w:pPr>
        <w:jc w:val="both"/>
        <w:ind w:left="600" w:hanging="297"/>
        <w:spacing w:after="0" w:line="254"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At June 30, 2017, approximately 78% of our labor force is subject to collective bargaining agreements, which predominantly expire in March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Principles of Consolidation</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accompanying Consolidated Financial Statements include the accounts of YRC Worldwide and its wholly owned subsidiaries. All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For ease of reference, the calendar quarter end dates are used herein.</w:t>
      </w:r>
    </w:p>
    <w:p>
      <w:pPr>
        <w:spacing w:after="0" w:line="16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make estimates and assumptions that affect the amounts reported in the Consolidated Financial Statements and notes. Actual results could differ from those estimates. We have prepared the Consolidated Financial Statements, without audit, pursuant to the rules and regulations of the Securities and Exchange Commission (“SEC”). In our opinion, we have made all normal recurring adjustments necessary for a fair statement of the financial position, results of operations and cash flows for the interim periods included in these financial statements. Certain information and note disclosures normally included in financial statements prepared in accordance with generally accepted accounting principles in the United States (“GAAP”) have been condensed or omitted from these statements pursuant to SEC rules and regulations. Accordingly, the accompanying Consolidated Financial Statements should be read in conjunction with the Consolidated Financial Statements included in our Annual Report on Form 10-K for the year ended December 31, 2016.</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fair value hierarchy of our financial assets and liabilities carried at fair value on a recurring basis as of June 30,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6"/>
          </w:tcPr>
          <w:p>
            <w:pPr>
              <w:jc w:val="center"/>
              <w:ind w:left="967"/>
              <w:spacing w:after="0"/>
              <w:rPr>
                <w:sz w:val="20"/>
                <w:szCs w:val="20"/>
                <w:color w:val="auto"/>
              </w:rPr>
            </w:pPr>
            <w:r>
              <w:rPr>
                <w:rFonts w:ascii="Arial" w:cs="Arial" w:eastAsia="Arial" w:hAnsi="Arial"/>
                <w:sz w:val="13"/>
                <w:szCs w:val="13"/>
                <w:b w:val="1"/>
                <w:bCs w:val="1"/>
                <w:color w:val="auto"/>
                <w:w w:val="95"/>
              </w:rPr>
              <w:t>Fair Value Measurement Hierarchy</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1"/>
              </w:rPr>
              <w:t>Quoted prices</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3"/>
              </w:rPr>
              <w:t>Significant</w:t>
            </w:r>
          </w:p>
        </w:tc>
        <w:tc>
          <w:tcPr>
            <w:tcW w:w="260" w:type="dxa"/>
            <w:vAlign w:val="bottom"/>
          </w:tcPr>
          <w:p>
            <w:pPr>
              <w:spacing w:after="0"/>
              <w:rPr>
                <w:sz w:val="12"/>
                <w:szCs w:val="12"/>
                <w:color w:val="auto"/>
              </w:rPr>
            </w:pPr>
          </w:p>
        </w:tc>
        <w:tc>
          <w:tcPr>
            <w:tcW w:w="1200" w:type="dxa"/>
            <w:vAlign w:val="bottom"/>
          </w:tcPr>
          <w:p>
            <w:pPr>
              <w:jc w:val="center"/>
              <w:ind w:right="187"/>
              <w:spacing w:after="0" w:line="141" w:lineRule="exact"/>
              <w:rPr>
                <w:sz w:val="20"/>
                <w:szCs w:val="20"/>
                <w:color w:val="auto"/>
              </w:rPr>
            </w:pPr>
            <w:r>
              <w:rPr>
                <w:rFonts w:ascii="Arial" w:cs="Arial" w:eastAsia="Arial" w:hAnsi="Arial"/>
                <w:sz w:val="13"/>
                <w:szCs w:val="13"/>
                <w:b w:val="1"/>
                <w:bCs w:val="1"/>
                <w:color w:val="auto"/>
                <w:w w:val="93"/>
              </w:rPr>
              <w:t>Significant</w:t>
            </w:r>
          </w:p>
        </w:tc>
        <w:tc>
          <w:tcPr>
            <w:tcW w:w="0" w:type="dxa"/>
            <w:vAlign w:val="bottom"/>
          </w:tcPr>
          <w:p>
            <w:pPr>
              <w:spacing w:after="0"/>
              <w:rPr>
                <w:sz w:val="1"/>
                <w:szCs w:val="1"/>
                <w:color w:val="auto"/>
              </w:rPr>
            </w:pPr>
          </w:p>
        </w:tc>
      </w:tr>
      <w:tr>
        <w:trPr>
          <w:trHeight w:val="138"/>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 Carrying</w:t>
            </w:r>
          </w:p>
        </w:tc>
        <w:tc>
          <w:tcPr>
            <w:tcW w:w="2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1200" w:type="dxa"/>
            <w:vAlign w:val="bottom"/>
          </w:tcPr>
          <w:p>
            <w:pPr>
              <w:jc w:val="center"/>
              <w:ind w:right="187"/>
              <w:spacing w:after="0" w:line="139" w:lineRule="exact"/>
              <w:rPr>
                <w:sz w:val="20"/>
                <w:szCs w:val="20"/>
                <w:color w:val="auto"/>
              </w:rPr>
            </w:pPr>
            <w:r>
              <w:rPr>
                <w:rFonts w:ascii="Arial" w:cs="Arial" w:eastAsia="Arial" w:hAnsi="Arial"/>
                <w:sz w:val="13"/>
                <w:szCs w:val="13"/>
                <w:b w:val="1"/>
                <w:bCs w:val="1"/>
                <w:color w:val="auto"/>
                <w:w w:val="92"/>
              </w:rPr>
              <w:t>unobservable</w:t>
            </w:r>
          </w:p>
        </w:tc>
        <w:tc>
          <w:tcPr>
            <w:tcW w:w="0" w:type="dxa"/>
            <w:vAlign w:val="bottom"/>
          </w:tcPr>
          <w:p>
            <w:pPr>
              <w:spacing w:after="0"/>
              <w:rPr>
                <w:sz w:val="1"/>
                <w:szCs w:val="1"/>
                <w:color w:val="auto"/>
              </w:rPr>
            </w:pPr>
          </w:p>
        </w:tc>
      </w:tr>
      <w:tr>
        <w:trPr>
          <w:trHeight w:val="138"/>
        </w:trPr>
        <w:tc>
          <w:tcPr>
            <w:tcW w:w="5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3"/>
              </w:rPr>
              <w:t>in active market</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0"/>
              </w:rPr>
              <w:t>observable</w:t>
            </w:r>
          </w:p>
        </w:tc>
        <w:tc>
          <w:tcPr>
            <w:tcW w:w="260" w:type="dxa"/>
            <w:vAlign w:val="bottom"/>
          </w:tcPr>
          <w:p>
            <w:pPr>
              <w:spacing w:after="0"/>
              <w:rPr>
                <w:sz w:val="12"/>
                <w:szCs w:val="12"/>
                <w:color w:val="auto"/>
              </w:rPr>
            </w:pPr>
          </w:p>
        </w:tc>
        <w:tc>
          <w:tcPr>
            <w:tcW w:w="1200" w:type="dxa"/>
            <w:vAlign w:val="bottom"/>
          </w:tcPr>
          <w:p>
            <w:pPr>
              <w:jc w:val="center"/>
              <w:ind w:right="167"/>
              <w:spacing w:after="0" w:line="139"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79"/>
        </w:trPr>
        <w:tc>
          <w:tcPr>
            <w:tcW w:w="51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8"/>
              </w:rPr>
              <w:t>(Level 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4"/>
              </w:rPr>
              <w:t>inputs (Level 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7"/>
              <w:spacing w:after="0"/>
              <w:rPr>
                <w:sz w:val="20"/>
                <w:szCs w:val="20"/>
                <w:color w:val="auto"/>
              </w:rPr>
            </w:pPr>
            <w:r>
              <w:rPr>
                <w:rFonts w:ascii="Arial" w:cs="Arial" w:eastAsia="Arial" w:hAnsi="Arial"/>
                <w:sz w:val="13"/>
                <w:szCs w:val="13"/>
                <w:b w:val="1"/>
                <w:bCs w:val="1"/>
                <w:color w:val="auto"/>
                <w:w w:val="94"/>
              </w:rPr>
              <w:t>(Level 3)</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amounts held in escrow-current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7"/>
                <w:szCs w:val="17"/>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7"/>
                <w:szCs w:val="17"/>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140" w:type="dxa"/>
            <w:vAlign w:val="bottom"/>
          </w:tcPr>
          <w:p>
            <w:pPr>
              <w:ind w:left="360"/>
              <w:spacing w:after="0"/>
              <w:rPr>
                <w:sz w:val="20"/>
                <w:szCs w:val="20"/>
                <w:color w:val="auto"/>
              </w:rPr>
            </w:pPr>
            <w:r>
              <w:rPr>
                <w:rFonts w:ascii="Arial" w:cs="Arial" w:eastAsia="Arial" w:hAnsi="Arial"/>
                <w:sz w:val="17"/>
                <w:szCs w:val="17"/>
                <w:color w:val="auto"/>
              </w:rPr>
              <w:t>Total assets at fair value</w:t>
            </w: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rPr>
              <w:t>54.0</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jc w:val="right"/>
              <w:ind w:right="47"/>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 their fair value due to the short-term nature of these instruments.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Method Investment</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23, 2015, the Company entered into a sale and purchase agreement to sell its fifty percent equity interest in its Chinese joint venture, JHJ International Transportation Co., Ltd. (“JHJ”), for a purchase price of $16.3 million, which subsequently closed on March 30, 2016. At closing, we received proceeds of $16.3 million and paid transaction fees of $1.7 million. As of March 30, 2016, the carrying value of the investment was $22.7 million with an offsetting cumulative foreign translation adjustment of $10.4 million, resulting in a net gain on the transaction of $2.3 million. The gain on the transaction is included in “Nonoperating expenses - Other, net” in the accompanying statement of consolidated comprehensive loss for the three and six months ended June 30,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 Out of Accumulated Other Comprehensive Loss</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the three and six months ended June 30, 2017, we reclassified the amortization of our net pension loss totaling $3.9 million and $7.8 million, respectively, net of tax, from accumulated other comprehensive loss to net income (loss). For the three and six months ended June 30, 2016, we reclassified the amortization of our net pension loss totaling $3.4 million and $6.8 million, respectively, net of tax, from accumulated other comprehensive loss to net income. This reclassification is a component of net periodic pension cost and is discussed in the “Employee Benefits” footnote to the consolidated financial statements. In addition, for the three and six months ended June 30, 2016, we also reclassified foreign currency translation adjustments of $10.4 million related to our investment in JHJ from accumulated other comprehensive loss to net income, as discussed in the “Equity Method Investment” section above.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Recently Issued Accounting Standards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 April 2015, the Financial Accounting Standards Board (“FASB”) issued Accounting Standards Update (“ASU”) 2015-14,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Deferral of the Effective Date, </w:t>
      </w:r>
      <w:r>
        <w:rPr>
          <w:rFonts w:ascii="Arial" w:cs="Arial" w:eastAsia="Arial" w:hAnsi="Arial"/>
          <w:sz w:val="16"/>
          <w:szCs w:val="16"/>
          <w:color w:val="auto"/>
        </w:rPr>
        <w:t>which defers the effective date of ASU 2014-9,</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The new standard introduces a five-step model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when and how revenue is recognized. The premise of the new model is that an entity recognizes revenue to depict the transfer of promised goods or services to customers in an amount that reflects the consideration to which the entity expects to be entitled in exchange for those goods or services. The new standard will be effective for the Company for its annual reporting period beginning January 1, 2018, including interim periods within that reporting period. Entities are allowed to transition to the new standard by either recasting prior periods or recognizing the cumulative effect using a modified retrospective approach. The Company is in the process of reviewing customer contracts, but we believe our transportation revenue recognized under the new standard will generally approximate revenue under current standards, in that we recognize transportation revenue proportionately as we perform the transportation service for our customer. The Company will formalize an assessment, including the impacts of new expanded disclosure requirements, in the second half of 2017 and plans to adopt the new standard in the first quarter of 2018 using the modified retrospective transition approach.</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which requires entities with a classified balance sheet to present all deferred tax assets and liabilities as noncurrent. The ASU allows entities to choose either prospective or retrospective transition. The Company adopted the standard in the first quarter of 2017 and elected prospective application; accordingly, historical periods were not adjusted. There was no material impact on its consolidated financial statements.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lessees to recognize a right-to-use asset and a lease obligation for all leases. Lessees are permitted to make an accounting policy election to not recognize an asset and liability for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leases with a term of twelve months or less.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and requires a modified retrospective transition approach. The Company is currently evaluating the impact the adoption of this standard will have on its consolidated financial statements.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 March 2017, the FASB issued ASU 2017-07, </w:t>
      </w:r>
      <w:r>
        <w:rPr>
          <w:rFonts w:ascii="Arial" w:cs="Arial" w:eastAsia="Arial" w:hAnsi="Arial"/>
          <w:sz w:val="16"/>
          <w:szCs w:val="16"/>
          <w:i w:val="1"/>
          <w:iCs w:val="1"/>
          <w:color w:val="auto"/>
        </w:rPr>
        <w:t>Improving the Presentation of Net Periodic Pension Cost and Net Periodic Postretirement Benefit Cos</w:t>
      </w:r>
      <w:r>
        <w:rPr>
          <w:rFonts w:ascii="Arial" w:cs="Arial" w:eastAsia="Arial" w:hAnsi="Arial"/>
          <w:sz w:val="16"/>
          <w:szCs w:val="16"/>
          <w:color w:val="auto"/>
        </w:rPr>
        <w:t>t, which requires companies to present the service cost component of net benefit cost in the same income statement line item as other employee compensation costs arising from services rendered during the period. In addition, only the service cost component will be eligible for capitalization in assets. All other components of net benefit cost are presented outside of any subtotal for operating income, if one is presented. The new standard is effective for the Company for its annual reporting period beginning January 1, 2018, including interim periods within that reporting period. Early application is permitted for the first quarter of 2017. Companies are required to present the components of net benefit cost in the income statement retrospectively, while the guidance limiting the capitalization of net periodic benefit cost in assets to the service cost component will be applied prospectively. The Company will adopt the standard in the first quarter of 2018. The Company does not currently capitalize any portion of net benefit cost. For the three and six months ended June 30, 2017, the amount to be reclassified to “Other, net” in nonoperating expenses from “Salaries, wages and employee benefits” in operating expenses is $1.9 million and $3.8 million, respectively, if adopted. Accordingly, the Company does not believe the adoption of this standard will have a material impact on its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 and Financing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outstanding debt as of June 30, 2017 consisted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 of June 30, 2017 (in millions)</w:t>
            </w:r>
          </w:p>
        </w:tc>
        <w:tc>
          <w:tcPr>
            <w:tcW w:w="180" w:type="dxa"/>
            <w:vAlign w:val="bottom"/>
          </w:tcPr>
          <w:p>
            <w:pPr>
              <w:spacing w:after="0"/>
              <w:rPr>
                <w:sz w:val="13"/>
                <w:szCs w:val="13"/>
                <w:color w:val="auto"/>
              </w:rPr>
            </w:pPr>
          </w:p>
        </w:tc>
        <w:tc>
          <w:tcPr>
            <w:tcW w:w="940" w:type="dxa"/>
            <w:vAlign w:val="bottom"/>
            <w:vMerge w:val="restart"/>
          </w:tcPr>
          <w:p>
            <w:pPr>
              <w:jc w:val="right"/>
              <w:ind w:right="198"/>
              <w:spacing w:after="0"/>
              <w:rPr>
                <w:sz w:val="20"/>
                <w:szCs w:val="20"/>
                <w:color w:val="auto"/>
              </w:rPr>
            </w:pPr>
            <w:r>
              <w:rPr>
                <w:rFonts w:ascii="Arial" w:cs="Arial" w:eastAsia="Arial" w:hAnsi="Arial"/>
                <w:sz w:val="13"/>
                <w:szCs w:val="13"/>
                <w:b w:val="1"/>
                <w:bCs w:val="1"/>
                <w:color w:val="auto"/>
              </w:rPr>
              <w:t>Par Value</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38"/>
              <w:spacing w:after="0"/>
              <w:rPr>
                <w:sz w:val="20"/>
                <w:szCs w:val="20"/>
                <w:color w:val="auto"/>
              </w:rPr>
            </w:pPr>
            <w:r>
              <w:rPr>
                <w:rFonts w:ascii="Arial" w:cs="Arial" w:eastAsia="Arial" w:hAnsi="Arial"/>
                <w:sz w:val="13"/>
                <w:szCs w:val="13"/>
                <w:b w:val="1"/>
                <w:bCs w:val="1"/>
                <w:color w:val="auto"/>
              </w:rPr>
              <w:t>Discount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Debt Issuance</w:t>
            </w:r>
          </w:p>
        </w:tc>
        <w:tc>
          <w:tcPr>
            <w:tcW w:w="240" w:type="dxa"/>
            <w:vAlign w:val="bottom"/>
          </w:tcPr>
          <w:p>
            <w:pPr>
              <w:spacing w:after="0"/>
              <w:rPr>
                <w:sz w:val="13"/>
                <w:szCs w:val="13"/>
                <w:color w:val="auto"/>
              </w:rPr>
            </w:pPr>
          </w:p>
        </w:tc>
        <w:tc>
          <w:tcPr>
            <w:tcW w:w="880" w:type="dxa"/>
            <w:vAlign w:val="bottom"/>
          </w:tcPr>
          <w:p>
            <w:pPr>
              <w:jc w:val="right"/>
              <w:ind w:right="339"/>
              <w:spacing w:after="0"/>
              <w:rPr>
                <w:sz w:val="20"/>
                <w:szCs w:val="20"/>
                <w:color w:val="auto"/>
              </w:rPr>
            </w:pPr>
            <w:r>
              <w:rPr>
                <w:rFonts w:ascii="Arial" w:cs="Arial" w:eastAsia="Arial" w:hAnsi="Arial"/>
                <w:sz w:val="13"/>
                <w:szCs w:val="13"/>
                <w:b w:val="1"/>
                <w:bCs w:val="1"/>
                <w:color w:val="auto"/>
              </w:rPr>
              <w:t>Book</w:t>
            </w:r>
          </w:p>
        </w:tc>
        <w:tc>
          <w:tcPr>
            <w:tcW w:w="12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3"/>
                <w:szCs w:val="13"/>
                <w:b w:val="1"/>
                <w:bCs w:val="1"/>
                <w:color w:val="auto"/>
              </w:rPr>
              <w:t>Stated</w:t>
            </w:r>
          </w:p>
        </w:tc>
        <w:tc>
          <w:tcPr>
            <w:tcW w:w="1180" w:type="dxa"/>
            <w:vAlign w:val="bottom"/>
          </w:tcPr>
          <w:p>
            <w:pPr>
              <w:jc w:val="right"/>
              <w:ind w:right="1"/>
              <w:spacing w:after="0"/>
              <w:rPr>
                <w:sz w:val="20"/>
                <w:szCs w:val="20"/>
                <w:color w:val="auto"/>
              </w:rPr>
            </w:pPr>
            <w:r>
              <w:rPr>
                <w:rFonts w:ascii="Arial" w:cs="Arial" w:eastAsia="Arial" w:hAnsi="Arial"/>
                <w:sz w:val="13"/>
                <w:szCs w:val="13"/>
                <w:b w:val="1"/>
                <w:bCs w:val="1"/>
                <w:color w:val="auto"/>
                <w:w w:val="98"/>
              </w:rPr>
              <w:t>Average Effective</w:t>
            </w:r>
          </w:p>
        </w:tc>
        <w:tc>
          <w:tcPr>
            <w:tcW w:w="0" w:type="dxa"/>
            <w:vAlign w:val="bottom"/>
          </w:tcPr>
          <w:p>
            <w:pPr>
              <w:spacing w:after="0"/>
              <w:rPr>
                <w:sz w:val="1"/>
                <w:szCs w:val="1"/>
                <w:color w:val="auto"/>
              </w:rPr>
            </w:pPr>
          </w:p>
        </w:tc>
      </w:tr>
      <w:tr>
        <w:trPr>
          <w:trHeight w:val="179"/>
        </w:trPr>
        <w:tc>
          <w:tcPr>
            <w:tcW w:w="3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Costs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Value</w:t>
            </w:r>
          </w:p>
        </w:tc>
        <w:tc>
          <w:tcPr>
            <w:tcW w:w="1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Interest Rate</w:t>
            </w:r>
          </w:p>
        </w:tc>
        <w:tc>
          <w:tcPr>
            <w:tcW w:w="3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4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635.2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624.0</w:t>
            </w: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720"/>
              <w:spacing w:after="0" w:line="250" w:lineRule="exact"/>
              <w:rPr>
                <w:sz w:val="20"/>
                <w:szCs w:val="20"/>
                <w:color w:val="auto"/>
              </w:rPr>
            </w:pPr>
            <w:r>
              <w:rPr>
                <w:rFonts w:ascii="Arial" w:cs="Arial" w:eastAsia="Arial" w:hAnsi="Arial"/>
                <w:sz w:val="17"/>
                <w:szCs w:val="17"/>
                <w:color w:val="auto"/>
              </w:rPr>
              <w:t xml:space="preserve">8.50% </w:t>
            </w:r>
            <w:r>
              <w:rPr>
                <w:rFonts w:ascii="Arial" w:cs="Arial" w:eastAsia="Arial" w:hAnsi="Arial"/>
                <w:sz w:val="23"/>
                <w:szCs w:val="23"/>
                <w:color w:val="auto"/>
                <w:vertAlign w:val="superscript"/>
              </w:rPr>
              <w:t>(a)</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ABL Facility</w:t>
            </w:r>
          </w:p>
        </w:tc>
        <w:tc>
          <w:tcPr>
            <w:tcW w:w="1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180" w:type="dxa"/>
            <w:vAlign w:val="bottom"/>
          </w:tcPr>
          <w:p>
            <w:pPr>
              <w:jc w:val="right"/>
              <w:ind w:right="81"/>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Secured Second A&amp;R CDA</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27.1</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4.3-18.3%</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Unsecured Second A&amp;R CDA</w:t>
            </w:r>
          </w:p>
        </w:tc>
        <w:tc>
          <w:tcPr>
            <w:tcW w:w="18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7"/>
                <w:szCs w:val="17"/>
                <w:color w:val="auto"/>
              </w:rPr>
              <w:t>72.8</w:t>
            </w:r>
          </w:p>
        </w:tc>
        <w:tc>
          <w:tcPr>
            <w:tcW w:w="1320" w:type="dxa"/>
            <w:vAlign w:val="bottom"/>
            <w:gridSpan w:val="2"/>
          </w:tcPr>
          <w:p>
            <w:pPr>
              <w:jc w:val="right"/>
              <w:ind w:right="105"/>
              <w:spacing w:after="0"/>
              <w:rPr>
                <w:sz w:val="20"/>
                <w:szCs w:val="20"/>
                <w:color w:val="auto"/>
              </w:rPr>
            </w:pPr>
            <w:r>
              <w:rPr>
                <w:rFonts w:ascii="Arial" w:cs="Arial" w:eastAsia="Arial" w:hAnsi="Arial"/>
                <w:sz w:val="17"/>
                <w:szCs w:val="17"/>
                <w:color w:val="auto"/>
              </w:rPr>
              <w:t>4.3-18.3%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6"/>
        </w:trPr>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 financing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264.1</w:t>
            </w:r>
          </w:p>
        </w:tc>
        <w:tc>
          <w:tcPr>
            <w:tcW w:w="1320" w:type="dxa"/>
            <w:vAlign w:val="bottom"/>
            <w:tcBorders>
              <w:bottom w:val="single" w:sz="8" w:color="CCEEFF"/>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9.0-18.2%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9"/>
        </w:trPr>
        <w:tc>
          <w:tcPr>
            <w:tcW w:w="372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1,000.8</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988.0</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maturities of Term Loan</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20" w:type="dxa"/>
            <w:vAlign w:val="bottom"/>
          </w:tcPr>
          <w:p>
            <w:pPr>
              <w:ind w:left="20"/>
              <w:spacing w:after="0"/>
              <w:rPr>
                <w:sz w:val="20"/>
                <w:szCs w:val="20"/>
                <w:color w:val="auto"/>
              </w:rPr>
            </w:pPr>
            <w:r>
              <w:rPr>
                <w:rFonts w:ascii="Arial" w:cs="Arial" w:eastAsia="Arial" w:hAnsi="Arial"/>
                <w:sz w:val="17"/>
                <w:szCs w:val="17"/>
                <w:color w:val="auto"/>
              </w:rPr>
              <w:t>Current maturities of lease financing obligations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983.1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970.3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tabs>
          <w:tab w:leader="none" w:pos="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Variable interest rate of 1, 3 or 6-month LIBOR, with a floor of 1.0%%, plus a fixed margin of 7.50%.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ABL Facility Availability</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principal sources of liquidity are cash and cash equivalents, available borrowings under our ABL Facility and any prospective net cash flow from operations. As of June 30, 2017, our availability under our ABL Facility was $82.4 million, which is derived by reducing the amount that may be advanced against eligible receivables plus eligible borrowing base cash by certain reserves imposed by the ABL Agent and our $359.7 million of outstanding letters of credit. Of the $82.4 million in availability, we do not expect to access more than $38.2 million (“Managed Accessibility”) based on our springing fixed charge coverage ratio (as set forth in our ABL Facility). Our cash and cash equivalents and Managed Accessibility was $253.4 million as of June 30, 2017.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 Amendment</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On July 26, 2017, the Company entered into Amendment No. 4 (the “Amendment”) to the credit agreement (the “Term Loan Agreement”) governing our term loan facility (the “Term Loan”), which extended the maturity date to July 26, 2022 subject to the extension of the Secured and Unsecured Second Amended and Restated Contribution Deferral Agreement (the “Second A&amp;R CDA”). If the Second A&amp;R CDA is not extended, the maturity date of the Term Loan will spring back to November 1, 2019. The Amendment provides that the outstanding term loans under the Term Loan Agreement are satisfied and discharged in full and that the Company incurs new term loans in the aggregate principal amount of $600 million. The Amendment increased the annual principal payments from 1% to 3% per annum and increased the applicable interest rate, at either the applicable LIBOR (subject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a floor of 1%), plus a margin of 8.50% or an alternative base rate (as defined in the Term Loan Agreement) plus a margin of 6.50%. In connection with the Amendment, the Company paid $35.2 million in principal and incurred $9.7 million in original issuance discount and an estimated $7.5 million in third party costs.</w:t>
      </w:r>
    </w:p>
    <w:p>
      <w:pPr>
        <w:spacing w:after="0" w:line="143"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As a result of the extension in the maturity date under the Term Loan, the maturity date of the ABL will extend to June 28, 2021, as provided under Amendment No. 2 to the ABL, provided the Term Loan’s extension is met through the extension of the Second A&amp;R CDA. Otherwise, the maturity date of the ABL is February 13, 2019.</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Term Loan Agreement governing our Term Loan has certain financial covenants, as amended on July 26, 2017, that, among other things, restrict certain capital expenditures and require us to comply with a maximum total leverage ratio covenant (defined as Consolidated Total Debt divided by Consolidated Adjusted EBITDA as defined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total maximum leverage ratio covenants are as follows:</w:t>
      </w:r>
    </w:p>
    <w:p>
      <w:pPr>
        <w:spacing w:after="0" w:line="138"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7"/>
              </w:rPr>
              <w:t>Four Consecutive Fiscal Quarters Ending</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160" w:type="dxa"/>
            <w:vAlign w:val="bottom"/>
          </w:tcPr>
          <w:p>
            <w:pPr>
              <w:spacing w:after="0"/>
              <w:rPr>
                <w:sz w:val="13"/>
                <w:szCs w:val="13"/>
                <w:color w:val="auto"/>
              </w:rPr>
            </w:pPr>
          </w:p>
        </w:tc>
        <w:tc>
          <w:tcPr>
            <w:tcW w:w="256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98"/>
              </w:rPr>
              <w:t>Four Consecutive Fiscal Quarters Ending</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7"/>
              </w:rPr>
              <w:t>Maximum Total</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Leverage Ratio</w:t>
            </w:r>
          </w:p>
        </w:tc>
        <w:tc>
          <w:tcPr>
            <w:tcW w:w="1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Leverage Ratio</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3.85 to 1.00</w:t>
            </w:r>
          </w:p>
        </w:tc>
        <w:tc>
          <w:tcPr>
            <w:tcW w:w="1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2019</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September 30, 2017</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3.75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December 31, 2019</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2017</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March 31,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3.00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June 30,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September 30, 2020</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September 30, 2018</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December 31, 2020</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31, 2018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3.50 to 1.00</w:t>
            </w:r>
          </w:p>
        </w:tc>
        <w:tc>
          <w:tcPr>
            <w:tcW w:w="160" w:type="dxa"/>
            <w:vAlign w:val="bottom"/>
          </w:tcPr>
          <w:p>
            <w:pPr>
              <w:spacing w:after="0"/>
              <w:rPr>
                <w:sz w:val="20"/>
                <w:szCs w:val="20"/>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March 31, 2021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2.75 to 1.00</w:t>
            </w:r>
          </w:p>
        </w:tc>
        <w:tc>
          <w:tcPr>
            <w:tcW w:w="0" w:type="dxa"/>
            <w:vAlign w:val="bottom"/>
          </w:tcPr>
          <w:p>
            <w:pPr>
              <w:spacing w:after="0"/>
              <w:rPr>
                <w:sz w:val="1"/>
                <w:szCs w:val="1"/>
                <w:color w:val="auto"/>
              </w:rPr>
            </w:pP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March 31, 2019</w:t>
            </w:r>
          </w:p>
        </w:tc>
        <w:tc>
          <w:tcPr>
            <w:tcW w:w="1200" w:type="dxa"/>
            <w:vAlign w:val="bottom"/>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rPr>
              <w:t>June 30, 2021 and thereafter</w:t>
            </w: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2.50 to 1.00</w:t>
            </w:r>
          </w:p>
        </w:tc>
        <w:tc>
          <w:tcPr>
            <w:tcW w:w="0" w:type="dxa"/>
            <w:vAlign w:val="bottom"/>
          </w:tcPr>
          <w:p>
            <w:pPr>
              <w:spacing w:after="0"/>
              <w:rPr>
                <w:sz w:val="1"/>
                <w:szCs w:val="1"/>
                <w:color w:val="auto"/>
              </w:rPr>
            </w:pPr>
          </w:p>
        </w:tc>
      </w:tr>
      <w:tr>
        <w:trPr>
          <w:trHeight w:val="26"/>
        </w:trPr>
        <w:tc>
          <w:tcPr>
            <w:tcW w:w="2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2019</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3.25 to 1.00</w:t>
            </w:r>
          </w:p>
        </w:tc>
        <w:tc>
          <w:tcPr>
            <w:tcW w:w="160" w:type="dxa"/>
            <w:vAlign w:val="bottom"/>
          </w:tcPr>
          <w:p>
            <w:pPr>
              <w:spacing w:after="0"/>
              <w:rPr>
                <w:sz w:val="19"/>
                <w:szCs w:val="19"/>
                <w:color w:val="auto"/>
              </w:rPr>
            </w:pPr>
          </w:p>
        </w:tc>
        <w:tc>
          <w:tcPr>
            <w:tcW w:w="2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non-recurring consulting fees, expenses associated with certain lump sum payments to our union employees and the gains or losses from permitted dispositions and discontinued operations. Consolidated Total Debt, as defined in our Term Loan Agreement, is the aggregate principal amount of indebtedness outstanding. Our total leverage ratio for the four consecutive fiscal quarters ending June 30, 2017 was 3.61 to 1.00.</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To maintain compliance with the maximum total leverage ratio over the tenor of the Term Loan and satisfy our liquidity needs, we would have to achieve operating results that reflect a slight improvement to our 2016 Adjusted EBITDA. Means for improving our profitability may include streamlining our support structure, as well as ongoing successful implementation and realization of pricing, productivity and efficiency initiatives, in addition to increased volume, some of which are outside of our control.</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2017</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ind w:left="740"/>
              <w:spacing w:after="0"/>
              <w:rPr>
                <w:sz w:val="20"/>
                <w:szCs w:val="20"/>
                <w:color w:val="auto"/>
              </w:rPr>
            </w:pPr>
            <w:r>
              <w:rPr>
                <w:rFonts w:ascii="Arial" w:cs="Arial" w:eastAsia="Arial" w:hAnsi="Arial"/>
                <w:sz w:val="13"/>
                <w:szCs w:val="13"/>
                <w:b w:val="1"/>
                <w:bCs w:val="1"/>
                <w:color w:val="auto"/>
              </w:rPr>
              <w:t>December 31, 2016</w:t>
            </w:r>
          </w:p>
        </w:tc>
      </w:tr>
      <w:tr>
        <w:trPr>
          <w:trHeight w:val="244"/>
        </w:trPr>
        <w:tc>
          <w:tcPr>
            <w:tcW w:w="5140" w:type="dxa"/>
            <w:vAlign w:val="bottom"/>
          </w:tcPr>
          <w:p>
            <w:pPr>
              <w:ind w:left="20"/>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21"/>
                <w:szCs w:val="21"/>
                <w:color w:val="auto"/>
              </w:rPr>
            </w:pPr>
          </w:p>
        </w:tc>
        <w:tc>
          <w:tcPr>
            <w:tcW w:w="136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40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Fair value</w:t>
            </w:r>
          </w:p>
        </w:tc>
        <w:tc>
          <w:tcPr>
            <w:tcW w:w="28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3"/>
                <w:szCs w:val="13"/>
                <w:color w:val="auto"/>
              </w:rPr>
              <w:t>Book Value</w:t>
            </w:r>
          </w:p>
        </w:tc>
        <w:tc>
          <w:tcPr>
            <w:tcW w:w="280" w:type="dxa"/>
            <w:vAlign w:val="bottom"/>
          </w:tcPr>
          <w:p>
            <w:pPr>
              <w:spacing w:after="0"/>
              <w:rPr>
                <w:sz w:val="21"/>
                <w:szCs w:val="21"/>
                <w:color w:val="auto"/>
              </w:rPr>
            </w:pPr>
          </w:p>
        </w:tc>
        <w:tc>
          <w:tcPr>
            <w:tcW w:w="1180" w:type="dxa"/>
            <w:vAlign w:val="bottom"/>
          </w:tcPr>
          <w:p>
            <w:pPr>
              <w:jc w:val="right"/>
              <w:ind w:right="379"/>
              <w:spacing w:after="0"/>
              <w:rPr>
                <w:sz w:val="20"/>
                <w:szCs w:val="20"/>
                <w:color w:val="auto"/>
              </w:rPr>
            </w:pPr>
            <w:r>
              <w:rPr>
                <w:rFonts w:ascii="Arial" w:cs="Arial" w:eastAsia="Arial" w:hAnsi="Arial"/>
                <w:sz w:val="13"/>
                <w:szCs w:val="13"/>
                <w:color w:val="auto"/>
              </w:rPr>
              <w:t>Fair value</w:t>
            </w:r>
          </w:p>
        </w:tc>
      </w:tr>
      <w:tr>
        <w:trPr>
          <w:trHeight w:val="229"/>
        </w:trPr>
        <w:tc>
          <w:tcPr>
            <w:tcW w:w="5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624.0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622.6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627.2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638.1</w:t>
            </w:r>
          </w:p>
        </w:tc>
      </w:tr>
      <w:tr>
        <w:trPr>
          <w:trHeight w:val="226"/>
        </w:trPr>
        <w:tc>
          <w:tcPr>
            <w:tcW w:w="5140" w:type="dxa"/>
            <w:vAlign w:val="bottom"/>
          </w:tcPr>
          <w:p>
            <w:pPr>
              <w:ind w:left="20"/>
              <w:spacing w:after="0"/>
              <w:rPr>
                <w:sz w:val="20"/>
                <w:szCs w:val="20"/>
                <w:color w:val="auto"/>
              </w:rPr>
            </w:pPr>
            <w:r>
              <w:rPr>
                <w:rFonts w:ascii="Arial" w:cs="Arial" w:eastAsia="Arial" w:hAnsi="Arial"/>
                <w:sz w:val="17"/>
                <w:szCs w:val="17"/>
                <w:color w:val="auto"/>
              </w:rPr>
              <w:t>Lease financing obligations</w:t>
            </w:r>
          </w:p>
        </w:tc>
        <w:tc>
          <w:tcPr>
            <w:tcW w:w="28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17"/>
                <w:szCs w:val="17"/>
                <w:color w:val="auto"/>
              </w:rPr>
              <w:t>264.1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7"/>
                <w:szCs w:val="17"/>
                <w:color w:val="auto"/>
              </w:rPr>
              <w:t>233.8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ind w:left="720"/>
              <w:spacing w:after="0"/>
              <w:rPr>
                <w:sz w:val="20"/>
                <w:szCs w:val="20"/>
                <w:color w:val="auto"/>
              </w:rPr>
            </w:pPr>
            <w:r>
              <w:rPr>
                <w:rFonts w:ascii="Arial" w:cs="Arial" w:eastAsia="Arial" w:hAnsi="Arial"/>
                <w:sz w:val="17"/>
                <w:szCs w:val="17"/>
                <w:color w:val="auto"/>
              </w:rPr>
              <w:t>268.6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259.1</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Second A&amp;R CDA</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7"/>
                <w:szCs w:val="17"/>
                <w:color w:val="auto"/>
              </w:rPr>
              <w:t>101.3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101.8</w:t>
            </w:r>
          </w:p>
        </w:tc>
      </w:tr>
      <w:tr>
        <w:trPr>
          <w:trHeight w:val="219"/>
        </w:trPr>
        <w:tc>
          <w:tcPr>
            <w:tcW w:w="514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tcPr>
          <w:p>
            <w:pPr>
              <w:jc w:val="right"/>
              <w:ind w:right="41"/>
              <w:spacing w:after="0"/>
              <w:rPr>
                <w:sz w:val="20"/>
                <w:szCs w:val="20"/>
                <w:color w:val="auto"/>
              </w:rPr>
            </w:pPr>
            <w:r>
              <w:rPr>
                <w:rFonts w:ascii="Arial" w:cs="Arial" w:eastAsia="Arial" w:hAnsi="Arial"/>
                <w:sz w:val="17"/>
                <w:szCs w:val="17"/>
                <w:color w:val="auto"/>
              </w:rPr>
              <w:t>988.0</w:t>
            </w:r>
          </w:p>
        </w:tc>
        <w:tc>
          <w:tcPr>
            <w:tcW w:w="120" w:type="dxa"/>
            <w:vAlign w:val="bottom"/>
          </w:tcPr>
          <w:p>
            <w:pPr>
              <w:spacing w:after="0"/>
              <w:rPr>
                <w:sz w:val="19"/>
                <w:szCs w:val="19"/>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rPr>
              <w:t>954.8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rPr>
              <w:t>997.1</w:t>
            </w: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999.0</w:t>
            </w:r>
          </w:p>
        </w:tc>
      </w:tr>
      <w:tr>
        <w:trPr>
          <w:trHeight w:val="26"/>
        </w:trPr>
        <w:tc>
          <w:tcPr>
            <w:tcW w:w="5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05"/>
        </w:trPr>
        <w:tc>
          <w:tcPr>
            <w:tcW w:w="5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jc w:val="right"/>
              <w:ind w:right="781"/>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The fair values of the Term Loan and the Second A&amp;R CDA were estimated based on observable prices (level two inputs for fair value measurements). The fair value of the lease financing obligations is estimated using a publicly-traded secured loan with similar characteristics (level three input for fair value measurement).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June 30, 2017, our operating lease payment obligations through 2030 totaled $298.8 million and are expected to increase as we lease additional revenue equipment. Additionally, for the six months ended June 30, 2017, we entered into new operating leases for revenue equipment totaling $13.2 million in future lease payments, payable over an average lease term of five years.</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capital expenditures for the six months ended June 30, 2017 and 2016 were $39.0 million and $47.3 million, respectively. These amounts were principally used to fund the purchase of used tractors and trailers, to refurbish engines for our revenue fleet, and for capitalized costs to improve our technology infrastructure.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Benefits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Qualified and Nonqualified Defined Benefit Pension Plans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our Company-sponsored pension costs for the three and six months ended June 30:</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179"/>
        </w:trPr>
        <w:tc>
          <w:tcPr>
            <w:tcW w:w="6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720" w:type="dxa"/>
            <w:vAlign w:val="bottom"/>
            <w:tcBorders>
              <w:bottom w:val="single" w:sz="8" w:color="auto"/>
            </w:tcBorders>
          </w:tcPr>
          <w:p>
            <w:pPr>
              <w:spacing w:after="0"/>
              <w:rPr>
                <w:sz w:val="15"/>
                <w:szCs w:val="15"/>
                <w:color w:val="auto"/>
              </w:rPr>
            </w:pPr>
          </w:p>
        </w:tc>
      </w:tr>
      <w:tr>
        <w:trPr>
          <w:trHeight w:val="244"/>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2016</w:t>
            </w:r>
          </w:p>
        </w:tc>
      </w:tr>
      <w:tr>
        <w:trPr>
          <w:trHeight w:val="22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w:t>
            </w:r>
          </w:p>
        </w:tc>
      </w:tr>
      <w:tr>
        <w:trPr>
          <w:trHeight w:val="226"/>
        </w:trPr>
        <w:tc>
          <w:tcPr>
            <w:tcW w:w="612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7"/>
                <w:szCs w:val="17"/>
                <w:color w:val="auto"/>
              </w:rPr>
              <w:t>28.0</w:t>
            </w:r>
          </w:p>
        </w:tc>
      </w:tr>
      <w:tr>
        <w:trPr>
          <w:trHeight w:val="26"/>
        </w:trPr>
        <w:tc>
          <w:tcPr>
            <w:tcW w:w="6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2"/>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26"/>
        </w:trPr>
        <w:tc>
          <w:tcPr>
            <w:tcW w:w="6120" w:type="dxa"/>
            <w:vAlign w:val="bottom"/>
          </w:tcPr>
          <w:p>
            <w:pPr>
              <w:ind w:left="20"/>
              <w:spacing w:after="0"/>
              <w:rPr>
                <w:sz w:val="20"/>
                <w:szCs w:val="20"/>
                <w:color w:val="auto"/>
              </w:rPr>
            </w:pPr>
            <w:r>
              <w:rPr>
                <w:rFonts w:ascii="Arial" w:cs="Arial" w:eastAsia="Arial" w:hAnsi="Arial"/>
                <w:sz w:val="17"/>
                <w:szCs w:val="17"/>
                <w:color w:val="auto"/>
              </w:rPr>
              <w:t>Amortization of net pension loss</w:t>
            </w:r>
          </w:p>
        </w:tc>
        <w:tc>
          <w:tcPr>
            <w:tcW w:w="260" w:type="dxa"/>
            <w:vAlign w:val="bottom"/>
          </w:tcPr>
          <w:p>
            <w:pPr>
              <w:spacing w:after="0"/>
              <w:rPr>
                <w:sz w:val="19"/>
                <w:szCs w:val="19"/>
                <w:color w:val="auto"/>
              </w:rPr>
            </w:pPr>
          </w:p>
        </w:tc>
        <w:tc>
          <w:tcPr>
            <w:tcW w:w="840" w:type="dxa"/>
            <w:vAlign w:val="bottom"/>
          </w:tcPr>
          <w:p>
            <w:pPr>
              <w:jc w:val="right"/>
              <w:ind w:right="21"/>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21"/>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7"/>
                <w:szCs w:val="17"/>
                <w:color w:val="auto"/>
              </w:rPr>
              <w:t>6.8</w:t>
            </w:r>
          </w:p>
        </w:tc>
      </w:tr>
      <w:tr>
        <w:trPr>
          <w:trHeight w:val="26"/>
        </w:trPr>
        <w:tc>
          <w:tcPr>
            <w:tcW w:w="6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periodic pension cost</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contribute $54.1 million to our Company-sponsored pension plans in 2017 of which we have contributed $14.4 million through June 30,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effective tax rate for the three and six months ended June 30, 2017 was 15.9% and 7.4%, respectively, compared to 14.8% and 16.1% for the three and six months ended June 30, 2016, respectively. The significant items impacting the 2017 and 2016 rates include a provision for federal alternative minimum tax, a net state and foreign tax provision, certain permanent items, and a change in the valuation allowance established for the net deferred tax asset balance projected for December 31, 2017 and 2016. We recognize valuation allowances on deferred tax assets if, based on the weight of the evidence, we determine it is more likely than not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2017 and December 31, 2016, substantially all of our net deferred tax assets were subject to a valuation allowance.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Deficit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activity in the shares of our common stock for the six months ended June 30,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(shares in thousands)</w:t>
            </w:r>
          </w:p>
        </w:tc>
        <w:tc>
          <w:tcPr>
            <w:tcW w:w="148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2017</w:t>
            </w:r>
          </w:p>
        </w:tc>
      </w:tr>
      <w:tr>
        <w:trPr>
          <w:trHeight w:val="22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32,473</w:t>
            </w:r>
          </w:p>
        </w:tc>
      </w:tr>
      <w:tr>
        <w:trPr>
          <w:trHeight w:val="226"/>
        </w:trPr>
        <w:tc>
          <w:tcPr>
            <w:tcW w:w="9940" w:type="dxa"/>
            <w:vAlign w:val="bottom"/>
          </w:tcPr>
          <w:p>
            <w:pPr>
              <w:ind w:left="20"/>
              <w:spacing w:after="0"/>
              <w:rPr>
                <w:sz w:val="20"/>
                <w:szCs w:val="20"/>
                <w:color w:val="auto"/>
              </w:rPr>
            </w:pPr>
            <w:r>
              <w:rPr>
                <w:rFonts w:ascii="Arial" w:cs="Arial" w:eastAsia="Arial" w:hAnsi="Arial"/>
                <w:sz w:val="17"/>
                <w:szCs w:val="17"/>
                <w:color w:val="auto"/>
              </w:rPr>
              <w:t>Issuance of equity awards</w:t>
            </w:r>
          </w:p>
        </w:tc>
        <w:tc>
          <w:tcPr>
            <w:tcW w:w="1480" w:type="dxa"/>
            <w:vAlign w:val="bottom"/>
          </w:tcPr>
          <w:p>
            <w:pPr>
              <w:jc w:val="right"/>
              <w:ind w:right="20"/>
              <w:spacing w:after="0"/>
              <w:rPr>
                <w:sz w:val="20"/>
                <w:szCs w:val="20"/>
                <w:color w:val="auto"/>
              </w:rPr>
            </w:pPr>
            <w:r>
              <w:rPr>
                <w:rFonts w:ascii="Arial" w:cs="Arial" w:eastAsia="Arial" w:hAnsi="Arial"/>
                <w:sz w:val="17"/>
                <w:szCs w:val="17"/>
                <w:color w:val="auto"/>
              </w:rPr>
              <w:t>247</w:t>
            </w:r>
          </w:p>
        </w:tc>
      </w:tr>
      <w:tr>
        <w:trPr>
          <w:trHeight w:val="26"/>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9"/>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32,720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calculate basic earnings per share by dividing our net earnings by our weighted-average shares outstanding at the end of the period. The calculation for diluted earnings per share adjusts the weighted average shares outstanding for our dilutive unvested shares and stock units using the treasury stock method. Our calculations for basic and dilutive earnings per share for the three and six months ended June 30, 2017 and 2016 are as follows:</w:t>
      </w:r>
    </w:p>
    <w:p>
      <w:pPr>
        <w:spacing w:after="0" w:line="365" w:lineRule="exact"/>
        <w:rPr>
          <w:sz w:val="20"/>
          <w:szCs w:val="20"/>
          <w:color w:val="auto"/>
        </w:rPr>
      </w:pPr>
    </w:p>
    <w:tbl>
      <w:tblPr>
        <w:tblLayout w:type="fixed"/>
        <w:tblInd w:w="40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720" w:type="dxa"/>
            <w:vAlign w:val="bottom"/>
            <w:tcBorders>
              <w:bottom w:val="single" w:sz="8" w:color="auto"/>
            </w:tcBorders>
          </w:tcPr>
          <w:p>
            <w:pPr>
              <w:spacing w:after="0"/>
              <w:rPr>
                <w:sz w:val="15"/>
                <w:szCs w:val="15"/>
                <w:color w:val="auto"/>
              </w:rPr>
            </w:pPr>
          </w:p>
        </w:tc>
      </w:tr>
      <w:tr>
        <w:trPr>
          <w:trHeight w:val="244"/>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data, shares and stock units in thousands)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2016</w:t>
            </w:r>
          </w:p>
        </w:tc>
      </w:tr>
      <w:tr>
        <w:trPr>
          <w:trHeight w:val="22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and dilutive net income (loss) available to common shareholders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15.1</w:t>
            </w:r>
          </w:p>
        </w:tc>
      </w:tr>
      <w:tr>
        <w:trPr>
          <w:trHeight w:val="302"/>
        </w:trPr>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32,715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32,459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32,642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32,362</w:t>
            </w:r>
          </w:p>
        </w:tc>
      </w:tr>
      <w:tr>
        <w:trPr>
          <w:trHeight w:val="226"/>
        </w:trPr>
        <w:tc>
          <w:tcPr>
            <w:tcW w:w="606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2"/>
        </w:trPr>
        <w:tc>
          <w:tcPr>
            <w:tcW w:w="6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Unvested shares and stock units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452</w:t>
            </w:r>
          </w:p>
        </w:tc>
      </w:tr>
      <w:tr>
        <w:trPr>
          <w:trHeight w:val="219"/>
        </w:trPr>
        <w:tc>
          <w:tcPr>
            <w:tcW w:w="6060" w:type="dxa"/>
            <w:vAlign w:val="bottom"/>
          </w:tcPr>
          <w:p>
            <w:pPr>
              <w:ind w:left="20"/>
              <w:spacing w:after="0"/>
              <w:rPr>
                <w:sz w:val="20"/>
                <w:szCs w:val="20"/>
                <w:color w:val="auto"/>
              </w:rPr>
            </w:pPr>
            <w:r>
              <w:rPr>
                <w:rFonts w:ascii="Arial" w:cs="Arial" w:eastAsia="Arial" w:hAnsi="Arial"/>
                <w:sz w:val="17"/>
                <w:szCs w:val="17"/>
                <w:color w:val="auto"/>
              </w:rPr>
              <w:t>Dilutive weighted average shares outstanding</w:t>
            </w: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33,322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32,854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32,642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32,814</w:t>
            </w:r>
          </w:p>
        </w:tc>
      </w:tr>
      <w:tr>
        <w:trPr>
          <w:trHeight w:val="66"/>
        </w:trPr>
        <w:tc>
          <w:tcPr>
            <w:tcW w:w="6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80"/>
        </w:trPr>
        <w:tc>
          <w:tcPr>
            <w:tcW w:w="6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3"/>
        </w:trPr>
        <w:tc>
          <w:tcPr>
            <w:tcW w:w="6060" w:type="dxa"/>
            <w:vAlign w:val="bottom"/>
          </w:tcPr>
          <w:p>
            <w:pPr>
              <w:ind w:left="20"/>
              <w:spacing w:after="0" w:line="263" w:lineRule="exact"/>
              <w:rPr>
                <w:sz w:val="20"/>
                <w:szCs w:val="20"/>
                <w:color w:val="auto"/>
              </w:rPr>
            </w:pPr>
            <w:r>
              <w:rPr>
                <w:rFonts w:ascii="Arial" w:cs="Arial" w:eastAsia="Arial" w:hAnsi="Arial"/>
                <w:sz w:val="17"/>
                <w:szCs w:val="17"/>
                <w:color w:val="auto"/>
              </w:rPr>
              <w:t>Basic earnings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22"/>
                <w:szCs w:val="22"/>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0.84</w:t>
            </w:r>
          </w:p>
        </w:tc>
        <w:tc>
          <w:tcPr>
            <w:tcW w:w="10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2"/>
                <w:szCs w:val="22"/>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9"/>
              <w:spacing w:after="0"/>
              <w:rPr>
                <w:sz w:val="20"/>
                <w:szCs w:val="20"/>
                <w:color w:val="auto"/>
              </w:rPr>
            </w:pPr>
            <w:r>
              <w:rPr>
                <w:rFonts w:ascii="Arial" w:cs="Arial" w:eastAsia="Arial" w:hAnsi="Arial"/>
                <w:sz w:val="17"/>
                <w:szCs w:val="17"/>
                <w:color w:val="auto"/>
              </w:rPr>
              <w:t>0.47</w:t>
            </w:r>
          </w:p>
        </w:tc>
      </w:tr>
      <w:tr>
        <w:trPr>
          <w:trHeight w:val="234"/>
        </w:trPr>
        <w:tc>
          <w:tcPr>
            <w:tcW w:w="6060" w:type="dxa"/>
            <w:vAlign w:val="bottom"/>
          </w:tcPr>
          <w:p>
            <w:pPr>
              <w:ind w:left="20"/>
              <w:spacing w:after="0" w:line="234" w:lineRule="exact"/>
              <w:rPr>
                <w:sz w:val="20"/>
                <w:szCs w:val="20"/>
                <w:color w:val="auto"/>
              </w:rPr>
            </w:pPr>
            <w:r>
              <w:rPr>
                <w:rFonts w:ascii="Arial" w:cs="Arial" w:eastAsia="Arial" w:hAnsi="Arial"/>
                <w:sz w:val="17"/>
                <w:szCs w:val="17"/>
                <w:color w:val="auto"/>
              </w:rPr>
              <w:t>Diluted earnings per share</w:t>
            </w:r>
            <w:r>
              <w:rPr>
                <w:rFonts w:ascii="Arial" w:cs="Arial" w:eastAsia="Arial" w:hAnsi="Arial"/>
                <w:sz w:val="23"/>
                <w:szCs w:val="23"/>
                <w:color w:val="auto"/>
                <w:vertAlign w:val="superscript"/>
              </w:rPr>
              <w:t>(a)</w:t>
            </w: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20"/>
              <w:spacing w:after="0"/>
              <w:rPr>
                <w:sz w:val="20"/>
                <w:szCs w:val="20"/>
                <w:color w:val="auto"/>
              </w:rPr>
            </w:pPr>
            <w:r>
              <w:rPr>
                <w:rFonts w:ascii="Arial" w:cs="Arial" w:eastAsia="Arial" w:hAnsi="Arial"/>
                <w:sz w:val="17"/>
                <w:szCs w:val="17"/>
                <w:color w:val="auto"/>
              </w:rPr>
              <w:t>0.57</w:t>
            </w:r>
          </w:p>
        </w:tc>
        <w:tc>
          <w:tcPr>
            <w:tcW w:w="100" w:type="dxa"/>
            <w:vAlign w:val="bottom"/>
          </w:tcPr>
          <w:p>
            <w:pPr>
              <w:spacing w:after="0"/>
              <w:rPr>
                <w:sz w:val="20"/>
                <w:szCs w:val="20"/>
                <w:color w:val="auto"/>
              </w:rPr>
            </w:pPr>
          </w:p>
        </w:tc>
        <w:tc>
          <w:tcPr>
            <w:tcW w:w="38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9"/>
              <w:spacing w:after="0"/>
              <w:rPr>
                <w:sz w:val="20"/>
                <w:szCs w:val="20"/>
                <w:color w:val="auto"/>
              </w:rPr>
            </w:pPr>
            <w:r>
              <w:rPr>
                <w:rFonts w:ascii="Arial" w:cs="Arial" w:eastAsia="Arial" w:hAnsi="Arial"/>
                <w:sz w:val="17"/>
                <w:szCs w:val="17"/>
                <w:color w:val="auto"/>
              </w:rPr>
              <w:t>0.83</w:t>
            </w:r>
          </w:p>
        </w:tc>
        <w:tc>
          <w:tcPr>
            <w:tcW w:w="100" w:type="dxa"/>
            <w:vAlign w:val="bottom"/>
          </w:tcPr>
          <w:p>
            <w:pPr>
              <w:spacing w:after="0"/>
              <w:rPr>
                <w:sz w:val="20"/>
                <w:szCs w:val="20"/>
                <w:color w:val="auto"/>
              </w:rPr>
            </w:pPr>
          </w:p>
        </w:tc>
        <w:tc>
          <w:tcPr>
            <w:tcW w:w="2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(0.19)</w:t>
            </w:r>
          </w:p>
        </w:tc>
        <w:tc>
          <w:tcPr>
            <w:tcW w:w="10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19"/>
              <w:spacing w:after="0"/>
              <w:rPr>
                <w:sz w:val="20"/>
                <w:szCs w:val="20"/>
                <w:color w:val="auto"/>
              </w:rPr>
            </w:pPr>
            <w:r>
              <w:rPr>
                <w:rFonts w:ascii="Arial" w:cs="Arial" w:eastAsia="Arial" w:hAnsi="Arial"/>
                <w:sz w:val="17"/>
                <w:szCs w:val="17"/>
                <w:color w:val="auto"/>
              </w:rPr>
              <w:t>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-154940</wp:posOffset>
            </wp:positionV>
            <wp:extent cx="6760210" cy="160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60210" cy="160020"/>
                    </a:xfrm>
                    <a:prstGeom prst="rect">
                      <a:avLst/>
                    </a:prstGeom>
                    <a:noFill/>
                  </pic:spPr>
                </pic:pic>
              </a:graphicData>
            </a:graphic>
          </wp:anchor>
        </w:drawing>
      </w:r>
    </w:p>
    <w:p>
      <w:pPr>
        <w:ind w:left="600" w:hanging="297"/>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Earnings per share is based on unrounded figures and not the rounded figures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 June 30, 2017 and 2016, our anti-dilutive unvested shares, options, and stock units were approximately 350,000 and 497,000,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2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report financial and descriptive information about our reporting segments on a basis consistent with that used internally for evaluating segment performance and allocating resources to segments. We evaluate segment performance primarily on external revenue, operating income (loss), and operating ratio.</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charge management fees and other corporate service fees to our reporting segments based on the benefits received or an overhead allocation basis. Corporate and other operating losses represent residual operating expenses of the holding company. Corporate identifiable assets primarily consist of cash and cash equivalents and restricted cash. Intersegment revenue primarily relates to transportation services between our segments.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operations by business segment:</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3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34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YRC Freight</w:t>
            </w:r>
          </w:p>
        </w:tc>
        <w:tc>
          <w:tcPr>
            <w:tcW w:w="180" w:type="dxa"/>
            <w:vAlign w:val="bottom"/>
          </w:tcPr>
          <w:p>
            <w:pPr>
              <w:spacing w:after="0"/>
              <w:rPr>
                <w:sz w:val="13"/>
                <w:szCs w:val="13"/>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Regional</w:t>
            </w:r>
          </w:p>
        </w:tc>
        <w:tc>
          <w:tcPr>
            <w:tcW w:w="22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Corporate/</w:t>
            </w:r>
          </w:p>
        </w:tc>
        <w:tc>
          <w:tcPr>
            <w:tcW w:w="220" w:type="dxa"/>
            <w:vAlign w:val="bottom"/>
          </w:tcPr>
          <w:p>
            <w:pPr>
              <w:spacing w:after="0"/>
              <w:rPr>
                <w:sz w:val="13"/>
                <w:szCs w:val="13"/>
                <w:color w:val="auto"/>
              </w:rPr>
            </w:pPr>
          </w:p>
        </w:tc>
        <w:tc>
          <w:tcPr>
            <w:tcW w:w="114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w w:val="99"/>
              </w:rPr>
              <w:t>Consolidated</w:t>
            </w:r>
          </w:p>
        </w:tc>
        <w:tc>
          <w:tcPr>
            <w:tcW w:w="0" w:type="dxa"/>
            <w:vAlign w:val="bottom"/>
          </w:tcPr>
          <w:p>
            <w:pPr>
              <w:spacing w:after="0"/>
              <w:rPr>
                <w:sz w:val="1"/>
                <w:szCs w:val="1"/>
                <w:color w:val="auto"/>
              </w:rPr>
            </w:pPr>
          </w:p>
        </w:tc>
      </w:tr>
      <w:tr>
        <w:trPr>
          <w:trHeight w:val="179"/>
        </w:trPr>
        <w:tc>
          <w:tcPr>
            <w:tcW w:w="35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Transportation</w:t>
            </w:r>
          </w:p>
        </w:tc>
        <w:tc>
          <w:tcPr>
            <w:tcW w:w="22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Eliminations</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June 30, 2017</w:t>
            </w: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1,077.1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658.3</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1,759.1</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 of December 31, 2016</w:t>
            </w:r>
          </w:p>
        </w:tc>
        <w:tc>
          <w:tcPr>
            <w:tcW w:w="1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360"/>
              <w:spacing w:after="0"/>
              <w:rPr>
                <w:sz w:val="20"/>
                <w:szCs w:val="20"/>
                <w:color w:val="auto"/>
              </w:rPr>
            </w:pPr>
            <w:r>
              <w:rPr>
                <w:rFonts w:ascii="Arial" w:cs="Arial" w:eastAsia="Arial" w:hAnsi="Arial"/>
                <w:sz w:val="17"/>
                <w:szCs w:val="17"/>
                <w:color w:val="auto"/>
              </w:rPr>
              <w:t>Identifiable assets</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1,208.7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642.9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1,770.0</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 2017</w:t>
            </w:r>
          </w:p>
        </w:tc>
        <w:tc>
          <w:tcPr>
            <w:tcW w:w="1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789.5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471.2</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1,260.6</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26"/>
        </w:trPr>
        <w:tc>
          <w:tcPr>
            <w:tcW w:w="3580" w:type="dxa"/>
            <w:vAlign w:val="bottom"/>
          </w:tcPr>
          <w:p>
            <w:pPr>
              <w:ind w:left="20"/>
              <w:spacing w:after="0"/>
              <w:rPr>
                <w:sz w:val="20"/>
                <w:szCs w:val="20"/>
                <w:color w:val="auto"/>
              </w:rPr>
            </w:pPr>
            <w:r>
              <w:rPr>
                <w:rFonts w:ascii="Arial" w:cs="Arial" w:eastAsia="Arial" w:hAnsi="Arial"/>
                <w:sz w:val="17"/>
                <w:szCs w:val="17"/>
                <w:color w:val="auto"/>
              </w:rPr>
              <w:t>Six Months Ended June 30, 2017</w:t>
            </w: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1,518.4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913.0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2,431.2</w:t>
            </w:r>
          </w:p>
        </w:tc>
        <w:tc>
          <w:tcPr>
            <w:tcW w:w="0" w:type="dxa"/>
            <w:vAlign w:val="bottom"/>
          </w:tcPr>
          <w:p>
            <w:pPr>
              <w:spacing w:after="0"/>
              <w:rPr>
                <w:sz w:val="1"/>
                <w:szCs w:val="1"/>
                <w:color w:val="auto"/>
              </w:rPr>
            </w:pPr>
          </w:p>
        </w:tc>
      </w:tr>
      <w:tr>
        <w:trPr>
          <w:trHeight w:val="226"/>
        </w:trPr>
        <w:tc>
          <w:tcPr>
            <w:tcW w:w="358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June 30, 2016</w:t>
            </w:r>
          </w:p>
        </w:tc>
        <w:tc>
          <w:tcPr>
            <w:tcW w:w="1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580" w:type="dxa"/>
            <w:vAlign w:val="bottom"/>
          </w:tcPr>
          <w:p>
            <w:pPr>
              <w:ind w:left="360"/>
              <w:spacing w:after="0"/>
              <w:rPr>
                <w:sz w:val="20"/>
                <w:szCs w:val="20"/>
                <w:color w:val="auto"/>
              </w:rPr>
            </w:pPr>
            <w:r>
              <w:rPr>
                <w:rFonts w:ascii="Arial" w:cs="Arial" w:eastAsia="Arial" w:hAnsi="Arial"/>
                <w:sz w:val="17"/>
                <w:szCs w:val="17"/>
                <w:color w:val="auto"/>
              </w:rPr>
              <w:t>External revenue</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755.0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452.8</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1,207.6</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Operating income (loss)</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226"/>
        </w:trPr>
        <w:tc>
          <w:tcPr>
            <w:tcW w:w="3580" w:type="dxa"/>
            <w:vAlign w:val="bottom"/>
          </w:tcPr>
          <w:p>
            <w:pPr>
              <w:ind w:left="20"/>
              <w:spacing w:after="0"/>
              <w:rPr>
                <w:sz w:val="20"/>
                <w:szCs w:val="20"/>
                <w:color w:val="auto"/>
              </w:rPr>
            </w:pPr>
            <w:r>
              <w:rPr>
                <w:rFonts w:ascii="Arial" w:cs="Arial" w:eastAsia="Arial" w:hAnsi="Arial"/>
                <w:sz w:val="17"/>
                <w:szCs w:val="17"/>
                <w:color w:val="auto"/>
              </w:rPr>
              <w:t>Six Months Ended June 30, 2016</w:t>
            </w: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External revenue</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1,450.7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877.6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2,327.9</w:t>
            </w:r>
          </w:p>
        </w:tc>
        <w:tc>
          <w:tcPr>
            <w:tcW w:w="0" w:type="dxa"/>
            <w:vAlign w:val="bottom"/>
          </w:tcPr>
          <w:p>
            <w:pPr>
              <w:spacing w:after="0"/>
              <w:rPr>
                <w:sz w:val="1"/>
                <w:szCs w:val="1"/>
                <w:color w:val="auto"/>
              </w:rPr>
            </w:pPr>
          </w:p>
        </w:tc>
      </w:tr>
      <w:tr>
        <w:trPr>
          <w:trHeight w:val="226"/>
        </w:trPr>
        <w:tc>
          <w:tcPr>
            <w:tcW w:w="3580" w:type="dxa"/>
            <w:vAlign w:val="bottom"/>
          </w:tcPr>
          <w:p>
            <w:pPr>
              <w:ind w:left="360"/>
              <w:spacing w:after="0"/>
              <w:rPr>
                <w:sz w:val="20"/>
                <w:szCs w:val="20"/>
                <w:color w:val="auto"/>
              </w:rPr>
            </w:pPr>
            <w:r>
              <w:rPr>
                <w:rFonts w:ascii="Arial" w:cs="Arial" w:eastAsia="Arial" w:hAnsi="Arial"/>
                <w:sz w:val="17"/>
                <w:szCs w:val="17"/>
                <w:color w:val="auto"/>
              </w:rPr>
              <w:t>Operating income (loss)</w:t>
            </w:r>
          </w:p>
        </w:tc>
        <w:tc>
          <w:tcPr>
            <w:tcW w:w="13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9"/>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Contingencies and Uncertainties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 Law Change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October 2015, California adopted new rules governing the payment of piece-rate compensation. New California Labor Code section 226.2 sets forth requirements for the payment of a separate hourly wage for “nonproductive” time worked by piece-rate employees, and separate payment for compensable rest and recovery periods to those employees. The Company continues to assess the impact of this new law and ongoing compliance measures. We believe the possible loss or range of loss is inconsequential to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Matters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July 26, 2017, the Company entered into an Amendment to its Term Loan in order to extend the maturity date to July 26, 2022 subject to the extension of the Second A&amp;R CDA. The Amendment increases the annual principal payments and the applicable interest rate, among other things, as further described in the “Debt and Financing” footnote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Management’s Discussion and Analysis of Financial Condition and Results of Operations (“MD&amp;A”) should be read in conjunction with the Consolidated Financial Statements and the Notes to Consolidated Financial Statements included elsewhere in this report. This report includes forward-looking statements within the meaning of Section 27A of the Securities Act of 1933, as amended, and Section 21E of the Securities Exchange Act of 1934, as amended (“Exchange Act”). Forward-looking statements include those preceded by, followed by or characterized by words such as “will,” “expect,” “intend,” “anticipate,” “believe,” “could,” “should,” “may,” “project,” “forecast,” “propose,” “plan,” “designed,” “estimate,” “enable” and similar expressions which speak only as of the date the statement was made. Forward-looking statements are inherently uncertain, are based upon current beliefs, assumptions and expectations of Company management and current market conditions, and are subject to significant business, economic, competitive, regulatory and other risks, uncertainties and contingencies, known and unknown, many of which are beyond our control. Readers are cautioned not to place undue reliance on any forward-looking statements. Our future financial condition and results could differ materially from those predicted in such forward-looking statements because of a number of factors, including (without limitation):</w:t>
      </w:r>
    </w:p>
    <w:p>
      <w:pPr>
        <w:spacing w:after="0" w:line="222" w:lineRule="exact"/>
        <w:rPr>
          <w:sz w:val="20"/>
          <w:szCs w:val="20"/>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factors, including (without limitation) customer demand in the retail and manufacturing sectors;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business risks and increasing costs associated with the transportation industry, including increasing equipment, operational and technology costs;</w:t>
      </w:r>
    </w:p>
    <w:p>
      <w:pPr>
        <w:spacing w:after="0" w:line="67" w:lineRule="exact"/>
        <w:rPr>
          <w:rFonts w:ascii="Arial" w:cs="Arial" w:eastAsia="Arial" w:hAnsi="Arial"/>
          <w:sz w:val="16"/>
          <w:szCs w:val="16"/>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competition and competitive pressure on pricing;</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of labor disruptions or stoppages if our relationship with our employees and unions were to deteriorate;</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pension expense and funding obligations, subject to interest rate volatility;</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costs relating to our self-insurance claims expenses;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finance the maintenance, acquisition and replacement of revenue equipment and other necessary capital expenditures;</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comply and the cost of compliance with, or liability resulting from violation of, federal, state, local and foreign laws and regulations, including (without limitation) labor laws and laws and regulations regarding the environment;</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impediments to our operations and business resulting from anti-terrorism measures;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claims and litigation expense to which we are or may become exposed;</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we may not realize the expected benefits and costs savings from our performance and operational improvement initiatives;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attract and retain qualified drivers and increasing costs of driver compensation;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significant privacy breach or IT system disruption;</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of operating in foreign countries;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dependence on key employees;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cost of fuel or the index upon which we base our fuel surcharge and the effectiveness of our fuel surcharge program in protecting us against fuel price volatility;</w:t>
      </w:r>
    </w:p>
    <w:p>
      <w:pPr>
        <w:spacing w:after="0" w:line="14" w:lineRule="exact"/>
        <w:rPr>
          <w:rFonts w:ascii="Arial" w:cs="Arial" w:eastAsia="Arial" w:hAnsi="Arial"/>
          <w:sz w:val="17"/>
          <w:szCs w:val="17"/>
          <w:color w:val="auto"/>
        </w:rPr>
      </w:pPr>
    </w:p>
    <w:p>
      <w:pPr>
        <w:ind w:left="600" w:hanging="297"/>
        <w:spacing w:after="0" w:line="295" w:lineRule="auto"/>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generate sufficient liquidity to satisfy our cash needs and future cash commitments, including (without limitation) our obligations related to our indebtedness and lease and pension funding requirements, and our ability to achieve increased cash flows through improvement in operations;</w:t>
      </w: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limitations on our operations, our financing opportunities, potential strategic transactions, acquisitions or dispositions resulting from restrictive covenants in the documents governing our existing and future indebtedness;</w:t>
      </w:r>
    </w:p>
    <w:p>
      <w:pPr>
        <w:spacing w:after="0" w:line="14"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comply with the covenants in the documents governing our existing and future indebtedness;</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fluctuations in the price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dilution from future issuances of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intention not to pay dividends on our common stock;</w:t>
      </w:r>
    </w:p>
    <w:p>
      <w:pPr>
        <w:spacing w:after="0" w:line="56" w:lineRule="exact"/>
        <w:rPr>
          <w:rFonts w:ascii="Arial" w:cs="Arial" w:eastAsia="Arial" w:hAnsi="Arial"/>
          <w:sz w:val="17"/>
          <w:szCs w:val="17"/>
          <w:color w:val="auto"/>
        </w:rPr>
      </w:pPr>
    </w:p>
    <w:p>
      <w:pPr>
        <w:ind w:left="600" w:hanging="2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that we have the ability to issue preferred stock that may adversely affect the rights of holders of our common stock; and</w:t>
      </w:r>
    </w:p>
    <w:p>
      <w:pPr>
        <w:spacing w:after="0" w:line="56" w:lineRule="exact"/>
        <w:rPr>
          <w:rFonts w:ascii="Arial" w:cs="Arial" w:eastAsia="Arial" w:hAnsi="Arial"/>
          <w:sz w:val="17"/>
          <w:szCs w:val="17"/>
          <w:color w:val="auto"/>
        </w:rPr>
      </w:pPr>
    </w:p>
    <w:p>
      <w:pPr>
        <w:ind w:left="600" w:hanging="297"/>
        <w:spacing w:after="0" w:line="269" w:lineRule="auto"/>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risks and contingencies, including (without limitation) the risk factors that are included in our reports filed with the SEC, including those described under “Risk Factors” in our annual report on Form 10-K and quarterly reports on Form 10-Q, including this quarterly report.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MD&amp;A includes the following sections:</w:t>
      </w:r>
    </w:p>
    <w:p>
      <w:pPr>
        <w:spacing w:after="0" w:line="203"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 xml:space="preserve">Our Business </w:t>
      </w:r>
      <w:r>
        <w:rPr>
          <w:rFonts w:ascii="Arial" w:cs="Arial" w:eastAsia="Arial" w:hAnsi="Arial"/>
          <w:sz w:val="17"/>
          <w:szCs w:val="17"/>
          <w:color w:val="auto"/>
        </w:rPr>
        <w:t>— a brief description of our business and a discussion of how we assess our operating results.</w:t>
      </w:r>
    </w:p>
    <w:p>
      <w:pPr>
        <w:spacing w:after="0" w:line="169"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 xml:space="preserve">Consolidated Results of Operations </w:t>
      </w:r>
      <w:r>
        <w:rPr>
          <w:rFonts w:ascii="Arial" w:cs="Arial" w:eastAsia="Arial" w:hAnsi="Arial"/>
          <w:sz w:val="15"/>
          <w:szCs w:val="15"/>
          <w:color w:val="auto"/>
        </w:rPr>
        <w:t>— an analysis of our consolidated results of operations for the three and six months ended June 30, 2017 and</w:t>
      </w:r>
    </w:p>
    <w:p>
      <w:pPr>
        <w:spacing w:after="0" w:line="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2016.</w:t>
      </w:r>
    </w:p>
    <w:p>
      <w:pPr>
        <w:spacing w:after="0" w:line="153"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Reporting Segment Results of Operations </w:t>
      </w:r>
      <w:r>
        <w:rPr>
          <w:rFonts w:ascii="Arial" w:cs="Arial" w:eastAsia="Arial" w:hAnsi="Arial"/>
          <w:sz w:val="17"/>
          <w:szCs w:val="17"/>
          <w:color w:val="auto"/>
        </w:rPr>
        <w:t>— an analysis of our results of operations for the three and six months ended June 30, 2017 and 2016 for</w:t>
      </w:r>
      <w:r>
        <w:rPr>
          <w:rFonts w:ascii="Arial" w:cs="Arial" w:eastAsia="Arial" w:hAnsi="Arial"/>
          <w:sz w:val="17"/>
          <w:szCs w:val="17"/>
          <w:b w:val="1"/>
          <w:bCs w:val="1"/>
          <w:color w:val="auto"/>
        </w:rPr>
        <w:t xml:space="preserve"> </w:t>
      </w:r>
      <w:r>
        <w:rPr>
          <w:rFonts w:ascii="Arial" w:cs="Arial" w:eastAsia="Arial" w:hAnsi="Arial"/>
          <w:sz w:val="17"/>
          <w:szCs w:val="17"/>
          <w:color w:val="auto"/>
        </w:rPr>
        <w:t>our YRC Freight and Regional Transportation reporting segments.</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Certain Non-GAAP Financial Measures </w:t>
      </w:r>
      <w:r>
        <w:rPr>
          <w:rFonts w:ascii="Arial" w:cs="Arial" w:eastAsia="Arial" w:hAnsi="Arial"/>
          <w:sz w:val="17"/>
          <w:szCs w:val="17"/>
          <w:color w:val="auto"/>
        </w:rPr>
        <w:t>— an analysis of selected non-GAAP financial measures for the three and six months ended June 30, 2017</w:t>
      </w:r>
      <w:r>
        <w:rPr>
          <w:rFonts w:ascii="Arial" w:cs="Arial" w:eastAsia="Arial" w:hAnsi="Arial"/>
          <w:sz w:val="17"/>
          <w:szCs w:val="17"/>
          <w:b w:val="1"/>
          <w:bCs w:val="1"/>
          <w:color w:val="auto"/>
        </w:rPr>
        <w:t xml:space="preserve"> </w:t>
      </w:r>
      <w:r>
        <w:rPr>
          <w:rFonts w:ascii="Arial" w:cs="Arial" w:eastAsia="Arial" w:hAnsi="Arial"/>
          <w:sz w:val="17"/>
          <w:szCs w:val="17"/>
          <w:color w:val="auto"/>
        </w:rPr>
        <w:t>and 2016 and trailing twelve months ended June 30, 2017 and 2016.</w:t>
      </w:r>
    </w:p>
    <w:p>
      <w:pPr>
        <w:spacing w:after="0" w:line="120" w:lineRule="exact"/>
        <w:rPr>
          <w:sz w:val="20"/>
          <w:szCs w:val="20"/>
          <w:color w:val="auto"/>
        </w:rPr>
      </w:pPr>
    </w:p>
    <w:p>
      <w:pPr>
        <w:ind w:left="600" w:firstLine="604"/>
        <w:spacing w:after="0" w:line="274" w:lineRule="auto"/>
        <w:rPr>
          <w:sz w:val="20"/>
          <w:szCs w:val="20"/>
          <w:color w:val="auto"/>
        </w:rPr>
      </w:pPr>
      <w:r>
        <w:rPr>
          <w:rFonts w:ascii="Arial" w:cs="Arial" w:eastAsia="Arial" w:hAnsi="Arial"/>
          <w:sz w:val="17"/>
          <w:szCs w:val="17"/>
          <w:b w:val="1"/>
          <w:bCs w:val="1"/>
          <w:color w:val="auto"/>
        </w:rPr>
        <w:t xml:space="preserve">Financial Condition/Liquidity and Capital Resources </w:t>
      </w:r>
      <w:r>
        <w:rPr>
          <w:rFonts w:ascii="Arial" w:cs="Arial" w:eastAsia="Arial" w:hAnsi="Arial"/>
          <w:sz w:val="17"/>
          <w:szCs w:val="17"/>
          <w:color w:val="auto"/>
        </w:rPr>
        <w:t>— a discussion of our major sources and uses of cash and an analysis of our cash flows and</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contractual obligations and commercial commitments.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“second quarter” and “first half” of the years discussed below refer to the three and six months ended June 30,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YRC Worldwide is a holding company that, through wholly owned operating subsidiaries, offers our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LTL shipments and flexible supply chain solutions, ensuring customers can ship industrial, commercial and retail goods with confidence.</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measure the performance of our business on both a consolidated basis and a reporting segment basis. We use several performance metrics, but rely primarily upon operating revenue, operating income (loss), and operating ratio. We also use certain non-GAAP financial measures as secondary measures to assess our operating performance.</w:t>
      </w:r>
    </w:p>
    <w:p>
      <w:pPr>
        <w:spacing w:after="0" w:line="133" w:lineRule="exact"/>
        <w:rPr>
          <w:sz w:val="20"/>
          <w:szCs w:val="20"/>
          <w:color w:val="auto"/>
        </w:rPr>
      </w:pPr>
    </w:p>
    <w:p>
      <w:pPr>
        <w:jc w:val="both"/>
        <w:ind w:left="600" w:hanging="297"/>
        <w:spacing w:after="0" w:line="287" w:lineRule="auto"/>
        <w:tabs>
          <w:tab w:leader="none" w:pos="6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Revenue: </w:t>
      </w:r>
      <w:r>
        <w:rPr>
          <w:rFonts w:ascii="Arial" w:cs="Arial" w:eastAsia="Arial" w:hAnsi="Arial"/>
          <w:sz w:val="15"/>
          <w:szCs w:val="15"/>
          <w:color w:val="auto"/>
        </w:rPr>
        <w:t>Our operating revenue has two primary components: volume (commonly evaluated using number of shipments and weight per shipment)</w:t>
      </w:r>
      <w:r>
        <w:rPr>
          <w:rFonts w:ascii="Arial" w:cs="Arial" w:eastAsia="Arial" w:hAnsi="Arial"/>
          <w:sz w:val="15"/>
          <w:szCs w:val="15"/>
          <w:b w:val="1"/>
          <w:bCs w:val="1"/>
          <w:color w:val="auto"/>
        </w:rPr>
        <w:t xml:space="preserve"> </w:t>
      </w:r>
      <w:r>
        <w:rPr>
          <w:rFonts w:ascii="Arial" w:cs="Arial" w:eastAsia="Arial" w:hAnsi="Arial"/>
          <w:sz w:val="15"/>
          <w:szCs w:val="15"/>
          <w:color w:val="auto"/>
        </w:rPr>
        <w:t>and yield or price (commonly evaluated on a dollar-per-hundred weight basis and a dollar-per-shipment basis). Yield includes fuel surcharge revenue, which is common in the trucking industry and represents an amount charged to customers that adjusts with changing fuel prices. We base our fuel surcharges on a published national index and adjust them weekly. Rapid material changes in the index or our cost of fuel can positively or negatively impact our revenue and operating income (loss) versus prior periods, as there is a lag in our adjustment of base rates in response to changes in fuel surcharge. We believe that fuel surcharge is an accepted and important component of the overall pricing of our services to our customers. Without an industry accepted fuel surcharge program, our base pricing for our transportation services would require numerous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w:t>
      </w:r>
    </w:p>
    <w:p>
      <w:pPr>
        <w:spacing w:after="0" w:line="157" w:lineRule="exact"/>
        <w:rPr>
          <w:rFonts w:ascii="Arial" w:cs="Arial" w:eastAsia="Arial" w:hAnsi="Arial"/>
          <w:sz w:val="15"/>
          <w:szCs w:val="15"/>
          <w:b w:val="1"/>
          <w:bCs w:val="1"/>
          <w:color w:val="auto"/>
        </w:rPr>
      </w:pPr>
    </w:p>
    <w:p>
      <w:pPr>
        <w:ind w:left="600" w:hanging="297"/>
        <w:spacing w:after="0" w:line="274" w:lineRule="auto"/>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Operating income (loss) is our operating revenue less operating expenses. Our consolidated operating income (loss) includes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charges that are not allocated to our YRC Freight and Regional Transportation reporting segments.</w:t>
      </w:r>
    </w:p>
    <w:p>
      <w:pPr>
        <w:spacing w:after="0" w:line="157" w:lineRule="exact"/>
        <w:rPr>
          <w:rFonts w:ascii="Arial" w:cs="Arial" w:eastAsia="Arial" w:hAnsi="Arial"/>
          <w:sz w:val="17"/>
          <w:szCs w:val="17"/>
          <w:b w:val="1"/>
          <w:bCs w:val="1"/>
          <w:color w:val="auto"/>
        </w:rPr>
      </w:pPr>
    </w:p>
    <w:p>
      <w:pPr>
        <w:ind w:left="600" w:hanging="297"/>
        <w:spacing w:after="0" w:line="342" w:lineRule="auto"/>
        <w:tabs>
          <w:tab w:leader="none" w:pos="60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Ratio: </w:t>
      </w:r>
      <w:r>
        <w:rPr>
          <w:rFonts w:ascii="Arial" w:cs="Arial" w:eastAsia="Arial" w:hAnsi="Arial"/>
          <w:sz w:val="15"/>
          <w:szCs w:val="15"/>
          <w:color w:val="auto"/>
        </w:rPr>
        <w:t>Operating ratio is a common operating performance metric used in the trucking industry. It is calculated as (i) 100 percent (ii) minus the result</w:t>
      </w:r>
      <w:r>
        <w:rPr>
          <w:rFonts w:ascii="Arial" w:cs="Arial" w:eastAsia="Arial" w:hAnsi="Arial"/>
          <w:sz w:val="15"/>
          <w:szCs w:val="15"/>
          <w:b w:val="1"/>
          <w:bCs w:val="1"/>
          <w:color w:val="auto"/>
        </w:rPr>
        <w:t xml:space="preserve"> </w:t>
      </w:r>
      <w:r>
        <w:rPr>
          <w:rFonts w:ascii="Arial" w:cs="Arial" w:eastAsia="Arial" w:hAnsi="Arial"/>
          <w:sz w:val="15"/>
          <w:szCs w:val="15"/>
          <w:color w:val="auto"/>
        </w:rPr>
        <w:t>of dividing operating income by operating revenue or (iii) plus the result of dividing operating loss by operating revenue, and expressed as a percentage.</w:t>
      </w:r>
    </w:p>
    <w:p>
      <w:pPr>
        <w:spacing w:after="0" w:line="112" w:lineRule="exact"/>
        <w:rPr>
          <w:rFonts w:ascii="Arial" w:cs="Arial" w:eastAsia="Arial" w:hAnsi="Arial"/>
          <w:sz w:val="15"/>
          <w:szCs w:val="15"/>
          <w:b w:val="1"/>
          <w:bCs w:val="1"/>
          <w:color w:val="auto"/>
        </w:rPr>
      </w:pPr>
    </w:p>
    <w:p>
      <w:pPr>
        <w:ind w:left="600" w:hanging="297"/>
        <w:spacing w:after="0"/>
        <w:tabs>
          <w:tab w:leader="none" w:pos="60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Non-GAAP Financial Measures: </w:t>
      </w:r>
      <w:r>
        <w:rPr>
          <w:rFonts w:ascii="Arial" w:cs="Arial" w:eastAsia="Arial" w:hAnsi="Arial"/>
          <w:sz w:val="17"/>
          <w:szCs w:val="17"/>
          <w:color w:val="auto"/>
        </w:rPr>
        <w:t>We use EBITDA and Adjusted EBITDA, which are non-GAAP financial measures, to assess the following:</w:t>
      </w:r>
    </w:p>
    <w:p>
      <w:pPr>
        <w:spacing w:after="0" w:line="211" w:lineRule="exact"/>
        <w:rPr>
          <w:rFonts w:ascii="Arial" w:cs="Arial" w:eastAsia="Arial" w:hAnsi="Arial"/>
          <w:sz w:val="17"/>
          <w:szCs w:val="17"/>
          <w:b w:val="1"/>
          <w:bCs w:val="1"/>
          <w:color w:val="auto"/>
        </w:rPr>
      </w:pPr>
    </w:p>
    <w:p>
      <w:pPr>
        <w:ind w:left="1200" w:hanging="293"/>
        <w:spacing w:after="0" w:line="269" w:lineRule="auto"/>
        <w:tabs>
          <w:tab w:leader="none" w:pos="120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EBITDA: </w:t>
      </w:r>
      <w:r>
        <w:rPr>
          <w:rFonts w:ascii="Arial" w:cs="Arial" w:eastAsia="Arial" w:hAnsi="Arial"/>
          <w:sz w:val="17"/>
          <w:szCs w:val="17"/>
          <w:color w:val="auto"/>
        </w:rPr>
        <w:t>a non-GAAP measure that reflects our earnings before interest, taxes, depreciation, and amortization expense. EBITDA is used for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purposes as a financial measure that reflects our core operating performance.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ind w:left="1200" w:hanging="293"/>
        <w:spacing w:after="0" w:line="294" w:lineRule="auto"/>
        <w:tabs>
          <w:tab w:leader="none" w:pos="120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Adjusted EBITDA: </w:t>
      </w:r>
      <w:r>
        <w:rPr>
          <w:rFonts w:ascii="Arial" w:cs="Arial" w:eastAsia="Arial" w:hAnsi="Arial"/>
          <w:sz w:val="15"/>
          <w:szCs w:val="15"/>
          <w:color w:val="auto"/>
        </w:rPr>
        <w:t>a non-GAAP measure that reflects EBITDA, and further adjusts for letter of credit fees, equity-based compensation expense, net</w:t>
      </w:r>
      <w:r>
        <w:rPr>
          <w:rFonts w:ascii="Arial" w:cs="Arial" w:eastAsia="Arial" w:hAnsi="Arial"/>
          <w:sz w:val="15"/>
          <w:szCs w:val="15"/>
          <w:i w:val="1"/>
          <w:iCs w:val="1"/>
          <w:color w:val="auto"/>
        </w:rPr>
        <w:t xml:space="preserve"> </w:t>
      </w:r>
      <w:r>
        <w:rPr>
          <w:rFonts w:ascii="Arial" w:cs="Arial" w:eastAsia="Arial" w:hAnsi="Arial"/>
          <w:sz w:val="15"/>
          <w:szCs w:val="15"/>
          <w:color w:val="auto"/>
        </w:rPr>
        <w:t>gains or losses on property disposals, restructuring professional fees, non-recurring consulting fees, expenses associated with certain lump sum payments to our union employees and gains or losses from permitted dispositions and discontinued operations, among other items, as defined in our credit facilities. Adjusted EBITDA is used for internal management purposes as a financial measure that reflects our core operating performance, to measure compliance with financial covenants in our credit facilities and to determine certain executive bonus compensation.</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non-GAAP financial measures have the following limitations:</w:t>
      </w:r>
    </w:p>
    <w:p>
      <w:pPr>
        <w:spacing w:after="0" w:line="169" w:lineRule="exact"/>
        <w:rPr>
          <w:sz w:val="20"/>
          <w:szCs w:val="20"/>
          <w:color w:val="auto"/>
        </w:rPr>
      </w:pPr>
    </w:p>
    <w:p>
      <w:pPr>
        <w:ind w:left="1200" w:hanging="293"/>
        <w:spacing w:after="0"/>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EBITDA does not reflect the interest expense or the cash requirements necessary to service interest or fund principal payments on our outstanding debt;</w:t>
      </w:r>
    </w:p>
    <w:p>
      <w:pPr>
        <w:spacing w:after="0" w:line="40" w:lineRule="exact"/>
        <w:rPr>
          <w:rFonts w:ascii="Arial" w:cs="Arial" w:eastAsia="Arial" w:hAnsi="Arial"/>
          <w:sz w:val="15"/>
          <w:szCs w:val="15"/>
          <w:color w:val="auto"/>
        </w:rPr>
      </w:pPr>
    </w:p>
    <w:p>
      <w:pPr>
        <w:jc w:val="both"/>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fund restructuring professional fees, nonrecurring consulting fees, letter of credit fees, service interest, principal payments on our outstanding debt or lump sum payments to our union employees required under the Memorandum of Understanding;</w:t>
      </w:r>
    </w:p>
    <w:p>
      <w:pPr>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200" w:hanging="293"/>
        <w:spacing w:after="0" w:line="247" w:lineRule="auto"/>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200" w:hanging="293"/>
        <w:spacing w:after="0"/>
        <w:tabs>
          <w:tab w:leader="none" w:pos="1200" w:val="left"/>
        </w:tabs>
        <w:numPr>
          <w:ilvl w:val="0"/>
          <w:numId w:val="9"/>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than we do, potentially limiting its usefulness as a comparative measure.</w:t>
      </w:r>
    </w:p>
    <w:p>
      <w:pPr>
        <w:spacing w:after="0" w:line="218" w:lineRule="exact"/>
        <w:rPr>
          <w:sz w:val="20"/>
          <w:szCs w:val="20"/>
          <w:color w:val="auto"/>
        </w:rPr>
      </w:pPr>
    </w:p>
    <w:p>
      <w:pPr>
        <w:jc w:val="both"/>
        <w:ind w:left="600"/>
        <w:spacing w:after="0" w:line="308" w:lineRule="auto"/>
        <w:rPr>
          <w:sz w:val="20"/>
          <w:szCs w:val="20"/>
          <w:color w:val="auto"/>
        </w:rPr>
      </w:pPr>
      <w:r>
        <w:rPr>
          <w:rFonts w:ascii="Arial" w:cs="Arial" w:eastAsia="Arial" w:hAnsi="Arial"/>
          <w:sz w:val="15"/>
          <w:szCs w:val="15"/>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 For additional information and a reconciliation of our non-GAAP measures and GAAP results, see the “Certain Non-GAAP Financial Measures” section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9"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On July 26, 2017, the Company entered into an Amendment to its Term Loan, which extended the maturity date to July 26, 2022 subject to the extension of the Second A&amp;R CDA. The Amendment provides that the outstanding term loans under the Term Loan Agreement are satisfied and discharged in full and that the Company incurs new term loans in the aggregate principal amount of $600M. If the Second A&amp;R CDA is not extended, the maturity date of the Term Loan will spring back to November 1, 2019. The Amendment increased the annual principal payments from 1% to 3% per annum and increased the applicable interest rate, at either the applicable LIBOR (subject to a floor of 1%), plus a margin of 8.50% or an alternative base rate (as defined in the Term Loan Agreement) plus a margin of 6.50%.</w:t>
      </w:r>
    </w:p>
    <w:p>
      <w:pPr>
        <w:spacing w:after="0" w:line="152"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As a result of the extension in the maturity date under the Term Loan, the maturity date of the ABL will extend to June 28, 2021, as provided under Amendment No. 2 to the ABL, provided the Term Loan’s extension is met through the extension of the Second A&amp;R CDA. Otherwise, the maturity date of the ABL is February 13,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Our consolidated results include the consolidated results of our YRC Freight and Regional Transportation reporting segments as well as any unallocated corporate charges. A more detailed discussion of the operating results of our segments is presented in the “Reporting Segment Results of Operations” section below.</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summary consolidated financial information for the second quarter and first half of 2017 and 2016: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5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Second Quarter</w:t>
            </w:r>
          </w:p>
        </w:tc>
        <w:tc>
          <w:tcPr>
            <w:tcW w:w="1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First Half</w:t>
            </w:r>
          </w:p>
        </w:tc>
        <w:tc>
          <w:tcPr>
            <w:tcW w:w="1440" w:type="dxa"/>
            <w:vAlign w:val="bottom"/>
            <w:tcBorders>
              <w:bottom w:val="single" w:sz="8" w:color="auto"/>
            </w:tcBorders>
          </w:tcPr>
          <w:p>
            <w:pPr>
              <w:spacing w:after="0"/>
              <w:rPr>
                <w:sz w:val="15"/>
                <w:szCs w:val="15"/>
                <w:color w:val="auto"/>
              </w:rPr>
            </w:pPr>
          </w:p>
        </w:tc>
      </w:tr>
      <w:tr>
        <w:trPr>
          <w:trHeight w:val="244"/>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2017</w:t>
            </w: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2016</w:t>
            </w:r>
          </w:p>
        </w:tc>
        <w:tc>
          <w:tcPr>
            <w:tcW w:w="156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Percent Change</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602"/>
              <w:spacing w:after="0"/>
              <w:rPr>
                <w:sz w:val="20"/>
                <w:szCs w:val="20"/>
                <w:color w:val="auto"/>
              </w:rPr>
            </w:pPr>
            <w:r>
              <w:rPr>
                <w:rFonts w:ascii="Arial" w:cs="Arial" w:eastAsia="Arial" w:hAnsi="Arial"/>
                <w:sz w:val="13"/>
                <w:szCs w:val="13"/>
                <w:b w:val="1"/>
                <w:bCs w:val="1"/>
                <w:color w:val="auto"/>
              </w:rPr>
              <w:t>2016</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Percent Change</w:t>
            </w:r>
          </w:p>
        </w:tc>
      </w:tr>
      <w:tr>
        <w:trPr>
          <w:trHeight w:val="229"/>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1,260.6</w:t>
            </w:r>
          </w:p>
        </w:tc>
        <w:tc>
          <w:tcPr>
            <w:tcW w:w="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1,207.6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2,431.2</w:t>
            </w:r>
          </w:p>
        </w:tc>
        <w:tc>
          <w:tcPr>
            <w:tcW w:w="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2,327.9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4.4 %</w:t>
            </w: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50.0</w:t>
            </w:r>
          </w:p>
        </w:tc>
        <w:tc>
          <w:tcPr>
            <w:tcW w:w="3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82"/>
              <w:spacing w:after="0"/>
              <w:rPr>
                <w:sz w:val="20"/>
                <w:szCs w:val="20"/>
                <w:color w:val="auto"/>
              </w:rPr>
            </w:pPr>
            <w:r>
              <w:rPr>
                <w:rFonts w:ascii="Arial" w:cs="Arial" w:eastAsia="Arial" w:hAnsi="Arial"/>
                <w:sz w:val="17"/>
                <w:szCs w:val="17"/>
                <w:color w:val="auto"/>
              </w:rPr>
              <w:t>57.2</w:t>
            </w:r>
          </w:p>
        </w:tc>
        <w:tc>
          <w:tcPr>
            <w:tcW w:w="1440" w:type="dxa"/>
            <w:vAlign w:val="bottom"/>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79"/>
              <w:spacing w:after="0"/>
              <w:rPr>
                <w:sz w:val="20"/>
                <w:szCs w:val="20"/>
                <w:color w:val="auto"/>
              </w:rPr>
            </w:pPr>
            <w:r>
              <w:rPr>
                <w:rFonts w:ascii="Arial" w:cs="Arial" w:eastAsia="Arial" w:hAnsi="Arial"/>
                <w:sz w:val="17"/>
                <w:szCs w:val="17"/>
                <w:color w:val="auto"/>
              </w:rPr>
              <w:t>47.0</w:t>
            </w:r>
          </w:p>
        </w:tc>
        <w:tc>
          <w:tcPr>
            <w:tcW w:w="3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82"/>
              <w:spacing w:after="0"/>
              <w:rPr>
                <w:sz w:val="20"/>
                <w:szCs w:val="20"/>
                <w:color w:val="auto"/>
              </w:rPr>
            </w:pPr>
            <w:r>
              <w:rPr>
                <w:rFonts w:ascii="Arial" w:cs="Arial" w:eastAsia="Arial" w:hAnsi="Arial"/>
                <w:sz w:val="17"/>
                <w:szCs w:val="17"/>
                <w:color w:val="auto"/>
              </w:rPr>
              <w:t>70.6</w:t>
            </w:r>
          </w:p>
        </w:tc>
        <w:tc>
          <w:tcPr>
            <w:tcW w:w="1440" w:type="dxa"/>
            <w:vAlign w:val="bottom"/>
          </w:tcPr>
          <w:p>
            <w:pPr>
              <w:jc w:val="right"/>
              <w:spacing w:after="0"/>
              <w:rPr>
                <w:sz w:val="20"/>
                <w:szCs w:val="20"/>
                <w:color w:val="auto"/>
              </w:rPr>
            </w:pPr>
            <w:r>
              <w:rPr>
                <w:rFonts w:ascii="Arial" w:cs="Arial" w:eastAsia="Arial" w:hAnsi="Arial"/>
                <w:sz w:val="17"/>
                <w:szCs w:val="17"/>
                <w:color w:val="auto"/>
              </w:rPr>
              <w:t>(33.4)%</w:t>
            </w:r>
          </w:p>
        </w:tc>
      </w:tr>
      <w:tr>
        <w:trPr>
          <w:trHeight w:val="26"/>
        </w:trPr>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2"/>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Nonoperating expenses, net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27.4</w:t>
            </w:r>
          </w:p>
        </w:tc>
        <w:tc>
          <w:tcPr>
            <w:tcW w:w="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25.4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7"/>
                <w:szCs w:val="17"/>
                <w:color w:val="auto"/>
              </w:rPr>
              <w:t>53.8</w:t>
            </w:r>
          </w:p>
        </w:tc>
        <w:tc>
          <w:tcPr>
            <w:tcW w:w="3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7"/>
                <w:szCs w:val="17"/>
                <w:color w:val="auto"/>
              </w:rPr>
              <w:t>52.6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2.3 %</w:t>
            </w:r>
          </w:p>
        </w:tc>
      </w:tr>
      <w:tr>
        <w:trPr>
          <w:trHeight w:val="226"/>
        </w:trPr>
        <w:tc>
          <w:tcPr>
            <w:tcW w:w="25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9"/>
              <w:spacing w:after="0"/>
              <w:rPr>
                <w:sz w:val="20"/>
                <w:szCs w:val="20"/>
                <w:color w:val="auto"/>
              </w:rPr>
            </w:pPr>
            <w:r>
              <w:rPr>
                <w:rFonts w:ascii="Arial" w:cs="Arial" w:eastAsia="Arial" w:hAnsi="Arial"/>
                <w:sz w:val="17"/>
                <w:szCs w:val="17"/>
                <w:color w:val="auto"/>
              </w:rPr>
              <w:t>19.0</w:t>
            </w:r>
          </w:p>
        </w:tc>
        <w:tc>
          <w:tcPr>
            <w:tcW w:w="3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82"/>
              <w:spacing w:after="0"/>
              <w:rPr>
                <w:sz w:val="20"/>
                <w:szCs w:val="20"/>
                <w:color w:val="auto"/>
              </w:rPr>
            </w:pPr>
            <w:r>
              <w:rPr>
                <w:rFonts w:ascii="Arial" w:cs="Arial" w:eastAsia="Arial" w:hAnsi="Arial"/>
                <w:sz w:val="17"/>
                <w:szCs w:val="17"/>
                <w:color w:val="auto"/>
              </w:rPr>
              <w:t>27.1</w:t>
            </w:r>
          </w:p>
        </w:tc>
        <w:tc>
          <w:tcPr>
            <w:tcW w:w="144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9"/>
              <w:spacing w:after="0"/>
              <w:rPr>
                <w:sz w:val="20"/>
                <w:szCs w:val="20"/>
                <w:color w:val="auto"/>
              </w:rPr>
            </w:pPr>
            <w:r>
              <w:rPr>
                <w:rFonts w:ascii="Arial" w:cs="Arial" w:eastAsia="Arial" w:hAnsi="Arial"/>
                <w:sz w:val="17"/>
                <w:szCs w:val="17"/>
                <w:color w:val="auto"/>
              </w:rPr>
              <w:t>(6.3)</w:t>
            </w:r>
          </w:p>
        </w:tc>
        <w:tc>
          <w:tcPr>
            <w:tcW w:w="36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82"/>
              <w:spacing w:after="0"/>
              <w:rPr>
                <w:sz w:val="20"/>
                <w:szCs w:val="20"/>
                <w:color w:val="auto"/>
              </w:rPr>
            </w:pPr>
            <w:r>
              <w:rPr>
                <w:rFonts w:ascii="Arial" w:cs="Arial" w:eastAsia="Arial" w:hAnsi="Arial"/>
                <w:sz w:val="17"/>
                <w:szCs w:val="17"/>
                <w:color w:val="auto"/>
              </w:rPr>
              <w:t>15.1</w:t>
            </w:r>
          </w:p>
        </w:tc>
        <w:tc>
          <w:tcPr>
            <w:tcW w:w="1440" w:type="dxa"/>
            <w:vAlign w:val="bottom"/>
          </w:tcPr>
          <w:p>
            <w:pPr>
              <w:jc w:val="right"/>
              <w:ind w:right="139"/>
              <w:spacing w:after="0"/>
              <w:rPr>
                <w:sz w:val="20"/>
                <w:szCs w:val="20"/>
                <w:color w:val="auto"/>
              </w:rPr>
            </w:pPr>
            <w:r>
              <w:rPr>
                <w:rFonts w:ascii="Arial" w:cs="Arial" w:eastAsia="Arial" w:hAnsi="Arial"/>
                <w:sz w:val="17"/>
                <w:szCs w:val="17"/>
                <w:color w:val="auto"/>
              </w:rPr>
              <w:t>*NM</w:t>
            </w:r>
          </w:p>
        </w:tc>
      </w:tr>
      <w:tr>
        <w:trPr>
          <w:trHeight w:val="179"/>
        </w:trPr>
        <w:tc>
          <w:tcPr>
            <w:tcW w:w="2540" w:type="dxa"/>
            <w:vAlign w:val="bottom"/>
          </w:tcPr>
          <w:p>
            <w:pPr>
              <w:ind w:left="60"/>
              <w:spacing w:after="0"/>
              <w:rPr>
                <w:sz w:val="20"/>
                <w:szCs w:val="20"/>
                <w:color w:val="auto"/>
              </w:rPr>
            </w:pPr>
            <w:r>
              <w:rPr>
                <w:rFonts w:ascii="Arial" w:cs="Arial" w:eastAsia="Arial" w:hAnsi="Arial"/>
                <w:sz w:val="13"/>
                <w:szCs w:val="13"/>
                <w:color w:val="auto"/>
              </w:rPr>
              <w:t>(*) not meaningful</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Second Quarter of 2017 Compared to the Second Quarter of 2016</w:t>
      </w:r>
    </w:p>
    <w:p>
      <w:pPr>
        <w:spacing w:after="0" w:line="20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consolidated operating revenue increased $53.0 million, or 4.4%, during the second quarter of 2017 compared to the same period in 2016. The increase in revenue is primarily attributed to an increase in volume and fuel surcharge revenue, combined with an improvement in yield, excluding fuel surcharge.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operating expenses increased $60.2 million, or 5.2%, for the second quarter of 2017 compared to the second quarter of 2016, and consisted primarily of an increase in contractual wages, higher fuel costs, and an increase in purchased transportation expense.</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$20.9 million, or 2.9%, primarily due to a $15.1 million increase in wages,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are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expenses and supplies. </w:t>
      </w:r>
      <w:r>
        <w:rPr>
          <w:rFonts w:ascii="Arial" w:cs="Arial" w:eastAsia="Arial" w:hAnsi="Arial"/>
          <w:sz w:val="17"/>
          <w:szCs w:val="17"/>
          <w:color w:val="auto"/>
        </w:rPr>
        <w:t>Operating expenses and supplies increased $11.1 million, or 5.6%, primarily due to a $7.2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higher fuel prices on a per gallon basis.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$22.9 million, or 16.8%, primarily due to a $7.8 million increase in rail purchased transportation due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rail miles and higher rail rates. Local and over-the-road purchased transportation expense increased $6.7 million due to higher volume and vehicle rent expense increased $6.6 million primarily due to higher usage of operating leases for revenue equipment.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$3.5 million, or 5.1%, primarily due to a reduction in property damage and liability claims expense of $6.3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unfavorable development of prior year claims that negatively impacted the second quarter of 2016.</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$1.0 million in the second quarter of 2017 compared to $11.1 million in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primarily due to the sale of one property.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increased $2.0 million in the second quarter of 2017 compared to the second quarter of 2016 primarily driven</w:t>
      </w:r>
      <w:r>
        <w:rPr>
          <w:rFonts w:ascii="Arial" w:cs="Arial" w:eastAsia="Arial" w:hAnsi="Arial"/>
          <w:sz w:val="17"/>
          <w:szCs w:val="17"/>
          <w:i w:val="1"/>
          <w:iCs w:val="1"/>
          <w:color w:val="auto"/>
        </w:rPr>
        <w:t xml:space="preserve"> </w:t>
      </w:r>
      <w:r>
        <w:rPr>
          <w:rFonts w:ascii="Arial" w:cs="Arial" w:eastAsia="Arial" w:hAnsi="Arial"/>
          <w:sz w:val="17"/>
          <w:szCs w:val="17"/>
          <w:color w:val="auto"/>
        </w:rPr>
        <w:t>by a $2.9 million increase in foreign currency transaction losses.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effective tax rate for the second quarter of 2017 and 2016 was 15.9% and 14.8%, respectively. Significant items impacting the 2017 and 2016 rates include a provision for federal alternative minimum tax, a net state and foreign tax provision, certain permanent items, and a change in the valuation allowance established for the net deferred tax asset balance projected for December 31, 2017 and 2016. We recognize valuation allowances on deferred tax assets if, based on the weight of the evidence, we determine it is more likely than not that such assets will not be realized. Changes in valuation allowances are included in our tax provision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At June 30, 2017 and December 31, 2016, substantially all of our net deferred tax assets were subject to a valuation allowance.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First Half of 2017 Compared to the First Half of 2016</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consolidated operating revenue increased $103.3 million, or 4.4% during the first half of 2017 compared to the same period in 2016. The increase in revenue is primarily attributed to an increase in volume and fuel surcharge revenue, while maintaining yield, excluding fuel surcharge, which was essentially flat when compared to prior year.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Total operating expenses for the first half of 2017 increased $126.9 million, or 5.6%, compared to the same period in 2016, and consisted primarily of an increase in contractual wages and employee benefit rates, higher fuel costs, and an increase in purchased transportation expense due to higher usage of local and rail purchased transportation and leased revenue equipment.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$44.5 million, or 3.1%, primarily due to a $21.9 million increase in wages and an</w:t>
      </w:r>
      <w:r>
        <w:rPr>
          <w:rFonts w:ascii="Arial" w:cs="Arial" w:eastAsia="Arial" w:hAnsi="Arial"/>
          <w:sz w:val="17"/>
          <w:szCs w:val="17"/>
          <w:i w:val="1"/>
          <w:iCs w:val="1"/>
          <w:color w:val="auto"/>
        </w:rPr>
        <w:t xml:space="preserve"> </w:t>
      </w:r>
      <w:r>
        <w:rPr>
          <w:rFonts w:ascii="Arial" w:cs="Arial" w:eastAsia="Arial" w:hAnsi="Arial"/>
          <w:sz w:val="17"/>
          <w:szCs w:val="17"/>
          <w:color w:val="auto"/>
        </w:rPr>
        <w:t>$18.2 million increase in employee benefit costs, both of which are mostly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Operating expenses and supplies. </w:t>
      </w:r>
      <w:r>
        <w:rPr>
          <w:rFonts w:ascii="Arial" w:cs="Arial" w:eastAsia="Arial" w:hAnsi="Arial"/>
          <w:sz w:val="15"/>
          <w:szCs w:val="15"/>
          <w:color w:val="auto"/>
        </w:rPr>
        <w:t>Operating expenses and supplies increased $37.2 million, or 9.6%, primarily due to a $28.2 million increase in fuel expense, which was</w:t>
      </w:r>
      <w:r>
        <w:rPr>
          <w:rFonts w:ascii="Arial" w:cs="Arial" w:eastAsia="Arial" w:hAnsi="Arial"/>
          <w:sz w:val="15"/>
          <w:szCs w:val="15"/>
          <w:i w:val="1"/>
          <w:iCs w:val="1"/>
          <w:color w:val="auto"/>
        </w:rPr>
        <w:t xml:space="preserve"> </w:t>
      </w:r>
      <w:r>
        <w:rPr>
          <w:rFonts w:ascii="Arial" w:cs="Arial" w:eastAsia="Arial" w:hAnsi="Arial"/>
          <w:sz w:val="15"/>
          <w:szCs w:val="15"/>
          <w:color w:val="auto"/>
        </w:rPr>
        <w:t>largely driven by higher fuel prices on a per gallon basis. Also, operating expenses increased $8.5 million due to higher technology and operating supply costs.</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increased $41.9 million, or 16.6%, primarily due to a $14.0 million increase in rail purchased transportation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rail miles and higher rail rates. In addition, vehicle rent expense increased $14.0 million primarily due to higher usage of operating leases for revenue equipment and local and over-the-road purchased transportation expense increased $9.8 million due to higher volume.</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$4.9 million, or 3.7%, primarily due to a reduction in property damage and liability claims expense of $7.8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unfavorable development of prior year claims that negatively impacted the second quarter of 2016.</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losses on disposals of property were $1.7 million in the first half of 2017 compared to net gains of $11.4 million in the first half</w:t>
      </w:r>
      <w:r>
        <w:rPr>
          <w:rFonts w:ascii="Arial" w:cs="Arial" w:eastAsia="Arial" w:hAnsi="Arial"/>
          <w:sz w:val="17"/>
          <w:szCs w:val="17"/>
          <w:i w:val="1"/>
          <w:iCs w:val="1"/>
          <w:color w:val="auto"/>
        </w:rPr>
        <w:t xml:space="preserve"> </w:t>
      </w:r>
      <w:r>
        <w:rPr>
          <w:rFonts w:ascii="Arial" w:cs="Arial" w:eastAsia="Arial" w:hAnsi="Arial"/>
          <w:sz w:val="17"/>
          <w:szCs w:val="17"/>
          <w:color w:val="auto"/>
        </w:rPr>
        <w:t>of 2016 primarily due to the sale of one property.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Nonoperating expenses, net, increased $1.2 million in the first half of 2017 compared to the first half of 2016 primarily driven by a $2.3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gain on the disposal of JHJ in the first half of 2016, with no corresponding adjustment in the first half of 2017.</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effective tax rate for the first half of 2017 and 2016 was 7.4% and 16.1%, respectively. Significant items impacting the 2017 and 2016 rates include a provision for federal alternative minimum tax, a net state and foreign tax provision, certain permanent items, and a change in the valuation allowance established for the net deferred tax asset balance projected for December 31, 2017 and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evaluate our operating performance using our YRC Freight and Regional Transportation reporting segments:</w:t>
      </w:r>
    </w:p>
    <w:p>
      <w:pPr>
        <w:spacing w:after="0" w:line="203" w:lineRule="exact"/>
        <w:rPr>
          <w:sz w:val="20"/>
          <w:szCs w:val="20"/>
          <w:color w:val="auto"/>
        </w:rPr>
      </w:pPr>
    </w:p>
    <w:p>
      <w:pPr>
        <w:jc w:val="both"/>
        <w:ind w:left="600" w:hanging="297"/>
        <w:spacing w:after="0" w:line="277"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YRC Freight </w:t>
      </w:r>
      <w:r>
        <w:rPr>
          <w:rFonts w:ascii="Arial" w:cs="Arial" w:eastAsia="Arial" w:hAnsi="Arial"/>
          <w:sz w:val="16"/>
          <w:szCs w:val="16"/>
          <w:color w:val="auto"/>
        </w:rPr>
        <w:t>is the reporting segment that focuses on longer haul business opportunities with national, regional and international services. YRC Freight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for the movement of industrial, commercial and retail goods, primarily through centralized management. This reporting segment includes our LTL subsidiaries YRC Freight and YRC Reimer. YRC Reimer is a subsidiary located in Canada that specializes in shipments into, across and out of Canada. In addition to the United States and Canada, YRC Freight also serves parts of Mexico and Puerto Rico.</w:t>
      </w:r>
    </w:p>
    <w:p>
      <w:pPr>
        <w:spacing w:after="0" w:line="157" w:lineRule="exact"/>
        <w:rPr>
          <w:rFonts w:ascii="Arial" w:cs="Arial" w:eastAsia="Arial" w:hAnsi="Arial"/>
          <w:sz w:val="16"/>
          <w:szCs w:val="16"/>
          <w:color w:val="auto"/>
        </w:rPr>
      </w:pPr>
    </w:p>
    <w:p>
      <w:pPr>
        <w:jc w:val="both"/>
        <w:ind w:left="600" w:hanging="297"/>
        <w:spacing w:after="0" w:line="284" w:lineRule="auto"/>
        <w:tabs>
          <w:tab w:leader="none" w:pos="6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 next-day</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YRC Freight Results</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represented 62.6% of consolidated operating revenue for the second quarter of 2017, as compared to 62.5% for the second quarter of 2016. YRC Freight represented 62.5% of consolidated operating revenue for the first half of 2017, as compared to 62.3% for the first half of 2016. The table below provides summary financial information for YRC Freight for the second quarter and first half of 2017 and 2016:</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w w:val="92"/>
              </w:rPr>
              <w:t>Second Quarter</w:t>
            </w:r>
          </w:p>
        </w:tc>
        <w:tc>
          <w:tcPr>
            <w:tcW w:w="1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First Half</w:t>
            </w:r>
          </w:p>
        </w:tc>
        <w:tc>
          <w:tcPr>
            <w:tcW w:w="1120" w:type="dxa"/>
            <w:vAlign w:val="bottom"/>
            <w:tcBorders>
              <w:bottom w:val="single" w:sz="8" w:color="auto"/>
            </w:tcBorders>
          </w:tcPr>
          <w:p>
            <w:pPr>
              <w:spacing w:after="0"/>
              <w:rPr>
                <w:sz w:val="15"/>
                <w:szCs w:val="15"/>
                <w:color w:val="auto"/>
              </w:rPr>
            </w:pPr>
          </w:p>
        </w:tc>
      </w:tr>
      <w:tr>
        <w:trPr>
          <w:trHeight w:val="244"/>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3"/>
                <w:szCs w:val="13"/>
                <w:b w:val="1"/>
                <w:bCs w:val="1"/>
                <w:color w:val="auto"/>
              </w:rPr>
              <w:t>2016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 Change</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Percent Change</w:t>
            </w:r>
          </w:p>
        </w:tc>
      </w:tr>
      <w:tr>
        <w:trPr>
          <w:trHeight w:val="229"/>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7"/>
                <w:szCs w:val="17"/>
                <w:color w:val="auto"/>
              </w:rPr>
              <w:t>789.5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7"/>
                <w:szCs w:val="17"/>
                <w:color w:val="auto"/>
              </w:rPr>
              <w:t>755.0</w:t>
            </w:r>
          </w:p>
        </w:tc>
        <w:tc>
          <w:tcPr>
            <w:tcW w:w="1100" w:type="dxa"/>
            <w:vAlign w:val="bottom"/>
            <w:tcBorders>
              <w:bottom w:val="single" w:sz="8" w:color="CCEEFF"/>
            </w:tcBorders>
            <w:shd w:val="clear" w:color="auto" w:fill="CCEEFF"/>
          </w:tcPr>
          <w:p>
            <w:pPr>
              <w:jc w:val="right"/>
              <w:ind w:right="260"/>
              <w:spacing w:after="0"/>
              <w:rPr>
                <w:sz w:val="20"/>
                <w:szCs w:val="20"/>
                <w:color w:val="auto"/>
              </w:rPr>
            </w:pPr>
            <w:r>
              <w:rPr>
                <w:rFonts w:ascii="Arial" w:cs="Arial" w:eastAsia="Arial" w:hAnsi="Arial"/>
                <w:sz w:val="17"/>
                <w:szCs w:val="17"/>
                <w:color w:val="auto"/>
              </w:rPr>
              <w:t>4.6%</w:t>
            </w:r>
          </w:p>
        </w:tc>
        <w:tc>
          <w:tcPr>
            <w:tcW w:w="3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1,518.4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1,450.7</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7"/>
                <w:szCs w:val="17"/>
                <w:color w:val="auto"/>
              </w:rPr>
              <w:t>4.7%</w:t>
            </w:r>
          </w:p>
        </w:tc>
      </w:tr>
      <w:tr>
        <w:trPr>
          <w:trHeight w:val="226"/>
        </w:trPr>
        <w:tc>
          <w:tcPr>
            <w:tcW w:w="3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40"/>
              <w:spacing w:after="0"/>
              <w:rPr>
                <w:sz w:val="20"/>
                <w:szCs w:val="20"/>
                <w:color w:val="auto"/>
              </w:rPr>
            </w:pPr>
            <w:r>
              <w:rPr>
                <w:rFonts w:ascii="Arial" w:cs="Arial" w:eastAsia="Arial" w:hAnsi="Arial"/>
                <w:sz w:val="17"/>
                <w:szCs w:val="17"/>
                <w:color w:val="auto"/>
              </w:rPr>
              <w:t>28.0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03"/>
              <w:spacing w:after="0"/>
              <w:rPr>
                <w:sz w:val="20"/>
                <w:szCs w:val="20"/>
                <w:color w:val="auto"/>
              </w:rPr>
            </w:pPr>
            <w:r>
              <w:rPr>
                <w:rFonts w:ascii="Arial" w:cs="Arial" w:eastAsia="Arial" w:hAnsi="Arial"/>
                <w:sz w:val="17"/>
                <w:szCs w:val="17"/>
                <w:color w:val="auto"/>
              </w:rPr>
              <w:t>28.4</w:t>
            </w:r>
          </w:p>
        </w:tc>
        <w:tc>
          <w:tcPr>
            <w:tcW w:w="1100" w:type="dxa"/>
            <w:vAlign w:val="bottom"/>
          </w:tcPr>
          <w:p>
            <w:pPr>
              <w:jc w:val="right"/>
              <w:ind w:right="220"/>
              <w:spacing w:after="0"/>
              <w:rPr>
                <w:sz w:val="20"/>
                <w:szCs w:val="20"/>
                <w:color w:val="auto"/>
              </w:rPr>
            </w:pPr>
            <w:r>
              <w:rPr>
                <w:rFonts w:ascii="Arial" w:cs="Arial" w:eastAsia="Arial" w:hAnsi="Arial"/>
                <w:sz w:val="17"/>
                <w:szCs w:val="17"/>
                <w:color w:val="auto"/>
              </w:rPr>
              <w:t>(1.4)%</w:t>
            </w:r>
          </w:p>
        </w:tc>
        <w:tc>
          <w:tcPr>
            <w:tcW w:w="34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00"/>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03"/>
              <w:spacing w:after="0"/>
              <w:rPr>
                <w:sz w:val="20"/>
                <w:szCs w:val="20"/>
                <w:color w:val="auto"/>
              </w:rPr>
            </w:pPr>
            <w:r>
              <w:rPr>
                <w:rFonts w:ascii="Arial" w:cs="Arial" w:eastAsia="Arial" w:hAnsi="Arial"/>
                <w:sz w:val="17"/>
                <w:szCs w:val="17"/>
                <w:color w:val="auto"/>
              </w:rPr>
              <w:t>32.5</w:t>
            </w:r>
          </w:p>
        </w:tc>
        <w:tc>
          <w:tcPr>
            <w:tcW w:w="120" w:type="dxa"/>
            <w:vAlign w:val="bottom"/>
          </w:tcPr>
          <w:p>
            <w:pPr>
              <w:spacing w:after="0"/>
              <w:rPr>
                <w:sz w:val="19"/>
                <w:szCs w:val="19"/>
                <w:color w:val="auto"/>
              </w:rPr>
            </w:pPr>
          </w:p>
        </w:tc>
        <w:tc>
          <w:tcPr>
            <w:tcW w:w="1120" w:type="dxa"/>
            <w:vAlign w:val="bottom"/>
          </w:tcPr>
          <w:p>
            <w:pPr>
              <w:jc w:val="right"/>
              <w:ind w:right="220"/>
              <w:spacing w:after="0"/>
              <w:rPr>
                <w:sz w:val="20"/>
                <w:szCs w:val="20"/>
                <w:color w:val="auto"/>
              </w:rPr>
            </w:pPr>
            <w:r>
              <w:rPr>
                <w:rFonts w:ascii="Arial" w:cs="Arial" w:eastAsia="Arial" w:hAnsi="Arial"/>
                <w:sz w:val="17"/>
                <w:szCs w:val="17"/>
                <w:color w:val="auto"/>
              </w:rPr>
              <w:t>(46.2)%</w:t>
            </w:r>
          </w:p>
        </w:tc>
      </w:tr>
      <w:tr>
        <w:trPr>
          <w:trHeight w:val="271"/>
        </w:trPr>
        <w:tc>
          <w:tcPr>
            <w:tcW w:w="352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96.5%</w:t>
            </w:r>
          </w:p>
        </w:tc>
        <w:tc>
          <w:tcPr>
            <w:tcW w:w="180" w:type="dxa"/>
            <w:vAlign w:val="bottom"/>
          </w:tcPr>
          <w:p>
            <w:pPr>
              <w:spacing w:after="0"/>
              <w:rPr>
                <w:sz w:val="23"/>
                <w:szCs w:val="23"/>
                <w:color w:val="auto"/>
              </w:rPr>
            </w:pPr>
          </w:p>
        </w:tc>
        <w:tc>
          <w:tcPr>
            <w:tcW w:w="1280" w:type="dxa"/>
            <w:vAlign w:val="bottom"/>
          </w:tcPr>
          <w:p>
            <w:pPr>
              <w:jc w:val="right"/>
              <w:ind w:right="63"/>
              <w:spacing w:after="0"/>
              <w:rPr>
                <w:sz w:val="20"/>
                <w:szCs w:val="20"/>
                <w:color w:val="auto"/>
              </w:rPr>
            </w:pPr>
            <w:r>
              <w:rPr>
                <w:rFonts w:ascii="Arial" w:cs="Arial" w:eastAsia="Arial" w:hAnsi="Arial"/>
                <w:sz w:val="17"/>
                <w:szCs w:val="17"/>
                <w:color w:val="auto"/>
              </w:rPr>
              <w:t>96.2%</w:t>
            </w:r>
          </w:p>
        </w:tc>
        <w:tc>
          <w:tcPr>
            <w:tcW w:w="1100" w:type="dxa"/>
            <w:vAlign w:val="bottom"/>
          </w:tcPr>
          <w:p>
            <w:pPr>
              <w:jc w:val="right"/>
              <w:ind w:right="180"/>
              <w:spacing w:after="0"/>
              <w:rPr>
                <w:sz w:val="20"/>
                <w:szCs w:val="20"/>
                <w:color w:val="auto"/>
              </w:rPr>
            </w:pPr>
            <w:r>
              <w:rPr>
                <w:rFonts w:ascii="Arial" w:cs="Arial" w:eastAsia="Arial" w:hAnsi="Arial"/>
                <w:sz w:val="17"/>
                <w:szCs w:val="17"/>
                <w:color w:val="auto"/>
              </w:rPr>
              <w:t>(0.3) pp</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97.8%</w:t>
            </w:r>
          </w:p>
        </w:tc>
        <w:tc>
          <w:tcPr>
            <w:tcW w:w="1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8"/>
              </w:rPr>
              <w:t>(1.0)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23760" cy="160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3760" cy="160020"/>
                    </a:xfrm>
                    <a:prstGeom prst="rect">
                      <a:avLst/>
                    </a:prstGeom>
                    <a:noFill/>
                  </pic:spPr>
                </pic:pic>
              </a:graphicData>
            </a:graphic>
          </wp:anchor>
        </w:drawing>
      </w:r>
    </w:p>
    <w:p>
      <w:pPr>
        <w:ind w:left="300" w:hanging="299"/>
        <w:spacing w:after="0"/>
        <w:tabs>
          <w:tab w:leader="none" w:pos="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Quarter of 2017 Compared to the Second Quarter of 2016</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YRC Freight reported operating revenue of $789.5 million in the second quarter of 2017, an increase of $34.5 million, or 4.6%, compared to the same period in 2016. The increase in revenue is primarily attributed to an increase in volume and fuel surcharge revenue, combined with an improvement in yield, excluding fuel surcharge. The table below summarizes the key revenue metrics for the YRC Freight reporting segment for the second quarter of 2017 compared to the second quarter of 2016:</w:t>
      </w:r>
    </w:p>
    <w:p>
      <w:pPr>
        <w:spacing w:after="0" w:line="347"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3"/>
                <w:szCs w:val="13"/>
                <w:b w:val="1"/>
                <w:bCs w:val="1"/>
                <w:color w:val="auto"/>
                <w:w w:val="94"/>
              </w:rPr>
              <w:t>Second Quarter</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5"/>
              </w:rPr>
              <w:t>Percent Change</w:t>
            </w:r>
            <w:r>
              <w:rPr>
                <w:rFonts w:ascii="Arial" w:cs="Arial" w:eastAsia="Arial" w:hAnsi="Arial"/>
                <w:sz w:val="8"/>
                <w:szCs w:val="8"/>
                <w:b w:val="1"/>
                <w:bCs w:val="1"/>
                <w:color w:val="auto"/>
                <w:w w:val="95"/>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780.8</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749.6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1,627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1,596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1.9 %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25.62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24.94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2,767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2,683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3.1 %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43.58</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24.00</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23.48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2.2 %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21.53</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21.30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560" w:type="dxa"/>
            <w:vAlign w:val="bottom"/>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9"/>
                <w:szCs w:val="19"/>
                <w:color w:val="auto"/>
              </w:rPr>
            </w:pPr>
          </w:p>
        </w:tc>
        <w:tc>
          <w:tcPr>
            <w:tcW w:w="700" w:type="dxa"/>
            <w:vAlign w:val="bottom"/>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1.0 %</w:t>
            </w:r>
          </w:p>
        </w:tc>
      </w:tr>
      <w:tr>
        <w:trPr>
          <w:trHeight w:val="26"/>
        </w:trPr>
        <w:tc>
          <w:tcPr>
            <w:tcW w:w="4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2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4"/>
              </w:rPr>
              <w:t>1,176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r>
      <w:tr>
        <w:trPr>
          <w:trHeight w:val="599"/>
        </w:trPr>
        <w:tc>
          <w:tcPr>
            <w:tcW w:w="4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3"/>
                <w:szCs w:val="13"/>
                <w:b w:val="1"/>
                <w:bCs w:val="1"/>
                <w:color w:val="auto"/>
              </w:rPr>
              <w:t>Second Quarter</w:t>
            </w:r>
          </w:p>
        </w:tc>
        <w:tc>
          <w:tcPr>
            <w:tcW w:w="4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6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601"/>
              <w:spacing w:after="0"/>
              <w:rPr>
                <w:sz w:val="20"/>
                <w:szCs w:val="20"/>
                <w:color w:val="auto"/>
              </w:rPr>
            </w:pPr>
            <w:r>
              <w:rPr>
                <w:rFonts w:ascii="Arial" w:cs="Arial" w:eastAsia="Arial" w:hAnsi="Arial"/>
                <w:sz w:val="13"/>
                <w:szCs w:val="13"/>
                <w:b w:val="1"/>
                <w:bCs w:val="1"/>
                <w:color w:val="auto"/>
              </w:rPr>
              <w:t>2017</w:t>
            </w:r>
          </w:p>
        </w:tc>
        <w:tc>
          <w:tcPr>
            <w:tcW w:w="6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2016</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6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00" w:type="dxa"/>
            <w:vAlign w:val="bottom"/>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789.5</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16"/>
              <w:spacing w:after="0"/>
              <w:rPr>
                <w:sz w:val="20"/>
                <w:szCs w:val="20"/>
                <w:color w:val="auto"/>
              </w:rPr>
            </w:pPr>
            <w:r>
              <w:rPr>
                <w:rFonts w:ascii="Arial" w:cs="Arial" w:eastAsia="Arial" w:hAnsi="Arial"/>
                <w:sz w:val="17"/>
                <w:szCs w:val="17"/>
                <w:color w:val="auto"/>
              </w:rPr>
              <w:t>755.0</w:t>
            </w:r>
          </w:p>
        </w:tc>
      </w:tr>
      <w:tr>
        <w:trPr>
          <w:trHeight w:val="257"/>
        </w:trPr>
        <w:tc>
          <w:tcPr>
            <w:tcW w:w="456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0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(8.7)</w:t>
            </w:r>
          </w:p>
        </w:tc>
        <w:tc>
          <w:tcPr>
            <w:tcW w:w="10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spacing w:after="0"/>
              <w:rPr>
                <w:sz w:val="22"/>
                <w:szCs w:val="22"/>
                <w:color w:val="auto"/>
              </w:rPr>
            </w:pPr>
          </w:p>
        </w:tc>
        <w:tc>
          <w:tcPr>
            <w:tcW w:w="7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(5.4)</w:t>
            </w:r>
          </w:p>
        </w:tc>
      </w:tr>
      <w:tr>
        <w:trPr>
          <w:trHeight w:val="231"/>
        </w:trPr>
        <w:tc>
          <w:tcPr>
            <w:tcW w:w="456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00" w:type="dxa"/>
            <w:vAlign w:val="bottom"/>
            <w:tcBorders>
              <w:top w:val="single" w:sz="8" w:color="auto"/>
            </w:tcBorders>
          </w:tcPr>
          <w:p>
            <w:pPr>
              <w:jc w:val="right"/>
              <w:ind w:right="21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780.8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749.6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8255</wp:posOffset>
            </wp:positionV>
            <wp:extent cx="1574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-194310</wp:posOffset>
            </wp:positionV>
            <wp:extent cx="15741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74165"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YRC Freight was $28.0 million in the second quarter of 2017 compared to operating income of $28.4 million in the second quarter of 2016. Operating expenses increased $34.9 million, or 4.8%, primarily due to an increase in contractual wages, higher fuel costs and an increase in purchased transportation expense.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 xml:space="preserve">Salaries, wages and employee benefits. </w:t>
      </w:r>
      <w:r>
        <w:rPr>
          <w:rFonts w:ascii="Arial" w:cs="Arial" w:eastAsia="Arial" w:hAnsi="Arial"/>
          <w:sz w:val="15"/>
          <w:szCs w:val="15"/>
          <w:color w:val="auto"/>
        </w:rPr>
        <w:t>Salaries, wages and employee benefits increased $7.6 million, or 1.7%, primarily due to an $8.6 million increase in wages, which</w:t>
      </w:r>
      <w:r>
        <w:rPr>
          <w:rFonts w:ascii="Arial" w:cs="Arial" w:eastAsia="Arial" w:hAnsi="Arial"/>
          <w:sz w:val="15"/>
          <w:szCs w:val="15"/>
          <w:i w:val="1"/>
          <w:iCs w:val="1"/>
          <w:color w:val="auto"/>
        </w:rPr>
        <w:t xml:space="preserve"> </w:t>
      </w:r>
      <w:r>
        <w:rPr>
          <w:rFonts w:ascii="Arial" w:cs="Arial" w:eastAsia="Arial" w:hAnsi="Arial"/>
          <w:sz w:val="15"/>
          <w:szCs w:val="15"/>
          <w:color w:val="auto"/>
        </w:rPr>
        <w:t>are related to contractual rate increases for union employees, combined with an increase in shipping volumes, which required more employee hours to process freight.</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Operating expenses and supplies</w:t>
      </w:r>
      <w:r>
        <w:rPr>
          <w:rFonts w:ascii="Arial" w:cs="Arial" w:eastAsia="Arial" w:hAnsi="Arial"/>
          <w:sz w:val="17"/>
          <w:szCs w:val="17"/>
          <w:color w:val="auto"/>
        </w:rPr>
        <w:t>. Operating expenses and supplies increased $6.7 million, or 5.2%, primarily due to a $4.2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higher fuel prices on a per gallon basis.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increased $18.1 million, or 17.5%, primarily due to a $7.8 million increase in rail purchased transportation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rail miles and higher rail rates. Local and over-the-road purchased transportation expense increased $5.1 million due to higher volume and vehicle rent expense increased $3.9 million due to higher usage of operating leases and short-term rentals for revenue equipment.</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$6.1 million, or 13.6%, primarily due to a reduction in property damage and liability claims expense of $7.6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unfavorable development of prior year claims that negatively impacted the second quarter of 2016.</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gains on disposals of property were $1.4 million in the second quarter of 2017 compared to $11.2 million in the second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primarily due to the sale of one property.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Half of 2017 Compared to the First Half of 2016</w:t>
      </w:r>
    </w:p>
    <w:p>
      <w:pPr>
        <w:spacing w:after="0" w:line="20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YRC Freight reported operating revenue of $1,518.4 million in the first half of 2017, an increase of $67.7 million, or 4.7%, compared to the same period in 2016. The increase in revenue is primarily attributed to an increase in volume and fuel surcharge revenue. The table below summarizes the key revenue metrics for the YRC Freight reporting segment for the first half of 2017 compared to the first half of 2016:</w:t>
      </w:r>
    </w:p>
    <w:p>
      <w:pPr>
        <w:spacing w:after="0" w:line="381"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333"/>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3"/>
                <w:szCs w:val="13"/>
                <w:b w:val="1"/>
                <w:bCs w:val="1"/>
                <w:color w:val="auto"/>
                <w:w w:val="93"/>
              </w:rPr>
              <w:t>Percent Change</w:t>
            </w:r>
            <w:r>
              <w:rPr>
                <w:rFonts w:ascii="Arial" w:cs="Arial" w:eastAsia="Arial" w:hAnsi="Arial"/>
                <w:sz w:val="8"/>
                <w:szCs w:val="8"/>
                <w:b w:val="1"/>
                <w:bCs w:val="1"/>
                <w:color w:val="auto"/>
                <w:w w:val="93"/>
              </w:rPr>
              <w:t>(b)</w:t>
            </w:r>
          </w:p>
        </w:tc>
      </w:tr>
      <w:tr>
        <w:trPr>
          <w:trHeight w:val="22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252"/>
        </w:trPr>
        <w:tc>
          <w:tcPr>
            <w:tcW w:w="4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2"/>
        </w:trPr>
        <w:tc>
          <w:tcPr>
            <w:tcW w:w="476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1,509.0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4.4 %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3,174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96"/>
              <w:spacing w:after="0"/>
              <w:rPr>
                <w:sz w:val="20"/>
                <w:szCs w:val="20"/>
                <w:color w:val="auto"/>
              </w:rPr>
            </w:pPr>
            <w:r>
              <w:rPr>
                <w:rFonts w:ascii="Arial" w:cs="Arial" w:eastAsia="Arial" w:hAnsi="Arial"/>
                <w:sz w:val="17"/>
                <w:szCs w:val="17"/>
                <w:color w:val="auto"/>
              </w:rPr>
              <w:t>3.0 %</w:t>
            </w:r>
          </w:p>
        </w:tc>
      </w:tr>
      <w:tr>
        <w:trPr>
          <w:trHeight w:val="26"/>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3.0 %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5,353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96"/>
              <w:spacing w:after="0"/>
              <w:rPr>
                <w:sz w:val="20"/>
                <w:szCs w:val="20"/>
                <w:color w:val="auto"/>
              </w:rPr>
            </w:pPr>
            <w:r>
              <w:rPr>
                <w:rFonts w:ascii="Arial" w:cs="Arial" w:eastAsia="Arial" w:hAnsi="Arial"/>
                <w:sz w:val="17"/>
                <w:szCs w:val="17"/>
                <w:color w:val="auto"/>
              </w:rPr>
              <w:t>3.0 %</w:t>
            </w:r>
          </w:p>
        </w:tc>
      </w:tr>
      <w:tr>
        <w:trPr>
          <w:trHeight w:val="26"/>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41.98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3.0 %</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23.77</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96"/>
              <w:spacing w:after="0"/>
              <w:rPr>
                <w:sz w:val="20"/>
                <w:szCs w:val="20"/>
                <w:color w:val="auto"/>
              </w:rPr>
            </w:pPr>
            <w:r>
              <w:rPr>
                <w:rFonts w:ascii="Arial" w:cs="Arial" w:eastAsia="Arial" w:hAnsi="Arial"/>
                <w:sz w:val="17"/>
                <w:szCs w:val="17"/>
                <w:color w:val="auto"/>
              </w:rPr>
              <w:t>1.4 %</w:t>
            </w:r>
          </w:p>
        </w:tc>
      </w:tr>
      <w:tr>
        <w:trPr>
          <w:trHeight w:val="26"/>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21.30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(0.3)%</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260" w:type="dxa"/>
            <w:vAlign w:val="bottom"/>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282</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96"/>
              <w:spacing w:after="0"/>
              <w:rPr>
                <w:sz w:val="20"/>
                <w:szCs w:val="20"/>
                <w:color w:val="auto"/>
              </w:rPr>
            </w:pPr>
            <w:r>
              <w:rPr>
                <w:rFonts w:ascii="Arial" w:cs="Arial" w:eastAsia="Arial" w:hAnsi="Arial"/>
                <w:sz w:val="17"/>
                <w:szCs w:val="17"/>
                <w:color w:val="auto"/>
              </w:rPr>
              <w:t>1.4 %</w:t>
            </w:r>
          </w:p>
        </w:tc>
      </w:tr>
      <w:tr>
        <w:trPr>
          <w:trHeight w:val="26"/>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picked up revenue per shipment (excluding fuel surcharge)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(0.3)%</w:t>
            </w:r>
          </w:p>
        </w:tc>
      </w:tr>
      <w:tr>
        <w:trPr>
          <w:trHeight w:val="226"/>
        </w:trPr>
        <w:tc>
          <w:tcPr>
            <w:tcW w:w="476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1,186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ind w:right="96"/>
              <w:spacing w:after="0"/>
              <w:rPr>
                <w:sz w:val="20"/>
                <w:szCs w:val="20"/>
                <w:color w:val="auto"/>
              </w:rPr>
            </w:pPr>
            <w:r>
              <w:rPr>
                <w:rFonts w:ascii="Arial" w:cs="Arial" w:eastAsia="Arial" w:hAnsi="Arial"/>
                <w:sz w:val="17"/>
                <w:szCs w:val="17"/>
                <w:color w:val="auto"/>
              </w:rPr>
              <w:t>— %</w:t>
            </w:r>
          </w:p>
        </w:tc>
      </w:tr>
      <w:tr>
        <w:trPr>
          <w:trHeight w:val="599"/>
        </w:trPr>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3"/>
                <w:szCs w:val="13"/>
                <w:b w:val="1"/>
                <w:bCs w:val="1"/>
                <w:color w:val="auto"/>
                <w:w w:val="99"/>
              </w:rPr>
              <w:t>First Half</w:t>
            </w:r>
          </w:p>
        </w:tc>
        <w:tc>
          <w:tcPr>
            <w:tcW w:w="4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6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20"/>
                <w:szCs w:val="20"/>
                <w:color w:val="auto"/>
              </w:rPr>
            </w:pPr>
          </w:p>
        </w:tc>
        <w:tc>
          <w:tcPr>
            <w:tcW w:w="1240" w:type="dxa"/>
            <w:vAlign w:val="bottom"/>
            <w:gridSpan w:val="4"/>
          </w:tcPr>
          <w:p>
            <w:pPr>
              <w:jc w:val="right"/>
              <w:ind w:right="116"/>
              <w:spacing w:after="0"/>
              <w:rPr>
                <w:sz w:val="20"/>
                <w:szCs w:val="20"/>
                <w:color w:val="auto"/>
              </w:rPr>
            </w:pPr>
            <w:r>
              <w:rPr>
                <w:rFonts w:ascii="Arial" w:cs="Arial" w:eastAsia="Arial" w:hAnsi="Arial"/>
                <w:sz w:val="17"/>
                <w:szCs w:val="17"/>
                <w:b w:val="1"/>
                <w:bCs w:val="1"/>
                <w:color w:val="auto"/>
              </w:rPr>
              <w:t>2017</w:t>
            </w:r>
          </w:p>
        </w:tc>
        <w:tc>
          <w:tcPr>
            <w:tcW w:w="11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2016</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54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1,518.4</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1,450.7</w:t>
            </w:r>
          </w:p>
        </w:tc>
      </w:tr>
      <w:tr>
        <w:trPr>
          <w:trHeight w:val="257"/>
        </w:trPr>
        <w:tc>
          <w:tcPr>
            <w:tcW w:w="4540" w:type="dxa"/>
            <w:vAlign w:val="bottom"/>
            <w:tcBorders>
              <w:bottom w:val="single" w:sz="8" w:color="BFE4FF"/>
            </w:tcBorders>
            <w:shd w:val="clear" w:color="auto" w:fill="BFE4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36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(5.5)</w:t>
            </w:r>
          </w:p>
        </w:tc>
      </w:tr>
      <w:tr>
        <w:trPr>
          <w:trHeight w:val="231"/>
        </w:trPr>
        <w:tc>
          <w:tcPr>
            <w:tcW w:w="454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1,509.0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1,445.2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8255</wp:posOffset>
            </wp:positionV>
            <wp:extent cx="1582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12" w:lineRule="exact"/>
        <w:rPr>
          <w:sz w:val="20"/>
          <w:szCs w:val="20"/>
          <w:color w:val="auto"/>
        </w:rPr>
      </w:pPr>
    </w:p>
    <w:p>
      <w:pPr>
        <w:ind w:left="1060" w:right="3100" w:hanging="304"/>
        <w:spacing w:after="0" w:line="252" w:lineRule="auto"/>
        <w:tabs>
          <w:tab w:leader="none" w:pos="10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 and the impact of other revenue</w:t>
      </w:r>
    </w:p>
    <w:p>
      <w:pPr>
        <w:ind w:left="1060" w:hanging="304"/>
        <w:spacing w:after="0"/>
        <w:tabs>
          <w:tab w:leader="none" w:pos="10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-290195</wp:posOffset>
            </wp:positionV>
            <wp:extent cx="15824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242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both"/>
        <w:spacing w:after="0" w:line="337" w:lineRule="auto"/>
        <w:rPr>
          <w:sz w:val="20"/>
          <w:szCs w:val="20"/>
          <w:color w:val="auto"/>
        </w:rPr>
      </w:pPr>
      <w:r>
        <w:rPr>
          <w:rFonts w:ascii="Arial" w:cs="Arial" w:eastAsia="Arial" w:hAnsi="Arial"/>
          <w:sz w:val="15"/>
          <w:szCs w:val="15"/>
          <w:color w:val="auto"/>
        </w:rPr>
        <w:t>Operating income for YRC Freight was $17.5 million in the first half of 2017 compared to $32.5 million in the first half of 2016. Operating expenses increased $82.7 million, or 5.8%, primarily due to an increase in contractual wages and employee benefit costs, higher fuel costs and an increase in purchased transportation expense.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$21.6 million, or 2.5%, primarily due to a $13.2 million increase in wages and an</w:t>
      </w:r>
      <w:r>
        <w:rPr>
          <w:rFonts w:ascii="Arial" w:cs="Arial" w:eastAsia="Arial" w:hAnsi="Arial"/>
          <w:sz w:val="17"/>
          <w:szCs w:val="17"/>
          <w:i w:val="1"/>
          <w:iCs w:val="1"/>
          <w:color w:val="auto"/>
        </w:rPr>
        <w:t xml:space="preserve"> </w:t>
      </w:r>
      <w:r>
        <w:rPr>
          <w:rFonts w:ascii="Arial" w:cs="Arial" w:eastAsia="Arial" w:hAnsi="Arial"/>
          <w:sz w:val="17"/>
          <w:szCs w:val="17"/>
          <w:color w:val="auto"/>
        </w:rPr>
        <w:t>$8.2 million increase in employee benefit costs, both of which are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337" w:lineRule="auto"/>
        <w:rPr>
          <w:sz w:val="20"/>
          <w:szCs w:val="20"/>
          <w:color w:val="auto"/>
        </w:rPr>
      </w:pPr>
      <w:r>
        <w:rPr>
          <w:rFonts w:ascii="Arial" w:cs="Arial" w:eastAsia="Arial" w:hAnsi="Arial"/>
          <w:sz w:val="15"/>
          <w:szCs w:val="15"/>
          <w:i w:val="1"/>
          <w:iCs w:val="1"/>
          <w:color w:val="auto"/>
        </w:rPr>
        <w:t>Operating expenses and supplies</w:t>
      </w:r>
      <w:r>
        <w:rPr>
          <w:rFonts w:ascii="Arial" w:cs="Arial" w:eastAsia="Arial" w:hAnsi="Arial"/>
          <w:sz w:val="15"/>
          <w:szCs w:val="15"/>
          <w:color w:val="auto"/>
        </w:rPr>
        <w:t>. Operating expenses and supplies increased $23.4 million, or 9.4%, primarily due to a $16.8 million increase in fuel expense, which was</w:t>
      </w:r>
      <w:r>
        <w:rPr>
          <w:rFonts w:ascii="Arial" w:cs="Arial" w:eastAsia="Arial" w:hAnsi="Arial"/>
          <w:sz w:val="15"/>
          <w:szCs w:val="15"/>
          <w:i w:val="1"/>
          <w:iCs w:val="1"/>
          <w:color w:val="auto"/>
        </w:rPr>
        <w:t xml:space="preserve"> </w:t>
      </w:r>
      <w:r>
        <w:rPr>
          <w:rFonts w:ascii="Arial" w:cs="Arial" w:eastAsia="Arial" w:hAnsi="Arial"/>
          <w:sz w:val="15"/>
          <w:szCs w:val="15"/>
          <w:color w:val="auto"/>
        </w:rPr>
        <w:t>largely driven by higher fuel prices on a per gallon basis. Also, operating expenses increased by $5.6 million due to higher technology and operating supply costs.</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increased $31.4 million, or 16.6%, primarily due to a $14.0 million increase in rail purchased transportation due to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rail miles and higher rail rates. Local and over-the-road purchased transportation expense increased $7.4 million due to higher volume and vehicle rent expense increased $7.5 million due to higher usage of operating leases and short-term rentals for revenue equipment.</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Other operating expense. </w:t>
      </w:r>
      <w:r>
        <w:rPr>
          <w:rFonts w:ascii="Arial" w:cs="Arial" w:eastAsia="Arial" w:hAnsi="Arial"/>
          <w:sz w:val="17"/>
          <w:szCs w:val="17"/>
          <w:color w:val="auto"/>
        </w:rPr>
        <w:t>Other operating expense decreased $4.0 million, or 4.9%, primarily due to a reduction in property damage and liability claims expense of $5.3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due to unfavorable development of prior year claims that negatively impacted the second quarter of 2016.</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Gains/losses on property disposals</w:t>
      </w:r>
      <w:r>
        <w:rPr>
          <w:rFonts w:ascii="Arial" w:cs="Arial" w:eastAsia="Arial" w:hAnsi="Arial"/>
          <w:sz w:val="17"/>
          <w:szCs w:val="17"/>
          <w:color w:val="auto"/>
        </w:rPr>
        <w:t>. Net losses on disposals of property were $0.7 million in the first half of 2017 compared to net gains of $12.0 million in the first half</w:t>
      </w:r>
      <w:r>
        <w:rPr>
          <w:rFonts w:ascii="Arial" w:cs="Arial" w:eastAsia="Arial" w:hAnsi="Arial"/>
          <w:sz w:val="17"/>
          <w:szCs w:val="17"/>
          <w:i w:val="1"/>
          <w:iCs w:val="1"/>
          <w:color w:val="auto"/>
        </w:rPr>
        <w:t xml:space="preserve"> </w:t>
      </w:r>
      <w:r>
        <w:rPr>
          <w:rFonts w:ascii="Arial" w:cs="Arial" w:eastAsia="Arial" w:hAnsi="Arial"/>
          <w:sz w:val="17"/>
          <w:szCs w:val="17"/>
          <w:color w:val="auto"/>
        </w:rPr>
        <w:t>of 2016 primarily due to the sale of one property.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Regional Transportation Results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Regional Transportation represented 37.4% of consolidated operating revenue for the second quarter of 2017, as compared to 37.5% for the second quarter of 2016. Regional Transportation represented 37.5% of consolidated operating revenue for the first half of 2017, as compared to 37.7% for the first half of 2016. The table below provides summary financial information for Regional Transportation for the second quarter and first half of 2017 and 2016:</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Second Quarter</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First Half</w:t>
            </w:r>
          </w:p>
        </w:tc>
        <w:tc>
          <w:tcPr>
            <w:tcW w:w="1120" w:type="dxa"/>
            <w:vAlign w:val="bottom"/>
            <w:tcBorders>
              <w:bottom w:val="single" w:sz="8" w:color="auto"/>
            </w:tcBorders>
          </w:tcPr>
          <w:p>
            <w:pPr>
              <w:spacing w:after="0"/>
              <w:rPr>
                <w:sz w:val="15"/>
                <w:szCs w:val="15"/>
                <w:color w:val="auto"/>
              </w:rPr>
            </w:pPr>
          </w:p>
        </w:tc>
      </w:tr>
      <w:tr>
        <w:trPr>
          <w:trHeight w:val="244"/>
        </w:trPr>
        <w:tc>
          <w:tcPr>
            <w:tcW w:w="344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21"/>
                <w:szCs w:val="21"/>
                <w:color w:val="auto"/>
              </w:rPr>
            </w:pPr>
          </w:p>
        </w:tc>
        <w:tc>
          <w:tcPr>
            <w:tcW w:w="1000" w:type="dxa"/>
            <w:vAlign w:val="bottom"/>
          </w:tcPr>
          <w:p>
            <w:pPr>
              <w:jc w:val="right"/>
              <w:ind w:right="44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443"/>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Percent Change</w:t>
            </w:r>
          </w:p>
        </w:tc>
        <w:tc>
          <w:tcPr>
            <w:tcW w:w="320" w:type="dxa"/>
            <w:vAlign w:val="bottom"/>
          </w:tcPr>
          <w:p>
            <w:pPr>
              <w:spacing w:after="0"/>
              <w:rPr>
                <w:sz w:val="21"/>
                <w:szCs w:val="21"/>
                <w:color w:val="auto"/>
              </w:rPr>
            </w:pPr>
          </w:p>
        </w:tc>
        <w:tc>
          <w:tcPr>
            <w:tcW w:w="980" w:type="dxa"/>
            <w:vAlign w:val="bottom"/>
          </w:tcPr>
          <w:p>
            <w:pPr>
              <w:jc w:val="right"/>
              <w:ind w:right="420"/>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443"/>
              <w:spacing w:after="0"/>
              <w:rPr>
                <w:sz w:val="20"/>
                <w:szCs w:val="20"/>
                <w:color w:val="auto"/>
              </w:rPr>
            </w:pPr>
            <w:r>
              <w:rPr>
                <w:rFonts w:ascii="Arial" w:cs="Arial" w:eastAsia="Arial" w:hAnsi="Arial"/>
                <w:sz w:val="13"/>
                <w:szCs w:val="13"/>
                <w:b w:val="1"/>
                <w:bCs w:val="1"/>
                <w:color w:val="auto"/>
              </w:rPr>
              <w:t>2016</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0"/>
              </w:rPr>
              <w:t>Percent Change</w:t>
            </w:r>
          </w:p>
        </w:tc>
      </w:tr>
      <w:tr>
        <w:trPr>
          <w:trHeight w:val="229"/>
        </w:trPr>
        <w:tc>
          <w:tcPr>
            <w:tcW w:w="3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revenue</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471.2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452.8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ind w:right="300"/>
              <w:spacing w:after="0"/>
              <w:rPr>
                <w:sz w:val="20"/>
                <w:szCs w:val="20"/>
                <w:color w:val="auto"/>
              </w:rPr>
            </w:pPr>
            <w:r>
              <w:rPr>
                <w:rFonts w:ascii="Arial" w:cs="Arial" w:eastAsia="Arial" w:hAnsi="Arial"/>
                <w:sz w:val="17"/>
                <w:szCs w:val="17"/>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Arial" w:cs="Arial" w:eastAsia="Arial" w:hAnsi="Arial"/>
                <w:sz w:val="17"/>
                <w:szCs w:val="17"/>
                <w:color w:val="auto"/>
              </w:rPr>
              <w:t>913.0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103"/>
              <w:spacing w:after="0"/>
              <w:rPr>
                <w:sz w:val="20"/>
                <w:szCs w:val="20"/>
                <w:color w:val="auto"/>
              </w:rPr>
            </w:pPr>
            <w:r>
              <w:rPr>
                <w:rFonts w:ascii="Arial" w:cs="Arial" w:eastAsia="Arial" w:hAnsi="Arial"/>
                <w:sz w:val="17"/>
                <w:szCs w:val="17"/>
                <w:color w:val="auto"/>
              </w:rPr>
              <w:t>877.6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ind w:right="300"/>
              <w:spacing w:after="0"/>
              <w:rPr>
                <w:sz w:val="20"/>
                <w:szCs w:val="20"/>
                <w:color w:val="auto"/>
              </w:rPr>
            </w:pPr>
            <w:r>
              <w:rPr>
                <w:rFonts w:ascii="Arial" w:cs="Arial" w:eastAsia="Arial" w:hAnsi="Arial"/>
                <w:sz w:val="17"/>
                <w:szCs w:val="17"/>
                <w:color w:val="auto"/>
              </w:rPr>
              <w:t>4.0%</w:t>
            </w:r>
          </w:p>
        </w:tc>
      </w:tr>
      <w:tr>
        <w:trPr>
          <w:trHeight w:val="226"/>
        </w:trPr>
        <w:tc>
          <w:tcPr>
            <w:tcW w:w="344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300" w:type="dxa"/>
            <w:vAlign w:val="bottom"/>
          </w:tcPr>
          <w:p>
            <w:pPr>
              <w:jc w:val="right"/>
              <w:ind w:right="116"/>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10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03"/>
              <w:spacing w:after="0"/>
              <w:rPr>
                <w:sz w:val="20"/>
                <w:szCs w:val="20"/>
                <w:color w:val="auto"/>
              </w:rPr>
            </w:pPr>
            <w:r>
              <w:rPr>
                <w:rFonts w:ascii="Arial" w:cs="Arial" w:eastAsia="Arial" w:hAnsi="Arial"/>
                <w:sz w:val="17"/>
                <w:szCs w:val="17"/>
                <w:color w:val="auto"/>
              </w:rPr>
              <w:t>30.6</w:t>
            </w:r>
          </w:p>
        </w:tc>
        <w:tc>
          <w:tcPr>
            <w:tcW w:w="120" w:type="dxa"/>
            <w:vAlign w:val="bottom"/>
          </w:tcPr>
          <w:p>
            <w:pPr>
              <w:spacing w:after="0"/>
              <w:rPr>
                <w:sz w:val="19"/>
                <w:szCs w:val="19"/>
                <w:color w:val="auto"/>
              </w:rPr>
            </w:pPr>
          </w:p>
        </w:tc>
        <w:tc>
          <w:tcPr>
            <w:tcW w:w="1120" w:type="dxa"/>
            <w:vAlign w:val="bottom"/>
          </w:tcPr>
          <w:p>
            <w:pPr>
              <w:jc w:val="right"/>
              <w:ind w:right="220"/>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00"/>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03"/>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9"/>
                <w:szCs w:val="19"/>
                <w:color w:val="auto"/>
              </w:rPr>
            </w:pPr>
          </w:p>
        </w:tc>
        <w:tc>
          <w:tcPr>
            <w:tcW w:w="1120" w:type="dxa"/>
            <w:vAlign w:val="bottom"/>
          </w:tcPr>
          <w:p>
            <w:pPr>
              <w:jc w:val="right"/>
              <w:ind w:right="200"/>
              <w:spacing w:after="0"/>
              <w:rPr>
                <w:sz w:val="20"/>
                <w:szCs w:val="20"/>
                <w:color w:val="auto"/>
              </w:rPr>
            </w:pPr>
            <w:r>
              <w:rPr>
                <w:rFonts w:ascii="Arial" w:cs="Arial" w:eastAsia="Arial" w:hAnsi="Arial"/>
                <w:sz w:val="17"/>
                <w:szCs w:val="17"/>
                <w:color w:val="auto"/>
              </w:rPr>
              <w:t>(12.8)%</w:t>
            </w:r>
          </w:p>
        </w:tc>
      </w:tr>
      <w:tr>
        <w:trPr>
          <w:trHeight w:val="271"/>
        </w:trPr>
        <w:tc>
          <w:tcPr>
            <w:tcW w:w="3440" w:type="dxa"/>
            <w:vAlign w:val="bottom"/>
          </w:tcPr>
          <w:p>
            <w:pPr>
              <w:ind w:left="20"/>
              <w:spacing w:after="0"/>
              <w:rPr>
                <w:sz w:val="20"/>
                <w:szCs w:val="20"/>
                <w:color w:val="auto"/>
              </w:rPr>
            </w:pPr>
            <w:r>
              <w:rPr>
                <w:rFonts w:ascii="Arial" w:cs="Arial" w:eastAsia="Arial" w:hAnsi="Arial"/>
                <w:sz w:val="17"/>
                <w:szCs w:val="17"/>
                <w:color w:val="auto"/>
              </w:rPr>
              <w:t>Operating ratio</w:t>
            </w:r>
            <w:r>
              <w:rPr>
                <w:rFonts w:ascii="Arial" w:cs="Arial" w:eastAsia="Arial" w:hAnsi="Arial"/>
                <w:sz w:val="23"/>
                <w:szCs w:val="23"/>
                <w:color w:val="auto"/>
                <w:vertAlign w:val="superscript"/>
              </w:rPr>
              <w:t>(a)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93.2%</w:t>
            </w:r>
          </w:p>
        </w:tc>
        <w:tc>
          <w:tcPr>
            <w:tcW w:w="120" w:type="dxa"/>
            <w:vAlign w:val="bottom"/>
          </w:tcPr>
          <w:p>
            <w:pPr>
              <w:spacing w:after="0"/>
              <w:rPr>
                <w:sz w:val="23"/>
                <w:szCs w:val="23"/>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(1.4) pp</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95.1%</w:t>
            </w:r>
          </w:p>
        </w:tc>
        <w:tc>
          <w:tcPr>
            <w:tcW w:w="1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(0.8) 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7256145" cy="16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160020"/>
                    </a:xfrm>
                    <a:prstGeom prst="rect">
                      <a:avLst/>
                    </a:prstGeom>
                    <a:noFill/>
                  </pic:spPr>
                </pic:pic>
              </a:graphicData>
            </a:graphic>
          </wp:anchor>
        </w:drawing>
      </w:r>
    </w:p>
    <w:p>
      <w:pPr>
        <w:ind w:left="300" w:hanging="299"/>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pp represents the change in percentage points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2"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Quarter of 2017 Compared to the Second Quarter of 2016</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Regional Transportation reported operating revenue of $471.2 million for the second quarter of 2017, an increase of $18.4 million, or 4.1%, from the second quarter of 2016. The increase in revenue is primarily attributed to an increase in volume and fuel surcharge revenue, while yield, excluding fuel surcharge, is comparable to prior year. The table below summarizes the key revenue metrics for the Regional Transportation reporting segment for the second quarter of 2017 compared to the second quarter of 2016:</w:t>
      </w:r>
    </w:p>
    <w:p>
      <w:pPr>
        <w:spacing w:after="0" w:line="38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25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3"/>
                <w:szCs w:val="13"/>
                <w:b w:val="1"/>
                <w:bCs w:val="1"/>
                <w:color w:val="auto"/>
                <w:w w:val="96"/>
              </w:rPr>
              <w:t>Second Quarter</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5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0"/>
                <w:shd w:val="clear" w:color="auto" w:fill="CCEEFF"/>
              </w:rPr>
              <w:t>Total picked up revenue (in millions)</w:t>
            </w:r>
          </w:p>
        </w:tc>
        <w:tc>
          <w:tcPr>
            <w:tcW w:w="2240" w:type="dxa"/>
            <w:vAlign w:val="bottom"/>
            <w:shd w:val="clear" w:color="auto" w:fill="CCEEFF"/>
          </w:tcPr>
          <w:p>
            <w:pPr>
              <w:spacing w:after="0"/>
              <w:rPr>
                <w:sz w:val="20"/>
                <w:szCs w:val="20"/>
                <w:color w:val="auto"/>
              </w:rPr>
            </w:pPr>
            <w:r>
              <w:rPr>
                <w:rFonts w:ascii="Arial" w:cs="Arial" w:eastAsia="Arial" w:hAnsi="Arial"/>
                <w:sz w:val="12"/>
                <w:szCs w:val="12"/>
                <w:color w:val="auto"/>
                <w:shd w:val="clear" w:color="auto" w:fill="CCEEFF"/>
              </w:rPr>
              <w:t>(a)</w:t>
            </w:r>
          </w:p>
        </w:tc>
        <w:tc>
          <w:tcPr>
            <w:tcW w:w="640" w:type="dxa"/>
            <w:vAlign w:val="bottom"/>
            <w:vMerge w:val="restart"/>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472.2</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453.4</w:t>
            </w:r>
          </w:p>
        </w:tc>
        <w:tc>
          <w:tcPr>
            <w:tcW w:w="1480" w:type="dxa"/>
            <w:vAlign w:val="bottom"/>
            <w:gridSpan w:val="4"/>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72"/>
        </w:trPr>
        <w:tc>
          <w:tcPr>
            <w:tcW w:w="2500" w:type="dxa"/>
            <w:vAlign w:val="bottom"/>
            <w:tcBorders>
              <w:bottom w:val="single" w:sz="8" w:color="CCEEFF"/>
            </w:tcBorders>
            <w:vMerge w:val="continue"/>
            <w:shd w:val="clear" w:color="auto" w:fill="CCEEFF"/>
          </w:tcPr>
          <w:p>
            <w:pPr>
              <w:spacing w:after="0"/>
              <w:rPr>
                <w:sz w:val="6"/>
                <w:szCs w:val="6"/>
                <w:color w:val="auto"/>
              </w:rPr>
            </w:pPr>
          </w:p>
        </w:tc>
        <w:tc>
          <w:tcPr>
            <w:tcW w:w="224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vMerge w:val="continue"/>
            <w:shd w:val="clear" w:color="auto" w:fill="CCEEFF"/>
          </w:tcPr>
          <w:p>
            <w:pPr>
              <w:spacing w:after="0"/>
              <w:rPr>
                <w:sz w:val="6"/>
                <w:szCs w:val="6"/>
                <w:color w:val="auto"/>
              </w:rPr>
            </w:pPr>
          </w:p>
        </w:tc>
        <w:tc>
          <w:tcPr>
            <w:tcW w:w="380" w:type="dxa"/>
            <w:vAlign w:val="bottom"/>
            <w:tcBorders>
              <w:bottom w:val="single" w:sz="8" w:color="CCEEFF"/>
            </w:tcBorders>
            <w:vMerge w:val="continue"/>
            <w:shd w:val="clear" w:color="auto" w:fill="CCEEFF"/>
          </w:tcPr>
          <w:p>
            <w:pPr>
              <w:spacing w:after="0"/>
              <w:rPr>
                <w:sz w:val="6"/>
                <w:szCs w:val="6"/>
                <w:color w:val="auto"/>
              </w:rPr>
            </w:pPr>
          </w:p>
        </w:tc>
        <w:tc>
          <w:tcPr>
            <w:tcW w:w="1480" w:type="dxa"/>
            <w:vAlign w:val="bottom"/>
            <w:tcBorders>
              <w:bottom w:val="single" w:sz="8" w:color="CCEEFF"/>
            </w:tcBorders>
            <w:gridSpan w:val="4"/>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2,036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1,980</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32.06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30.94</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2,725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2,696</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42.92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42.12</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11.60</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11.45</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10.43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10.40</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168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6"/>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1,494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1,469</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599"/>
        </w:trPr>
        <w:tc>
          <w:tcPr>
            <w:tcW w:w="2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Second Quarter</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2017</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471.2</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452.8</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472.2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Regional Transportation was $25.3 million for the second quarter of 2017 compared to $30.6 million for the second quarter of 2016. Operating expenses increased $23.7 million, or 5.6%, primarily due to an increase in contractual wages and employee benefit costs, higher fuel costs and higher usage of leased revenue equipment.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$10.4 million, or 3.9%, primarily due to a $6.3 million increase in wages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$5.6 million increase in employee benefit costs, both of which are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expenses and supplies. </w:t>
      </w:r>
      <w:r>
        <w:rPr>
          <w:rFonts w:ascii="Arial" w:cs="Arial" w:eastAsia="Arial" w:hAnsi="Arial"/>
          <w:sz w:val="17"/>
          <w:szCs w:val="17"/>
          <w:color w:val="auto"/>
        </w:rPr>
        <w:t>Operating expenses and supplies increased $5.9 million, or 7.5%, primarily due to a $3.0 million increase in fuel expense,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largely driven by higher fuel prices on a per gallon basis.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Purchased transportation</w:t>
      </w:r>
      <w:r>
        <w:rPr>
          <w:rFonts w:ascii="Arial" w:cs="Arial" w:eastAsia="Arial" w:hAnsi="Arial"/>
          <w:sz w:val="17"/>
          <w:szCs w:val="17"/>
          <w:color w:val="auto"/>
        </w:rPr>
        <w:t>. Purchased transportation increased $4.8 million, or 14.2%, primarily due to a $2.7 million increase in vehicle rent expense due to higher usage</w:t>
      </w:r>
      <w:r>
        <w:rPr>
          <w:rFonts w:ascii="Arial" w:cs="Arial" w:eastAsia="Arial" w:hAnsi="Arial"/>
          <w:sz w:val="17"/>
          <w:szCs w:val="17"/>
          <w:i w:val="1"/>
          <w:iCs w:val="1"/>
          <w:color w:val="auto"/>
        </w:rPr>
        <w:t xml:space="preserve"> </w:t>
      </w:r>
      <w:r>
        <w:rPr>
          <w:rFonts w:ascii="Arial" w:cs="Arial" w:eastAsia="Arial" w:hAnsi="Arial"/>
          <w:sz w:val="17"/>
          <w:szCs w:val="17"/>
          <w:color w:val="auto"/>
        </w:rPr>
        <w:t>of operating leases for revenue equipment.</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increased $2.5 million, or 10.3%, due to a $1.3 million increase in our property damage and liability claims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unfavorable development on current year claims which negatively impacted second quarter of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First Half of 2017 Compared to the First Half of 2016</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Regional Transportation reported operating revenue of $913.0 million for the first half of 2017, an increase of $35.4 million, or 4.0%, from the first half of 2016. The increase in revenue is primarily attributed to an increase in volume and fuel surcharge revenue, while yield, excluding fuel surcharge, is comparable to prior year. The table below summarizes the key revenue metrics for the Regional Transportation reporting segment for the first half of 2017 compared to the first half of 2016:</w:t>
      </w:r>
    </w:p>
    <w:p>
      <w:pPr>
        <w:spacing w:after="0" w:line="347"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47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3"/>
                <w:szCs w:val="13"/>
                <w:b w:val="1"/>
                <w:bCs w:val="1"/>
                <w:color w:val="auto"/>
              </w:rPr>
              <w:t>First Half</w:t>
            </w: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44"/>
        </w:trPr>
        <w:tc>
          <w:tcPr>
            <w:tcW w:w="47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b w:val="1"/>
                <w:bCs w:val="1"/>
                <w:color w:val="auto"/>
              </w:rPr>
              <w:t>Percent Change</w:t>
            </w:r>
            <w:r>
              <w:rPr>
                <w:rFonts w:ascii="Arial" w:cs="Arial" w:eastAsia="Arial" w:hAnsi="Arial"/>
                <w:sz w:val="8"/>
                <w:szCs w:val="8"/>
                <w:b w:val="1"/>
                <w:bCs w:val="1"/>
                <w:color w:val="auto"/>
              </w:rPr>
              <w:t>(b)</w:t>
            </w:r>
          </w:p>
        </w:tc>
      </w:tr>
      <w:tr>
        <w:trPr>
          <w:trHeight w:val="22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Workdays</w:t>
            </w: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127.5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128.5</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r>
      <w:tr>
        <w:trPr>
          <w:trHeight w:val="302"/>
        </w:trPr>
        <w:tc>
          <w:tcPr>
            <w:tcW w:w="4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2"/>
        </w:trPr>
        <w:tc>
          <w:tcPr>
            <w:tcW w:w="47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Total picked up revenue (in millions)</w:t>
            </w:r>
            <w:r>
              <w:rPr>
                <w:rFonts w:ascii="Arial" w:cs="Arial" w:eastAsia="Arial" w:hAnsi="Arial"/>
                <w:sz w:val="23"/>
                <w:szCs w:val="23"/>
                <w:color w:val="auto"/>
                <w:vertAlign w:val="superscript"/>
              </w:rPr>
              <w:t>(a)</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915.4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880.0</w:t>
            </w:r>
          </w:p>
        </w:tc>
        <w:tc>
          <w:tcPr>
            <w:tcW w:w="14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tonnage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3,960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3,880</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2.1%</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tonnage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31.06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30.20</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shipments (in thousands)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5,270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5,254</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0.3%</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shipments per day (in thousands)</w:t>
            </w: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41.34</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40.88</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hundred weight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11.56</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11.34</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1.9%</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picked up revenue per hundred weight (excluding fuel</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10.38</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10.36</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0.2%</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picked up revenue per shipment</w:t>
            </w:r>
          </w:p>
        </w:tc>
        <w:tc>
          <w:tcPr>
            <w:tcW w:w="640" w:type="dxa"/>
            <w:vAlign w:val="bottom"/>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174</w:t>
            </w:r>
          </w:p>
        </w:tc>
        <w:tc>
          <w:tcPr>
            <w:tcW w:w="100" w:type="dxa"/>
            <w:vAlign w:val="bottom"/>
          </w:tcPr>
          <w:p>
            <w:pPr>
              <w:spacing w:after="0"/>
              <w:rPr>
                <w:sz w:val="19"/>
                <w:szCs w:val="19"/>
                <w:color w:val="auto"/>
              </w:rPr>
            </w:pPr>
          </w:p>
        </w:tc>
        <w:tc>
          <w:tcPr>
            <w:tcW w:w="720" w:type="dxa"/>
            <w:vAlign w:val="bottom"/>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168</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3.7%</w:t>
            </w:r>
          </w:p>
        </w:tc>
      </w:tr>
      <w:tr>
        <w:trPr>
          <w:trHeight w:val="26"/>
        </w:trPr>
        <w:tc>
          <w:tcPr>
            <w:tcW w:w="4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6"/>
              </w:rPr>
              <w:t>Total picked up revenue per shipment (excluding fuel surcharge)</w:t>
            </w: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4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r>
      <w:tr>
        <w:trPr>
          <w:trHeight w:val="226"/>
        </w:trPr>
        <w:tc>
          <w:tcPr>
            <w:tcW w:w="4740" w:type="dxa"/>
            <w:vAlign w:val="bottom"/>
          </w:tcPr>
          <w:p>
            <w:pPr>
              <w:ind w:left="20"/>
              <w:spacing w:after="0"/>
              <w:rPr>
                <w:sz w:val="20"/>
                <w:szCs w:val="20"/>
                <w:color w:val="auto"/>
              </w:rPr>
            </w:pPr>
            <w:r>
              <w:rPr>
                <w:rFonts w:ascii="Arial" w:cs="Arial" w:eastAsia="Arial" w:hAnsi="Arial"/>
                <w:sz w:val="17"/>
                <w:szCs w:val="17"/>
                <w:color w:val="auto"/>
              </w:rPr>
              <w:t>Total weight per shipment (in pounds)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1,503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1,477</w:t>
            </w:r>
          </w:p>
        </w:tc>
        <w:tc>
          <w:tcPr>
            <w:tcW w:w="1480" w:type="dxa"/>
            <w:vAlign w:val="bottom"/>
            <w:gridSpan w:val="4"/>
          </w:tcPr>
          <w:p>
            <w:pPr>
              <w:jc w:val="right"/>
              <w:ind w:right="160"/>
              <w:spacing w:after="0"/>
              <w:rPr>
                <w:sz w:val="20"/>
                <w:szCs w:val="20"/>
                <w:color w:val="auto"/>
              </w:rPr>
            </w:pPr>
            <w:r>
              <w:rPr>
                <w:rFonts w:ascii="Arial" w:cs="Arial" w:eastAsia="Arial" w:hAnsi="Arial"/>
                <w:sz w:val="17"/>
                <w:szCs w:val="17"/>
                <w:color w:val="auto"/>
              </w:rPr>
              <w:t>1.7%</w:t>
            </w:r>
          </w:p>
        </w:tc>
      </w:tr>
      <w:tr>
        <w:trPr>
          <w:trHeight w:val="599"/>
        </w:trPr>
        <w:tc>
          <w:tcPr>
            <w:tcW w:w="4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b w:val="1"/>
                <w:bCs w:val="1"/>
                <w:color w:val="auto"/>
              </w:rPr>
              <w:t>First Half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4740" w:type="dxa"/>
            <w:vAlign w:val="bottom"/>
          </w:tcPr>
          <w:p>
            <w:pPr>
              <w:ind w:left="780"/>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3"/>
          </w:tcPr>
          <w:p>
            <w:pPr>
              <w:jc w:val="right"/>
              <w:ind w:right="541"/>
              <w:spacing w:after="0"/>
              <w:rPr>
                <w:sz w:val="20"/>
                <w:szCs w:val="20"/>
                <w:color w:val="auto"/>
              </w:rPr>
            </w:pPr>
            <w:r>
              <w:rPr>
                <w:rFonts w:ascii="Arial" w:cs="Arial" w:eastAsia="Arial" w:hAnsi="Arial"/>
                <w:sz w:val="13"/>
                <w:szCs w:val="13"/>
                <w:b w:val="1"/>
                <w:bCs w:val="1"/>
                <w:color w:val="auto"/>
              </w:rPr>
              <w:t>2017</w:t>
            </w:r>
          </w:p>
        </w:tc>
        <w:tc>
          <w:tcPr>
            <w:tcW w:w="380" w:type="dxa"/>
            <w:vAlign w:val="bottom"/>
          </w:tcPr>
          <w:p>
            <w:pPr>
              <w:spacing w:after="0"/>
              <w:rPr>
                <w:sz w:val="20"/>
                <w:szCs w:val="20"/>
                <w:color w:val="auto"/>
              </w:rPr>
            </w:pPr>
          </w:p>
        </w:tc>
        <w:tc>
          <w:tcPr>
            <w:tcW w:w="720" w:type="dxa"/>
            <w:vAlign w:val="bottom"/>
            <w:gridSpan w:val="3"/>
          </w:tcPr>
          <w:p>
            <w:pPr>
              <w:jc w:val="right"/>
              <w:ind w:right="393"/>
              <w:spacing w:after="0"/>
              <w:rPr>
                <w:sz w:val="20"/>
                <w:szCs w:val="20"/>
                <w:color w:val="auto"/>
              </w:rPr>
            </w:pPr>
            <w:r>
              <w:rPr>
                <w:rFonts w:ascii="Arial" w:cs="Arial" w:eastAsia="Arial" w:hAnsi="Arial"/>
                <w:sz w:val="13"/>
                <w:szCs w:val="13"/>
                <w:b w:val="1"/>
                <w:bCs w:val="1"/>
                <w:color w:val="auto"/>
                <w:w w:val="82"/>
              </w:rPr>
              <w:t>2016</w:t>
            </w:r>
          </w:p>
        </w:tc>
        <w:tc>
          <w:tcPr>
            <w:tcW w:w="7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6350</wp:posOffset>
            </wp:positionV>
            <wp:extent cx="4467225" cy="167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67225" cy="167640"/>
                    </a:xfrm>
                    <a:prstGeom prst="rect">
                      <a:avLst/>
                    </a:prstGeom>
                    <a:noFill/>
                  </pic:spPr>
                </pic:pic>
              </a:graphicData>
            </a:graphic>
          </wp:anchor>
        </w:drawing>
      </w:r>
    </w:p>
    <w:p>
      <w:pPr>
        <w:spacing w:after="0" w:line="11" w:lineRule="exact"/>
        <w:rPr>
          <w:sz w:val="20"/>
          <w:szCs w:val="20"/>
          <w:color w:val="auto"/>
        </w:rPr>
      </w:pPr>
    </w:p>
    <w:p>
      <w:pPr>
        <w:ind w:left="2380" w:hanging="158"/>
        <w:spacing w:after="0"/>
        <w:tabs>
          <w:tab w:leader="none" w:pos="2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Reconciliation of operating revenue to total picked up revenue:</w:t>
      </w:r>
    </w:p>
    <w:p>
      <w:pPr>
        <w:spacing w:after="0" w:line="52" w:lineRule="exact"/>
        <w:rPr>
          <w:sz w:val="20"/>
          <w:szCs w:val="20"/>
          <w:color w:val="auto"/>
        </w:rPr>
      </w:pPr>
    </w:p>
    <w:tbl>
      <w:tblPr>
        <w:tblLayout w:type="fixed"/>
        <w:tblInd w:w="2200" w:type="dxa"/>
        <w:tblCellMar>
          <w:top w:w="0" w:type="dxa"/>
          <w:left w:w="0" w:type="dxa"/>
          <w:bottom w:w="0" w:type="dxa"/>
          <w:right w:w="0" w:type="dxa"/>
        </w:tblCellMar>
      </w:tblPr>
      <w:tr>
        <w:trPr>
          <w:trHeight w:val="219"/>
        </w:trPr>
        <w:tc>
          <w:tcPr>
            <w:tcW w:w="4620" w:type="dxa"/>
            <w:vAlign w:val="bottom"/>
          </w:tcPr>
          <w:p>
            <w:pPr>
              <w:ind w:left="240"/>
              <w:spacing w:after="0"/>
              <w:rPr>
                <w:sz w:val="20"/>
                <w:szCs w:val="20"/>
                <w:color w:val="auto"/>
              </w:rPr>
            </w:pPr>
            <w:r>
              <w:rPr>
                <w:rFonts w:ascii="Arial" w:cs="Arial" w:eastAsia="Arial" w:hAnsi="Arial"/>
                <w:sz w:val="17"/>
                <w:szCs w:val="17"/>
                <w:color w:val="auto"/>
              </w:rPr>
              <w:t>Operating revenue</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913.0</w:t>
            </w:r>
          </w:p>
        </w:tc>
        <w:tc>
          <w:tcPr>
            <w:tcW w:w="100" w:type="dxa"/>
            <w:vAlign w:val="bottom"/>
          </w:tcPr>
          <w:p>
            <w:pPr>
              <w:spacing w:after="0"/>
              <w:rPr>
                <w:sz w:val="19"/>
                <w:szCs w:val="19"/>
                <w:color w:val="auto"/>
              </w:rPr>
            </w:pPr>
          </w:p>
        </w:tc>
        <w:tc>
          <w:tcPr>
            <w:tcW w:w="420" w:type="dxa"/>
            <w:vAlign w:val="bottom"/>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877.6</w:t>
            </w:r>
          </w:p>
        </w:tc>
      </w:tr>
      <w:tr>
        <w:trPr>
          <w:trHeight w:val="257"/>
        </w:trPr>
        <w:tc>
          <w:tcPr>
            <w:tcW w:w="4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Change in revenue deferral and other</w:t>
            </w: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31"/>
        </w:trPr>
        <w:tc>
          <w:tcPr>
            <w:tcW w:w="4620" w:type="dxa"/>
            <w:vAlign w:val="bottom"/>
          </w:tcPr>
          <w:p>
            <w:pPr>
              <w:ind w:left="140"/>
              <w:spacing w:after="0"/>
              <w:rPr>
                <w:sz w:val="20"/>
                <w:szCs w:val="20"/>
                <w:color w:val="auto"/>
              </w:rPr>
            </w:pPr>
            <w:r>
              <w:rPr>
                <w:rFonts w:ascii="Arial" w:cs="Arial" w:eastAsia="Arial" w:hAnsi="Arial"/>
                <w:sz w:val="17"/>
                <w:szCs w:val="17"/>
                <w:color w:val="auto"/>
              </w:rPr>
              <w:t>Total picked up revenue</w:t>
            </w: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8255</wp:posOffset>
            </wp:positionV>
            <wp:extent cx="1534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2" w:lineRule="exact"/>
        <w:rPr>
          <w:sz w:val="20"/>
          <w:szCs w:val="20"/>
          <w:color w:val="auto"/>
        </w:rPr>
      </w:pPr>
    </w:p>
    <w:p>
      <w:pPr>
        <w:ind w:left="1060" w:hanging="304"/>
        <w:spacing w:after="0"/>
        <w:tabs>
          <w:tab w:leader="none" w:pos="10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Does not equal financial statement revenue due to revenue recognition adjustments between accounting periods</w:t>
      </w:r>
    </w:p>
    <w:p>
      <w:pPr>
        <w:spacing w:after="0" w:line="13" w:lineRule="exact"/>
        <w:rPr>
          <w:rFonts w:ascii="Arial" w:cs="Arial" w:eastAsia="Arial" w:hAnsi="Arial"/>
          <w:sz w:val="13"/>
          <w:szCs w:val="13"/>
          <w:color w:val="auto"/>
        </w:rPr>
      </w:pPr>
    </w:p>
    <w:p>
      <w:pPr>
        <w:ind w:left="1060" w:hanging="304"/>
        <w:spacing w:after="0"/>
        <w:tabs>
          <w:tab w:leader="none" w:pos="10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Percent change based on unrounded figures and not the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-194310</wp:posOffset>
            </wp:positionV>
            <wp:extent cx="1534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Operating income for Regional Transportation was $37.5 million for the first half of 2017, as compared to $43.0 million for the first half of 2016. Operating expenses increased by a $40.9 million, or 4.9%, primarily due to an increase in contractual wages and employee benefit costs, higher fuel costs and higher usage of leased revenue equipment.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$18.3 million, or 3.4%, primarily due to an $8.3 million increase in wages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$12.2 million increase in employee benefit costs, both of which are related to contractual rate increases for union employees, combined with an increase in shipping volumes, which required more employee hours to process freight.</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Operating expenses and supplies. </w:t>
      </w:r>
      <w:r>
        <w:rPr>
          <w:rFonts w:ascii="Arial" w:cs="Arial" w:eastAsia="Arial" w:hAnsi="Arial"/>
          <w:sz w:val="17"/>
          <w:szCs w:val="17"/>
          <w:color w:val="auto"/>
        </w:rPr>
        <w:t>Operating expenses and supplies increased $15.3 million, or 9.8%, primarily due to an $11.3 million increase in fuel expense,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largely driven by higher fuel prices on a per gallon basis.</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Purchased transportation</w:t>
      </w:r>
      <w:r>
        <w:rPr>
          <w:rFonts w:ascii="Arial" w:cs="Arial" w:eastAsia="Arial" w:hAnsi="Arial"/>
          <w:sz w:val="16"/>
          <w:szCs w:val="16"/>
          <w:color w:val="auto"/>
        </w:rPr>
        <w:t>. Purchased transportation increased $10.3 million, or 16.4%, primarily due to a $6.5 million increase in vehicle rent expense due to higher</w:t>
      </w:r>
      <w:r>
        <w:rPr>
          <w:rFonts w:ascii="Arial" w:cs="Arial" w:eastAsia="Arial" w:hAnsi="Arial"/>
          <w:sz w:val="16"/>
          <w:szCs w:val="16"/>
          <w:i w:val="1"/>
          <w:iCs w:val="1"/>
          <w:color w:val="auto"/>
        </w:rPr>
        <w:t xml:space="preserve"> </w:t>
      </w:r>
      <w:r>
        <w:rPr>
          <w:rFonts w:ascii="Arial" w:cs="Arial" w:eastAsia="Arial" w:hAnsi="Arial"/>
          <w:sz w:val="16"/>
          <w:szCs w:val="16"/>
          <w:color w:val="auto"/>
        </w:rPr>
        <w:t>usage of operating leases for revenue equipment and $2.4 million increase in local purchased transportation expense due to higher volume.</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 Other operating expenses decreased $1.0 million, or 2.0%, due to a $2.5 million decrease in our property damage and liability claims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more favorable development on our prior year claims in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Financial Measures</w:t>
      </w:r>
    </w:p>
    <w:p>
      <w:pPr>
        <w:spacing w:after="0" w:line="2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Adjusted EBITDA</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 for the second quarter and first half of 2017 and 2016, and the trailing twelve months ended June 30, 2017 and 2016,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5"/>
          </w:tcPr>
          <w:p>
            <w:pPr>
              <w:ind w:left="320"/>
              <w:spacing w:after="0"/>
              <w:rPr>
                <w:sz w:val="20"/>
                <w:szCs w:val="20"/>
                <w:color w:val="auto"/>
              </w:rPr>
            </w:pPr>
            <w:r>
              <w:rPr>
                <w:rFonts w:ascii="Arial" w:cs="Arial" w:eastAsia="Arial" w:hAnsi="Arial"/>
                <w:sz w:val="13"/>
                <w:szCs w:val="13"/>
                <w:b w:val="1"/>
                <w:bCs w:val="1"/>
                <w:color w:val="auto"/>
              </w:rPr>
              <w:t>Second Quarter</w:t>
            </w:r>
          </w:p>
        </w:tc>
        <w:tc>
          <w:tcPr>
            <w:tcW w:w="22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5"/>
          </w:tcPr>
          <w:p>
            <w:pPr>
              <w:jc w:val="right"/>
              <w:spacing w:after="0"/>
              <w:rPr>
                <w:sz w:val="20"/>
                <w:szCs w:val="20"/>
                <w:color w:val="auto"/>
              </w:rPr>
            </w:pPr>
            <w:r>
              <w:rPr>
                <w:rFonts w:ascii="Arial" w:cs="Arial" w:eastAsia="Arial" w:hAnsi="Arial"/>
                <w:sz w:val="13"/>
                <w:szCs w:val="13"/>
                <w:b w:val="1"/>
                <w:bCs w:val="1"/>
                <w:color w:val="auto"/>
                <w:w w:val="98"/>
              </w:rPr>
              <w:t>Trailing Twelve Months Ended</w:t>
            </w:r>
          </w:p>
        </w:tc>
      </w:tr>
      <w:tr>
        <w:trPr>
          <w:trHeight w:val="244"/>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96"/>
              </w:rPr>
              <w:t>2016</w:t>
            </w:r>
          </w:p>
        </w:tc>
        <w:tc>
          <w:tcPr>
            <w:tcW w:w="12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June 30, 2017</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June 30, 2016</w:t>
            </w:r>
          </w:p>
        </w:tc>
      </w:tr>
      <w:tr>
        <w:trPr>
          <w:trHeight w:val="22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net income (loss) to Adjusted EBITDA:</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r>
      <w:tr>
        <w:trPr>
          <w:trHeight w:val="226"/>
        </w:trPr>
        <w:tc>
          <w:tcPr>
            <w:tcW w:w="538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tcPr>
          <w:p>
            <w:pPr>
              <w:jc w:val="right"/>
              <w:ind w:right="3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27.1</w:t>
            </w:r>
          </w:p>
        </w:tc>
        <w:tc>
          <w:tcPr>
            <w:tcW w:w="120" w:type="dxa"/>
            <w:vAlign w:val="bottom"/>
          </w:tcPr>
          <w:p>
            <w:pPr>
              <w:spacing w:after="0"/>
              <w:rPr>
                <w:sz w:val="19"/>
                <w:szCs w:val="19"/>
                <w:color w:val="auto"/>
              </w:rPr>
            </w:pPr>
          </w:p>
        </w:tc>
        <w:tc>
          <w:tcPr>
            <w:tcW w:w="22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7"/>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9"/>
                <w:szCs w:val="19"/>
                <w:color w:val="auto"/>
              </w:rPr>
            </w:pPr>
          </w:p>
        </w:tc>
        <w:tc>
          <w:tcPr>
            <w:tcW w:w="260" w:type="dxa"/>
            <w:vAlign w:val="bottom"/>
          </w:tcPr>
          <w:p>
            <w:pPr>
              <w:jc w:val="right"/>
              <w:ind w:right="65"/>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260" w:type="dxa"/>
            <w:vAlign w:val="bottom"/>
          </w:tcPr>
          <w:p>
            <w:pPr>
              <w:jc w:val="right"/>
              <w:ind w:right="62"/>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11.4</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2"/>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Interest expense, net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50.8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103.9</w:t>
            </w:r>
          </w:p>
        </w:tc>
      </w:tr>
      <w:tr>
        <w:trPr>
          <w:trHeight w:val="226"/>
        </w:trPr>
        <w:tc>
          <w:tcPr>
            <w:tcW w:w="5380" w:type="dxa"/>
            <w:vAlign w:val="bottom"/>
          </w:tcPr>
          <w:p>
            <w:pPr>
              <w:ind w:left="360"/>
              <w:spacing w:after="0"/>
              <w:rPr>
                <w:sz w:val="20"/>
                <w:szCs w:val="20"/>
                <w:color w:val="auto"/>
              </w:rPr>
            </w:pPr>
            <w:r>
              <w:rPr>
                <w:rFonts w:ascii="Arial" w:cs="Arial" w:eastAsia="Arial" w:hAnsi="Arial"/>
                <w:sz w:val="17"/>
                <w:szCs w:val="17"/>
                <w:color w:val="auto"/>
              </w:rPr>
              <w:t>Income tax expense (benefit)</w:t>
            </w:r>
          </w:p>
        </w:tc>
        <w:tc>
          <w:tcPr>
            <w:tcW w:w="22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2"/>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160.0</w:t>
            </w:r>
          </w:p>
        </w:tc>
      </w:tr>
      <w:tr>
        <w:trPr>
          <w:trHeight w:val="219"/>
        </w:trPr>
        <w:tc>
          <w:tcPr>
            <w:tcW w:w="5380" w:type="dxa"/>
            <w:vAlign w:val="bottom"/>
          </w:tcPr>
          <w:p>
            <w:pPr>
              <w:ind w:left="20"/>
              <w:spacing w:after="0"/>
              <w:rPr>
                <w:sz w:val="20"/>
                <w:szCs w:val="20"/>
                <w:color w:val="auto"/>
              </w:rPr>
            </w:pPr>
            <w:r>
              <w:rPr>
                <w:rFonts w:ascii="Arial" w:cs="Arial" w:eastAsia="Arial" w:hAnsi="Arial"/>
                <w:sz w:val="17"/>
                <w:szCs w:val="17"/>
                <w:color w:val="auto"/>
              </w:rPr>
              <w:t>EBITDA</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85.4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96.4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118.3</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149.3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256.4</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269.4</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2"/>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for Term Loan Agreement: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r>
      <w:tr>
        <w:trPr>
          <w:trHeight w:val="226"/>
        </w:trPr>
        <w:tc>
          <w:tcPr>
            <w:tcW w:w="538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2"/>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8.7</w:t>
            </w:r>
          </w:p>
        </w:tc>
      </w:tr>
      <w:tr>
        <w:trPr>
          <w:trHeight w:val="226"/>
        </w:trPr>
        <w:tc>
          <w:tcPr>
            <w:tcW w:w="5380" w:type="dxa"/>
            <w:vAlign w:val="bottom"/>
          </w:tcPr>
          <w:p>
            <w:pPr>
              <w:ind w:left="360"/>
              <w:spacing w:after="0"/>
              <w:rPr>
                <w:sz w:val="20"/>
                <w:szCs w:val="20"/>
                <w:color w:val="auto"/>
              </w:rPr>
            </w:pPr>
            <w:r>
              <w:rPr>
                <w:rFonts w:ascii="Arial" w:cs="Arial" w:eastAsia="Arial" w:hAnsi="Arial"/>
                <w:sz w:val="17"/>
                <w:szCs w:val="17"/>
                <w:color w:val="auto"/>
              </w:rPr>
              <w:t>Restructuring professional fees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0.2</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2"/>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Nonrecurring consulting fees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26"/>
        </w:trPr>
        <w:tc>
          <w:tcPr>
            <w:tcW w:w="5380" w:type="dxa"/>
            <w:vAlign w:val="bottom"/>
          </w:tcPr>
          <w:p>
            <w:pPr>
              <w:ind w:left="360"/>
              <w:spacing w:after="0"/>
              <w:rPr>
                <w:sz w:val="20"/>
                <w:szCs w:val="20"/>
                <w:color w:val="auto"/>
              </w:rPr>
            </w:pPr>
            <w:r>
              <w:rPr>
                <w:rFonts w:ascii="Arial" w:cs="Arial" w:eastAsia="Arial" w:hAnsi="Arial"/>
                <w:sz w:val="17"/>
                <w:szCs w:val="17"/>
                <w:color w:val="auto"/>
              </w:rPr>
              <w:t>Permitted dispositions and other</w:t>
            </w:r>
          </w:p>
        </w:tc>
        <w:tc>
          <w:tcPr>
            <w:tcW w:w="22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8"/>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2"/>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Equity-based compensation expense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9.3</w:t>
            </w:r>
          </w:p>
        </w:tc>
      </w:tr>
      <w:tr>
        <w:trPr>
          <w:trHeight w:val="226"/>
        </w:trPr>
        <w:tc>
          <w:tcPr>
            <w:tcW w:w="538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2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620" w:type="dxa"/>
            <w:vAlign w:val="bottom"/>
          </w:tcPr>
          <w:p>
            <w:pPr>
              <w:jc w:val="right"/>
              <w:ind w:right="17"/>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640" w:type="dxa"/>
            <w:vAlign w:val="bottom"/>
          </w:tcPr>
          <w:p>
            <w:pPr>
              <w:jc w:val="right"/>
              <w:ind w:right="16"/>
              <w:spacing w:after="0"/>
              <w:rPr>
                <w:sz w:val="20"/>
                <w:szCs w:val="20"/>
                <w:color w:val="auto"/>
              </w:rPr>
            </w:pPr>
            <w:r>
              <w:rPr>
                <w:rFonts w:ascii="Arial" w:cs="Arial" w:eastAsia="Arial" w:hAnsi="Arial"/>
                <w:sz w:val="17"/>
                <w:szCs w:val="17"/>
                <w:color w:val="auto"/>
              </w:rPr>
              <w:t>13.7</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32"/>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Non-union pension settlement charge</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28.7</w:t>
            </w:r>
          </w:p>
        </w:tc>
      </w:tr>
      <w:tr>
        <w:trPr>
          <w:trHeight w:val="252"/>
        </w:trPr>
        <w:tc>
          <w:tcPr>
            <w:tcW w:w="5380" w:type="dxa"/>
            <w:vAlign w:val="bottom"/>
            <w:tcBorders>
              <w:bottom w:val="single" w:sz="8" w:color="CCEEFF"/>
            </w:tcBorders>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3.9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0.6</w:t>
            </w:r>
          </w:p>
        </w:tc>
      </w:tr>
      <w:tr>
        <w:trPr>
          <w:trHeight w:val="249"/>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319.4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tabs>
          <w:tab w:leader="none" w:pos="3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As required under our Term Loan Agreement, Other, net shown above consists of the impact of certain items to be included in Adjusted EBITDA.</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Adjusted EBITDA</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represents Adjusted EBITDA by segment for the second quarter and first half of 2017 and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6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 by segment:</w:t>
            </w:r>
          </w:p>
        </w:tc>
        <w:tc>
          <w:tcPr>
            <w:tcW w:w="26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YRC Freight</w:t>
            </w:r>
          </w:p>
        </w:tc>
        <w:tc>
          <w:tcPr>
            <w:tcW w:w="2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48.3</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9"/>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2"/>
              <w:spacing w:after="0"/>
              <w:rPr>
                <w:sz w:val="20"/>
                <w:szCs w:val="20"/>
                <w:color w:val="auto"/>
              </w:rPr>
            </w:pPr>
            <w:r>
              <w:rPr>
                <w:rFonts w:ascii="Arial" w:cs="Arial" w:eastAsia="Arial" w:hAnsi="Arial"/>
                <w:sz w:val="17"/>
                <w:szCs w:val="17"/>
                <w:color w:val="auto"/>
              </w:rPr>
              <w:t>63.2</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74.0</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Regional Transportation</w:t>
            </w:r>
          </w:p>
        </w:tc>
        <w:tc>
          <w:tcPr>
            <w:tcW w:w="2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42.2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47.7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71.6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26"/>
        </w:trPr>
        <w:tc>
          <w:tcPr>
            <w:tcW w:w="3880" w:type="dxa"/>
            <w:vAlign w:val="bottom"/>
          </w:tcPr>
          <w:p>
            <w:pPr>
              <w:ind w:left="360"/>
              <w:spacing w:after="0"/>
              <w:rPr>
                <w:sz w:val="20"/>
                <w:szCs w:val="20"/>
                <w:color w:val="auto"/>
              </w:rPr>
            </w:pPr>
            <w:r>
              <w:rPr>
                <w:rFonts w:ascii="Arial" w:cs="Arial" w:eastAsia="Arial" w:hAnsi="Arial"/>
                <w:sz w:val="17"/>
                <w:szCs w:val="17"/>
                <w:color w:val="auto"/>
              </w:rPr>
              <w:t>Corporate and other</w:t>
            </w:r>
          </w:p>
        </w:tc>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42"/>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6"/>
        </w:trPr>
        <w:tc>
          <w:tcPr>
            <w:tcW w:w="38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154.3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636"/>
              <w:spacing w:after="0"/>
              <w:rPr>
                <w:sz w:val="20"/>
                <w:szCs w:val="20"/>
                <w:color w:val="auto"/>
              </w:rPr>
            </w:pPr>
            <w:r>
              <w:rPr>
                <w:rFonts w:ascii="Arial" w:cs="Arial" w:eastAsia="Arial" w:hAnsi="Arial"/>
                <w:sz w:val="17"/>
                <w:szCs w:val="17"/>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7"/>
        </w:trPr>
        <w:tc>
          <w:tcPr>
            <w:tcW w:w="38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line="85" w:lineRule="exact"/>
        <w:rPr>
          <w:sz w:val="20"/>
          <w:szCs w:val="20"/>
          <w:color w:val="auto"/>
        </w:rPr>
      </w:pPr>
    </w:p>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(loss), by segment, to Adjusted EBITDA for the second quarter and first half of 2017 and 2016,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800" w:type="dxa"/>
            <w:vAlign w:val="bottom"/>
            <w:tcBorders>
              <w:bottom w:val="single" w:sz="8" w:color="auto"/>
            </w:tcBorders>
          </w:tcPr>
          <w:p>
            <w:pPr>
              <w:spacing w:after="0"/>
              <w:rPr>
                <w:sz w:val="15"/>
                <w:szCs w:val="15"/>
                <w:color w:val="auto"/>
              </w:rPr>
            </w:pP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YRC Freight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2016</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32.5</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45.0</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(Gains) losses on property disposals,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2.8</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3.0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2.7</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48.3</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43.9</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63.2</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74.0</w:t>
            </w:r>
          </w:p>
        </w:tc>
      </w:tr>
      <w:tr>
        <w:trPr>
          <w:trHeight w:val="26"/>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800" w:type="dxa"/>
            <w:vAlign w:val="bottom"/>
            <w:tcBorders>
              <w:bottom w:val="single" w:sz="8" w:color="auto"/>
            </w:tcBorders>
          </w:tcPr>
          <w:p>
            <w:pPr>
              <w:spacing w:after="0"/>
              <w:rPr>
                <w:sz w:val="24"/>
                <w:szCs w:val="24"/>
                <w:color w:val="auto"/>
              </w:rPr>
            </w:pP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Regional Transportation segment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2016</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income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25.3</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43.0</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Depreciation and 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34.2</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Losses on property disposals, net</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0.6</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Amortization of ratification bonus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1.6</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0.3</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42.2</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47.7</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81.1</w:t>
            </w:r>
          </w:p>
        </w:tc>
      </w:tr>
      <w:tr>
        <w:trPr>
          <w:trHeight w:val="26"/>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51"/>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Second Quarter</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First Half</w:t>
            </w:r>
          </w:p>
        </w:tc>
        <w:tc>
          <w:tcPr>
            <w:tcW w:w="800" w:type="dxa"/>
            <w:vAlign w:val="bottom"/>
            <w:tcBorders>
              <w:bottom w:val="single" w:sz="8" w:color="auto"/>
            </w:tcBorders>
          </w:tcPr>
          <w:p>
            <w:pPr>
              <w:spacing w:after="0"/>
              <w:rPr>
                <w:sz w:val="24"/>
                <w:szCs w:val="24"/>
                <w:color w:val="auto"/>
              </w:rPr>
            </w:pPr>
          </w:p>
        </w:tc>
      </w:tr>
      <w:tr>
        <w:trPr>
          <w:trHeight w:val="244"/>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Corporate and other (in millions)</w:t>
            </w: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2016</w:t>
            </w:r>
          </w:p>
        </w:tc>
      </w:tr>
      <w:tr>
        <w:trPr>
          <w:trHeight w:val="22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Reconciliation of operating loss to Adjusted EBITDA:</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7"/>
                <w:szCs w:val="17"/>
                <w:color w:val="auto"/>
              </w:rPr>
              <w:t>Operating loss</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Letter of credit expense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0.1</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Restructuring professional fees</w:t>
            </w:r>
          </w:p>
        </w:tc>
        <w:tc>
          <w:tcPr>
            <w:tcW w:w="2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2"/>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Permitted dispositions and other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26"/>
        </w:trPr>
        <w:tc>
          <w:tcPr>
            <w:tcW w:w="6520" w:type="dxa"/>
            <w:vAlign w:val="bottom"/>
          </w:tcPr>
          <w:p>
            <w:pPr>
              <w:ind w:left="360"/>
              <w:spacing w:after="0"/>
              <w:rPr>
                <w:sz w:val="20"/>
                <w:szCs w:val="20"/>
                <w:color w:val="auto"/>
              </w:rPr>
            </w:pPr>
            <w:r>
              <w:rPr>
                <w:rFonts w:ascii="Arial" w:cs="Arial" w:eastAsia="Arial" w:hAnsi="Arial"/>
                <w:sz w:val="17"/>
                <w:szCs w:val="17"/>
                <w:color w:val="auto"/>
              </w:rPr>
              <w:t>Equity-based compensation expense</w:t>
            </w:r>
          </w:p>
        </w:tc>
        <w:tc>
          <w:tcPr>
            <w:tcW w:w="280" w:type="dxa"/>
            <w:vAlign w:val="bottom"/>
          </w:tcPr>
          <w:p>
            <w:pPr>
              <w:spacing w:after="0"/>
              <w:rPr>
                <w:sz w:val="19"/>
                <w:szCs w:val="19"/>
                <w:color w:val="auto"/>
              </w:rPr>
            </w:pP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ind w:right="38"/>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0"/>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4.5</w:t>
            </w:r>
          </w:p>
        </w:tc>
      </w:tr>
      <w:tr>
        <w:trPr>
          <w:trHeight w:val="26"/>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2"/>
        </w:trPr>
        <w:tc>
          <w:tcPr>
            <w:tcW w:w="6520" w:type="dxa"/>
            <w:vAlign w:val="bottom"/>
            <w:shd w:val="clear" w:color="auto" w:fill="CCEEFF"/>
          </w:tcPr>
          <w:p>
            <w:pPr>
              <w:ind w:left="360"/>
              <w:spacing w:after="0" w:line="252" w:lineRule="exact"/>
              <w:rPr>
                <w:sz w:val="20"/>
                <w:szCs w:val="20"/>
                <w:color w:val="auto"/>
              </w:rPr>
            </w:pPr>
            <w:r>
              <w:rPr>
                <w:rFonts w:ascii="Arial" w:cs="Arial" w:eastAsia="Arial" w:hAnsi="Arial"/>
                <w:sz w:val="17"/>
                <w:szCs w:val="17"/>
                <w:color w:val="auto"/>
              </w:rPr>
              <w:t>Other, net</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0.4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9"/>
        </w:trPr>
        <w:tc>
          <w:tcPr>
            <w:tcW w:w="6520" w:type="dxa"/>
            <w:vAlign w:val="bottom"/>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tcPr>
          <w:p>
            <w:pPr>
              <w:jc w:val="right"/>
              <w:ind w:right="96"/>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40"/>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16510</wp:posOffset>
            </wp:positionV>
            <wp:extent cx="311658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6580" cy="24130"/>
                    </a:xfrm>
                    <a:prstGeom prst="rect">
                      <a:avLst/>
                    </a:prstGeom>
                    <a:noFill/>
                  </pic:spPr>
                </pic:pic>
              </a:graphicData>
            </a:graphic>
          </wp:anchor>
        </w:drawing>
      </w:r>
    </w:p>
    <w:p>
      <w:pPr>
        <w:spacing w:after="0" w:line="38" w:lineRule="exact"/>
        <w:rPr>
          <w:sz w:val="20"/>
          <w:szCs w:val="20"/>
          <w:color w:val="auto"/>
        </w:rPr>
      </w:pPr>
    </w:p>
    <w:p>
      <w:pPr>
        <w:ind w:left="40"/>
        <w:spacing w:after="0"/>
        <w:tabs>
          <w:tab w:leader="none" w:pos="280" w:val="left"/>
        </w:tabs>
        <w:rPr>
          <w:sz w:val="20"/>
          <w:szCs w:val="20"/>
          <w:color w:val="auto"/>
        </w:rPr>
      </w:pPr>
      <w:r>
        <w:rPr>
          <w:rFonts w:ascii="Arial" w:cs="Arial" w:eastAsia="Arial" w:hAnsi="Arial"/>
          <w:sz w:val="13"/>
          <w:szCs w:val="13"/>
          <w:color w:val="auto"/>
        </w:rPr>
        <w:t>(a)</w:t>
      </w:r>
      <w:r>
        <w:rPr>
          <w:sz w:val="20"/>
          <w:szCs w:val="20"/>
          <w:color w:val="auto"/>
        </w:rPr>
        <w:tab/>
      </w:r>
      <w:r>
        <w:rPr>
          <w:rFonts w:ascii="Arial" w:cs="Arial" w:eastAsia="Arial" w:hAnsi="Arial"/>
          <w:sz w:val="12"/>
          <w:szCs w:val="12"/>
          <w:color w:val="auto"/>
        </w:rPr>
        <w:t>As required under our Term Loan Agreement, Other, net shown in the above tables consists of the impact of certain items to be included in Adjusted EBITDA.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June 30, 2017, our availability under our ABL Facility was $82.4 million, which is derived by reducing the amount that may be advanced against eligible receivables plus eligible borrowing base cash by certain reserves imposed by the ABL Agent and our $359.7 million of outstanding letters of credit. Of the $82.4 million in availability, our Managed Accessibility was $38.2 million based on our springing fixed charge coverage ratio (as set forth in our ABL Facility). Our cash and cash equivalents and Managed Accessibility was $253.4 million as of June 30, 2017.</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our equipment leases and funding capital expenditures.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of June 30, 2017, we had $1,000.8 million in aggregate par value of outstanding indebtedness, the majority of which matures in 2019. We also have future funding obligations for our single-employer pension plans and various multi-employer pension funds. We expect our funding obligations for the remainder of 2017 for our single-employer pension plans and multi-employer pension funds will be $39.7 million and $46.8 million, respectively. In addition, we have, and will continue to have, operating lease obligations. As of June 30, 2017, our operating lease payment obligations through 2030 totaled $298.8 million and are expected to increase as we lease additional revenue equipment. Additionally, for the first half of 2017, we entered into new operating leases for revenue equipment totaling $13.2 million in future lease payments, payable over an average lease term of five years.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capital expenditures for the first half of 2017 and 2016 were $39.0 million and $47.3 million, respectively. These amounts were principally used to fund the purchase of used tractors and trailers, to refurbish engines for our revenue fleet, and for capitalized costs to improve our technology infrastructure.</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June 30, 2017, our Standard &amp; Poor’s Corporate Family Rating was “B-” with a stable outlook and Moody’s Investor Service Corporate Family Rating was “B3” with a stable outlook. In connection with the Term Loan Amendment on July 26, 2017, Moody’s Investor Service updated the Company’s outlook to positive and affirmed the rating of “B3.”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Facility Covenants</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Term Loan Agreement has certain financial covenants that, among other things, restricts certain capital expenditures and requires us to not exceed a maximum total leverage ratio (defined as Consolidated Total Debt divided by Consolidated Adjusted EBITDA. These covenants were modified as part of the Term Loan Amendment on July 26, 2017, which is more fully described in the “Debt and Financing” footnote to the consolidated financial statements.</w:t>
      </w:r>
    </w:p>
    <w:p>
      <w:pPr>
        <w:spacing w:after="0" w:line="159"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believe that our results of operations will be sufficient to allow us to comply with the covenants in the Term Loan Agreement, fund our operations, increase working capital as necessary to support our planned revenue growth and fund capital expenditures for at least the next twelve months. To maintain compliance with the maximum total leverage ratio over the tenor of the Term Loan and satisfy our liquidity needs, we would have to achieve operating results that reflect a slight improvement to our</w:t>
      </w:r>
    </w:p>
    <w:p>
      <w:pPr>
        <w:sectPr>
          <w:pgSz w:w="11900" w:h="16923" w:orient="portrait"/>
          <w:cols w:equalWidth="0" w:num="1">
            <w:col w:w="11420"/>
          </w:cols>
          <w:pgMar w:left="240" w:top="121" w:right="239" w:bottom="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7"/>
          <w:szCs w:val="17"/>
          <w:color w:val="auto"/>
        </w:rPr>
        <w:t>2016 Adjusted EBITDA. Means for improving our profitability may include streamlining our support structure, as well as ongoing successful implementation and realization of pricing, productivity and efficiency initiatives, in addition to increased volume, some of which are outside of our control. During the first half of 2017, the Company strategically identified opportunities to streamline overhead costs and reduce operational inefficiencies and those cost reductions continue to be expected through the remainder of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Cash flows provided by operating activities were $38.4 million during the first half of 2017, compared to $47.5 million during the first half of 2016, respectively. The decrease in operating cash flows was primarily attributable to a net loss of $6.3 million million in the first half of 2017 compared to net income of $15.1 million in the first half of 2016, in addition to the $11.4 million gain on property disposals recognized in the first half of 2016, compared to a $1.7 million loss in the first half of 2017.</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Cash flows provided by investing activities was $52.7 million during the first half of 2017 compared to $45.4 million during the first half of 2016, largely driven by a net receipt of $85.0 million in restricted escrow refunds in 2017 compared to a net receipt of $57.1 million in 2016. Offsetting this increase, net proceeds from the disposal of property decreased $14.3 million during the first half of 2017 compared to the first half of 2016, and cash flows in 2016 included $14.6 million in net proceeds from the sale of JHJ.</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used in financing activities for the first half of 2017 and 2016 was $12.6 million and $23.2 million, respectively, which consists primarily of repayments on our long-term debt.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 and Other Commercial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sections provide aggregated information regarding our contractual cash obligations and other commercial commitments as of June 30, 2017.</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Cash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our cash outflows that we are contractually obligated to make as of June 30, 2017: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3"/>
                <w:szCs w:val="13"/>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244"/>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Total</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Less than 1 year</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1-3 years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3-5 years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4"/>
              </w:rPr>
              <w:t>More than 5 years</w:t>
            </w:r>
          </w:p>
        </w:tc>
      </w:tr>
      <w:tr>
        <w:trPr>
          <w:trHeight w:val="249"/>
        </w:trPr>
        <w:tc>
          <w:tcPr>
            <w:tcW w:w="4120" w:type="dxa"/>
            <w:vAlign w:val="bottom"/>
            <w:shd w:val="clear" w:color="auto" w:fill="BFE4FF"/>
          </w:tcPr>
          <w:p>
            <w:pPr>
              <w:ind w:left="260"/>
              <w:spacing w:after="0" w:line="250" w:lineRule="exact"/>
              <w:rPr>
                <w:sz w:val="20"/>
                <w:szCs w:val="20"/>
                <w:color w:val="auto"/>
              </w:rPr>
            </w:pPr>
            <w:r>
              <w:rPr>
                <w:rFonts w:ascii="Arial" w:cs="Arial" w:eastAsia="Arial" w:hAnsi="Arial"/>
                <w:sz w:val="17"/>
                <w:szCs w:val="17"/>
                <w:color w:val="auto"/>
              </w:rPr>
              <w:t>ABL Facility</w:t>
            </w:r>
            <w:r>
              <w:rPr>
                <w:rFonts w:ascii="Arial" w:cs="Arial" w:eastAsia="Arial" w:hAnsi="Arial"/>
                <w:sz w:val="23"/>
                <w:szCs w:val="23"/>
                <w:color w:val="auto"/>
                <w:vertAlign w:val="superscript"/>
              </w:rPr>
              <w:t>(a)</w:t>
            </w:r>
          </w:p>
        </w:tc>
        <w:tc>
          <w:tcPr>
            <w:tcW w:w="320" w:type="dxa"/>
            <w:vAlign w:val="bottom"/>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30.2</w:t>
            </w:r>
          </w:p>
        </w:tc>
        <w:tc>
          <w:tcPr>
            <w:tcW w:w="2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7.1</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14.3</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8.8</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Term Loan</w:t>
            </w:r>
            <w:r>
              <w:rPr>
                <w:rFonts w:ascii="Arial" w:cs="Arial" w:eastAsia="Arial" w:hAnsi="Arial"/>
                <w:sz w:val="23"/>
                <w:szCs w:val="23"/>
                <w:color w:val="auto"/>
                <w:vertAlign w:val="superscript"/>
              </w:rPr>
              <w:t>(b)</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917.2</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107.5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149.5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142.1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518.1</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Lease financing obligations</w:t>
            </w:r>
            <w:r>
              <w:rPr>
                <w:rFonts w:ascii="Arial" w:cs="Arial" w:eastAsia="Arial" w:hAnsi="Arial"/>
                <w:sz w:val="23"/>
                <w:szCs w:val="23"/>
                <w:color w:val="auto"/>
                <w:vertAlign w:val="superscript"/>
              </w:rPr>
              <w:t>(c)</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121.2</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42.7</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47.9</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15.7</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Pension deferral obligations</w:t>
            </w:r>
            <w:r>
              <w:rPr>
                <w:rFonts w:ascii="Arial" w:cs="Arial" w:eastAsia="Arial" w:hAnsi="Arial"/>
                <w:sz w:val="23"/>
                <w:szCs w:val="23"/>
                <w:color w:val="auto"/>
                <w:vertAlign w:val="superscript"/>
              </w:rPr>
              <w:t>(d)</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119.3</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111.8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13"/>
        </w:trPr>
        <w:tc>
          <w:tcPr>
            <w:tcW w:w="4120" w:type="dxa"/>
            <w:vAlign w:val="bottom"/>
            <w:shd w:val="clear" w:color="auto" w:fill="BFE4FF"/>
          </w:tcPr>
          <w:p>
            <w:pPr>
              <w:ind w:left="260"/>
              <w:spacing w:after="0"/>
              <w:rPr>
                <w:sz w:val="20"/>
                <w:szCs w:val="20"/>
                <w:color w:val="auto"/>
              </w:rPr>
            </w:pPr>
            <w:r>
              <w:rPr>
                <w:rFonts w:ascii="Arial" w:cs="Arial" w:eastAsia="Arial" w:hAnsi="Arial"/>
                <w:sz w:val="17"/>
                <w:szCs w:val="17"/>
                <w:color w:val="auto"/>
                <w:w w:val="94"/>
              </w:rPr>
              <w:t>Workers’ compensation, property damage and liability</w:t>
            </w:r>
          </w:p>
        </w:tc>
        <w:tc>
          <w:tcPr>
            <w:tcW w:w="32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28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60" w:type="dxa"/>
            <w:vAlign w:val="bottom"/>
            <w:shd w:val="clear" w:color="auto" w:fill="BFE4FF"/>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40" w:type="dxa"/>
            <w:vAlign w:val="bottom"/>
            <w:shd w:val="clear" w:color="auto" w:fill="BFE4FF"/>
          </w:tcPr>
          <w:p>
            <w:pPr>
              <w:spacing w:after="0"/>
              <w:rPr>
                <w:sz w:val="18"/>
                <w:szCs w:val="18"/>
                <w:color w:val="auto"/>
              </w:rPr>
            </w:pPr>
          </w:p>
        </w:tc>
        <w:tc>
          <w:tcPr>
            <w:tcW w:w="1220" w:type="dxa"/>
            <w:vAlign w:val="bottom"/>
            <w:shd w:val="clear" w:color="auto" w:fill="BFE4FF"/>
          </w:tcPr>
          <w:p>
            <w:pPr>
              <w:spacing w:after="0"/>
              <w:rPr>
                <w:sz w:val="18"/>
                <w:szCs w:val="18"/>
                <w:color w:val="auto"/>
              </w:rPr>
            </w:pPr>
          </w:p>
        </w:tc>
      </w:tr>
      <w:tr>
        <w:trPr>
          <w:trHeight w:val="240"/>
        </w:trPr>
        <w:tc>
          <w:tcPr>
            <w:tcW w:w="4120" w:type="dxa"/>
            <w:vAlign w:val="bottom"/>
            <w:shd w:val="clear" w:color="auto" w:fill="BFE4FF"/>
          </w:tcPr>
          <w:p>
            <w:pPr>
              <w:ind w:left="260"/>
              <w:spacing w:after="0" w:line="241" w:lineRule="exact"/>
              <w:rPr>
                <w:sz w:val="20"/>
                <w:szCs w:val="20"/>
                <w:color w:val="auto"/>
              </w:rPr>
            </w:pPr>
            <w:r>
              <w:rPr>
                <w:rFonts w:ascii="Arial" w:cs="Arial" w:eastAsia="Arial" w:hAnsi="Arial"/>
                <w:sz w:val="17"/>
                <w:szCs w:val="17"/>
                <w:color w:val="auto"/>
              </w:rPr>
              <w:t>claims obligations</w:t>
            </w:r>
            <w:r>
              <w:rPr>
                <w:rFonts w:ascii="Arial" w:cs="Arial" w:eastAsia="Arial" w:hAnsi="Arial"/>
                <w:sz w:val="23"/>
                <w:szCs w:val="23"/>
                <w:color w:val="auto"/>
                <w:vertAlign w:val="superscript"/>
              </w:rPr>
              <w:t>(e)</w:t>
            </w:r>
          </w:p>
        </w:tc>
        <w:tc>
          <w:tcPr>
            <w:tcW w:w="320" w:type="dxa"/>
            <w:vAlign w:val="bottom"/>
            <w:shd w:val="clear" w:color="auto" w:fill="BFE4FF"/>
          </w:tcPr>
          <w:p>
            <w:pPr>
              <w:spacing w:after="0"/>
              <w:rPr>
                <w:sz w:val="20"/>
                <w:szCs w:val="20"/>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365.9</w:t>
            </w:r>
          </w:p>
        </w:tc>
        <w:tc>
          <w:tcPr>
            <w:tcW w:w="28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117.1</w:t>
            </w:r>
          </w:p>
        </w:tc>
        <w:tc>
          <w:tcPr>
            <w:tcW w:w="120" w:type="dxa"/>
            <w:vAlign w:val="bottom"/>
            <w:shd w:val="clear" w:color="auto" w:fill="BFE4FF"/>
          </w:tcPr>
          <w:p>
            <w:pPr>
              <w:spacing w:after="0"/>
              <w:rPr>
                <w:sz w:val="20"/>
                <w:szCs w:val="20"/>
                <w:color w:val="auto"/>
              </w:rPr>
            </w:pPr>
          </w:p>
        </w:tc>
        <w:tc>
          <w:tcPr>
            <w:tcW w:w="260" w:type="dxa"/>
            <w:vAlign w:val="bottom"/>
            <w:shd w:val="clear" w:color="auto" w:fill="BFE4FF"/>
          </w:tcPr>
          <w:p>
            <w:pPr>
              <w:spacing w:after="0"/>
              <w:rPr>
                <w:sz w:val="20"/>
                <w:szCs w:val="20"/>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BFE4FF"/>
          </w:tcPr>
          <w:p>
            <w:pPr>
              <w:spacing w:after="0"/>
              <w:rPr>
                <w:sz w:val="20"/>
                <w:szCs w:val="20"/>
                <w:color w:val="auto"/>
              </w:rPr>
            </w:pPr>
          </w:p>
        </w:tc>
        <w:tc>
          <w:tcPr>
            <w:tcW w:w="140" w:type="dxa"/>
            <w:vAlign w:val="bottom"/>
            <w:shd w:val="clear" w:color="auto" w:fill="BFE4FF"/>
          </w:tcPr>
          <w:p>
            <w:pPr>
              <w:spacing w:after="0"/>
              <w:rPr>
                <w:sz w:val="20"/>
                <w:szCs w:val="20"/>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97.7</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Operating leases</w:t>
            </w:r>
            <w:r>
              <w:rPr>
                <w:rFonts w:ascii="Arial" w:cs="Arial" w:eastAsia="Arial" w:hAnsi="Arial"/>
                <w:sz w:val="23"/>
                <w:szCs w:val="23"/>
                <w:color w:val="auto"/>
                <w:vertAlign w:val="superscript"/>
              </w:rPr>
              <w:t>(f)</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298.8</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7"/>
                <w:szCs w:val="17"/>
                <w:color w:val="auto"/>
              </w:rPr>
              <w:t>136.1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14.8</w:t>
            </w:r>
          </w:p>
        </w:tc>
      </w:tr>
      <w:tr>
        <w:trPr>
          <w:trHeight w:val="252"/>
        </w:trPr>
        <w:tc>
          <w:tcPr>
            <w:tcW w:w="4120" w:type="dxa"/>
            <w:vAlign w:val="bottom"/>
            <w:shd w:val="clear" w:color="auto" w:fill="BFE4FF"/>
          </w:tcPr>
          <w:p>
            <w:pPr>
              <w:ind w:left="260"/>
              <w:spacing w:after="0" w:line="252" w:lineRule="exact"/>
              <w:rPr>
                <w:sz w:val="20"/>
                <w:szCs w:val="20"/>
                <w:color w:val="auto"/>
              </w:rPr>
            </w:pPr>
            <w:r>
              <w:rPr>
                <w:rFonts w:ascii="Arial" w:cs="Arial" w:eastAsia="Arial" w:hAnsi="Arial"/>
                <w:sz w:val="17"/>
                <w:szCs w:val="17"/>
                <w:color w:val="auto"/>
              </w:rPr>
              <w:t>Other contractual obligations</w:t>
            </w:r>
            <w:r>
              <w:rPr>
                <w:rFonts w:ascii="Arial" w:cs="Arial" w:eastAsia="Arial" w:hAnsi="Arial"/>
                <w:sz w:val="23"/>
                <w:szCs w:val="23"/>
                <w:color w:val="auto"/>
                <w:vertAlign w:val="superscript"/>
              </w:rPr>
              <w:t>(g)</w:t>
            </w:r>
          </w:p>
        </w:tc>
        <w:tc>
          <w:tcPr>
            <w:tcW w:w="320" w:type="dxa"/>
            <w:vAlign w:val="bottom"/>
            <w:shd w:val="clear" w:color="auto" w:fill="BFE4FF"/>
          </w:tcPr>
          <w:p>
            <w:pPr>
              <w:spacing w:after="0"/>
              <w:rPr>
                <w:sz w:val="21"/>
                <w:szCs w:val="21"/>
                <w:color w:val="auto"/>
              </w:rPr>
            </w:pPr>
          </w:p>
        </w:tc>
        <w:tc>
          <w:tcPr>
            <w:tcW w:w="1080" w:type="dxa"/>
            <w:vAlign w:val="bottom"/>
            <w:shd w:val="clear" w:color="auto" w:fill="BFE4FF"/>
          </w:tcPr>
          <w:p>
            <w:pPr>
              <w:jc w:val="right"/>
              <w:ind w:right="58"/>
              <w:spacing w:after="0"/>
              <w:rPr>
                <w:sz w:val="20"/>
                <w:szCs w:val="20"/>
                <w:color w:val="auto"/>
              </w:rPr>
            </w:pPr>
            <w:r>
              <w:rPr>
                <w:rFonts w:ascii="Arial" w:cs="Arial" w:eastAsia="Arial" w:hAnsi="Arial"/>
                <w:sz w:val="17"/>
                <w:szCs w:val="17"/>
                <w:color w:val="auto"/>
              </w:rPr>
              <w:t>16.5</w:t>
            </w:r>
          </w:p>
        </w:tc>
        <w:tc>
          <w:tcPr>
            <w:tcW w:w="28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7"/>
                <w:szCs w:val="17"/>
                <w:color w:val="auto"/>
              </w:rPr>
              <w:t>0.7</w:t>
            </w:r>
          </w:p>
        </w:tc>
        <w:tc>
          <w:tcPr>
            <w:tcW w:w="12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1100" w:type="dxa"/>
            <w:vAlign w:val="bottom"/>
            <w:shd w:val="clear" w:color="auto" w:fill="BFE4FF"/>
          </w:tcPr>
          <w:p>
            <w:pPr>
              <w:jc w:val="right"/>
              <w:ind w:right="38"/>
              <w:spacing w:after="0"/>
              <w:rPr>
                <w:sz w:val="20"/>
                <w:szCs w:val="20"/>
                <w:color w:val="auto"/>
              </w:rPr>
            </w:pPr>
            <w:r>
              <w:rPr>
                <w:rFonts w:ascii="Arial" w:cs="Arial" w:eastAsia="Arial" w:hAnsi="Arial"/>
                <w:sz w:val="17"/>
                <w:szCs w:val="17"/>
                <w:color w:val="auto"/>
              </w:rPr>
              <w:t>0.1</w:t>
            </w:r>
          </w:p>
        </w:tc>
        <w:tc>
          <w:tcPr>
            <w:tcW w:w="100" w:type="dxa"/>
            <w:vAlign w:val="bottom"/>
            <w:shd w:val="clear" w:color="auto" w:fill="BFE4FF"/>
          </w:tcPr>
          <w:p>
            <w:pPr>
              <w:spacing w:after="0"/>
              <w:rPr>
                <w:sz w:val="21"/>
                <w:szCs w:val="21"/>
                <w:color w:val="auto"/>
              </w:rPr>
            </w:pPr>
          </w:p>
        </w:tc>
        <w:tc>
          <w:tcPr>
            <w:tcW w:w="140" w:type="dxa"/>
            <w:vAlign w:val="bottom"/>
            <w:shd w:val="clear" w:color="auto" w:fill="BFE4FF"/>
          </w:tcPr>
          <w:p>
            <w:pPr>
              <w:spacing w:after="0"/>
              <w:rPr>
                <w:sz w:val="21"/>
                <w:szCs w:val="21"/>
                <w:color w:val="auto"/>
              </w:rPr>
            </w:pPr>
          </w:p>
        </w:tc>
        <w:tc>
          <w:tcPr>
            <w:tcW w:w="1220" w:type="dxa"/>
            <w:vAlign w:val="bottom"/>
            <w:shd w:val="clear" w:color="auto" w:fill="BFE4FF"/>
          </w:tcPr>
          <w:p>
            <w:pPr>
              <w:jc w:val="right"/>
              <w:ind w:right="18"/>
              <w:spacing w:after="0"/>
              <w:rPr>
                <w:sz w:val="20"/>
                <w:szCs w:val="20"/>
                <w:color w:val="auto"/>
              </w:rPr>
            </w:pPr>
            <w:r>
              <w:rPr>
                <w:rFonts w:ascii="Arial" w:cs="Arial" w:eastAsia="Arial" w:hAnsi="Arial"/>
                <w:sz w:val="17"/>
                <w:szCs w:val="17"/>
                <w:color w:val="auto"/>
              </w:rPr>
              <w:t>—</w:t>
            </w:r>
          </w:p>
        </w:tc>
      </w:tr>
      <w:tr>
        <w:trPr>
          <w:trHeight w:val="252"/>
        </w:trPr>
        <w:tc>
          <w:tcPr>
            <w:tcW w:w="4120" w:type="dxa"/>
            <w:vAlign w:val="bottom"/>
          </w:tcPr>
          <w:p>
            <w:pPr>
              <w:ind w:left="260"/>
              <w:spacing w:after="0" w:line="252" w:lineRule="exact"/>
              <w:rPr>
                <w:sz w:val="20"/>
                <w:szCs w:val="20"/>
                <w:color w:val="auto"/>
              </w:rPr>
            </w:pPr>
            <w:r>
              <w:rPr>
                <w:rFonts w:ascii="Arial" w:cs="Arial" w:eastAsia="Arial" w:hAnsi="Arial"/>
                <w:sz w:val="17"/>
                <w:szCs w:val="17"/>
                <w:color w:val="auto"/>
              </w:rPr>
              <w:t xml:space="preserve">Capital expenditures and other </w:t>
            </w:r>
            <w:r>
              <w:rPr>
                <w:rFonts w:ascii="Arial" w:cs="Arial" w:eastAsia="Arial" w:hAnsi="Arial"/>
                <w:sz w:val="23"/>
                <w:szCs w:val="23"/>
                <w:color w:val="auto"/>
                <w:vertAlign w:val="superscript"/>
              </w:rPr>
              <w:t>(h)</w:t>
            </w:r>
          </w:p>
        </w:tc>
        <w:tc>
          <w:tcPr>
            <w:tcW w:w="320" w:type="dxa"/>
            <w:vAlign w:val="bottom"/>
          </w:tcPr>
          <w:p>
            <w:pPr>
              <w:spacing w:after="0"/>
              <w:rPr>
                <w:sz w:val="21"/>
                <w:szCs w:val="21"/>
                <w:color w:val="auto"/>
              </w:rPr>
            </w:pPr>
          </w:p>
        </w:tc>
        <w:tc>
          <w:tcPr>
            <w:tcW w:w="1080" w:type="dxa"/>
            <w:vAlign w:val="bottom"/>
          </w:tcPr>
          <w:p>
            <w:pPr>
              <w:jc w:val="right"/>
              <w:ind w:right="58"/>
              <w:spacing w:after="0"/>
              <w:rPr>
                <w:sz w:val="20"/>
                <w:szCs w:val="20"/>
                <w:color w:val="auto"/>
              </w:rPr>
            </w:pPr>
            <w:r>
              <w:rPr>
                <w:rFonts w:ascii="Arial" w:cs="Arial" w:eastAsia="Arial" w:hAnsi="Arial"/>
                <w:sz w:val="17"/>
                <w:szCs w:val="17"/>
                <w:color w:val="auto"/>
              </w:rPr>
              <w:t>45.2</w:t>
            </w:r>
          </w:p>
        </w:tc>
        <w:tc>
          <w:tcPr>
            <w:tcW w:w="2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7"/>
                <w:szCs w:val="17"/>
                <w:color w:val="auto"/>
              </w:rPr>
              <w:t>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w:t>
            </w:r>
          </w:p>
        </w:tc>
      </w:tr>
      <w:tr>
        <w:trPr>
          <w:trHeight w:val="249"/>
        </w:trPr>
        <w:tc>
          <w:tcPr>
            <w:tcW w:w="4120" w:type="dxa"/>
            <w:vAlign w:val="bottom"/>
            <w:tcBorders>
              <w:top w:val="single" w:sz="8" w:color="BFE4FF"/>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contractual obligations</w:t>
            </w:r>
          </w:p>
        </w:tc>
        <w:tc>
          <w:tcPr>
            <w:tcW w:w="320" w:type="dxa"/>
            <w:vAlign w:val="bottom"/>
            <w:tcBorders>
              <w:top w:val="single" w:sz="8" w:color="auto"/>
              <w:bottom w:val="single" w:sz="8" w:color="BFE4FF"/>
            </w:tcBorders>
            <w:shd w:val="clear" w:color="auto" w:fill="BFE4FF"/>
          </w:tcPr>
          <w:p>
            <w:pPr>
              <w:jc w:val="right"/>
              <w:ind w:right="136"/>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BFE4FF"/>
            </w:tcBorders>
            <w:shd w:val="clear" w:color="auto" w:fill="BFE4FF"/>
          </w:tcPr>
          <w:p>
            <w:pPr>
              <w:jc w:val="right"/>
              <w:ind w:right="58"/>
              <w:spacing w:after="0"/>
              <w:rPr>
                <w:sz w:val="20"/>
                <w:szCs w:val="20"/>
                <w:color w:val="auto"/>
              </w:rPr>
            </w:pPr>
            <w:r>
              <w:rPr>
                <w:rFonts w:ascii="Arial" w:cs="Arial" w:eastAsia="Arial" w:hAnsi="Arial"/>
                <w:sz w:val="17"/>
                <w:szCs w:val="17"/>
                <w:color w:val="auto"/>
              </w:rPr>
              <w:t>1,914.3</w:t>
            </w:r>
          </w:p>
        </w:tc>
        <w:tc>
          <w:tcPr>
            <w:tcW w:w="28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426.6</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jc w:val="right"/>
              <w:ind w:right="56"/>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BFE4FF"/>
            </w:tcBorders>
            <w:shd w:val="clear" w:color="auto" w:fill="BFE4FF"/>
          </w:tcPr>
          <w:p>
            <w:pPr>
              <w:jc w:val="right"/>
              <w:ind w:right="39"/>
              <w:spacing w:after="0"/>
              <w:rPr>
                <w:sz w:val="20"/>
                <w:szCs w:val="20"/>
                <w:color w:val="auto"/>
              </w:rPr>
            </w:pPr>
            <w:r>
              <w:rPr>
                <w:rFonts w:ascii="Arial" w:cs="Arial" w:eastAsia="Arial" w:hAnsi="Arial"/>
                <w:sz w:val="17"/>
                <w:szCs w:val="17"/>
                <w:color w:val="auto"/>
              </w:rPr>
              <w:t>577.4</w:t>
            </w:r>
          </w:p>
        </w:tc>
        <w:tc>
          <w:tcPr>
            <w:tcW w:w="120" w:type="dxa"/>
            <w:vAlign w:val="bottom"/>
            <w:tcBorders>
              <w:top w:val="single" w:sz="8" w:color="BFE4FF"/>
              <w:bottom w:val="single" w:sz="8" w:color="BFE4FF"/>
            </w:tcBorders>
            <w:shd w:val="clear" w:color="auto" w:fill="BFE4FF"/>
          </w:tcPr>
          <w:p>
            <w:pPr>
              <w:spacing w:after="0"/>
              <w:rPr>
                <w:sz w:val="21"/>
                <w:szCs w:val="21"/>
                <w:color w:val="auto"/>
              </w:rPr>
            </w:pPr>
          </w:p>
        </w:tc>
        <w:tc>
          <w:tcPr>
            <w:tcW w:w="260" w:type="dxa"/>
            <w:vAlign w:val="bottom"/>
            <w:tcBorders>
              <w:top w:val="single" w:sz="8" w:color="auto"/>
              <w:bottom w:val="single" w:sz="8" w:color="BFE4FF"/>
            </w:tcBorders>
            <w:shd w:val="clear" w:color="auto" w:fill="BFE4FF"/>
          </w:tcPr>
          <w:p>
            <w:pPr>
              <w:jc w:val="right"/>
              <w:ind w:right="76"/>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BFE4FF"/>
            </w:tcBorders>
            <w:shd w:val="clear" w:color="auto" w:fill="BFE4FF"/>
          </w:tcPr>
          <w:p>
            <w:pPr>
              <w:jc w:val="right"/>
              <w:ind w:right="38"/>
              <w:spacing w:after="0"/>
              <w:rPr>
                <w:sz w:val="20"/>
                <w:szCs w:val="20"/>
                <w:color w:val="auto"/>
              </w:rPr>
            </w:pPr>
            <w:r>
              <w:rPr>
                <w:rFonts w:ascii="Arial" w:cs="Arial" w:eastAsia="Arial" w:hAnsi="Arial"/>
                <w:sz w:val="17"/>
                <w:szCs w:val="17"/>
                <w:color w:val="auto"/>
              </w:rPr>
              <w:t>264.0</w:t>
            </w:r>
          </w:p>
        </w:tc>
        <w:tc>
          <w:tcPr>
            <w:tcW w:w="100" w:type="dxa"/>
            <w:vAlign w:val="bottom"/>
            <w:tcBorders>
              <w:top w:val="single" w:sz="8" w:color="BFE4FF"/>
              <w:bottom w:val="single" w:sz="8" w:color="BFE4FF"/>
            </w:tcBorders>
            <w:shd w:val="clear" w:color="auto" w:fill="BFE4FF"/>
          </w:tcPr>
          <w:p>
            <w:pPr>
              <w:spacing w:after="0"/>
              <w:rPr>
                <w:sz w:val="21"/>
                <w:szCs w:val="21"/>
                <w:color w:val="auto"/>
              </w:rPr>
            </w:pPr>
          </w:p>
        </w:tc>
        <w:tc>
          <w:tcPr>
            <w:tcW w:w="140" w:type="dxa"/>
            <w:vAlign w:val="bottom"/>
            <w:tcBorders>
              <w:top w:val="single" w:sz="8" w:color="auto"/>
              <w:bottom w:val="single" w:sz="8" w:color="BFE4FF"/>
            </w:tcBorders>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BFE4FF"/>
            </w:tcBorders>
            <w:shd w:val="clear" w:color="auto" w:fill="BFE4FF"/>
          </w:tcPr>
          <w:p>
            <w:pPr>
              <w:jc w:val="right"/>
              <w:ind w:right="18"/>
              <w:spacing w:after="0"/>
              <w:rPr>
                <w:sz w:val="20"/>
                <w:szCs w:val="20"/>
                <w:color w:val="auto"/>
              </w:rPr>
            </w:pPr>
            <w:r>
              <w:rPr>
                <w:rFonts w:ascii="Arial" w:cs="Arial" w:eastAsia="Arial" w:hAnsi="Arial"/>
                <w:sz w:val="17"/>
                <w:szCs w:val="17"/>
                <w:color w:val="auto"/>
              </w:rPr>
              <w:t>646.3</w:t>
            </w:r>
          </w:p>
        </w:tc>
      </w:tr>
      <w:tr>
        <w:trPr>
          <w:trHeight w:val="20"/>
        </w:trPr>
        <w:tc>
          <w:tcPr>
            <w:tcW w:w="4120" w:type="dxa"/>
            <w:vAlign w:val="bottom"/>
            <w:tcBorders>
              <w:top w:val="single" w:sz="8" w:color="BFE4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ind w:left="300" w:hanging="299"/>
        <w:spacing w:after="0" w:line="252"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ABL Facility, which has been updated to reflect the Term Loan Amendment on July 26, 2017, includes future payments for the letter of credit and unused line fees and are not included on the Company’s consolidated balance sheets.</w:t>
      </w:r>
    </w:p>
    <w:p>
      <w:pPr>
        <w:ind w:left="300" w:hanging="299"/>
        <w:spacing w:after="0" w:line="242"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Term Loan, which has been updated to reflect the Term Loan Amendment on July 26, 2017, includes principal and interest payments, but excludes unamortized discounts. The extended maturity date to July 26, 2022 is subject to the extension of the Second A&amp;R CDA.</w:t>
      </w:r>
    </w:p>
    <w:p>
      <w:pPr>
        <w:ind w:left="300" w:hanging="299"/>
        <w:spacing w:after="0" w:line="242" w:lineRule="auto"/>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lease financing obligations include interest payments of $78.8 million and principal payments of $42.4 million. The remaining principal obligation is offset by the estimated book value of leased property at the expiration date of each lease agreement.</w:t>
      </w:r>
    </w:p>
    <w:p>
      <w:pPr>
        <w:ind w:left="300" w:hanging="299"/>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Pension deferral obligations includes principal and interest payments on the Second A&amp;R CDA.</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workers’ compensation, property damage and liability claims obligations represent our estimate of future payments for these obligations, not all of which are contractually required.</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Operating leases represent future payments, which include interest, under contractual lease arrangements primarily for revenue equipment and are not included on the Company’s consolidated balance sheets.</w:t>
      </w:r>
    </w:p>
    <w:p>
      <w:pPr>
        <w:spacing w:after="0" w:line="13" w:lineRule="exact"/>
        <w:rPr>
          <w:rFonts w:ascii="Arial" w:cs="Arial" w:eastAsia="Arial" w:hAnsi="Arial"/>
          <w:sz w:val="12"/>
          <w:szCs w:val="12"/>
          <w:color w:val="auto"/>
        </w:rPr>
      </w:pPr>
    </w:p>
    <w:p>
      <w:pPr>
        <w:ind w:left="300" w:hanging="299"/>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3"/>
          <w:szCs w:val="13"/>
          <w:color w:val="auto"/>
        </w:rPr>
      </w:pPr>
    </w:p>
    <w:p>
      <w:pPr>
        <w:ind w:left="300" w:hanging="299"/>
        <w:spacing w:after="0"/>
        <w:tabs>
          <w:tab w:leader="none" w:pos="3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Capital expenditure obligations primarily includes noncancelable purchase and lease orders for revenue equipment not yet delivered and are not included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Other Commercial Commitments</w:t>
      </w:r>
    </w:p>
    <w:p>
      <w:pPr>
        <w:spacing w:after="0" w:line="2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following table reflects other commercial commitments or potential cash outflows that may result from a contingent event, such as a need to borrow short-term funds due to insufficient free cash flow.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5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Amount of Commitment Expiration Per Period</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244"/>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8"/>
              </w:rPr>
              <w:t>Less than 1 year</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1-3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3-5 years</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More than 5 years</w:t>
            </w:r>
          </w:p>
        </w:tc>
      </w:tr>
      <w:tr>
        <w:trPr>
          <w:trHeight w:val="249"/>
        </w:trPr>
        <w:tc>
          <w:tcPr>
            <w:tcW w:w="354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 xml:space="preserve">ABL Facility availability </w:t>
            </w:r>
            <w:r>
              <w:rPr>
                <w:rFonts w:ascii="Arial" w:cs="Arial" w:eastAsia="Arial" w:hAnsi="Arial"/>
                <w:sz w:val="23"/>
                <w:szCs w:val="23"/>
                <w:color w:val="auto"/>
                <w:vertAlign w:val="superscript"/>
              </w:rPr>
              <w:t>(a)</w:t>
            </w: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82.4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82.4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tcPr>
          <w:p>
            <w:pPr>
              <w:ind w:left="20"/>
              <w:spacing w:after="0" w:line="252" w:lineRule="exact"/>
              <w:rPr>
                <w:sz w:val="20"/>
                <w:szCs w:val="20"/>
                <w:color w:val="auto"/>
              </w:rPr>
            </w:pPr>
            <w:r>
              <w:rPr>
                <w:rFonts w:ascii="Arial" w:cs="Arial" w:eastAsia="Arial" w:hAnsi="Arial"/>
                <w:sz w:val="17"/>
                <w:szCs w:val="17"/>
                <w:color w:val="auto"/>
              </w:rPr>
              <w:t>Letters of credit</w:t>
            </w:r>
            <w:r>
              <w:rPr>
                <w:rFonts w:ascii="Arial" w:cs="Arial" w:eastAsia="Arial" w:hAnsi="Arial"/>
                <w:sz w:val="23"/>
                <w:szCs w:val="23"/>
                <w:color w:val="auto"/>
                <w:vertAlign w:val="superscript"/>
              </w:rPr>
              <w:t>(b)</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359.7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44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359.7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52"/>
        </w:trPr>
        <w:tc>
          <w:tcPr>
            <w:tcW w:w="3540" w:type="dxa"/>
            <w:vAlign w:val="bottom"/>
            <w:shd w:val="clear" w:color="auto" w:fill="CCEEFF"/>
          </w:tcPr>
          <w:p>
            <w:pPr>
              <w:ind w:left="20"/>
              <w:spacing w:after="0" w:line="252" w:lineRule="exact"/>
              <w:rPr>
                <w:sz w:val="20"/>
                <w:szCs w:val="20"/>
                <w:color w:val="auto"/>
              </w:rPr>
            </w:pPr>
            <w:r>
              <w:rPr>
                <w:rFonts w:ascii="Arial" w:cs="Arial" w:eastAsia="Arial" w:hAnsi="Arial"/>
                <w:sz w:val="17"/>
                <w:szCs w:val="17"/>
                <w:color w:val="auto"/>
              </w:rPr>
              <w:t>Surety bonds</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126.4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126.4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19"/>
        </w:trPr>
        <w:tc>
          <w:tcPr>
            <w:tcW w:w="3540" w:type="dxa"/>
            <w:vAlign w:val="bottom"/>
          </w:tcPr>
          <w:p>
            <w:pPr>
              <w:ind w:left="20"/>
              <w:spacing w:after="0"/>
              <w:rPr>
                <w:sz w:val="20"/>
                <w:szCs w:val="20"/>
                <w:color w:val="auto"/>
              </w:rPr>
            </w:pPr>
            <w:r>
              <w:rPr>
                <w:rFonts w:ascii="Arial" w:cs="Arial" w:eastAsia="Arial" w:hAnsi="Arial"/>
                <w:sz w:val="17"/>
                <w:szCs w:val="17"/>
                <w:color w:val="auto"/>
              </w:rPr>
              <w:t>Total commercial commitments</w:t>
            </w:r>
          </w:p>
        </w:tc>
        <w:tc>
          <w:tcPr>
            <w:tcW w:w="36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9"/>
              <w:spacing w:after="0"/>
              <w:rPr>
                <w:sz w:val="20"/>
                <w:szCs w:val="20"/>
                <w:color w:val="auto"/>
              </w:rPr>
            </w:pPr>
            <w:r>
              <w:rPr>
                <w:rFonts w:ascii="Arial" w:cs="Arial" w:eastAsia="Arial" w:hAnsi="Arial"/>
                <w:sz w:val="17"/>
                <w:szCs w:val="17"/>
                <w:color w:val="auto"/>
              </w:rPr>
              <w:t>568.5</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9"/>
              <w:spacing w:after="0"/>
              <w:rPr>
                <w:sz w:val="20"/>
                <w:szCs w:val="20"/>
                <w:color w:val="auto"/>
              </w:rPr>
            </w:pPr>
            <w:r>
              <w:rPr>
                <w:rFonts w:ascii="Arial" w:cs="Arial" w:eastAsia="Arial" w:hAnsi="Arial"/>
                <w:sz w:val="17"/>
                <w:szCs w:val="17"/>
                <w:color w:val="auto"/>
              </w:rPr>
              <w:t>126.4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9"/>
              <w:spacing w:after="0"/>
              <w:rPr>
                <w:sz w:val="20"/>
                <w:szCs w:val="20"/>
                <w:color w:val="auto"/>
              </w:rPr>
            </w:pPr>
            <w:r>
              <w:rPr>
                <w:rFonts w:ascii="Arial" w:cs="Arial" w:eastAsia="Arial" w:hAnsi="Arial"/>
                <w:sz w:val="17"/>
                <w:szCs w:val="17"/>
                <w:color w:val="auto"/>
              </w:rPr>
              <w:t>442.1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6"/>
        </w:trPr>
        <w:tc>
          <w:tcPr>
            <w:tcW w:w="3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00" w:hanging="299"/>
        <w:spacing w:after="0" w:line="252" w:lineRule="auto"/>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was $38.2 million.</w:t>
      </w:r>
    </w:p>
    <w:p>
      <w:pPr>
        <w:ind w:left="300" w:hanging="299"/>
        <w:spacing w:after="0" w:line="242" w:lineRule="auto"/>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00" w:hanging="299"/>
        <w:spacing w:after="0" w:line="258" w:lineRule="auto"/>
        <w:tabs>
          <w:tab w:leader="none" w:pos="3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207" w:lineRule="exact"/>
        <w:rPr>
          <w:sz w:val="20"/>
          <w:szCs w:val="20"/>
          <w:color w:val="auto"/>
        </w:rPr>
      </w:pPr>
    </w:p>
    <w:p>
      <w:pPr>
        <w:ind w:left="60"/>
        <w:spacing w:after="0" w:line="269" w:lineRule="auto"/>
        <w:rPr>
          <w:sz w:val="20"/>
          <w:szCs w:val="20"/>
          <w:color w:val="auto"/>
        </w:rPr>
      </w:pPr>
      <w:r>
        <w:rPr>
          <w:rFonts w:ascii="Arial" w:cs="Arial" w:eastAsia="Arial" w:hAnsi="Arial"/>
          <w:sz w:val="17"/>
          <w:szCs w:val="17"/>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Quantitative and Qualitative Disclosures About Market Risk</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primarily exposed to the market risk associated with unfavorable movements in interest rates, foreign currencies, and fuel price volatility. The risk inherent in our market risk-sensitive instruments and positions is the potential loss or increased expense arising from adverse changes in those factors. There have been no material changes to our market risk policies or our market risk-sensitive instruments and positions as described in our annual report on Form 10-K for the year ended December 31,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Controls and Procedures</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June 30, 2017 and have concluded that our disclosure controls and procedures were effective as of June 30, 2017.</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are in the process of implementing the human resources and payroll modules of a new comprehensive enterprise resource planning (ERP) system across most of our operating companies, with a phased-in implementation approach, in which the first phase goes live January 1, 2018. The system implementation was designed, in part, to enhance the overall system of internal control over financial reporting through enhanced automation and streamlining business processes across operating companies. Although the processes that constitute our internal control over financial reporting have been affected by the implementation, the Company is performing pre-implementation procedures as part of its assessment of the effectiveness of internal control over financial reporting. We do not believe that the implementation will have a material adverse effect on our internal controls over financial reporting.</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Other than as described above, there were no additional changes in our internal controls over financial reporting that occurred during the fiscal quarter ended June 30, 2017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PART II—OTHER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 Legal Proceedings</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discuss legal proceedings in the “Commitments, Contingencies and Uncertainties” note to our consolidated financial statements included with this quarterly report on Form 10-Q, and that discussion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There were no material changes during the quarter to the Risk Factors disclosed in Part I, Item 1A - “Risk Factors”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5"/>
          <w:szCs w:val="15"/>
          <w:color w:val="auto"/>
        </w:rPr>
        <w:t>Subsidiaries of the Company.</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color w:val="auto"/>
        </w:rPr>
        <w:t>Certification of James L. Welch filed pursuant to Exchange Act Rules 13a-14 and 15d-14, as adopted pursuant to Section 302 of the Sarbanes-Oxley Act of</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2002.</w:t>
      </w:r>
    </w:p>
    <w:p>
      <w:pPr>
        <w:spacing w:after="0" w:line="19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color w:val="auto"/>
        </w:rPr>
        <w:t>Certification of Stephanie D. Fisher filed pursuant to Exchange Act Rules 13a-14 and 15d-14, as adopted pursuant to Section 302 of the Sarbanes-Oxley</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Act of 2002.</w:t>
      </w:r>
    </w:p>
    <w:p>
      <w:pPr>
        <w:spacing w:after="0" w:line="19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color w:val="auto"/>
        </w:rPr>
        <w:t>Certification of James L. Welch furnished pursuant to 18 U.S.C. Section 1350, as adopted pursuant to Section 906 of the Sarbanes-Oxley Act of 2002.</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color w:val="auto"/>
        </w:rPr>
        <w:t>Certification of Stephanie D. Fisher furnished pursuant to 18 U.S.C. Section 1350, as adopted pursuant to Section 906 of the Sarbanes-Oxley Act of 2002.</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101.INS*</w:t>
      </w:r>
      <w:r>
        <w:rPr>
          <w:sz w:val="20"/>
          <w:szCs w:val="20"/>
          <w:color w:val="auto"/>
        </w:rPr>
        <w:tab/>
      </w:r>
      <w:r>
        <w:rPr>
          <w:rFonts w:ascii="Arial" w:cs="Arial" w:eastAsia="Arial" w:hAnsi="Arial"/>
          <w:sz w:val="15"/>
          <w:szCs w:val="15"/>
          <w:color w:val="auto"/>
        </w:rPr>
        <w:t>XBRL Instance Document</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101.SCH*</w:t>
      </w:r>
      <w:r>
        <w:rPr>
          <w:sz w:val="20"/>
          <w:szCs w:val="20"/>
          <w:color w:val="auto"/>
        </w:rPr>
        <w:tab/>
      </w:r>
      <w:r>
        <w:rPr>
          <w:rFonts w:ascii="Arial" w:cs="Arial" w:eastAsia="Arial" w:hAnsi="Arial"/>
          <w:sz w:val="15"/>
          <w:szCs w:val="15"/>
          <w:color w:val="auto"/>
        </w:rPr>
        <w:t>XBRL Taxonomy Extension Schema</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101.CAL*</w:t>
      </w:r>
      <w:r>
        <w:rPr>
          <w:sz w:val="20"/>
          <w:szCs w:val="20"/>
          <w:color w:val="auto"/>
        </w:rPr>
        <w:tab/>
      </w:r>
      <w:r>
        <w:rPr>
          <w:rFonts w:ascii="Arial" w:cs="Arial" w:eastAsia="Arial" w:hAnsi="Arial"/>
          <w:sz w:val="15"/>
          <w:szCs w:val="15"/>
          <w:color w:val="auto"/>
        </w:rPr>
        <w:t>XBRL Taxonomy Extension Calculation Linkbase</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101.DEF*</w:t>
      </w:r>
      <w:r>
        <w:rPr>
          <w:sz w:val="20"/>
          <w:szCs w:val="20"/>
          <w:color w:val="auto"/>
        </w:rPr>
        <w:tab/>
      </w:r>
      <w:r>
        <w:rPr>
          <w:rFonts w:ascii="Arial" w:cs="Arial" w:eastAsia="Arial" w:hAnsi="Arial"/>
          <w:sz w:val="15"/>
          <w:szCs w:val="15"/>
          <w:color w:val="auto"/>
        </w:rPr>
        <w:t>XBRL Taxonomy Extension Definition Linkbase</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101.LAB*</w:t>
      </w:r>
      <w:r>
        <w:rPr>
          <w:sz w:val="20"/>
          <w:szCs w:val="20"/>
          <w:color w:val="auto"/>
        </w:rPr>
        <w:tab/>
      </w:r>
      <w:r>
        <w:rPr>
          <w:rFonts w:ascii="Arial" w:cs="Arial" w:eastAsia="Arial" w:hAnsi="Arial"/>
          <w:sz w:val="15"/>
          <w:szCs w:val="15"/>
          <w:color w:val="auto"/>
        </w:rPr>
        <w:t>XBRL Taxonomy Extension Label Linkbase</w:t>
      </w:r>
    </w:p>
    <w:p>
      <w:pPr>
        <w:spacing w:after="0" w:line="20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7"/>
          <w:szCs w:val="17"/>
          <w:color w:val="auto"/>
        </w:rPr>
        <w:t>101.PRE*</w:t>
      </w:r>
      <w:r>
        <w:rPr>
          <w:sz w:val="20"/>
          <w:szCs w:val="20"/>
          <w:color w:val="auto"/>
        </w:rPr>
        <w:tab/>
      </w:r>
      <w:r>
        <w:rPr>
          <w:rFonts w:ascii="Arial" w:cs="Arial" w:eastAsia="Arial" w:hAnsi="Arial"/>
          <w:sz w:val="15"/>
          <w:szCs w:val="15"/>
          <w:color w:val="auto"/>
        </w:rPr>
        <w:t>XBRL Taxonomy Extension Presentation Linkbase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 Indicates documents filed herewith.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Indicates management contract, compensation plan or arrangement.</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5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YRC WORLDWIDE INC.</w:t>
            </w:r>
          </w:p>
        </w:tc>
      </w:tr>
      <w:tr>
        <w:trPr>
          <w:trHeight w:val="856"/>
        </w:trPr>
        <w:tc>
          <w:tcPr>
            <w:tcW w:w="5580" w:type="dxa"/>
            <w:vAlign w:val="bottom"/>
          </w:tcPr>
          <w:p>
            <w:pPr>
              <w:spacing w:after="0"/>
              <w:rPr>
                <w:sz w:val="20"/>
                <w:szCs w:val="20"/>
                <w:color w:val="auto"/>
              </w:rPr>
            </w:pPr>
            <w:r>
              <w:rPr>
                <w:rFonts w:ascii="Arial" w:cs="Arial" w:eastAsia="Arial" w:hAnsi="Arial"/>
                <w:sz w:val="17"/>
                <w:szCs w:val="17"/>
                <w:color w:val="auto"/>
              </w:rPr>
              <w:t>Date: August 3, 2017</w:t>
            </w:r>
          </w:p>
        </w:tc>
        <w:tc>
          <w:tcPr>
            <w:tcW w:w="5820" w:type="dxa"/>
            <w:vAlign w:val="bottom"/>
          </w:tcPr>
          <w:p>
            <w:pPr>
              <w:ind w:left="140"/>
              <w:spacing w:after="0"/>
              <w:rPr>
                <w:sz w:val="20"/>
                <w:szCs w:val="20"/>
                <w:color w:val="auto"/>
              </w:rPr>
            </w:pPr>
            <w:r>
              <w:rPr>
                <w:rFonts w:ascii="Arial" w:cs="Arial" w:eastAsia="Arial" w:hAnsi="Arial"/>
                <w:sz w:val="17"/>
                <w:szCs w:val="17"/>
                <w:color w:val="auto"/>
              </w:rPr>
              <w:t>/s/ James L. Welch</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James L. Welch</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554"/>
        </w:trPr>
        <w:tc>
          <w:tcPr>
            <w:tcW w:w="5580" w:type="dxa"/>
            <w:vAlign w:val="bottom"/>
          </w:tcPr>
          <w:p>
            <w:pPr>
              <w:spacing w:after="0"/>
              <w:rPr>
                <w:sz w:val="20"/>
                <w:szCs w:val="20"/>
                <w:color w:val="auto"/>
              </w:rPr>
            </w:pPr>
            <w:r>
              <w:rPr>
                <w:rFonts w:ascii="Arial" w:cs="Arial" w:eastAsia="Arial" w:hAnsi="Arial"/>
                <w:sz w:val="17"/>
                <w:szCs w:val="17"/>
                <w:color w:val="auto"/>
              </w:rPr>
              <w:t>Date: August 3, 2017</w:t>
            </w:r>
          </w:p>
        </w:tc>
        <w:tc>
          <w:tcPr>
            <w:tcW w:w="5820" w:type="dxa"/>
            <w:vAlign w:val="bottom"/>
          </w:tcPr>
          <w:p>
            <w:pPr>
              <w:ind w:left="140"/>
              <w:spacing w:after="0"/>
              <w:rPr>
                <w:sz w:val="20"/>
                <w:szCs w:val="20"/>
                <w:color w:val="auto"/>
              </w:rPr>
            </w:pPr>
            <w:r>
              <w:rPr>
                <w:rFonts w:ascii="Arial" w:cs="Arial" w:eastAsia="Arial" w:hAnsi="Arial"/>
                <w:sz w:val="17"/>
                <w:szCs w:val="17"/>
                <w:color w:val="auto"/>
              </w:rPr>
              <w:t>/s/ Stephanie D. Fisher</w:t>
            </w:r>
          </w:p>
        </w:tc>
      </w:tr>
      <w:tr>
        <w:trPr>
          <w:trHeight w:val="26"/>
        </w:trPr>
        <w:tc>
          <w:tcPr>
            <w:tcW w:w="558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19"/>
        </w:trPr>
        <w:tc>
          <w:tcPr>
            <w:tcW w:w="558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Stephanie D. Fisher</w:t>
            </w:r>
          </w:p>
        </w:tc>
      </w:tr>
      <w:tr>
        <w:trPr>
          <w:trHeight w:val="252"/>
        </w:trPr>
        <w:tc>
          <w:tcPr>
            <w:tcW w:w="5580" w:type="dxa"/>
            <w:vAlign w:val="bottom"/>
          </w:tcPr>
          <w:p>
            <w:pPr>
              <w:spacing w:after="0"/>
              <w:rPr>
                <w:sz w:val="21"/>
                <w:szCs w:val="21"/>
                <w:color w:val="auto"/>
              </w:rPr>
            </w:pPr>
          </w:p>
        </w:tc>
        <w:tc>
          <w:tcPr>
            <w:tcW w:w="58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r>
        <w:trPr>
          <w:trHeight w:val="755"/>
        </w:trPr>
        <w:tc>
          <w:tcPr>
            <w:tcW w:w="5580" w:type="dxa"/>
            <w:vAlign w:val="bottom"/>
          </w:tcPr>
          <w:p>
            <w:pPr>
              <w:spacing w:after="0"/>
              <w:rPr>
                <w:sz w:val="24"/>
                <w:szCs w:val="24"/>
                <w:color w:val="auto"/>
              </w:rPr>
            </w:pPr>
          </w:p>
        </w:tc>
        <w:tc>
          <w:tcPr>
            <w:tcW w:w="5820" w:type="dxa"/>
            <w:vAlign w:val="bottom"/>
          </w:tcPr>
          <w:p>
            <w:pPr>
              <w:ind w:left="40"/>
              <w:spacing w:after="0"/>
              <w:rPr>
                <w:sz w:val="20"/>
                <w:szCs w:val="20"/>
                <w:color w:val="auto"/>
              </w:rPr>
            </w:pPr>
            <w:r>
              <w:rPr>
                <w:rFonts w:ascii="Arial" w:cs="Arial" w:eastAsia="Arial" w:hAnsi="Arial"/>
                <w:sz w:val="17"/>
                <w:szCs w:val="17"/>
                <w:color w:val="auto"/>
              </w:rPr>
              <w:t>30</w:t>
            </w: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4900" w:type="dxa"/>
            <w:vAlign w:val="bottom"/>
            <w:vMerge w:val="restart"/>
          </w:tcPr>
          <w:p>
            <w:pPr>
              <w:ind w:left="200"/>
              <w:spacing w:after="0"/>
              <w:rPr>
                <w:sz w:val="20"/>
                <w:szCs w:val="20"/>
                <w:color w:val="auto"/>
              </w:rPr>
            </w:pPr>
            <w:r>
              <w:rPr>
                <w:rFonts w:ascii="Arial" w:cs="Arial" w:eastAsia="Arial" w:hAnsi="Arial"/>
                <w:sz w:val="17"/>
                <w:szCs w:val="17"/>
                <w:color w:val="auto"/>
              </w:rPr>
              <w:t>Subsidiaries of YRC Worldwide Inc.</w:t>
            </w:r>
          </w:p>
        </w:tc>
        <w:tc>
          <w:tcPr>
            <w:tcW w:w="2240" w:type="dxa"/>
            <w:vAlign w:val="bottom"/>
          </w:tcPr>
          <w:p>
            <w:pPr>
              <w:ind w:left="1200"/>
              <w:spacing w:after="0"/>
              <w:rPr>
                <w:sz w:val="20"/>
                <w:szCs w:val="20"/>
                <w:color w:val="auto"/>
              </w:rPr>
            </w:pPr>
            <w:r>
              <w:rPr>
                <w:rFonts w:ascii="Arial" w:cs="Arial" w:eastAsia="Arial" w:hAnsi="Arial"/>
                <w:sz w:val="17"/>
                <w:szCs w:val="17"/>
                <w:b w:val="1"/>
                <w:bCs w:val="1"/>
                <w:color w:val="auto"/>
                <w:w w:val="97"/>
              </w:rPr>
              <w:t>EXHIBIT 21.1</w:t>
            </w: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4900" w:type="dxa"/>
            <w:vAlign w:val="bottom"/>
            <w:vMerge w:val="continue"/>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4900" w:type="dxa"/>
            <w:vAlign w:val="bottom"/>
          </w:tcPr>
          <w:p>
            <w:pPr>
              <w:ind w:left="860"/>
              <w:spacing w:after="0"/>
              <w:rPr>
                <w:sz w:val="20"/>
                <w:szCs w:val="20"/>
                <w:color w:val="auto"/>
              </w:rPr>
            </w:pPr>
            <w:r>
              <w:rPr>
                <w:rFonts w:ascii="Arial" w:cs="Arial" w:eastAsia="Arial" w:hAnsi="Arial"/>
                <w:sz w:val="17"/>
                <w:szCs w:val="17"/>
                <w:color w:val="auto"/>
              </w:rPr>
              <w:t>At June 30, 2017</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4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40" w:type="dxa"/>
            <w:vAlign w:val="bottom"/>
          </w:tcPr>
          <w:p>
            <w:pPr>
              <w:jc w:val="center"/>
              <w:ind w:left="116"/>
              <w:spacing w:after="0"/>
              <w:rPr>
                <w:sz w:val="20"/>
                <w:szCs w:val="20"/>
                <w:color w:val="auto"/>
              </w:rPr>
            </w:pPr>
            <w:r>
              <w:rPr>
                <w:rFonts w:ascii="Arial" w:cs="Arial" w:eastAsia="Arial" w:hAnsi="Arial"/>
                <w:sz w:val="17"/>
                <w:szCs w:val="17"/>
                <w:b w:val="1"/>
                <w:bCs w:val="1"/>
                <w:color w:val="auto"/>
                <w:w w:val="88"/>
              </w:rPr>
              <w:t>Jurisdiction of</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tcPr>
          <w:p>
            <w:pPr>
              <w:ind w:left="3900"/>
              <w:spacing w:after="0"/>
              <w:rPr>
                <w:sz w:val="20"/>
                <w:szCs w:val="20"/>
                <w:color w:val="auto"/>
              </w:rPr>
            </w:pPr>
            <w:r>
              <w:rPr>
                <w:rFonts w:ascii="Arial" w:cs="Arial" w:eastAsia="Arial" w:hAnsi="Arial"/>
                <w:sz w:val="17"/>
                <w:szCs w:val="17"/>
                <w:b w:val="1"/>
                <w:bCs w:val="1"/>
                <w:color w:val="auto"/>
              </w:rPr>
              <w:t>Percentage</w:t>
            </w:r>
          </w:p>
        </w:tc>
        <w:tc>
          <w:tcPr>
            <w:tcW w:w="2240" w:type="dxa"/>
            <w:vAlign w:val="bottom"/>
          </w:tcPr>
          <w:p>
            <w:pPr>
              <w:jc w:val="center"/>
              <w:ind w:left="116"/>
              <w:spacing w:after="0"/>
              <w:rPr>
                <w:sz w:val="20"/>
                <w:szCs w:val="20"/>
                <w:color w:val="auto"/>
              </w:rPr>
            </w:pPr>
            <w:r>
              <w:rPr>
                <w:rFonts w:ascii="Arial" w:cs="Arial" w:eastAsia="Arial" w:hAnsi="Arial"/>
                <w:sz w:val="17"/>
                <w:szCs w:val="17"/>
                <w:b w:val="1"/>
                <w:bCs w:val="1"/>
                <w:color w:val="auto"/>
                <w:w w:val="91"/>
              </w:rPr>
              <w:t>Incorporation or</w:t>
            </w:r>
          </w:p>
        </w:tc>
        <w:tc>
          <w:tcPr>
            <w:tcW w:w="0" w:type="dxa"/>
            <w:vAlign w:val="bottom"/>
          </w:tcPr>
          <w:p>
            <w:pPr>
              <w:spacing w:after="0"/>
              <w:rPr>
                <w:sz w:val="1"/>
                <w:szCs w:val="1"/>
                <w:color w:val="auto"/>
              </w:rPr>
            </w:pPr>
          </w:p>
        </w:tc>
      </w:tr>
      <w:tr>
        <w:trPr>
          <w:trHeight w:val="217"/>
        </w:trPr>
        <w:tc>
          <w:tcPr>
            <w:tcW w:w="4280" w:type="dxa"/>
            <w:vAlign w:val="bottom"/>
          </w:tcPr>
          <w:p>
            <w:pPr>
              <w:ind w:left="3680"/>
              <w:spacing w:after="0"/>
              <w:rPr>
                <w:sz w:val="20"/>
                <w:szCs w:val="20"/>
                <w:color w:val="auto"/>
              </w:rPr>
            </w:pPr>
            <w:r>
              <w:rPr>
                <w:rFonts w:ascii="Arial" w:cs="Arial" w:eastAsia="Arial" w:hAnsi="Arial"/>
                <w:sz w:val="17"/>
                <w:szCs w:val="17"/>
                <w:b w:val="1"/>
                <w:bCs w:val="1"/>
                <w:color w:val="auto"/>
              </w:rPr>
              <w:t>Name</w:t>
            </w:r>
          </w:p>
        </w:tc>
        <w:tc>
          <w:tcPr>
            <w:tcW w:w="4900" w:type="dxa"/>
            <w:vAlign w:val="bottom"/>
          </w:tcPr>
          <w:p>
            <w:pPr>
              <w:ind w:left="3900"/>
              <w:spacing w:after="0"/>
              <w:rPr>
                <w:sz w:val="20"/>
                <w:szCs w:val="20"/>
                <w:color w:val="auto"/>
              </w:rPr>
            </w:pPr>
            <w:r>
              <w:rPr>
                <w:rFonts w:ascii="Arial" w:cs="Arial" w:eastAsia="Arial" w:hAnsi="Arial"/>
                <w:sz w:val="17"/>
                <w:szCs w:val="17"/>
                <w:b w:val="1"/>
                <w:bCs w:val="1"/>
                <w:color w:val="auto"/>
              </w:rPr>
              <w:t>Ownership</w:t>
            </w:r>
          </w:p>
        </w:tc>
        <w:tc>
          <w:tcPr>
            <w:tcW w:w="2240" w:type="dxa"/>
            <w:vAlign w:val="bottom"/>
          </w:tcPr>
          <w:p>
            <w:pPr>
              <w:jc w:val="center"/>
              <w:ind w:left="116"/>
              <w:spacing w:after="0"/>
              <w:rPr>
                <w:sz w:val="20"/>
                <w:szCs w:val="20"/>
                <w:color w:val="auto"/>
              </w:rPr>
            </w:pPr>
            <w:r>
              <w:rPr>
                <w:rFonts w:ascii="Arial" w:cs="Arial" w:eastAsia="Arial" w:hAnsi="Arial"/>
                <w:sz w:val="17"/>
                <w:szCs w:val="17"/>
                <w:b w:val="1"/>
                <w:bCs w:val="1"/>
                <w:color w:val="auto"/>
                <w:w w:val="91"/>
              </w:rPr>
              <w:t>Formation</w:t>
            </w:r>
          </w:p>
        </w:tc>
        <w:tc>
          <w:tcPr>
            <w:tcW w:w="0" w:type="dxa"/>
            <w:vAlign w:val="bottom"/>
          </w:tcPr>
          <w:p>
            <w:pPr>
              <w:spacing w:after="0"/>
              <w:rPr>
                <w:sz w:val="1"/>
                <w:szCs w:val="1"/>
                <w:color w:val="auto"/>
              </w:rPr>
            </w:pPr>
          </w:p>
        </w:tc>
      </w:tr>
      <w:tr>
        <w:trPr>
          <w:trHeight w:val="26"/>
        </w:trPr>
        <w:tc>
          <w:tcPr>
            <w:tcW w:w="428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280" w:type="dxa"/>
            <w:vAlign w:val="bottom"/>
          </w:tcPr>
          <w:p>
            <w:pPr>
              <w:ind w:left="20"/>
              <w:spacing w:after="0"/>
              <w:rPr>
                <w:sz w:val="20"/>
                <w:szCs w:val="20"/>
                <w:color w:val="auto"/>
              </w:rPr>
            </w:pPr>
            <w:r>
              <w:rPr>
                <w:rFonts w:ascii="Arial" w:cs="Arial" w:eastAsia="Arial" w:hAnsi="Arial"/>
                <w:sz w:val="17"/>
                <w:szCs w:val="17"/>
                <w:color w:val="auto"/>
              </w:rPr>
              <w:t>1105481 Ontario,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Ontario</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Express Lane Service,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New Penn Motor Express LLC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OPK Insurance Co. Ltd.</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Bermuda</w:t>
            </w:r>
          </w:p>
        </w:tc>
        <w:tc>
          <w:tcPr>
            <w:tcW w:w="0" w:type="dxa"/>
            <w:vAlign w:val="bottom"/>
          </w:tcPr>
          <w:p>
            <w:pPr>
              <w:spacing w:after="0"/>
              <w:rPr>
                <w:sz w:val="1"/>
                <w:szCs w:val="1"/>
                <w:color w:val="auto"/>
              </w:rPr>
            </w:pPr>
          </w:p>
        </w:tc>
      </w:tr>
      <w:tr>
        <w:trPr>
          <w:trHeight w:val="252"/>
        </w:trPr>
        <w:tc>
          <w:tcPr>
            <w:tcW w:w="4280" w:type="dxa"/>
            <w:vAlign w:val="bottom"/>
            <w:vMerge w:val="restart"/>
          </w:tcPr>
          <w:p>
            <w:pPr>
              <w:ind w:left="20"/>
              <w:spacing w:after="0"/>
              <w:rPr>
                <w:sz w:val="20"/>
                <w:szCs w:val="20"/>
                <w:color w:val="auto"/>
              </w:rPr>
            </w:pPr>
            <w:r>
              <w:rPr>
                <w:rFonts w:ascii="Arial" w:cs="Arial" w:eastAsia="Arial" w:hAnsi="Arial"/>
                <w:sz w:val="17"/>
                <w:szCs w:val="17"/>
                <w:color w:val="auto"/>
              </w:rPr>
              <w:t>Roadway LLC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1"/>
        </w:trPr>
        <w:tc>
          <w:tcPr>
            <w:tcW w:w="4280" w:type="dxa"/>
            <w:vAlign w:val="bottom"/>
            <w:vMerge w:val="continue"/>
          </w:tcPr>
          <w:p>
            <w:pPr>
              <w:spacing w:after="0"/>
              <w:rPr>
                <w:sz w:val="17"/>
                <w:szCs w:val="17"/>
                <w:color w:val="auto"/>
              </w:rPr>
            </w:pPr>
          </w:p>
        </w:tc>
        <w:tc>
          <w:tcPr>
            <w:tcW w:w="4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vMerge w:val="restart"/>
          </w:tcPr>
          <w:p>
            <w:pPr>
              <w:ind w:left="260"/>
              <w:spacing w:after="0"/>
              <w:rPr>
                <w:sz w:val="20"/>
                <w:szCs w:val="20"/>
                <w:color w:val="auto"/>
              </w:rPr>
            </w:pPr>
            <w:r>
              <w:rPr>
                <w:rFonts w:ascii="Arial" w:cs="Arial" w:eastAsia="Arial" w:hAnsi="Arial"/>
                <w:sz w:val="17"/>
                <w:szCs w:val="17"/>
                <w:color w:val="auto"/>
              </w:rPr>
              <w:t>Roadway Next Day Corporation</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Pennsylvania</w:t>
            </w:r>
          </w:p>
        </w:tc>
        <w:tc>
          <w:tcPr>
            <w:tcW w:w="0" w:type="dxa"/>
            <w:vAlign w:val="bottom"/>
          </w:tcPr>
          <w:p>
            <w:pPr>
              <w:spacing w:after="0"/>
              <w:rPr>
                <w:sz w:val="1"/>
                <w:szCs w:val="1"/>
                <w:color w:val="auto"/>
              </w:rPr>
            </w:pPr>
          </w:p>
        </w:tc>
      </w:tr>
      <w:tr>
        <w:trPr>
          <w:trHeight w:val="201"/>
        </w:trPr>
        <w:tc>
          <w:tcPr>
            <w:tcW w:w="4280" w:type="dxa"/>
            <w:vAlign w:val="bottom"/>
            <w:vMerge w:val="continue"/>
          </w:tcPr>
          <w:p>
            <w:pPr>
              <w:spacing w:after="0"/>
              <w:rPr>
                <w:sz w:val="17"/>
                <w:szCs w:val="17"/>
                <w:color w:val="auto"/>
              </w:rPr>
            </w:pPr>
          </w:p>
        </w:tc>
        <w:tc>
          <w:tcPr>
            <w:tcW w:w="4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vMerge w:val="restart"/>
          </w:tcPr>
          <w:p>
            <w:pPr>
              <w:ind w:left="260"/>
              <w:spacing w:after="0"/>
              <w:rPr>
                <w:sz w:val="20"/>
                <w:szCs w:val="20"/>
                <w:color w:val="auto"/>
              </w:rPr>
            </w:pPr>
            <w:r>
              <w:rPr>
                <w:rFonts w:ascii="Arial" w:cs="Arial" w:eastAsia="Arial" w:hAnsi="Arial"/>
                <w:sz w:val="17"/>
                <w:szCs w:val="17"/>
                <w:color w:val="auto"/>
              </w:rPr>
              <w:t>YRC Inc.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1"/>
        </w:trPr>
        <w:tc>
          <w:tcPr>
            <w:tcW w:w="4280" w:type="dxa"/>
            <w:vAlign w:val="bottom"/>
            <w:vMerge w:val="continue"/>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460"/>
              <w:spacing w:after="0"/>
              <w:rPr>
                <w:sz w:val="20"/>
                <w:szCs w:val="20"/>
                <w:color w:val="auto"/>
              </w:rPr>
            </w:pPr>
            <w:r>
              <w:rPr>
                <w:rFonts w:ascii="Arial" w:cs="Arial" w:eastAsia="Arial" w:hAnsi="Arial"/>
                <w:sz w:val="17"/>
                <w:szCs w:val="17"/>
                <w:color w:val="auto"/>
              </w:rPr>
              <w:t>Reimer Express Lines Ltd.</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4280" w:type="dxa"/>
            <w:vAlign w:val="bottom"/>
          </w:tcPr>
          <w:p>
            <w:pPr>
              <w:ind w:left="660"/>
              <w:spacing w:after="0"/>
              <w:rPr>
                <w:sz w:val="20"/>
                <w:szCs w:val="20"/>
                <w:color w:val="auto"/>
              </w:rPr>
            </w:pPr>
            <w:r>
              <w:rPr>
                <w:rFonts w:ascii="Arial" w:cs="Arial" w:eastAsia="Arial" w:hAnsi="Arial"/>
                <w:sz w:val="17"/>
                <w:szCs w:val="17"/>
                <w:color w:val="auto"/>
              </w:rPr>
              <w:t>YRC Transportation, S.A. de C.V.</w:t>
            </w:r>
          </w:p>
        </w:tc>
        <w:tc>
          <w:tcPr>
            <w:tcW w:w="4900" w:type="dxa"/>
            <w:vAlign w:val="bottom"/>
          </w:tcPr>
          <w:p>
            <w:pPr>
              <w:ind w:left="3520"/>
              <w:spacing w:after="0"/>
              <w:rPr>
                <w:sz w:val="20"/>
                <w:szCs w:val="20"/>
                <w:color w:val="auto"/>
              </w:rPr>
            </w:pPr>
            <w:r>
              <w:rPr>
                <w:rFonts w:ascii="Arial" w:cs="Arial" w:eastAsia="Arial" w:hAnsi="Arial"/>
                <w:sz w:val="17"/>
                <w:szCs w:val="17"/>
                <w:color w:val="auto"/>
              </w:rPr>
              <w:t xml:space="preserve">41.1% </w:t>
            </w:r>
            <w:r>
              <w:rPr>
                <w:rFonts w:ascii="Arial" w:cs="Arial" w:eastAsia="Arial" w:hAnsi="Arial"/>
                <w:sz w:val="23"/>
                <w:szCs w:val="23"/>
                <w:color w:val="auto"/>
                <w:vertAlign w:val="superscript"/>
              </w:rPr>
              <w:t>1</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111"/>
        </w:trPr>
        <w:tc>
          <w:tcPr>
            <w:tcW w:w="4280" w:type="dxa"/>
            <w:vAlign w:val="bottom"/>
          </w:tcPr>
          <w:p>
            <w:pPr>
              <w:spacing w:after="0"/>
              <w:rPr>
                <w:sz w:val="9"/>
                <w:szCs w:val="9"/>
                <w:color w:val="auto"/>
              </w:rPr>
            </w:pPr>
          </w:p>
        </w:tc>
        <w:tc>
          <w:tcPr>
            <w:tcW w:w="490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460"/>
              <w:spacing w:after="0"/>
              <w:rPr>
                <w:sz w:val="20"/>
                <w:szCs w:val="20"/>
                <w:color w:val="auto"/>
              </w:rPr>
            </w:pPr>
            <w:r>
              <w:rPr>
                <w:rFonts w:ascii="Arial" w:cs="Arial" w:eastAsia="Arial" w:hAnsi="Arial"/>
                <w:sz w:val="17"/>
                <w:szCs w:val="17"/>
                <w:color w:val="auto"/>
              </w:rPr>
              <w:t>Roadway Express International, Inc.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1060"/>
              <w:spacing w:after="0"/>
              <w:rPr>
                <w:sz w:val="20"/>
                <w:szCs w:val="20"/>
                <w:color w:val="auto"/>
              </w:rPr>
            </w:pPr>
            <w:r>
              <w:rPr>
                <w:rFonts w:ascii="Arial" w:cs="Arial" w:eastAsia="Arial" w:hAnsi="Arial"/>
                <w:sz w:val="17"/>
                <w:szCs w:val="17"/>
                <w:color w:val="auto"/>
                <w:w w:val="99"/>
              </w:rPr>
              <w:t>Transcontinental Lease, S. de R.L. de C.V.</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 xml:space="preserve">.01% </w:t>
            </w:r>
            <w:r>
              <w:rPr>
                <w:rFonts w:ascii="Arial" w:cs="Arial" w:eastAsia="Arial" w:hAnsi="Arial"/>
                <w:sz w:val="23"/>
                <w:szCs w:val="23"/>
                <w:color w:val="auto"/>
                <w:vertAlign w:val="superscript"/>
              </w:rPr>
              <w:t>2</w:t>
            </w:r>
          </w:p>
        </w:tc>
        <w:tc>
          <w:tcPr>
            <w:tcW w:w="2240" w:type="dxa"/>
            <w:vAlign w:val="bottom"/>
          </w:tcPr>
          <w:p>
            <w:pPr>
              <w:ind w:left="220"/>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490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460"/>
              <w:spacing w:after="0"/>
              <w:rPr>
                <w:sz w:val="20"/>
                <w:szCs w:val="20"/>
                <w:color w:val="auto"/>
              </w:rPr>
            </w:pPr>
            <w:r>
              <w:rPr>
                <w:rFonts w:ascii="Arial" w:cs="Arial" w:eastAsia="Arial" w:hAnsi="Arial"/>
                <w:sz w:val="17"/>
                <w:szCs w:val="17"/>
                <w:color w:val="auto"/>
              </w:rPr>
              <w:t>Roadway Express, S.A. de C.V.</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 xml:space="preserve">99.99% </w:t>
            </w:r>
            <w:r>
              <w:rPr>
                <w:rFonts w:ascii="Arial" w:cs="Arial" w:eastAsia="Arial" w:hAnsi="Arial"/>
                <w:sz w:val="23"/>
                <w:szCs w:val="23"/>
                <w:color w:val="auto"/>
                <w:vertAlign w:val="superscript"/>
              </w:rPr>
              <w:t>3</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49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460"/>
              <w:spacing w:after="0"/>
              <w:rPr>
                <w:sz w:val="20"/>
                <w:szCs w:val="20"/>
                <w:color w:val="auto"/>
              </w:rPr>
            </w:pPr>
            <w:r>
              <w:rPr>
                <w:rFonts w:ascii="Arial" w:cs="Arial" w:eastAsia="Arial" w:hAnsi="Arial"/>
                <w:sz w:val="17"/>
                <w:szCs w:val="17"/>
                <w:color w:val="auto"/>
              </w:rPr>
              <w:t>Roadway Reverse Logistics, Inc.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Ohio</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460"/>
              <w:spacing w:after="0"/>
              <w:rPr>
                <w:sz w:val="20"/>
                <w:szCs w:val="20"/>
                <w:color w:val="auto"/>
              </w:rPr>
            </w:pPr>
            <w:r>
              <w:rPr>
                <w:rFonts w:ascii="Arial" w:cs="Arial" w:eastAsia="Arial" w:hAnsi="Arial"/>
                <w:sz w:val="17"/>
                <w:szCs w:val="17"/>
                <w:color w:val="auto"/>
              </w:rPr>
              <w:t>Transcontinental Lease, S. de R.L. de C.V.</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 xml:space="preserve">99.99% </w:t>
            </w:r>
            <w:r>
              <w:rPr>
                <w:rFonts w:ascii="Arial" w:cs="Arial" w:eastAsia="Arial" w:hAnsi="Arial"/>
                <w:sz w:val="23"/>
                <w:szCs w:val="23"/>
                <w:color w:val="auto"/>
                <w:vertAlign w:val="superscript"/>
              </w:rPr>
              <w:t>2</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49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280" w:type="dxa"/>
            <w:vAlign w:val="bottom"/>
          </w:tcPr>
          <w:p>
            <w:pPr>
              <w:ind w:left="1060"/>
              <w:spacing w:after="0"/>
              <w:rPr>
                <w:sz w:val="20"/>
                <w:szCs w:val="20"/>
                <w:color w:val="auto"/>
              </w:rPr>
            </w:pPr>
            <w:r>
              <w:rPr>
                <w:rFonts w:ascii="Arial" w:cs="Arial" w:eastAsia="Arial" w:hAnsi="Arial"/>
                <w:sz w:val="17"/>
                <w:szCs w:val="17"/>
                <w:color w:val="auto"/>
              </w:rPr>
              <w:t>Roadway Express, S.A. de C.V.</w:t>
            </w:r>
          </w:p>
        </w:tc>
        <w:tc>
          <w:tcPr>
            <w:tcW w:w="4900" w:type="dxa"/>
            <w:vAlign w:val="bottom"/>
          </w:tcPr>
          <w:p>
            <w:pPr>
              <w:ind w:left="3520"/>
              <w:spacing w:after="0" w:line="253" w:lineRule="exact"/>
              <w:rPr>
                <w:sz w:val="20"/>
                <w:szCs w:val="20"/>
                <w:color w:val="auto"/>
              </w:rPr>
            </w:pPr>
            <w:r>
              <w:rPr>
                <w:rFonts w:ascii="Arial" w:cs="Arial" w:eastAsia="Arial" w:hAnsi="Arial"/>
                <w:sz w:val="17"/>
                <w:szCs w:val="17"/>
                <w:color w:val="auto"/>
              </w:rPr>
              <w:t xml:space="preserve">.01% </w:t>
            </w:r>
            <w:r>
              <w:rPr>
                <w:rFonts w:ascii="Arial" w:cs="Arial" w:eastAsia="Arial" w:hAnsi="Arial"/>
                <w:sz w:val="23"/>
                <w:szCs w:val="23"/>
                <w:color w:val="auto"/>
                <w:vertAlign w:val="superscript"/>
              </w:rPr>
              <w:t>3</w:t>
            </w:r>
          </w:p>
        </w:tc>
        <w:tc>
          <w:tcPr>
            <w:tcW w:w="2240" w:type="dxa"/>
            <w:vAlign w:val="bottom"/>
          </w:tcPr>
          <w:p>
            <w:pPr>
              <w:ind w:left="220"/>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213"/>
        </w:trPr>
        <w:tc>
          <w:tcPr>
            <w:tcW w:w="4280" w:type="dxa"/>
            <w:vAlign w:val="bottom"/>
          </w:tcPr>
          <w:p>
            <w:pPr>
              <w:ind w:left="460"/>
              <w:spacing w:after="0"/>
              <w:rPr>
                <w:sz w:val="20"/>
                <w:szCs w:val="20"/>
                <w:color w:val="auto"/>
              </w:rPr>
            </w:pPr>
            <w:r>
              <w:rPr>
                <w:rFonts w:ascii="Arial" w:cs="Arial" w:eastAsia="Arial" w:hAnsi="Arial"/>
                <w:sz w:val="17"/>
                <w:szCs w:val="17"/>
                <w:color w:val="auto"/>
              </w:rPr>
              <w:t>YRC Transportation, S.A. de C.V.</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 xml:space="preserve">58.9% </w:t>
            </w:r>
            <w:r>
              <w:rPr>
                <w:rFonts w:ascii="Arial" w:cs="Arial" w:eastAsia="Arial" w:hAnsi="Arial"/>
                <w:sz w:val="23"/>
                <w:szCs w:val="23"/>
                <w:color w:val="auto"/>
                <w:vertAlign w:val="superscript"/>
              </w:rPr>
              <w:t>1</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240"/>
        </w:trPr>
        <w:tc>
          <w:tcPr>
            <w:tcW w:w="4280" w:type="dxa"/>
            <w:vAlign w:val="bottom"/>
          </w:tcPr>
          <w:p>
            <w:pPr>
              <w:spacing w:after="0"/>
              <w:rPr>
                <w:sz w:val="20"/>
                <w:szCs w:val="20"/>
                <w:color w:val="auto"/>
              </w:rPr>
            </w:pPr>
          </w:p>
        </w:tc>
        <w:tc>
          <w:tcPr>
            <w:tcW w:w="4900" w:type="dxa"/>
            <w:vAlign w:val="bottom"/>
            <w:vMerge w:val="continue"/>
          </w:tcPr>
          <w:p>
            <w:pPr>
              <w:spacing w:after="0"/>
              <w:rPr>
                <w:sz w:val="20"/>
                <w:szCs w:val="20"/>
                <w:color w:val="auto"/>
              </w:rPr>
            </w:pPr>
          </w:p>
        </w:tc>
        <w:tc>
          <w:tcPr>
            <w:tcW w:w="2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860"/>
              <w:spacing w:after="0"/>
              <w:rPr>
                <w:sz w:val="20"/>
                <w:szCs w:val="20"/>
                <w:color w:val="auto"/>
              </w:rPr>
            </w:pPr>
            <w:r>
              <w:rPr>
                <w:rFonts w:ascii="Arial" w:cs="Arial" w:eastAsia="Arial" w:hAnsi="Arial"/>
                <w:sz w:val="17"/>
                <w:szCs w:val="17"/>
                <w:color w:val="auto"/>
              </w:rPr>
              <w:t>YRC Services S. de R.L. de C.V.</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Mexico</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USF Holland LLC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USF Holland International Sales Corporation</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Nova Scotia</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YRC Association Solutions,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YRC International Investments,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vMerge w:val="restart"/>
          </w:tcPr>
          <w:p>
            <w:pPr>
              <w:ind w:left="20"/>
              <w:spacing w:after="0"/>
              <w:rPr>
                <w:sz w:val="20"/>
                <w:szCs w:val="20"/>
                <w:color w:val="auto"/>
              </w:rPr>
            </w:pPr>
            <w:r>
              <w:rPr>
                <w:rFonts w:ascii="Arial" w:cs="Arial" w:eastAsia="Arial" w:hAnsi="Arial"/>
                <w:sz w:val="17"/>
                <w:szCs w:val="17"/>
                <w:color w:val="auto"/>
              </w:rPr>
              <w:t>YRC Logistics Asia Limited</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Hong Kong</w:t>
            </w:r>
          </w:p>
        </w:tc>
        <w:tc>
          <w:tcPr>
            <w:tcW w:w="0" w:type="dxa"/>
            <w:vAlign w:val="bottom"/>
          </w:tcPr>
          <w:p>
            <w:pPr>
              <w:spacing w:after="0"/>
              <w:rPr>
                <w:sz w:val="1"/>
                <w:szCs w:val="1"/>
                <w:color w:val="auto"/>
              </w:rPr>
            </w:pPr>
          </w:p>
        </w:tc>
      </w:tr>
      <w:tr>
        <w:trPr>
          <w:trHeight w:val="201"/>
        </w:trPr>
        <w:tc>
          <w:tcPr>
            <w:tcW w:w="4280" w:type="dxa"/>
            <w:vAlign w:val="bottom"/>
            <w:vMerge w:val="continue"/>
          </w:tcPr>
          <w:p>
            <w:pPr>
              <w:spacing w:after="0"/>
              <w:rPr>
                <w:sz w:val="17"/>
                <w:szCs w:val="17"/>
                <w:color w:val="auto"/>
              </w:rPr>
            </w:pPr>
          </w:p>
        </w:tc>
        <w:tc>
          <w:tcPr>
            <w:tcW w:w="4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PT Meridian IQ Indonesia International</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Indonesia</w:t>
            </w: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YRC (Shanghai) Management Consulting Co., Ltd.</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YRC Mortgages, LLC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YRC Regional Transportation,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USF Bestway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Arizona</w:t>
            </w: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USF Dugan Inc.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Kansas</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USF Glen Moore Inc.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Pennsylvania</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USF Reddaway Inc.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Oregon</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USF RedStar LLC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60"/>
              <w:spacing w:after="0"/>
              <w:rPr>
                <w:sz w:val="20"/>
                <w:szCs w:val="20"/>
                <w:color w:val="auto"/>
              </w:rPr>
            </w:pPr>
            <w:r>
              <w:rPr>
                <w:rFonts w:ascii="Arial" w:cs="Arial" w:eastAsia="Arial" w:hAnsi="Arial"/>
                <w:sz w:val="17"/>
                <w:szCs w:val="17"/>
                <w:color w:val="auto"/>
              </w:rPr>
              <w:t>YRC Logistics Services,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Illinois</w:t>
            </w:r>
          </w:p>
        </w:tc>
        <w:tc>
          <w:tcPr>
            <w:tcW w:w="0" w:type="dxa"/>
            <w:vAlign w:val="bottom"/>
          </w:tcPr>
          <w:p>
            <w:pPr>
              <w:spacing w:after="0"/>
              <w:rPr>
                <w:sz w:val="1"/>
                <w:szCs w:val="1"/>
                <w:color w:val="auto"/>
              </w:rPr>
            </w:pPr>
          </w:p>
        </w:tc>
      </w:tr>
      <w:tr>
        <w:trPr>
          <w:trHeight w:val="252"/>
        </w:trPr>
        <w:tc>
          <w:tcPr>
            <w:tcW w:w="4280" w:type="dxa"/>
            <w:vAlign w:val="bottom"/>
          </w:tcPr>
          <w:p>
            <w:pPr>
              <w:ind w:left="460"/>
              <w:spacing w:after="0"/>
              <w:rPr>
                <w:sz w:val="20"/>
                <w:szCs w:val="20"/>
                <w:color w:val="auto"/>
              </w:rPr>
            </w:pPr>
            <w:r>
              <w:rPr>
                <w:rFonts w:ascii="Arial" w:cs="Arial" w:eastAsia="Arial" w:hAnsi="Arial"/>
                <w:sz w:val="17"/>
                <w:szCs w:val="17"/>
                <w:color w:val="auto"/>
              </w:rPr>
              <w:t>YRC Logistics Inc.</w:t>
            </w:r>
          </w:p>
        </w:tc>
        <w:tc>
          <w:tcPr>
            <w:tcW w:w="4900" w:type="dxa"/>
            <w:vAlign w:val="bottom"/>
            <w:vMerge w:val="restart"/>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vMerge w:val="restart"/>
          </w:tcPr>
          <w:p>
            <w:pPr>
              <w:ind w:left="220"/>
              <w:spacing w:after="0"/>
              <w:rPr>
                <w:sz w:val="20"/>
                <w:szCs w:val="20"/>
                <w:color w:val="auto"/>
              </w:rPr>
            </w:pPr>
            <w:r>
              <w:rPr>
                <w:rFonts w:ascii="Arial" w:cs="Arial" w:eastAsia="Arial" w:hAnsi="Arial"/>
                <w:sz w:val="17"/>
                <w:szCs w:val="17"/>
                <w:color w:val="auto"/>
              </w:rPr>
              <w:t>Ontario</w:t>
            </w: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YRC Enterprise Services, Inc.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52"/>
        </w:trPr>
        <w:tc>
          <w:tcPr>
            <w:tcW w:w="4280" w:type="dxa"/>
            <w:vAlign w:val="bottom"/>
          </w:tcPr>
          <w:p>
            <w:pPr>
              <w:ind w:left="20"/>
              <w:spacing w:after="0"/>
              <w:rPr>
                <w:sz w:val="20"/>
                <w:szCs w:val="20"/>
                <w:color w:val="auto"/>
              </w:rPr>
            </w:pPr>
            <w:r>
              <w:rPr>
                <w:rFonts w:ascii="Arial" w:cs="Arial" w:eastAsia="Arial" w:hAnsi="Arial"/>
                <w:sz w:val="17"/>
                <w:szCs w:val="17"/>
                <w:color w:val="auto"/>
              </w:rPr>
              <w:t>YRCW Receivables LLC</w:t>
            </w:r>
          </w:p>
        </w:tc>
        <w:tc>
          <w:tcPr>
            <w:tcW w:w="4900" w:type="dxa"/>
            <w:vAlign w:val="bottom"/>
          </w:tcPr>
          <w:p>
            <w:pPr>
              <w:ind w:left="3520"/>
              <w:spacing w:after="0"/>
              <w:rPr>
                <w:sz w:val="20"/>
                <w:szCs w:val="20"/>
                <w:color w:val="auto"/>
              </w:rPr>
            </w:pPr>
            <w:r>
              <w:rPr>
                <w:rFonts w:ascii="Arial" w:cs="Arial" w:eastAsia="Arial" w:hAnsi="Arial"/>
                <w:sz w:val="17"/>
                <w:szCs w:val="17"/>
                <w:color w:val="auto"/>
              </w:rPr>
              <w:t>100%</w:t>
            </w:r>
          </w:p>
        </w:tc>
        <w:tc>
          <w:tcPr>
            <w:tcW w:w="2240" w:type="dxa"/>
            <w:vAlign w:val="bottom"/>
          </w:tcPr>
          <w:p>
            <w:pPr>
              <w:ind w:left="2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 w:hanging="79"/>
        <w:spacing w:after="0"/>
        <w:tabs>
          <w:tab w:leader="none" w:pos="80" w:val="left"/>
        </w:tabs>
        <w:numPr>
          <w:ilvl w:val="0"/>
          <w:numId w:val="24"/>
        </w:numPr>
        <w:rPr>
          <w:rFonts w:ascii="Arial" w:cs="Arial" w:eastAsia="Arial" w:hAnsi="Arial"/>
          <w:sz w:val="17"/>
          <w:szCs w:val="17"/>
          <w:color w:val="auto"/>
          <w:vertAlign w:val="superscript"/>
        </w:rPr>
      </w:pPr>
      <w:r>
        <w:rPr>
          <w:rFonts w:ascii="Arial" w:cs="Arial" w:eastAsia="Arial" w:hAnsi="Arial"/>
          <w:sz w:val="17"/>
          <w:szCs w:val="17"/>
          <w:color w:val="auto"/>
        </w:rPr>
        <w:t>YRC Transportation, S.A. de C.V. is owned 58.9% by YRC Inc. and 41.1% by Reimer Express Lines Ltd.</w:t>
      </w:r>
    </w:p>
    <w:p>
      <w:pPr>
        <w:spacing w:after="0" w:line="29" w:lineRule="exact"/>
        <w:rPr>
          <w:sz w:val="20"/>
          <w:szCs w:val="20"/>
          <w:color w:val="auto"/>
        </w:rPr>
      </w:pPr>
    </w:p>
    <w:p>
      <w:pPr>
        <w:ind w:left="80" w:hanging="79"/>
        <w:spacing w:after="0"/>
        <w:tabs>
          <w:tab w:leader="none" w:pos="80" w:val="left"/>
        </w:tabs>
        <w:numPr>
          <w:ilvl w:val="0"/>
          <w:numId w:val="25"/>
        </w:numPr>
        <w:rPr>
          <w:rFonts w:ascii="Arial" w:cs="Arial" w:eastAsia="Arial" w:hAnsi="Arial"/>
          <w:sz w:val="17"/>
          <w:szCs w:val="17"/>
          <w:color w:val="auto"/>
          <w:vertAlign w:val="superscript"/>
        </w:rPr>
      </w:pPr>
      <w:r>
        <w:rPr>
          <w:rFonts w:ascii="Arial" w:cs="Arial" w:eastAsia="Arial" w:hAnsi="Arial"/>
          <w:sz w:val="17"/>
          <w:szCs w:val="17"/>
          <w:color w:val="auto"/>
        </w:rPr>
        <w:t>Transcontinental Lease, S. de R.L. de C.V. is owned 99.99% by YRC Inc. and .01% by Roadway Express International, Inc.</w:t>
      </w:r>
    </w:p>
    <w:p>
      <w:pPr>
        <w:spacing w:after="0" w:line="18" w:lineRule="exact"/>
        <w:rPr>
          <w:rFonts w:ascii="Arial" w:cs="Arial" w:eastAsia="Arial" w:hAnsi="Arial"/>
          <w:sz w:val="17"/>
          <w:szCs w:val="17"/>
          <w:color w:val="auto"/>
          <w:vertAlign w:val="superscript"/>
        </w:rPr>
      </w:pPr>
    </w:p>
    <w:p>
      <w:pPr>
        <w:spacing w:after="0"/>
        <w:rPr>
          <w:rFonts w:ascii="Arial" w:cs="Arial" w:eastAsia="Arial" w:hAnsi="Arial"/>
          <w:sz w:val="17"/>
          <w:szCs w:val="17"/>
          <w:color w:val="auto"/>
          <w:vertAlign w:val="superscript"/>
        </w:rPr>
      </w:pPr>
      <w:r>
        <w:rPr>
          <w:rFonts w:ascii="Arial" w:cs="Arial" w:eastAsia="Arial" w:hAnsi="Arial"/>
          <w:sz w:val="17"/>
          <w:szCs w:val="17"/>
          <w:color w:val="auto"/>
          <w:vertAlign w:val="superscript"/>
        </w:rPr>
        <w:t>3</w:t>
      </w:r>
      <w:r>
        <w:rPr>
          <w:rFonts w:ascii="Arial" w:cs="Arial" w:eastAsia="Arial" w:hAnsi="Arial"/>
          <w:sz w:val="17"/>
          <w:szCs w:val="17"/>
          <w:color w:val="auto"/>
        </w:rPr>
        <w:t xml:space="preserve"> Roadway Express, S.A. de C.V. is owned 99.99% by YRC Inc. and .01% by Transcontinental Lease, S. de R.L. de C.V.</w:t>
      </w:r>
    </w:p>
    <w:p>
      <w:pPr>
        <w:sectPr>
          <w:pgSz w:w="11900" w:h="16838" w:orient="portrait"/>
          <w:cols w:equalWidth="0" w:num="1">
            <w:col w:w="11420"/>
          </w:cols>
          <w:pgMar w:left="240" w:top="551" w:right="239" w:bottom="852"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31.1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James L. Welch, certify that:</w:t>
      </w:r>
    </w:p>
    <w:p>
      <w:pPr>
        <w:spacing w:after="0" w:line="81" w:lineRule="exact"/>
        <w:rPr>
          <w:sz w:val="20"/>
          <w:szCs w:val="20"/>
          <w:color w:val="auto"/>
        </w:rPr>
      </w:pPr>
    </w:p>
    <w:p>
      <w:pPr>
        <w:ind w:left="600" w:hanging="599"/>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3, 2017</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31.2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EXCHANGE ACT RULES 13A-14 AND 15D-14,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OF THE SARBANES-OXLEY 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 Stephanie D. Fisher, certify that:</w:t>
      </w:r>
    </w:p>
    <w:p>
      <w:pPr>
        <w:spacing w:after="0" w:line="81" w:lineRule="exact"/>
        <w:rPr>
          <w:sz w:val="20"/>
          <w:szCs w:val="20"/>
          <w:color w:val="auto"/>
        </w:rPr>
      </w:pPr>
    </w:p>
    <w:p>
      <w:pPr>
        <w:ind w:left="600" w:hanging="599"/>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YRC Worldwide Inc.;</w:t>
      </w:r>
    </w:p>
    <w:p>
      <w:pPr>
        <w:spacing w:after="0" w:line="81" w:lineRule="exact"/>
        <w:rPr>
          <w:rFonts w:ascii="Arial" w:cs="Arial" w:eastAsia="Arial" w:hAnsi="Arial"/>
          <w:sz w:val="17"/>
          <w:szCs w:val="17"/>
          <w:color w:val="auto"/>
        </w:rPr>
      </w:pPr>
    </w:p>
    <w:p>
      <w:pPr>
        <w:ind w:left="600" w:right="300" w:hanging="599"/>
        <w:spacing w:after="0" w:line="332" w:lineRule="auto"/>
        <w:tabs>
          <w:tab w:leader="none" w:pos="6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600" w:right="400" w:hanging="599"/>
        <w:spacing w:after="0" w:line="269"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jc w:val="both"/>
        <w:ind w:left="600" w:right="200" w:hanging="599"/>
        <w:spacing w:after="0" w:line="258"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4" w:lineRule="exact"/>
        <w:rPr>
          <w:rFonts w:ascii="Arial" w:cs="Arial" w:eastAsia="Arial" w:hAnsi="Arial"/>
          <w:sz w:val="17"/>
          <w:szCs w:val="17"/>
          <w:color w:val="auto"/>
        </w:rPr>
      </w:pPr>
    </w:p>
    <w:p>
      <w:pPr>
        <w:ind w:left="1060" w:right="2940" w:hanging="418"/>
        <w:spacing w:after="0" w:line="254"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7"/>
          <w:szCs w:val="17"/>
          <w:color w:val="auto"/>
        </w:rPr>
      </w:pPr>
    </w:p>
    <w:p>
      <w:pPr>
        <w:ind w:left="1060" w:right="2920" w:hanging="418"/>
        <w:spacing w:after="0" w:line="254"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7"/>
          <w:szCs w:val="17"/>
          <w:color w:val="auto"/>
        </w:rPr>
      </w:pPr>
    </w:p>
    <w:p>
      <w:pPr>
        <w:jc w:val="both"/>
        <w:ind w:left="1060" w:right="3080" w:hanging="418"/>
        <w:spacing w:after="0" w:line="258"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7"/>
          <w:szCs w:val="17"/>
          <w:color w:val="auto"/>
        </w:rPr>
      </w:pPr>
    </w:p>
    <w:p>
      <w:pPr>
        <w:ind w:left="1060" w:right="3020" w:hanging="418"/>
        <w:spacing w:after="0" w:line="254"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rFonts w:ascii="Arial" w:cs="Arial" w:eastAsia="Arial" w:hAnsi="Arial"/>
          <w:sz w:val="17"/>
          <w:szCs w:val="17"/>
          <w:color w:val="auto"/>
        </w:rPr>
      </w:pPr>
    </w:p>
    <w:p>
      <w:pPr>
        <w:ind w:left="600" w:right="160" w:hanging="599"/>
        <w:spacing w:after="0" w:line="269" w:lineRule="auto"/>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7"/>
          <w:szCs w:val="17"/>
          <w:color w:val="auto"/>
        </w:rPr>
      </w:pPr>
    </w:p>
    <w:p>
      <w:pPr>
        <w:ind w:left="1060" w:right="2880" w:hanging="418"/>
        <w:spacing w:after="0" w:line="258"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7"/>
          <w:szCs w:val="17"/>
          <w:color w:val="auto"/>
        </w:rPr>
      </w:pPr>
    </w:p>
    <w:p>
      <w:pPr>
        <w:ind w:left="1060" w:right="3000" w:hanging="418"/>
        <w:spacing w:after="0" w:line="269" w:lineRule="auto"/>
        <w:tabs>
          <w:tab w:leader="none" w:pos="106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3, 2017</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June 30, 2017,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3, 2017</w:t>
      </w:r>
      <w:r>
        <w:rPr>
          <w:sz w:val="20"/>
          <w:szCs w:val="20"/>
          <w:color w:val="auto"/>
        </w:rPr>
        <w:tab/>
      </w:r>
      <w:r>
        <w:rPr>
          <w:rFonts w:ascii="Arial" w:cs="Arial" w:eastAsia="Arial" w:hAnsi="Arial"/>
          <w:sz w:val="14"/>
          <w:szCs w:val="14"/>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James L. Welch</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145"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connection with the quarterly report of YRC Worldwide Inc. on Form 10-Q for the period ended June 30, 2017,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9" w:lineRule="exact"/>
        <w:rPr>
          <w:sz w:val="20"/>
          <w:szCs w:val="20"/>
          <w:color w:val="auto"/>
        </w:rPr>
      </w:pPr>
    </w:p>
    <w:p>
      <w:pPr>
        <w:ind w:left="600" w:hanging="599"/>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 (a) or 15 (d) of the Securities Exchange Act of 1934; and</w:t>
      </w:r>
    </w:p>
    <w:p>
      <w:pPr>
        <w:spacing w:after="0" w:line="81" w:lineRule="exact"/>
        <w:rPr>
          <w:rFonts w:ascii="Arial" w:cs="Arial" w:eastAsia="Arial" w:hAnsi="Arial"/>
          <w:sz w:val="17"/>
          <w:szCs w:val="17"/>
          <w:color w:val="auto"/>
        </w:rPr>
      </w:pPr>
    </w:p>
    <w:p>
      <w:pPr>
        <w:ind w:left="600" w:hanging="599"/>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YRC Worldwide Inc.</w:t>
      </w:r>
    </w:p>
    <w:p>
      <w:pPr>
        <w:spacing w:after="0" w:line="24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7"/>
          <w:szCs w:val="17"/>
          <w:color w:val="auto"/>
        </w:rPr>
        <w:t>Date: August 3, 2017</w:t>
      </w:r>
      <w:r>
        <w:rPr>
          <w:sz w:val="20"/>
          <w:szCs w:val="20"/>
          <w:color w:val="auto"/>
        </w:rPr>
        <w:tab/>
      </w:r>
      <w:r>
        <w:rPr>
          <w:rFonts w:ascii="Arial" w:cs="Arial" w:eastAsia="Arial" w:hAnsi="Arial"/>
          <w:sz w:val="14"/>
          <w:szCs w:val="14"/>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27305</wp:posOffset>
            </wp:positionV>
            <wp:extent cx="362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49"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Stephanie D. Fisher</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lvl w:ilvl="1">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bullet"/>
      <w:start w:val="1"/>
    </w:lvl>
  </w:abstractNum>
  <w:abstractNum w:abstractNumId="24">
    <w:nsid w:val="54E49EB4"/>
    <w:multiLevelType w:val="hybridMultilevel"/>
    <w:lvl w:ilvl="0">
      <w:lvlJc w:val="left"/>
      <w:lvlText w:val="2"/>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2019-12-29T05:06:33Z</dcterms:created>
  <dcterms:modified xsi:type="dcterms:W3CDTF">2019-12-29T05:06:33Z</dcterms:modified>
</cp:coreProperties>
</file>