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113665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80" w:right="540" w:hanging="345"/>
        <w:spacing w:after="0" w:line="262"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380" w:right="520" w:hanging="345"/>
        <w:spacing w:after="0" w:line="262"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0-12255</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-278765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99060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48-0948788</w:t>
            </w:r>
          </w:p>
        </w:tc>
      </w:tr>
      <w:tr>
        <w:trPr>
          <w:trHeight w:val="220"/>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70"/>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2"/>
        </w:trPr>
        <w:tc>
          <w:tcPr>
            <w:tcW w:w="6500" w:type="dxa"/>
            <w:vAlign w:val="bottom"/>
          </w:tcPr>
          <w:p>
            <w:pPr>
              <w:jc w:val="center"/>
              <w:ind w:right="3119"/>
              <w:spacing w:after="0"/>
              <w:rPr>
                <w:sz w:val="20"/>
                <w:szCs w:val="20"/>
                <w:color w:val="auto"/>
              </w:rPr>
            </w:pPr>
            <w:r>
              <w:rPr>
                <w:rFonts w:ascii="Times New Roman" w:cs="Times New Roman" w:eastAsia="Times New Roman" w:hAnsi="Times New Roman"/>
                <w:sz w:val="18"/>
                <w:szCs w:val="18"/>
                <w:b w:val="1"/>
                <w:bCs w:val="1"/>
                <w:color w:val="auto"/>
                <w:w w:val="99"/>
              </w:rPr>
              <w:t>10990 Roe Avenue, Overland Park, Kansas</w:t>
            </w:r>
          </w:p>
        </w:tc>
        <w:tc>
          <w:tcPr>
            <w:tcW w:w="1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220"/>
        </w:trPr>
        <w:tc>
          <w:tcPr>
            <w:tcW w:w="6500" w:type="dxa"/>
            <w:vAlign w:val="bottom"/>
          </w:tcPr>
          <w:p>
            <w:pPr>
              <w:jc w:val="center"/>
              <w:ind w:right="3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500" w:type="dxa"/>
            <w:vAlign w:val="bottom"/>
          </w:tcPr>
          <w:p>
            <w:pPr>
              <w:jc w:val="center"/>
              <w:ind w:left="2539"/>
              <w:spacing w:after="0"/>
              <w:rPr>
                <w:sz w:val="20"/>
                <w:szCs w:val="20"/>
                <w:color w:val="auto"/>
              </w:rPr>
            </w:pPr>
            <w:r>
              <w:rPr>
                <w:rFonts w:ascii="Times New Roman" w:cs="Times New Roman" w:eastAsia="Times New Roman" w:hAnsi="Times New Roman"/>
                <w:sz w:val="18"/>
                <w:szCs w:val="18"/>
                <w:b w:val="1"/>
                <w:bCs w:val="1"/>
                <w:color w:val="auto"/>
                <w:w w:val="99"/>
              </w:rPr>
              <w:t>(913) 696-6100</w:t>
            </w:r>
          </w:p>
        </w:tc>
        <w:tc>
          <w:tcPr>
            <w:tcW w:w="1460" w:type="dxa"/>
            <w:vAlign w:val="bottom"/>
          </w:tcPr>
          <w:p>
            <w:pPr>
              <w:spacing w:after="0"/>
              <w:rPr>
                <w:sz w:val="23"/>
                <w:szCs w:val="23"/>
                <w:color w:val="auto"/>
              </w:rPr>
            </w:pPr>
          </w:p>
        </w:tc>
      </w:tr>
      <w:tr>
        <w:trPr>
          <w:trHeight w:val="190"/>
        </w:trPr>
        <w:tc>
          <w:tcPr>
            <w:tcW w:w="6500" w:type="dxa"/>
            <w:vAlign w:val="bottom"/>
          </w:tcPr>
          <w:p>
            <w:pPr>
              <w:jc w:val="center"/>
              <w:ind w:left="25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60" w:type="dxa"/>
            <w:vAlign w:val="bottom"/>
          </w:tcPr>
          <w:p>
            <w:pPr>
              <w:spacing w:after="0"/>
              <w:rPr>
                <w:sz w:val="16"/>
                <w:szCs w:val="16"/>
                <w:color w:val="auto"/>
              </w:rPr>
            </w:pPr>
          </w:p>
        </w:tc>
      </w:tr>
      <w:tr>
        <w:trPr>
          <w:trHeight w:val="287"/>
        </w:trPr>
        <w:tc>
          <w:tcPr>
            <w:tcW w:w="6500" w:type="dxa"/>
            <w:vAlign w:val="bottom"/>
          </w:tcPr>
          <w:p>
            <w:pPr>
              <w:jc w:val="center"/>
              <w:ind w:left="253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3"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o (Do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Times New Roman" w:cs="Times New Roman" w:eastAsia="Times New Roman" w:hAnsi="Times New Roman"/>
          <w:sz w:val="18"/>
          <w:szCs w:val="18"/>
          <w:color w:val="auto"/>
        </w:rPr>
        <w:t>o</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tabs>
          <w:tab w:leader="none" w:pos="600" w:val="left"/>
        </w:tabs>
        <w:rPr>
          <w:sz w:val="20"/>
          <w:szCs w:val="20"/>
          <w:color w:val="auto"/>
        </w:rPr>
      </w:pPr>
      <w:r>
        <w:rPr>
          <w:rFonts w:ascii="Times New Roman" w:cs="Times New Roman" w:eastAsia="Times New Roman" w:hAnsi="Times New Roman"/>
          <w:sz w:val="18"/>
          <w:szCs w:val="18"/>
          <w:color w:val="auto"/>
        </w:rPr>
        <w:t>Yes o</w:t>
        <w:tab/>
        <w:t xml:space="preserve">No </w:t>
      </w:r>
      <w:r>
        <w:rPr>
          <w:rFonts w:ascii="MS PGothic" w:cs="MS PGothic" w:eastAsia="MS PGothic" w:hAnsi="MS PGothic"/>
          <w:sz w:val="18"/>
          <w:szCs w:val="18"/>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580" w:val="left"/>
        </w:tabs>
        <w:rPr>
          <w:sz w:val="20"/>
          <w:szCs w:val="20"/>
          <w:color w:val="auto"/>
        </w:rPr>
      </w:pPr>
      <w:r>
        <w:rPr>
          <w:rFonts w:ascii="Times New Roman" w:cs="Times New Roman" w:eastAsia="Times New Roman" w:hAnsi="Times New Roman"/>
          <w:sz w:val="14"/>
          <w:szCs w:val="14"/>
          <w:u w:val="single" w:color="auto"/>
          <w:color w:val="auto"/>
        </w:rPr>
        <w:t>Class</w:t>
      </w:r>
      <w:r>
        <w:rPr>
          <w:sz w:val="20"/>
          <w:szCs w:val="20"/>
          <w:color w:val="auto"/>
        </w:rPr>
        <w:tab/>
      </w:r>
      <w:r>
        <w:rPr>
          <w:rFonts w:ascii="Times New Roman" w:cs="Times New Roman" w:eastAsia="Times New Roman" w:hAnsi="Times New Roman"/>
          <w:sz w:val="14"/>
          <w:szCs w:val="14"/>
          <w:u w:val="single" w:color="auto"/>
          <w:color w:val="auto"/>
        </w:rPr>
        <w:t>Outstanding at October 24, 2014</w:t>
      </w:r>
    </w:p>
    <w:p>
      <w:pPr>
        <w:sectPr>
          <w:pgSz w:w="11900" w:h="16838" w:orient="portrait"/>
          <w:cols w:equalWidth="0" w:num="1">
            <w:col w:w="11420"/>
          </w:cols>
          <w:pgMar w:left="240" w:top="225"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Times New Roman" w:cs="Times New Roman" w:eastAsia="Times New Roman" w:hAnsi="Times New Roman"/>
          <w:sz w:val="18"/>
          <w:szCs w:val="18"/>
          <w:color w:val="auto"/>
        </w:rPr>
        <w:t>Common Stock, $0.01 par value per share</w:t>
      </w:r>
      <w:r>
        <w:rPr>
          <w:sz w:val="20"/>
          <w:szCs w:val="20"/>
          <w:color w:val="auto"/>
        </w:rPr>
        <w:tab/>
      </w:r>
      <w:r>
        <w:rPr>
          <w:rFonts w:ascii="Times New Roman" w:cs="Times New Roman" w:eastAsia="Times New Roman" w:hAnsi="Times New Roman"/>
          <w:sz w:val="17"/>
          <w:szCs w:val="17"/>
          <w:color w:val="auto"/>
        </w:rPr>
        <w:t>31,257,971 shares</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Times New Roman" w:cs="Times New Roman" w:eastAsia="Times New Roman" w:hAnsi="Times New Roman"/>
                <w:sz w:val="18"/>
                <w:szCs w:val="18"/>
                <w:color w:val="0000FF"/>
                <w:w w:val="98"/>
              </w:rPr>
            </w:pPr>
            <w:hyperlink w:anchor="page2">
              <w:r>
                <w:rPr>
                  <w:rFonts w:ascii="Times New Roman" w:cs="Times New Roman" w:eastAsia="Times New Roman" w:hAnsi="Times New Roman"/>
                  <w:sz w:val="18"/>
                  <w:szCs w:val="18"/>
                  <w:color w:val="0000FF"/>
                  <w:w w:val="98"/>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6"/>
          </w:tcPr>
          <w:p>
            <w:pPr>
              <w:spacing w:after="0"/>
              <w:rPr>
                <w:sz w:val="22"/>
                <w:szCs w:val="22"/>
                <w:color w:val="auto"/>
              </w:rPr>
            </w:pPr>
          </w:p>
        </w:tc>
        <w:tc>
          <w:tcPr>
            <w:tcW w:w="3720" w:type="dxa"/>
            <w:vAlign w:val="bottom"/>
            <w:gridSpan w:val="4"/>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 September 30, 2014 and December 31, 2013</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Statements of Consolidated Comprehensive Income (Loss) - Three and Nine Months ended September 30, 2014 and 2013</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Statements of Consolidated Cash Flows - Nine Months Ended September 30, 2014 and 2013</w:t>
              </w:r>
            </w:hyperlink>
          </w:p>
        </w:tc>
        <w:tc>
          <w:tcPr>
            <w:tcW w:w="13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 of Consolidated Shareholders’ Deficit - Nine Months Ended September 30, 2014</w:t>
              </w:r>
            </w:hyperlink>
          </w:p>
        </w:tc>
        <w:tc>
          <w:tcPr>
            <w:tcW w:w="346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80" w:type="dxa"/>
            <w:vAlign w:val="bottom"/>
            <w:tcBorders>
              <w:top w:val="single" w:sz="8" w:color="0000EE"/>
            </w:tcBorders>
            <w:gridSpan w:val="15"/>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Consolidated Financial Statements</w:t>
              </w:r>
            </w:hyperlink>
          </w:p>
        </w:tc>
        <w:tc>
          <w:tcPr>
            <w:tcW w:w="354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1"/>
                <w:szCs w:val="2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460" w:type="dxa"/>
            <w:vAlign w:val="bottom"/>
            <w:gridSpan w:val="13"/>
          </w:tcPr>
          <w:p>
            <w:pPr>
              <w:spacing w:after="0"/>
              <w:rPr>
                <w:rFonts w:ascii="Times New Roman" w:cs="Times New Roman" w:eastAsia="Times New Roman" w:hAnsi="Times New Roman"/>
                <w:sz w:val="18"/>
                <w:szCs w:val="18"/>
                <w:color w:val="0000FF"/>
                <w:w w:val="99"/>
              </w:rPr>
            </w:pPr>
            <w:hyperlink w:anchor="page19">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20</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360" w:type="dxa"/>
            <w:vAlign w:val="bottom"/>
            <w:gridSpan w:val="11"/>
          </w:tcPr>
          <w:p>
            <w:pPr>
              <w:spacing w:after="0"/>
              <w:rPr>
                <w:rFonts w:ascii="Times New Roman" w:cs="Times New Roman" w:eastAsia="Times New Roman" w:hAnsi="Times New Roman"/>
                <w:sz w:val="18"/>
                <w:szCs w:val="18"/>
                <w:color w:val="0000FF"/>
                <w:w w:val="99"/>
              </w:rPr>
            </w:pPr>
            <w:hyperlink w:anchor="page35">
              <w:r>
                <w:rPr>
                  <w:rFonts w:ascii="Times New Roman" w:cs="Times New Roman" w:eastAsia="Times New Roman" w:hAnsi="Times New Roman"/>
                  <w:sz w:val="18"/>
                  <w:szCs w:val="18"/>
                  <w:color w:val="0000FF"/>
                  <w:w w:val="99"/>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36</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360" w:type="dxa"/>
            <w:vAlign w:val="bottom"/>
            <w:gridSpan w:val="11"/>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Times New Roman" w:cs="Times New Roman" w:eastAsia="Times New Roman" w:hAnsi="Times New Roman"/>
                <w:sz w:val="18"/>
                <w:szCs w:val="18"/>
                <w:color w:val="0000FF"/>
                <w:w w:val="98"/>
              </w:rPr>
            </w:pPr>
            <w:hyperlink w:anchor="page36">
              <w:r>
                <w:rPr>
                  <w:rFonts w:ascii="Times New Roman" w:cs="Times New Roman" w:eastAsia="Times New Roman" w:hAnsi="Times New Roman"/>
                  <w:sz w:val="18"/>
                  <w:szCs w:val="18"/>
                  <w:color w:val="0000FF"/>
                  <w:w w:val="98"/>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gridSpan w:val="19"/>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37</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gridSpan w:val="4"/>
          </w:tcPr>
          <w:p>
            <w:pPr>
              <w:spacing w:after="0"/>
              <w:rPr>
                <w:rFonts w:ascii="Times New Roman" w:cs="Times New Roman" w:eastAsia="Times New Roman" w:hAnsi="Times New Roman"/>
                <w:sz w:val="18"/>
                <w:szCs w:val="18"/>
                <w:color w:val="0000FF"/>
                <w:w w:val="97"/>
              </w:rPr>
            </w:pPr>
            <w:hyperlink w:anchor="page37">
              <w:r>
                <w:rPr>
                  <w:rFonts w:ascii="Times New Roman" w:cs="Times New Roman" w:eastAsia="Times New Roman" w:hAnsi="Times New Roman"/>
                  <w:sz w:val="18"/>
                  <w:szCs w:val="18"/>
                  <w:color w:val="0000FF"/>
                  <w:w w:val="9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37</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spacing w:after="0"/>
              <w:rPr>
                <w:rFonts w:ascii="Times New Roman" w:cs="Times New Roman" w:eastAsia="Times New Roman" w:hAnsi="Times New Roman"/>
                <w:sz w:val="18"/>
                <w:szCs w:val="18"/>
                <w:color w:val="0000FF"/>
                <w:w w:val="96"/>
              </w:rPr>
            </w:pPr>
            <w:hyperlink w:anchor="page37">
              <w:r>
                <w:rPr>
                  <w:rFonts w:ascii="Times New Roman" w:cs="Times New Roman" w:eastAsia="Times New Roman" w:hAnsi="Times New Roman"/>
                  <w:sz w:val="18"/>
                  <w:szCs w:val="18"/>
                  <w:color w:val="0000FF"/>
                  <w:w w:val="96"/>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37</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FF"/>
                <w:w w:val="97"/>
              </w:rPr>
            </w:pPr>
            <w:hyperlink w:anchor="page37">
              <w:r>
                <w:rPr>
                  <w:rFonts w:ascii="Times New Roman" w:cs="Times New Roman" w:eastAsia="Times New Roman" w:hAnsi="Times New Roman"/>
                  <w:sz w:val="18"/>
                  <w:szCs w:val="18"/>
                  <w:color w:val="0000FF"/>
                  <w:w w:val="97"/>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38</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92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millions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amounts held in escrow</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amounts held in escrow</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2,064.9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Wages, vacations and employees’ benefits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and accrued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Claims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$1 par value per share</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surplus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(410 shares)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480"/>
        <w:spacing w:after="0" w:line="350" w:lineRule="auto"/>
        <w:rPr>
          <w:sz w:val="20"/>
          <w:szCs w:val="20"/>
          <w:color w:val="auto"/>
        </w:rPr>
      </w:pPr>
      <w:r>
        <w:rPr>
          <w:rFonts w:ascii="Times New Roman" w:cs="Times New Roman" w:eastAsia="Times New Roman" w:hAnsi="Times New Roman"/>
          <w:sz w:val="17"/>
          <w:szCs w:val="17"/>
          <w:b w:val="1"/>
          <w:bCs w:val="1"/>
          <w:color w:val="auto"/>
        </w:rPr>
        <w:t>Operating Revenue 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7"/>
          <w:szCs w:val="17"/>
          <w:color w:val="auto"/>
        </w:rPr>
        <w:t>STATEMENTS OF CONSOLIDATED COMPREHENSIVE INCOME (LOSS)</w:t>
      </w:r>
    </w:p>
    <w:p>
      <w:pPr>
        <w:spacing w:after="0" w:line="3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For the Three and Nine Months Ended September 30</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(Amounts in millions except per share data, shares in thousands)</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2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Nine Months</w:t>
            </w:r>
          </w:p>
        </w:tc>
        <w:tc>
          <w:tcPr>
            <w:tcW w:w="100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1,322.6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3,851.1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3,657.7</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2120" w:space="720"/>
            <w:col w:w="858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Salaries, wages and employees’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1,295.9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3,836.8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beneficial conversion feature on preferred stock</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318"/>
        </w:trPr>
        <w:tc>
          <w:tcPr>
            <w:tcW w:w="516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16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YRC</w:t>
            </w: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4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Worldwide Inc.</w:t>
            </w: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Common Shares Outstanding – Basic</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 Common Shares Outstanding – Diluted</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 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CONSOLIDATED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2013</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items included in net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Paid-in-kind interest on Series A Notes and Series B Notes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debt costs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premiums and discounts on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based compensation expense</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on property disposals,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noncash items,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assets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escrow receipts, net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issuance proceeds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170.5</w:t>
            </w:r>
          </w:p>
        </w:tc>
      </w:tr>
      <w:tr>
        <w:trPr>
          <w:trHeight w:val="67"/>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refund, net</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CONSOLIDATED SHAREHOLDERS’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common stock upon conversion of Series B Notes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1,964.4</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equity, net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Beneficial conversion feature on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equity upon conversion and exchange of Series B Notes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issuance costs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2,288.5</w:t>
            </w:r>
          </w:p>
        </w:tc>
      </w:tr>
      <w:tr>
        <w:trPr>
          <w:trHeight w:val="22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beneficial conversion feature on preferred stock</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Reclassification of net pension actuarial losses to net loss,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2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and 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7"/>
        </w:trPr>
        <w:tc>
          <w:tcPr>
            <w:tcW w:w="9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YRC Worldwide Inc. (also referred to as “YRC Worldwide,” the “Company,” “we,” “us” or “our”)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4"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and customer facing organizations. This reporting segment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2014, approximately 78% of our labor force is subject to collective bargaining agreements, which predominantly expire in March 2019.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Principles of Consolidation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non-majority owned affiliate is accounted for on the equity method.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available for immediate sale, and meet certain other specified criteria. We use level 3 inputs to determine the fair value of each property considered held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2014 and December 31, 2013, the net book value of assets held for sale was $16.5 million and $17.2 million, respectively. This amount is included in “Property and Equipment” in the accompanying consolidated balance sheets. We recorded charges of $0.8 million and $2.4 million for the three and nine months ended September 30, 2014, respectively, and $0.6 million and $3.3 million for the three and nine months ended September 30, 2013, respectively, to reduce properties held for sale to estimated fair value, less cost to sell. These charges are included in “(Gains) losses on property disposals, net” in the accompanying statements of consolidated comprehensive income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hierarchy of our financial assets and liabilities carried at fair value on a recurring basis as of September 30, 2014:</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2"/>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amounts held in escrow-current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Out of Accumulated Other Comprehensive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2014, we reclassified the amortization of our net pension loss totaling $1.9 million and $5.8 million, respectively, net of tax, from accumulated other comprehensive loss to net loss. For the three and nine months ended September 30, 2013, we reclassified the amortization of our net pension loss totaling $3.7 million and $11.1 million, respectively, net of tax, from accumulated other comprehensive loss to net income (loss). This reclassification is a component of net periodic pension cost and is discussed in the “Employees’ Benefits” footnote.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Recently Issued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new authoritative literature,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issuance is part of a joint effort by the FASB and the International Accounting Standards Board (“IASB”) to enhance financial reporting by creating common revenue recognition guidance for U.S. GAAP and, thereby, improving the consistency of requirements, comparability of practices and usefulness of disclosures. The new standard will supersede much of the existing authoritative literature for revenue recognition. The standard and related amendments will be effective for the Company for its annual reporting period ending December 31, 2017, including interim periods within that reporting period. Early application is not permitted. Entities are allowed to transition to the new standard by either recasting prior periods or recognizing the cumulative effect. While we do not believe the newly-issued guidance will have a significant impact on our Consolidated Financial Statements, the Company is currently evaluating the newly-issued guidance, including which transition approach will be applied.</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new authoritative literature, </w:t>
      </w:r>
      <w:r>
        <w:rPr>
          <w:rFonts w:ascii="Times New Roman" w:cs="Times New Roman" w:eastAsia="Times New Roman" w:hAnsi="Times New Roman"/>
          <w:sz w:val="18"/>
          <w:szCs w:val="18"/>
          <w:i w:val="1"/>
          <w:iCs w:val="1"/>
          <w:color w:val="auto"/>
        </w:rPr>
        <w:t>Presentation of Financial Statements—Going Concern (Subtopic 205-40):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Uncertainties about an Entity’s Ability to Continue as a Going Concern. </w:t>
      </w:r>
      <w:r>
        <w:rPr>
          <w:rFonts w:ascii="Times New Roman" w:cs="Times New Roman" w:eastAsia="Times New Roman" w:hAnsi="Times New Roman"/>
          <w:sz w:val="18"/>
          <w:szCs w:val="18"/>
          <w:color w:val="auto"/>
        </w:rPr>
        <w:t>The new standard provides guidance around management's responsibility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is substantial doubt about an entity's ability to continue as a going concern and to provide related footnote disclosures. The new standard is effective for our fiscal year December 31, 2016 and interim periods thereafter. Early adoption is permitted. The Company is currently evaluating this newly-issued guidance and the impact, if any, it will have on our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2014 Financing Transactions</w:t>
      </w:r>
    </w:p>
    <w:p>
      <w:pPr>
        <w:spacing w:after="0" w:line="2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31, 2014, we issued 14,333,334 shares of our Common Stock and 583,334 shares of our Convertible Preferred Stock pursuant to certain stock purchase agreements, dated as of December 22, 2013 (the “Stock Purchase Agreements”), for an aggregate $250.0 million in cash. We used the proceeds from these transactions to, among other things, (i) repay our 6% Convertible Senior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(“6% Notes”) at their maturity on February 15, 2014 and (ii) repurchase $90.9 million of our Series A Convertible Senior Secured Notes (“Series A Notes”). In February 2014, the Company deposited $89.6 million with the trustee to fund the redemption (including accrued interest), and thereby discharged the indenture governing the Series A Notes. The Company used the cash deposited with the trustee to redeem its Series A Notes on August 5, 2014.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January 31, 2014, certain holders of our 10% Series B Convertible Senior Secured Notes (“Series B Notes”) exchanged their outstanding balances at a conversion price of $15.00 per share, while another holder converted its Series B Notes in accordance with their existing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31, 2014, certain of our subsidiaries, various pension funds party thereto, and Wilmington Trust Company, as agent for such pension funds, entered into the Second Amended and Restated Contribution Deferral Agreement (“Second A&amp;R CDA”), which, among other things (i) amended and restated the Amended and Restated Contribution Deferral Agreement (“A&amp;R CDA”), (ii) released the agent’s security interest in third priority collateral on the Collateral Release Date, (iii) limited the value of obligations secured by the collateral to the Secured Obligations and (iv) extended the maturity of deferred pension payments and deferred interest from March 31, 2015 to December 31, 2019.</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13, 2014, we replaced our existing credit facilities with a new $450 million asset-based loan (the “New ABL Facility”) and a new $700 million term loan facility (“New Term Loan”). The New ABL Facility supports our outstanding letters of credit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transactions described above collectively as the “2014 Financing Transactions.” The table below summarizes the cash flow activity for the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Transactions:</w:t>
      </w:r>
    </w:p>
    <w:p>
      <w:pPr>
        <w:spacing w:after="0" w:line="200" w:lineRule="exact"/>
        <w:rPr>
          <w:sz w:val="20"/>
          <w:szCs w:val="20"/>
          <w:color w:val="auto"/>
        </w:rPr>
      </w:pPr>
    </w:p>
    <w:p>
      <w:pPr>
        <w:spacing w:after="0" w:line="230" w:lineRule="exact"/>
        <w:rPr>
          <w:sz w:val="20"/>
          <w:szCs w:val="20"/>
          <w:color w:val="auto"/>
        </w:rPr>
      </w:pPr>
    </w:p>
    <w:p>
      <w:pPr>
        <w:ind w:left="46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Cash Sources (in millions)</w:t>
      </w:r>
      <w:r>
        <w:rPr>
          <w:sz w:val="20"/>
          <w:szCs w:val="20"/>
          <w:color w:val="auto"/>
        </w:rPr>
        <w:tab/>
      </w:r>
      <w:r>
        <w:rPr>
          <w:rFonts w:ascii="Times New Roman" w:cs="Times New Roman" w:eastAsia="Times New Roman" w:hAnsi="Times New Roman"/>
          <w:sz w:val="14"/>
          <w:szCs w:val="14"/>
          <w:b w:val="1"/>
          <w:bCs w:val="1"/>
          <w:color w:val="auto"/>
        </w:rPr>
        <w:t>Cash Uses (in millions)</w:t>
      </w: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45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Series A Notes (includes accrued interest)</w:t>
            </w:r>
          </w:p>
        </w:tc>
        <w:tc>
          <w:tcPr>
            <w:tcW w:w="2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Restricted Cash to Balance Sheet </w:t>
            </w:r>
            <w:r>
              <w:rPr>
                <w:rFonts w:ascii="Times New Roman" w:cs="Times New Roman" w:eastAsia="Times New Roman" w:hAnsi="Times New Roman"/>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5640" w:space="200"/>
            <w:col w:w="5580"/>
          </w:cols>
          <w:pgMar w:left="240" w:top="118" w:right="239" w:bottom="1440" w:gutter="0" w:footer="0" w:header="0"/>
          <w:type w:val="continuous"/>
        </w:sect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New ABL facility, this amount was classified as “restricted cash” in the consolidated balance sheet at the closing date of the New ABL Facility.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non-cash activity for the 2014 Financing Transactions:</w:t>
      </w:r>
    </w:p>
    <w:p>
      <w:pPr>
        <w:spacing w:after="0" w:line="200" w:lineRule="exact"/>
        <w:rPr>
          <w:sz w:val="20"/>
          <w:szCs w:val="20"/>
          <w:color w:val="auto"/>
        </w:rPr>
      </w:pPr>
    </w:p>
    <w:p>
      <w:pPr>
        <w:spacing w:after="0" w:line="248" w:lineRule="exact"/>
        <w:rPr>
          <w:sz w:val="20"/>
          <w:szCs w:val="20"/>
          <w:color w:val="auto"/>
        </w:rPr>
      </w:pPr>
    </w:p>
    <w:p>
      <w:pPr>
        <w:ind w:left="166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Non-Cash Sources (in millions)</w:t>
      </w:r>
      <w:r>
        <w:rPr>
          <w:sz w:val="20"/>
          <w:szCs w:val="20"/>
          <w:color w:val="auto"/>
        </w:rPr>
        <w:tab/>
      </w:r>
      <w:r>
        <w:rPr>
          <w:rFonts w:ascii="Times New Roman" w:cs="Times New Roman" w:eastAsia="Times New Roman" w:hAnsi="Times New Roman"/>
          <w:sz w:val="14"/>
          <w:szCs w:val="14"/>
          <w:b w:val="1"/>
          <w:bCs w:val="1"/>
          <w:color w:val="auto"/>
        </w:rPr>
        <w:t>Non-Cash Uses (in millions)</w:t>
      </w:r>
    </w:p>
    <w:p>
      <w:pPr>
        <w:sectPr>
          <w:pgSz w:w="11900" w:h="16838" w:orient="portrait"/>
          <w:cols w:equalWidth="0" w:num="1">
            <w:col w:w="11420"/>
          </w:cols>
          <w:pgMar w:left="240" w:top="118" w:right="239" w:bottom="1440" w:gutter="0" w:footer="0" w:header="0"/>
          <w:type w:val="continuous"/>
        </w:sectPr>
      </w:pPr>
    </w:p>
    <w:p>
      <w:pPr>
        <w:spacing w:after="0" w:line="29" w:lineRule="exact"/>
        <w:rPr>
          <w:sz w:val="20"/>
          <w:szCs w:val="20"/>
          <w:color w:val="auto"/>
        </w:rPr>
      </w:pPr>
    </w:p>
    <w:tbl>
      <w:tblPr>
        <w:tblLayout w:type="fixed"/>
        <w:tblInd w:w="1620" w:type="dxa"/>
        <w:tblCellMar>
          <w:top w:w="0" w:type="dxa"/>
          <w:left w:w="0" w:type="dxa"/>
          <w:bottom w:w="0" w:type="dxa"/>
          <w:right w:w="0" w:type="dxa"/>
        </w:tblCellMar>
      </w:tblPr>
      <w:tr>
        <w:trPr>
          <w:trHeight w:val="254"/>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459"/>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5"/>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6"/>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5"/>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118"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nine months ended September 30,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recorded, in “interest expense” on the statements of consolidated comprehensive income (loss), $8.0 million of make-whole interest related to the Series B Notes exchanged during the nine months ended September 30, 2014. We paid $43.8 million of fees associated with these transactions of which $26.7 million was recorded as unamortized deferred debt costs in “other assets” in the consolidated balance sheet and will be recognized as interest expense over the term of the New Term Loan and New ABL Facility and $17.1 million offset the equity proceeds of our stock purchase agreements.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14, 2014, the Company held a special meeting of stockholders at which our stockholders approved amending our Certificate of Incorporation to increase the number of authorized shares of Common Stock and to allow an individual investor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income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$700 Million First Lien Term Loan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13, 2014, we borrowed in full $700 million, less a 1% discount, from a syndicate of banks and other financial institutions arranged by Credit Suisse Securities (USA) and RBS Citizens, N.A. No amounts under this New Term Loan, once repaid, may be reborrowed. On September 25, 2014, the Company entered into Amendment No. 1 to its Credit Agreement (the “Credit Agreement Amendment”), which amended the New Term Loan to, among other things, adjust the maximum permitted total leverage ratio through December 31, 2016 and increase the applicable interest rate (subject to the exceptions discussed below) over the same period. Certain material provisions of the New Term Loan, after giving affect to the Credit Agreement Amendment, are summarized below:</w:t>
      </w:r>
    </w:p>
    <w:p>
      <w:pPr>
        <w:spacing w:after="0" w:line="186" w:lineRule="exact"/>
        <w:rPr>
          <w:sz w:val="20"/>
          <w:szCs w:val="20"/>
          <w:color w:val="auto"/>
        </w:rPr>
      </w:pPr>
    </w:p>
    <w:p>
      <w:pPr>
        <w:ind w:right="20" w:firstLine="8"/>
        <w:spacing w:after="0" w:line="284" w:lineRule="auto"/>
        <w:tabs>
          <w:tab w:leader="none" w:pos="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and Amortization</w:t>
      </w:r>
      <w:r>
        <w:rPr>
          <w:rFonts w:ascii="Times New Roman" w:cs="Times New Roman" w:eastAsia="Times New Roman" w:hAnsi="Times New Roman"/>
          <w:sz w:val="18"/>
          <w:szCs w:val="18"/>
          <w:color w:val="auto"/>
        </w:rPr>
        <w:t>: The New Term Loan matures on February 13, 2019. The New Term Loan will amortize in equal quarterly installments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annual amount equal to 1% of the original principal amount of the New Term Loan.</w:t>
      </w:r>
    </w:p>
    <w:p>
      <w:pPr>
        <w:spacing w:after="0" w:line="158" w:lineRule="exact"/>
        <w:rPr>
          <w:rFonts w:ascii="Times New Roman" w:cs="Times New Roman" w:eastAsia="Times New Roman" w:hAnsi="Times New Roman"/>
          <w:sz w:val="18"/>
          <w:szCs w:val="18"/>
          <w:color w:val="auto"/>
        </w:rPr>
      </w:pPr>
    </w:p>
    <w:p>
      <w:pPr>
        <w:jc w:val="both"/>
        <w:ind w:firstLine="8"/>
        <w:spacing w:after="0" w:line="259" w:lineRule="auto"/>
        <w:tabs>
          <w:tab w:leader="none" w:pos="1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w:t>
      </w:r>
      <w:r>
        <w:rPr>
          <w:rFonts w:ascii="Times New Roman" w:cs="Times New Roman" w:eastAsia="Times New Roman" w:hAnsi="Times New Roman"/>
          <w:sz w:val="18"/>
          <w:szCs w:val="18"/>
          <w:color w:val="auto"/>
        </w:rPr>
        <w:t>: Subject to finding current or new lenders willing to provide such commitments, the Company has the right to incur one or more increases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Term Loan and/or one or more new tranches of term loans (which may be unsecured or secured on a junior basis) to be made available under the New Term Loan credit agreement which shall not exceed (i) $250 million so long as the senior secured leverage ratio on a pro forma basis (defined as consolidated total debt that is secured by a lien as of such date over Consolidated EBITDA as of the twelve months ended the most recent fiscal quarter end for which financial statements are available) does not exceed 3.25 to 1.00, plus (ii) all voluntary prepayments of the New Term Loan.</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and Fees</w:t>
      </w:r>
      <w:r>
        <w:rPr>
          <w:rFonts w:ascii="Times New Roman" w:cs="Times New Roman" w:eastAsia="Times New Roman" w:hAnsi="Times New Roman"/>
          <w:sz w:val="18"/>
          <w:szCs w:val="18"/>
          <w:color w:val="auto"/>
        </w:rPr>
        <w:t>: The New Term Loan bears interest, at the election of the borrower, at either the applicable London interbank offer rate (“LIBOR”)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floor of 1.00%) plus a margin of 7.25% per annum, or a rate determined by reference to the alternate base rate (the greater of the prime rate established by the administrative agent, the federal fund rate plus 0.50% and one month, LIBOR plus 1.00%) plus a margin of 6.25%; provided that such margins will step down by 0.25% when the Company meets a total leverage ratio of equal or less than 3.25 to 1.00.</w:t>
      </w:r>
    </w:p>
    <w:p>
      <w:pPr>
        <w:spacing w:after="0" w:line="180" w:lineRule="exact"/>
        <w:rPr>
          <w:rFonts w:ascii="Times New Roman" w:cs="Times New Roman" w:eastAsia="Times New Roman" w:hAnsi="Times New Roman"/>
          <w:sz w:val="18"/>
          <w:szCs w:val="18"/>
          <w:color w:val="auto"/>
        </w:rPr>
      </w:pPr>
    </w:p>
    <w:p>
      <w:pPr>
        <w:ind w:firstLine="8"/>
        <w:spacing w:after="0" w:line="284" w:lineRule="auto"/>
        <w:tabs>
          <w:tab w:leader="none" w:pos="1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The obligations of the borrower under the New Term Loan are unconditionally guaranteed by certain wholly owned domestic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of the Company (the “Term Guarantors”).</w:t>
      </w:r>
    </w:p>
    <w:p>
      <w:pPr>
        <w:spacing w:after="0" w:line="158" w:lineRule="exact"/>
        <w:rPr>
          <w:rFonts w:ascii="Times New Roman" w:cs="Times New Roman" w:eastAsia="Times New Roman" w:hAnsi="Times New Roman"/>
          <w:sz w:val="18"/>
          <w:szCs w:val="18"/>
          <w:color w:val="auto"/>
        </w:rPr>
      </w:pPr>
    </w:p>
    <w:p>
      <w:pPr>
        <w:jc w:val="both"/>
        <w:ind w:firstLine="8"/>
        <w:spacing w:after="0" w:line="261" w:lineRule="auto"/>
        <w:tabs>
          <w:tab w:leader="none" w:pos="1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The New Term Loan is secured by a perfected first priority security interest in (subject to permitted liens) substantially all assets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guarantors under the New Term Loan (the “Term Guarantors”), except that accounts receivable, cash, deposit accounts and other assets related to accounts receivable are subject to a second priority interest (subject to permitted liens) and certain owned real property securing the obligations under the Second A&amp;R CDA filed January 31, 2014, do not secure the obligations under the New Term Loan credit agreement (the “CDA Collateral”).</w:t>
      </w:r>
    </w:p>
    <w:p>
      <w:pPr>
        <w:spacing w:after="0" w:line="180"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Prepayments</w:t>
      </w:r>
      <w:r>
        <w:rPr>
          <w:rFonts w:ascii="Times New Roman" w:cs="Times New Roman" w:eastAsia="Times New Roman" w:hAnsi="Times New Roman"/>
          <w:sz w:val="18"/>
          <w:szCs w:val="18"/>
          <w:color w:val="auto"/>
        </w:rPr>
        <w:t>: The New Term Loan includes the following mandatory prepayments:</w:t>
      </w:r>
    </w:p>
    <w:p>
      <w:pPr>
        <w:spacing w:after="0" w:line="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excess cash flow (as defined in the New Term Loan and paid if permitted under the New ABL Facility), subject to stepdowns to (w) 50% if the total leverage ratio is less than or equal to 4.00 to 1.00 but greater than 3.50 to 1.00, to (x) 25% if the total leverage ratio is less than or equal to 3.50 to 1.00 but greater than 3.00 to 1.00 and (y) 0% if the total leverage ratio is less than or equal to 3.00 to 1.00;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hanging="328"/>
        <w:spacing w:after="0" w:line="261"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asset sales or similar dispositions outside of the ordinary course of business, casualty events and other limited exceptions under the New Term Loan (subject to materiality thresholds and customary reinvestment rights); and</w:t>
      </w: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cash proceeds from debt issuances that are not permitted by the New Term Loan.</w:t>
      </w:r>
    </w:p>
    <w:p>
      <w:pPr>
        <w:spacing w:after="0" w:line="204" w:lineRule="exact"/>
        <w:rPr>
          <w:rFonts w:ascii="Times New Roman" w:cs="Times New Roman" w:eastAsia="Times New Roman" w:hAnsi="Times New Roman"/>
          <w:sz w:val="18"/>
          <w:szCs w:val="18"/>
          <w:color w:val="auto"/>
        </w:rPr>
      </w:pPr>
    </w:p>
    <w:p>
      <w:pPr>
        <w:jc w:val="both"/>
        <w:ind w:firstLine="8"/>
        <w:spacing w:after="0" w:line="259" w:lineRule="auto"/>
        <w:tabs>
          <w:tab w:leader="none" w:pos="1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New Term Loan documentation contains certain customary events of default, including but not limited to the failure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due under the New Term Loan, breach of and failure to cure the breach of certain covenants, the entry of a final unpaid judgment against any of the Term Guarantors in excess of $30 million, the commencement of certain insolvency proceedings, liquidations or dissolutions, a cross-default to certain other indebtedness with an outstanding aggregate principal balance of at least $30 million (other than the New ABL Facility), and cross-acceleration to the New ABL Facility.</w:t>
      </w:r>
    </w:p>
    <w:p>
      <w:pPr>
        <w:spacing w:after="0" w:line="179" w:lineRule="exact"/>
        <w:rPr>
          <w:rFonts w:ascii="Times New Roman" w:cs="Times New Roman" w:eastAsia="Times New Roman" w:hAnsi="Times New Roman"/>
          <w:sz w:val="18"/>
          <w:szCs w:val="18"/>
          <w:color w:val="auto"/>
        </w:rPr>
      </w:pPr>
    </w:p>
    <w:p>
      <w:pPr>
        <w:jc w:val="both"/>
        <w:ind w:firstLine="8"/>
        <w:spacing w:after="0" w:line="267" w:lineRule="auto"/>
        <w:tabs>
          <w:tab w:leader="none" w:pos="1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New Term Loan contains certain customary affirmative and negative covenants, including, among others, covenants restricting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incurrences of debt, liens, the making of investments and repurchases, transactions with affiliates, fundamental changes and asset sales, and prepayments of junior debt. In addition, refer to the “Liquidity” footnote for financial covenants for each of the remaining test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$450 Million ABL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13, 2014, we entered into the New ABL Facility which is an asset-based $450 million loan facility from a syndicate of banks arranged by RBS Citizens, N.A., Merrill Lynch, Pierce, Fenner &amp; Smith and CIT Finance LLC. The New ABL Facility terminates on February 13, 2019. The Company, YRC Inc., Reddaway, Holland and New Penn are borrowers under the New ABL Facility, and certain of the Company’s domestic subsidiaries are guarantors thereunder. Certain material provisions of the New ABL Facility are summarized below and are qualified in their entirety by reference to the definitive documentation:</w:t>
      </w:r>
    </w:p>
    <w:p>
      <w:pPr>
        <w:spacing w:after="0" w:line="182" w:lineRule="exact"/>
        <w:rPr>
          <w:sz w:val="20"/>
          <w:szCs w:val="20"/>
          <w:color w:val="auto"/>
        </w:rPr>
      </w:pPr>
    </w:p>
    <w:p>
      <w:pPr>
        <w:jc w:val="both"/>
        <w:ind w:firstLine="8"/>
        <w:spacing w:after="0" w:line="254" w:lineRule="auto"/>
        <w:tabs>
          <w:tab w:leader="none" w:pos="1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w:t>
      </w:r>
      <w:r>
        <w:rPr>
          <w:rFonts w:ascii="Times New Roman" w:cs="Times New Roman" w:eastAsia="Times New Roman" w:hAnsi="Times New Roman"/>
          <w:sz w:val="18"/>
          <w:szCs w:val="18"/>
          <w:color w:val="auto"/>
        </w:rPr>
        <w:t>: The aggregate amount available under the New ABL Facility cannot be more than (a) the collateral line cap minus (b) the facility exposure.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exposure refers to the aggregate amount of loans and letter of credit outstanding (with an exclusion for certain fees and other amounts owing for letters of credit). The collateral line cap refers to a limit equal to the greater of (a) the commitments by lenders under the facility and (b) the borrowing base. The borrowing base equals the sum of (a) 85% of the sum of (i) Eligible Accounts (as defined in the New ABL Facility) minus without duplication (ii) the Dilution Reserve (as defined in the New ABL Facility relating to reserves for eligible accounts experiencing bad debt write-downs, discounts, allowances and similar dilutive items), plus (b) 100% of Eligible Borrowing Base Cash (as defined in the New ABL Facility and described further below), minus (c) the Deferred Revenue Reserve (as defined in the New ABL Facility which constitutes 85% of the “deferred revenue liability” as reflected on the balance sheet of the Company and its restricted subsidiaries as of the last day of the most recently completed fiscal month), minus (d) the Availability Reserve (as defined in the New ABL Facility) imposed by the agent in its permitted discretion (made in good-faith and using reasonable business judgment) to reduce the amount of the borrowing base in light of pre-determined criteria set forth in the New ABL Facility.</w:t>
      </w:r>
    </w:p>
    <w:p>
      <w:pPr>
        <w:spacing w:after="0" w:line="186" w:lineRule="exact"/>
        <w:rPr>
          <w:rFonts w:ascii="Times New Roman" w:cs="Times New Roman" w:eastAsia="Times New Roman" w:hAnsi="Times New Roman"/>
          <w:sz w:val="18"/>
          <w:szCs w:val="18"/>
          <w:color w:val="auto"/>
        </w:rPr>
      </w:pPr>
    </w:p>
    <w:p>
      <w:pPr>
        <w:jc w:val="both"/>
        <w:ind w:firstLine="8"/>
        <w:spacing w:after="0" w:line="261" w:lineRule="auto"/>
        <w:tabs>
          <w:tab w:leader="none" w:pos="1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Borrowing Base Cash</w:t>
      </w:r>
      <w:r>
        <w:rPr>
          <w:rFonts w:ascii="Times New Roman" w:cs="Times New Roman" w:eastAsia="Times New Roman" w:hAnsi="Times New Roman"/>
          <w:sz w:val="18"/>
          <w:szCs w:val="18"/>
          <w:color w:val="auto"/>
        </w:rPr>
        <w:t>: The eligible borrowing base cash is cash that is deposited from time to time into a segregated restricted account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agent over which the agent has dominion. Such cash can only be withdrawn by us from the account if (i) no event of default exists or would arise as a result of the borrowing base cash release and (ii) availability as of the proposed date of such borrowing base cash release is not less than 15% of the collateral line cap. Eligible borrowing base cash is included in ‘Restricted amounts held in escrow’ in the accompanying consolidated balance sheet.</w:t>
      </w:r>
    </w:p>
    <w:p>
      <w:pPr>
        <w:spacing w:after="0" w:line="180" w:lineRule="exact"/>
        <w:rPr>
          <w:rFonts w:ascii="Times New Roman" w:cs="Times New Roman" w:eastAsia="Times New Roman" w:hAnsi="Times New Roman"/>
          <w:sz w:val="18"/>
          <w:szCs w:val="18"/>
          <w:color w:val="auto"/>
        </w:rPr>
      </w:pPr>
    </w:p>
    <w:p>
      <w:pPr>
        <w:jc w:val="both"/>
        <w:ind w:firstLine="8"/>
        <w:spacing w:after="0" w:line="267" w:lineRule="auto"/>
        <w:tabs>
          <w:tab w:leader="none" w:pos="1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Revolving loans made under the New ABL Facility bear interest, at the Company’s election, of either the applicable LIBOR rate plus 2.5%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rate (the greater of the prime rate established by the agent, the federal funds effective rate plus 0.50% and one month LIBOR plus 1.00%). Thereafter, the interest rates will be subject to the following price grid based on the average quarterly excess availability under the revolver:</w:t>
      </w:r>
    </w:p>
    <w:p>
      <w:pPr>
        <w:spacing w:after="0" w:line="33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Average Quarterly</w:t>
            </w:r>
          </w:p>
        </w:tc>
        <w:tc>
          <w:tcPr>
            <w:tcW w:w="2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LIBOR</w:t>
            </w:r>
          </w:p>
        </w:tc>
        <w:tc>
          <w:tcPr>
            <w:tcW w:w="0" w:type="dxa"/>
            <w:vAlign w:val="bottom"/>
          </w:tcPr>
          <w:p>
            <w:pPr>
              <w:spacing w:after="0"/>
              <w:rPr>
                <w:sz w:val="1"/>
                <w:szCs w:val="1"/>
                <w:color w:val="auto"/>
              </w:rPr>
            </w:pPr>
          </w:p>
        </w:tc>
      </w:tr>
      <w:tr>
        <w:trPr>
          <w:trHeight w:val="270"/>
        </w:trPr>
        <w:tc>
          <w:tcPr>
            <w:tcW w:w="19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Excess Capacity</w:t>
            </w:r>
          </w:p>
        </w:tc>
        <w:tc>
          <w:tcPr>
            <w:tcW w:w="2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Plus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I</w:t>
            </w:r>
          </w:p>
        </w:tc>
        <w:tc>
          <w:tcPr>
            <w:tcW w:w="2240" w:type="dxa"/>
            <w:vAlign w:val="bottom"/>
            <w:gridSpan w:val="4"/>
            <w:shd w:val="clear" w:color="auto" w:fill="CCEEFF"/>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8"/>
              </w:rPr>
              <w:t>&gt; $140,000,000</w:t>
            </w:r>
          </w:p>
        </w:tc>
        <w:tc>
          <w:tcPr>
            <w:tcW w:w="2500" w:type="dxa"/>
            <w:vAlign w:val="bottom"/>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1.00%</w:t>
            </w:r>
          </w:p>
        </w:tc>
        <w:tc>
          <w:tcPr>
            <w:tcW w:w="22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II</w:t>
            </w:r>
          </w:p>
        </w:tc>
        <w:tc>
          <w:tcPr>
            <w:tcW w:w="800" w:type="dxa"/>
            <w:vAlign w:val="bottom"/>
          </w:tcPr>
          <w:p>
            <w:pPr>
              <w:spacing w:after="0"/>
              <w:rPr>
                <w:sz w:val="17"/>
                <w:szCs w:val="17"/>
                <w:color w:val="auto"/>
              </w:rPr>
            </w:pPr>
          </w:p>
        </w:tc>
        <w:tc>
          <w:tcPr>
            <w:tcW w:w="144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color w:val="auto"/>
              </w:rPr>
              <w:t>&gt; $70,000,000</w:t>
            </w:r>
          </w:p>
        </w:tc>
        <w:tc>
          <w:tcPr>
            <w:tcW w:w="25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1.25%</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2240" w:type="dxa"/>
            <w:vAlign w:val="bottom"/>
            <w:gridSpan w:val="4"/>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&lt; $140,000,000</w:t>
            </w:r>
          </w:p>
        </w:tc>
        <w:tc>
          <w:tcPr>
            <w:tcW w:w="25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240" w:type="dxa"/>
            <w:vAlign w:val="bottom"/>
            <w:gridSpan w:val="4"/>
            <w:vMerge w:val="continue"/>
          </w:tcPr>
          <w:p>
            <w:pPr>
              <w:spacing w:after="0"/>
              <w:rPr>
                <w:sz w:val="11"/>
                <w:szCs w:val="11"/>
                <w:color w:val="auto"/>
              </w:rPr>
            </w:pPr>
          </w:p>
        </w:tc>
        <w:tc>
          <w:tcPr>
            <w:tcW w:w="25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III</w:t>
            </w:r>
          </w:p>
        </w:tc>
        <w:tc>
          <w:tcPr>
            <w:tcW w:w="2240" w:type="dxa"/>
            <w:vAlign w:val="bottom"/>
            <w:tcBorders>
              <w:bottom w:val="single" w:sz="8" w:color="CCEEFF"/>
            </w:tcBorders>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&lt; $70,000,000</w:t>
            </w:r>
          </w:p>
        </w:tc>
        <w:tc>
          <w:tcPr>
            <w:tcW w:w="25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1.50%</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675"/>
        </w:trPr>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11</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rates set forth above are subject to a 0.25% reduction during any fiscal quarter for which the Company has a total leverage ratio of less than 2.50 to 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drawn on the facility at any time during the three and nine months ended September 30, 2014.</w:t>
      </w:r>
    </w:p>
    <w:p>
      <w:pPr>
        <w:spacing w:after="0" w:line="205" w:lineRule="exact"/>
        <w:rPr>
          <w:sz w:val="20"/>
          <w:szCs w:val="20"/>
          <w:color w:val="auto"/>
        </w:rPr>
      </w:pPr>
    </w:p>
    <w:p>
      <w:pPr>
        <w:jc w:val="both"/>
        <w:ind w:firstLine="8"/>
        <w:spacing w:after="0" w:line="259" w:lineRule="auto"/>
        <w:tabs>
          <w:tab w:leader="none" w:pos="1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Letter of Credit Fees</w:t>
      </w:r>
      <w:r>
        <w:rPr>
          <w:rFonts w:ascii="Times New Roman" w:cs="Times New Roman" w:eastAsia="Times New Roman" w:hAnsi="Times New Roman"/>
          <w:sz w:val="18"/>
          <w:szCs w:val="18"/>
          <w:color w:val="auto"/>
        </w:rPr>
        <w:t>: The New ABL Facility has certain specific fees relating to letters of credit which include: (i) fees payable quarterly in arrears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margin in effect for revolving loans (which is listed in the “Interest” description immediately above) multiplied by the average daily stated amount of letters of credit (2.5% for the quarter ended September 30, 2014), (ii) fronting fees for letters of credit payable quarterly in arrears equal to 0.125% of the stated amount of the letters of credit and (iii) fees to issuing banks to compensate for customary charges related to the issuance and administration of letters of credit.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Other fees in respect of the New ABL Facility include an unused line fee payable quarterly in arrears calculated by multiplying the amount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commitments exceed the loans and letters of credit for any calendar quarter by the unused line fee percentage (such unused line fee percentage initially to 0.25% per annum through March 31, 2014, and thereafter 0.375% per annum if the average revolver usage is less than 50% or 0.25% per annum if the average revolver usage is greater than 50%).</w:t>
      </w:r>
    </w:p>
    <w:p>
      <w:pPr>
        <w:spacing w:after="0" w:line="180" w:lineRule="exact"/>
        <w:rPr>
          <w:rFonts w:ascii="Times New Roman" w:cs="Times New Roman" w:eastAsia="Times New Roman" w:hAnsi="Times New Roman"/>
          <w:sz w:val="18"/>
          <w:szCs w:val="18"/>
          <w:color w:val="auto"/>
        </w:rPr>
      </w:pPr>
    </w:p>
    <w:p>
      <w:pPr>
        <w:jc w:val="both"/>
        <w:ind w:firstLine="8"/>
        <w:spacing w:after="0" w:line="267" w:lineRule="auto"/>
        <w:tabs>
          <w:tab w:leader="none" w:pos="1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The obligations under the New ABL Facility are secured by a perfected first priority security interest in (subject to permitted liens) all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cash, deposit accounts and other assets related to accounts receivable of the Company and the other loan parties and an additional second priority security interest in (subject to permitted liens) substantially all remaining assets of the borrowers and the guarantors other than CDA Collateral.</w:t>
      </w:r>
    </w:p>
    <w:p>
      <w:pPr>
        <w:spacing w:after="0" w:line="173" w:lineRule="exact"/>
        <w:rPr>
          <w:rFonts w:ascii="Times New Roman" w:cs="Times New Roman" w:eastAsia="Times New Roman" w:hAnsi="Times New Roman"/>
          <w:sz w:val="18"/>
          <w:szCs w:val="18"/>
          <w:color w:val="auto"/>
        </w:rPr>
      </w:pPr>
    </w:p>
    <w:p>
      <w:pPr>
        <w:ind w:firstLine="8"/>
        <w:spacing w:after="0" w:line="284" w:lineRule="auto"/>
        <w:tabs>
          <w:tab w:leader="none" w:pos="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w:t>
      </w:r>
      <w:r>
        <w:rPr>
          <w:rFonts w:ascii="Times New Roman" w:cs="Times New Roman" w:eastAsia="Times New Roman" w:hAnsi="Times New Roman"/>
          <w:sz w:val="18"/>
          <w:szCs w:val="18"/>
          <w:color w:val="auto"/>
        </w:rPr>
        <w:t>: The New ABL Facility provides for a $100 million uncommitted accordion to increase the revolving commitment in the future to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base growth.</w:t>
      </w:r>
    </w:p>
    <w:p>
      <w:pPr>
        <w:spacing w:after="0" w:line="158" w:lineRule="exact"/>
        <w:rPr>
          <w:rFonts w:ascii="Times New Roman" w:cs="Times New Roman" w:eastAsia="Times New Roman" w:hAnsi="Times New Roman"/>
          <w:sz w:val="18"/>
          <w:szCs w:val="18"/>
          <w:color w:val="auto"/>
        </w:rPr>
      </w:pPr>
    </w:p>
    <w:p>
      <w:pPr>
        <w:jc w:val="both"/>
        <w:ind w:firstLine="8"/>
        <w:spacing w:after="0" w:line="261" w:lineRule="auto"/>
        <w:tabs>
          <w:tab w:leader="none" w:pos="1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New ABL Facility contains certain customary events of default, including but not limited to the failure to make payments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ABL Facility, breach of and failure to cure the breach of certain covenants, the entry of a final unpaid judgment against any of the New ABL Facility loan parties in excess of $30 million, the commencement of any insolvency proceeding, liquidation or dissolution, and a cross-default to certain other indebtedness with an outstanding aggregate principal balance of at least $30 million (including the New Term Loan).</w:t>
      </w:r>
    </w:p>
    <w:p>
      <w:pPr>
        <w:spacing w:after="0" w:line="180" w:lineRule="exact"/>
        <w:rPr>
          <w:rFonts w:ascii="Times New Roman" w:cs="Times New Roman" w:eastAsia="Times New Roman" w:hAnsi="Times New Roman"/>
          <w:sz w:val="18"/>
          <w:szCs w:val="18"/>
          <w:color w:val="auto"/>
        </w:rPr>
      </w:pPr>
    </w:p>
    <w:p>
      <w:pPr>
        <w:jc w:val="both"/>
        <w:ind w:firstLine="8"/>
        <w:spacing w:after="0" w:line="252" w:lineRule="auto"/>
        <w:tabs>
          <w:tab w:leader="none" w:pos="1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New ABL Facility contains certain customary affirmative and negative covenants (including certain customary provisions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base reporting, and including, among others, covenants restricting the incurrences of debt, liens, the making of investments and repurchases, transactions with affiliates, fundamental changes and asset sales, and prepayments of junior debt). Certain of the covenants relating to investments, restricted payments and capital expenditures are relaxed upon meeting specified payment conditions or debt repayment conditions, as applicable. Payment conditions include (i) the absence of an event of default arising from such transaction, (ii) liquidity of at least $100 million or availability of at least $67.5 million and (iii) the Consolidated Fixed Charge Coverage Ratio (as defined below) for the most recent term period on a pro forma basis is equal to or greater than 1.10 to 1.00. Debt repayment conditions include (i) the absence of an event of default from repaying such debt and (ii) availability on the date of repayment is not less than $67.5 million. During any period commencing when the New ABL Facility borrowers fail to maintain availability in an amount at least equal to 10% of the collateral line cap and until the borrowers have maintained availability of at least 10% of the collateral line cap for 30 consecutive calendar days, the New ABL Facility loan parties are required to maintain a Consolidated Fixed Charge Coverage Ratio (as defined below) of at least 1.10 to 1.00. The “Consolidated Fixed Charge Coverage Ratio” is defined as (a) (i) Consolidated EBITDA (as defined in the New ABL Facility) calculated on a pro forma basis for such period, minus (ii) Capital Expenditures (as defined in the New ABL Facility) made during such period, minus (iii) the aggregate amount of net cash taxes paid in cash during such period, minus (iv) the amount, if any, by which the cash pension contribution for such period exceeds the pension expense for such period, and plus (v) the amount, if any, by which the pension expense for such period exceeds the cash pension contribution for such period, divided by (b) the Consolidated Fixed Charges (as defined in the New ABL Facility) for such period. In addition, refer to the “Liquidity” footnote for covenants for each of the remaining test periods.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debt as of September 30, 2014 and December 31, 2013 consisted of the following: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2014 (in millions)</w:t>
            </w:r>
          </w:p>
        </w:tc>
        <w:tc>
          <w:tcPr>
            <w:tcW w:w="240" w:type="dxa"/>
            <w:vAlign w:val="bottom"/>
          </w:tcPr>
          <w:p>
            <w:pPr>
              <w:spacing w:after="0"/>
              <w:rPr>
                <w:sz w:val="13"/>
                <w:szCs w:val="13"/>
                <w:color w:val="auto"/>
              </w:rPr>
            </w:pPr>
          </w:p>
        </w:tc>
        <w:tc>
          <w:tcPr>
            <w:tcW w:w="11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Book</w:t>
            </w:r>
          </w:p>
        </w:tc>
        <w:tc>
          <w:tcPr>
            <w:tcW w:w="100" w:type="dxa"/>
            <w:vAlign w:val="bottom"/>
          </w:tcPr>
          <w:p>
            <w:pPr>
              <w:spacing w:after="0"/>
              <w:rPr>
                <w:sz w:val="13"/>
                <w:szCs w:val="13"/>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Average Effective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New ABL Facility</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c>
          <w:tcPr>
            <w:tcW w:w="15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283.5</w:t>
            </w:r>
          </w:p>
        </w:tc>
        <w:tc>
          <w:tcPr>
            <w:tcW w:w="15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1,109.5</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New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both"/>
        <w:ind w:left="200" w:hanging="192"/>
        <w:spacing w:after="0" w:line="245" w:lineRule="auto"/>
        <w:tabs>
          <w:tab w:leader="none" w:pos="20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As of September 30, 2014, the borrowing base and availability on our New ABL Facility were $448.4 million and $75.5 million, respectively. The availability is calculated in accordance with the terms of the New ABL Facility and is derived by reducing the borrowing base by our $372.9 million of outstanding letters of credit as of September 30, 2014. The amount which is actually able to be drawn is limited by certain financial covenants in the New ABL Facility to $31.5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-405765</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 (in millions)</w:t>
            </w:r>
          </w:p>
        </w:tc>
        <w:tc>
          <w:tcPr>
            <w:tcW w:w="240" w:type="dxa"/>
            <w:vAlign w:val="bottom"/>
          </w:tcPr>
          <w:p>
            <w:pPr>
              <w:spacing w:after="0"/>
              <w:rPr>
                <w:sz w:val="13"/>
                <w:szCs w:val="13"/>
                <w:color w:val="auto"/>
              </w:rPr>
            </w:pPr>
          </w:p>
        </w:tc>
        <w:tc>
          <w:tcPr>
            <w:tcW w:w="11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300" w:type="dxa"/>
            <w:vAlign w:val="bottom"/>
          </w:tcPr>
          <w:p>
            <w:pPr>
              <w:spacing w:after="0"/>
              <w:rPr>
                <w:sz w:val="13"/>
                <w:szCs w:val="13"/>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Book</w:t>
            </w:r>
          </w:p>
        </w:tc>
        <w:tc>
          <w:tcPr>
            <w:tcW w:w="100" w:type="dxa"/>
            <w:vAlign w:val="bottom"/>
          </w:tcPr>
          <w:p>
            <w:pPr>
              <w:spacing w:after="0"/>
              <w:rPr>
                <w:sz w:val="13"/>
                <w:szCs w:val="13"/>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Average Effective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$156.5, availability $51.5)</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B Facility (capacity $219.9,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$219.9,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3.25-18.3%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297.5</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Series B Notes are convertible into our common stock, at any time at the conversion price per share of approximately $18.5334 and a conversion rate of 53.9567 common shares per $1,000 of the Series B Notes (such conversion price and conversion rate applying also to the Series B Notes make whole premium). As of September 30, 2014, the effective conversion price and conversion rate for our Series B Notes (after taking into account the make whole premium) was $17.5599 and 56.9476 common shares per $1,000 of Series B Notes,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2014, there was $17.3 million in aggregate principal amount of Series B Notes outstanding that are convertible into approximately 982,000 shares of our common stock (after taking into account the make whole premium). As discussed in the “2014 Financing Transactions” footnote, on January 31, 2014, certain holders of our Series B Notes exchanged their outstanding notes as part of an exchange agreement. Outside of these exchange agreements, during the nine months ended September 30, 2014 and 2013, $1.2 million and $29.1 million of aggregate principal amount of Series B Notes were converted into 75,900 and 1.9 million shares of our common stock, which includes the make whole premium. Upon conversion, during the nine months ended September 30, 2014, we recorded $0.4 million of additional interest expense representing the $0.2 million make whole premium and $0.2 million of accelerated amortization of the discount on converted Series B Notes. During the three months ended September 30, 2013, we recorded $6.2 million of additional interest expense representing the $2.7 million make whole premium and $3.5 million of accelerated amortization of the discount on converted Series B Notes. During the nine months ended September 30, 2013, we recorded $15.2 million of additional interest expense representing the $6.6 million make whole premium and $8.6 million of accelerated amortization of the discount on converted Series B Notes. There were no Series B Note conversions during the three months ended September 30, 2014 or from September 30, 2014 through October 24,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our long-term debt, including current maturities and other financial instruments, are summarized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Carrying amount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rPr>
              <w:t>Carrying amount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Fair Value</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Restructured Term Loan</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ABL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A Notes and Series B Notes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the New Term Loan, New ABL Facility, Restructured Term Loan, the ABL Facility in place immediately before it was replaced with the New ABL Facility (“Prior ABL Facility”), Series A Notes, Series B Notes, 6% Notes (included in “Other” above) Secured and Unsecured A&amp;R CDA (included in “Other” above) and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Liquidity</w:t>
      </w:r>
    </w:p>
    <w:p>
      <w:pPr>
        <w:spacing w:after="0" w:line="22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a description of our outstanding debt as of September 30, 2014, please refer to the “Debt and Financing” footnote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13, 2014, we completed the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25, 2014, the Company entered into the Credit Agreement Amendment which, among other things, adjusted the maximum permitted total leverage ratio through December 31, 2016 and increased the applicable interest rate over the same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Amendment resets the total maximum leverage ratio covenants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160" w:type="dxa"/>
            <w:vAlign w:val="bottom"/>
          </w:tcPr>
          <w:p>
            <w:pPr>
              <w:spacing w:after="0"/>
              <w:rPr>
                <w:sz w:val="13"/>
                <w:szCs w:val="13"/>
                <w:color w:val="auto"/>
              </w:rPr>
            </w:pPr>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160" w:type="dxa"/>
            <w:vAlign w:val="bottom"/>
          </w:tcPr>
          <w:p>
            <w:pPr>
              <w:spacing w:after="0"/>
              <w:rPr>
                <w:sz w:val="21"/>
                <w:szCs w:val="21"/>
                <w:color w:val="auto"/>
              </w:rPr>
            </w:pPr>
          </w:p>
        </w:tc>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2017 and thereafter</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effectiveness of the Credit Agreement Amendment, each consenting lender received a fee equal to 0.25% of their outstanding exposure, resulting in $1.7 million of fees paid in the third quarter of 2014. These fees have been included in ‘Other Assets’ on the consolidated balance sheet and will be amortized over the remaining life of the New Term Loan.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Adjusted EBITDA, defined in our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International Brotherhood of Teamsters (“IBT”) employees and the results of permitted dispositions and discontinued operations. Consolidated Total Debt, as defined in our Credit Agreement Amendment, is the aggregate principal amount of indebtedness outstanding. Our total leverage ratio for the four consecutive fiscal quarters ending September 30, 2014 was 4.94 to 1.00.</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results of operations will be sufficient to allow us to comply with the covenants in the Credit Agreement Amendment, fund our operations, increase working capital as necessary to support our planned revenue growth and fund capital expenditures for the next twelve months. In order for us to maintain compliance with the maximum total leverage ratio over the term of the New Term Loan, we must achieve operating results which reflect continuing improvement over our recent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satisfy our liquidity needs and meet future stepped-up covenants is primarily dependent on improving our profitability. Improvements to our profitability primarily include continued successful implementation and realization of productivity and efficiency initiatives including those identified in the modified labor agreement as well as pricing improvements. Some of these are outside of our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our operating results indicate we will not meet our maximum total leverage ratio, we will take action to improve our maximum total leverage ratio which may include paying down our outstanding indebtedness with either cash on hand or from cash proceeds from equity issuances. The issuance of equity is outside of our control and there can be no assurance that we will be able to issue additional equity at terms that are agreeable to us or that we would have sufficient cash on hand to meet the maximum total leverage ratio.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we fail to comply with any New Term Loan covenant or any New ABL Facility covenant, we would be considered in default, which would enable applicable lenders to accelerate the repayment of amounts outstanding, require the cash 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 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Regarding Future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borrowings under our New ABL Facility and any prospective net operating cash flows from operations. As of September 30, 2014, we had cash and cash equivalents of $181.4 million, and cash and cash equivalents and amounts able to be drawn on our New ABL Facility totaling $212.9 million. The amount which is actually able to be drawn on our New ABL Facility is limited by certain financial covenants in the New ABL Facility. For the nine months ended September 30, 2014, we used net cash of $26.3 million for our operating activities.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considerable amount of indebtedness. As of September 30, 2014, we had $1,116.8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$6.8 million and $23.2 million, respectively. In addition, we have, and will continue to have, substantial operating lease obligations. As of September 30, 2014, our minimum rental expense under operating leases for the remainder of the year is $14.0 million. As of September 30, 2014, our operating lease obligations through 2025 totaled $153.7 million and is expected to increase as we lease additional revenue equipment.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expenditures for the nine months ended September 30, 2014 and 2013 were $47.6 million and $56.5 million, respectively. These amounts were principally used to fund replacement engines and trailer refurbishments for our revenue fleet and capitalized costs for our network facilities and technology infrastructure. Additionally, for the nine months ended September 30, 2014, we entered into new operating leases for revenue equipment for $11.8 million, payable over the average lease term of three years. In light of our operating results and liquidity needs, we have deferred certain capital expenditures and expect to continue to do so for the remainder of 2014. As a result, the average age of our fleet is increasing, which may affect our maintenance costs and operational efficiency unless we are able to obtain suitable lease financing to meet our replacement equipment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Employees’ Benefits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company-sponsored pension costs for the three and nine months ended September 30:</w:t>
      </w: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Nine Months</w:t>
            </w:r>
          </w:p>
        </w:tc>
        <w:tc>
          <w:tcPr>
            <w:tcW w:w="68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w w:val="92"/>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2013</w:t>
            </w: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pension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$62.6 million to our company-sponsored pension plans in 2014 of which we have contributed $55.8 million through September 30, 2014.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Income Taxes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2014 was 137.5% and 18.2%, compared to (19.7)% and 7.9%, for the three and nine months ended September 30, 2013. The significant items impacting the 2014 rate include the settlement of several audits with the Internal Revenue Service as described below, a net state and foreign tax provision, certain permanent items, an intraperiod tax allocation required by ASC 740, “Income Taxes,” and a change in the valuation allowance established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net deferred tax asset balance projected for December 31, 2014.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2014 and December 31, 2013, substantially all of our net deferred tax assets were subject to a valuation allowance.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financing transactions of January 31, 2014 described in the "2014 Financing Transactions" footnote, the Company experienced a change of ownership as described in Section 382 of the Internal Revenue Code. The impact of the 2014 ownership change on the Company’s ability to utilize its Net Operating Loss carryforwards and other tax attributes is not expected to be material, as the carryforwards to which this ownership change would apply already have been significantly limited by previous ownership changes occurring in 2011 and 2013.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2014, we settled certain tax litigation with the Internal Revenue Service regarding tax years 2005 through 2007, resulting in refunds of $4.7 million and the recognition of $2.3 million of federal tax benefit. Further, the resolution of certain issues resulted in the recognition of $5.6 million of previously unrecognized tax benefits and the reversal of $1.5 million of related interest previously accrued. The resolution of the federal audits resulted in an estimated $1.7 million of additional state tax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Shareholders’ Deficit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activity in the shares of our common stock for the nine months ended September 30, 2014: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(shares in thousands)</w:t>
            </w: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2014</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10,173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2,333</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14,333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equity awards</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upon conversion or exchange of Series B Notes</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3,470</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30,651</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Earnings (Loss) Per Share</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stock options and restricted stock using the treasury stock method and adjusts both net earnings and the weighted average shares outstanding for our dilutive convertible securities using the if-converted method. The if-converted method assumes that all of our dilutive convertible securities would have been converted at the beginning of the period. Our calculation for basic and dilutive earnings per share for the three and nine months ended September 30 is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46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Pr>
          <w:p>
            <w:pPr>
              <w:spacing w:after="0"/>
              <w:rPr>
                <w:sz w:val="16"/>
                <w:szCs w:val="16"/>
                <w:color w:val="auto"/>
              </w:rPr>
            </w:pPr>
          </w:p>
        </w:tc>
        <w:tc>
          <w:tcPr>
            <w:tcW w:w="166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color w:val="auto"/>
              </w:rPr>
              <w:t>Nine Months</w:t>
            </w:r>
          </w:p>
        </w:tc>
      </w:tr>
      <w:tr>
        <w:trPr>
          <w:trHeight w:val="26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 shares in thousands)</w:t>
            </w: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2013</w:t>
            </w: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available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Series B Notes</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net loss available to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67"/>
        </w:trPr>
        <w:tc>
          <w:tcPr>
            <w:tcW w:w="4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30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27,896</w:t>
            </w:r>
          </w:p>
        </w:tc>
        <w:tc>
          <w:tcPr>
            <w:tcW w:w="2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9,053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B Notes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weighted average shares outstanding</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31,903</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27,896</w:t>
            </w: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9,053</w:t>
            </w:r>
          </w:p>
        </w:tc>
      </w:tr>
      <w:tr>
        <w:trPr>
          <w:trHeight w:val="67"/>
        </w:trPr>
        <w:tc>
          <w:tcPr>
            <w:tcW w:w="4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30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-153670</wp:posOffset>
            </wp:positionV>
            <wp:extent cx="541147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1470" cy="171450"/>
                    </a:xfrm>
                    <a:prstGeom prst="rect">
                      <a:avLst/>
                    </a:prstGeom>
                    <a:noFill/>
                  </pic:spPr>
                </pic:pic>
              </a:graphicData>
            </a:graphic>
          </wp:anchor>
        </w:drawing>
      </w:r>
    </w:p>
    <w:p>
      <w:pPr>
        <w:ind w:left="420" w:right="20"/>
        <w:spacing w:after="0" w:line="22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The Series B Notes are recorded at a discount that accelerates upon conversion and contain a make-whole interest premium that would require us to pay interest as if the security was held to maturity upon conversion and, as such, would result in incremental expense under the if-converted method.</w:t>
      </w:r>
    </w:p>
    <w:p>
      <w:pPr>
        <w:spacing w:after="0" w:line="19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Given our net loss position for the nine months ended September 30, 2014 and the three and nine months ended September 30, 2013, there were no dilutive securities for these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Anti-dilutive options and share units were 358,000 and 834,000 at September 30, 2014 and 2013, respectively. Anti-dilutive Series A Note conversion shares was 5,099,000 at September 30, 2013. Anti-dilutive Series B Note conversion shares, including the make whole premiums, was 4,219,000 September 30, 2013.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Business Segments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and operating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reportable segments, which are strategic business units that offer complementary transportation services to our customers: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YRC Freight </w:t>
      </w:r>
      <w:r>
        <w:rPr>
          <w:rFonts w:ascii="Times New Roman" w:cs="Times New Roman" w:eastAsia="Times New Roman" w:hAnsi="Times New Roman"/>
          <w:sz w:val="18"/>
          <w:szCs w:val="18"/>
          <w:color w:val="auto"/>
        </w:rPr>
        <w:t>is the reporting segment for our transportation service providers focused on business opportunities in national,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services. YRC Freight provides for the movement of industrial, commercial and retail goods, primarily through centralized management and customer facing organizations. This unit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Transportation </w:t>
      </w:r>
      <w:r>
        <w:rPr>
          <w:rFonts w:ascii="Times New Roman" w:cs="Times New Roman" w:eastAsia="Times New Roman" w:hAnsi="Times New Roman"/>
          <w:sz w:val="18"/>
          <w:szCs w:val="18"/>
          <w:color w:val="auto"/>
        </w:rPr>
        <w:t>is the reporting segment for our transportation service providers focused on business opportunities in the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charge management fees and other corporate service fees to our reportable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YRC Freight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Regional</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Pr>
          <w:p>
            <w:pPr>
              <w:spacing w:after="0"/>
              <w:rPr>
                <w:sz w:val="13"/>
                <w:szCs w:val="13"/>
                <w:color w:val="auto"/>
              </w:rPr>
            </w:pPr>
          </w:p>
        </w:tc>
        <w:tc>
          <w:tcPr>
            <w:tcW w:w="11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93"/>
        </w:trPr>
        <w:tc>
          <w:tcPr>
            <w:tcW w:w="38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Eliminations</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2014</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2013</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2014</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2014</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2013</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2013</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Contingencies and Uncertainties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Bryant Holdings Securities 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individual defendants are former officers of our Company. No current officers or directors were named in the lawsuit. The parties participated in voluntary mediation between March 11, 2013 and April 15, 2013. The mediation resulted in the execution of a mutually acceptable settlement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 as of September 30, 2014.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2013, the Court entered an Order denying plaintiffs’ Motion for Preliminary Approval of the Settlement. Plaintiffs filed an Amended Motion for Preliminary Approval and, on November 18, 2013, the Court denied that Motion. Each denial was based primarily on deficiencies that the Court perceived in the plan that plaintiffs proposed for allocation of the settlement proceeds among class members. Plaintiffs have revised the plan of allocation and, on February 18, 2014, filed a Second Amended Motion for Preliminary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7"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recovery in the overall economy, including (without limitation) customer demand in the retail and manufacturing sectors;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scheduled increases in financial performance-related debt covenants;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the maintenance, acquisition and replacement of revenue equipment and other necessary capital expenditures;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our network operations and the production of accurate information, and the risk of system failure, inadequacy or security breach;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equity and debt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fuel;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changes in the cost of fuel or the index upon which we base our fuel surcharge and the effectiveness of our fuel surcharge program in protecting us against fuel price volatility;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 on pricing;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volatility, including (without limitation) volatility due to changes in purchased transportation service or pricing for purchased transportation;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claims and litigation to which we are or may become exposed;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Our Business </w:t>
      </w:r>
      <w:r>
        <w:rPr>
          <w:rFonts w:ascii="Times New Roman" w:cs="Times New Roman" w:eastAsia="Times New Roman" w:hAnsi="Times New Roman"/>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of Operations </w:t>
      </w:r>
      <w:r>
        <w:rPr>
          <w:rFonts w:ascii="Times New Roman" w:cs="Times New Roman" w:eastAsia="Times New Roman" w:hAnsi="Times New Roman"/>
          <w:sz w:val="18"/>
          <w:szCs w:val="18"/>
          <w:color w:val="auto"/>
        </w:rPr>
        <w:t>— an analysis of our consolidated results of operations for the three and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2014 and 2013.</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Reporting Segment Results of Operations </w:t>
      </w:r>
      <w:r>
        <w:rPr>
          <w:rFonts w:ascii="Times New Roman" w:cs="Times New Roman" w:eastAsia="Times New Roman" w:hAnsi="Times New Roman"/>
          <w:sz w:val="18"/>
          <w:szCs w:val="18"/>
          <w:color w:val="auto"/>
        </w:rPr>
        <w:t>— an analysis of our results of operations for the three and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and 2013 for our YRC Freight and Regional Transportation reporting segments.</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Certain Non-GAAP Financial Measures </w:t>
      </w:r>
      <w:r>
        <w:rPr>
          <w:rFonts w:ascii="Times New Roman" w:cs="Times New Roman" w:eastAsia="Times New Roman" w:hAnsi="Times New Roman"/>
          <w:sz w:val="18"/>
          <w:szCs w:val="18"/>
          <w:color w:val="auto"/>
        </w:rPr>
        <w:t>— an analysis of selected non-GAAP financial measures for the three and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2014 and 2013.</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Condition/Liquidity and Capital Resources </w:t>
      </w:r>
      <w:r>
        <w:rPr>
          <w:rFonts w:ascii="Times New Roman" w:cs="Times New Roman" w:eastAsia="Times New Roman" w:hAnsi="Times New Roman"/>
          <w:sz w:val="18"/>
          <w:szCs w:val="18"/>
          <w:color w:val="auto"/>
        </w:rPr>
        <w:t>— a discussion of our major sources and uses of cash and an analysis of our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flows and aggregate contractual obligations and commercial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quarter” and “first three quarters” of the years discussed below refer to the three and nine months ended September 30,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2" w:lineRule="exact"/>
        <w:rPr>
          <w:sz w:val="20"/>
          <w:szCs w:val="20"/>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Revenue: </w:t>
      </w:r>
      <w:r>
        <w:rPr>
          <w:rFonts w:ascii="Times New Roman" w:cs="Times New Roman" w:eastAsia="Times New Roman" w:hAnsi="Times New Roman"/>
          <w:sz w:val="18"/>
          <w:szCs w:val="18"/>
          <w:color w:val="auto"/>
        </w:rPr>
        <w:t>Our operating revenue has two primary components: volume (commonly evaluated using number of shipments and weight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 and yield or price (commonly evaluated on a dollar per hundred 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8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18"/>
          <w:szCs w:val="18"/>
          <w:color w:val="auto"/>
        </w:rPr>
        <w:t>Operating income (loss) is our operating revenue less operating expenses. Our consolidated operating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certain corporate charges that are not allocated to our YRC Freight and Regional Transportation reporting segments.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Ratio: </w:t>
      </w:r>
      <w:r>
        <w:rPr>
          <w:rFonts w:ascii="Times New Roman" w:cs="Times New Roman" w:eastAsia="Times New Roman" w:hAnsi="Times New Roman"/>
          <w:sz w:val="18"/>
          <w:szCs w:val="18"/>
          <w:color w:val="auto"/>
        </w:rPr>
        <w:t>Operating ratio is a common operating performance metric used in the trucking industry. It is calculated as (i) 100 percent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minus the result of dividing operating income by operating revenue or (iii) plus the result of dividing operating loss by operating revenue, and expressed as a percentage.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We use certain non-GAAP financial measures to assess our performance. These include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and adjusted free cash flow (deficit):</w:t>
      </w:r>
    </w:p>
    <w:p>
      <w:pPr>
        <w:spacing w:after="0" w:line="156" w:lineRule="exact"/>
        <w:rPr>
          <w:rFonts w:ascii="Times New Roman" w:cs="Times New Roman" w:eastAsia="Times New Roman" w:hAnsi="Times New Roman"/>
          <w:sz w:val="18"/>
          <w:szCs w:val="18"/>
          <w:color w:val="auto"/>
        </w:rPr>
      </w:pPr>
    </w:p>
    <w:p>
      <w:pPr>
        <w:jc w:val="both"/>
        <w:ind w:left="1300" w:right="20" w:hanging="320"/>
        <w:spacing w:after="0" w:line="267"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 non-GAAP measure that reflects our earnings before interest, taxes, depreciation, and amortization expense,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adjusted for letter of credit fees, equity-based compensation expense, net gains or losses on property disposals and certain other items, including restructuring professional fees,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1300"/>
        <w:spacing w:after="0" w:line="288" w:lineRule="auto"/>
        <w:rPr>
          <w:sz w:val="20"/>
          <w:szCs w:val="20"/>
          <w:color w:val="auto"/>
        </w:rPr>
      </w:pPr>
      <w:r>
        <w:rPr>
          <w:rFonts w:ascii="Times New Roman" w:cs="Times New Roman" w:eastAsia="Times New Roman" w:hAnsi="Times New Roman"/>
          <w:sz w:val="18"/>
          <w:szCs w:val="18"/>
          <w:color w:val="auto"/>
        </w:rPr>
        <w:t>associated with certain lump sum payments to our IBT employees and the results of permitted dispositions and 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2" w:lineRule="exact"/>
        <w:rPr>
          <w:sz w:val="20"/>
          <w:szCs w:val="20"/>
          <w:color w:val="auto"/>
        </w:rPr>
      </w:pPr>
    </w:p>
    <w:p>
      <w:pPr>
        <w:ind w:left="1300" w:hanging="320"/>
        <w:spacing w:after="0" w:line="27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Free Cash Flow (Deficit): </w:t>
      </w:r>
      <w:r>
        <w:rPr>
          <w:rFonts w:ascii="Times New Roman" w:cs="Times New Roman" w:eastAsia="Times New Roman" w:hAnsi="Times New Roman"/>
          <w:sz w:val="18"/>
          <w:szCs w:val="18"/>
          <w:color w:val="auto"/>
        </w:rPr>
        <w:t>a non-GAAP measure that reflects our net cash provided by (used in) operating activities minus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and excludes restructuring professional fees included in operating cash flow.</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have the following limitations:</w:t>
      </w:r>
    </w:p>
    <w:p>
      <w:pPr>
        <w:spacing w:after="0" w:line="185" w:lineRule="exact"/>
        <w:rPr>
          <w:sz w:val="20"/>
          <w:szCs w:val="20"/>
          <w:color w:val="auto"/>
        </w:rPr>
      </w:pPr>
    </w:p>
    <w:p>
      <w:pPr>
        <w:jc w:val="both"/>
        <w:ind w:left="1300" w:hanging="320"/>
        <w:spacing w:after="0" w:line="257"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fund restructuring professional fees, letter of credit fees, service interest, principal payments on our outstanding debt or lump sum payments to our IBT employees required under the modified labor agreement;</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(deficit) excludes the cash usage by our restructuring professional fees, debt issuance costs, 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and adjusted free cash flow (deficit) differently than we do, potentially limiting their usefulness as comparative measures.</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summary consolidated financial information for the third quarter and first three quarters of 2014 and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Third Quarter</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First Three Quarters</w:t>
            </w:r>
          </w:p>
        </w:tc>
        <w:tc>
          <w:tcPr>
            <w:tcW w:w="128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Percent Change</w:t>
            </w: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Percent Change</w:t>
            </w:r>
          </w:p>
        </w:tc>
      </w:tr>
      <w:tr>
        <w:trPr>
          <w:trHeight w:val="242"/>
        </w:trPr>
        <w:tc>
          <w:tcPr>
            <w:tcW w:w="3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1,322.6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3,851.1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3,657.7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
        </w:trPr>
        <w:tc>
          <w:tcPr>
            <w:tcW w:w="3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2014 Compared to the Third Quarter of 2013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operating revenue increased 5.6% during the third quarter of 2014 compared to the same period in 2013. The increase in revenue is primarily attributable to higher total shipments and a higher yield over the comparable prior year period. The increase in total shipments was driven by the improvement of the overall economic environment as well as increased shipper confidence due to the finalization of the 2014 Financing Transactions and our modified labor agreement. The increase in yield was largely driven by a stronger pricing environment.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third quarter of 2014 increased $49.0 million, or 3.9%, compared to the same period in 2013. The increase in operating expenses was driven by increased costs associated with higher total shipments and improvements to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 In particular, our salaries, wages and employees’ benefits increased $34.1 million, or 4.8%, and we experienced an $18.4 million, or 13.2%, increase in purchased transportation.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$34.1 million increase in salaries, wages and employees’ benefits in the third quarter of 2014 was primarily the result of a $22.8 million increase in wages and benefits in the third quarter of 2014 compared to the third quarter of 2013. This increase was largely driven by higher total shipments and lower productivity levels. The increase in salaries, wages and employees’ benefits was also caused by a $4.6 million increase in workers’ compensation expense, which was driven, in large part, by an increase in the number of claims.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$18.4 million increase in purchased transportation was primarily driven by the over-the-road purchased transportation option as permitted in our modified labor agreement that went into effect in February 2014. Additionally, we had higher vehicle rent expense as our percentage of leased units has increased since last year due to our current strategy of using operating leases for new revenue equipment.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expenses decreased $13.0 million in the third quarter of 2014 compared to the third quarter of 2013. The decrease in nonoperating expenses was largely driven by the decrease in interest expense as a result of the 2014 Financing Transactions which reduced our outstanding debt and lowered the weighted average interest rate on our debt.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third quarter of 2014 and 2013 was 137.5% and (19.7)%, respectively. Significant items impacting the third quarter of 2014 rate include the settlement of several audits with the Internal Revenue Service as described below, a net state and foreign tax provision, certain permanent items, an intraperiod tax allocation required by ASC 740, “Income Taxes,”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2014 and December 31, 2013, substantially all of our net deferred tax assets are subject to a valuation allowance.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2014, we settled certain tax litigation with the Internal Revenue Service regarding tax years 2005 through 2007, resulting in refunds of $4.7 million and the recognition of $2.3 million of federal tax benefit. Further, the resolution of certain issues resulted in the recognition of $5.6 million of previously unrecognized tax benefits and the reversal of $1.5 million of related interest previously accrued. The resolution of the federal audits resulted in an estimated $1.7 million of additional state tax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Three Quarters of 2014 Compared to the First Three Quarters of 2013</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consolidated operating revenue increased 5.3% during the first three quarters of 2014 compared to the same period in 2013. The increase in revenue is primarily attributable to higher total shipments over the comparable prior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first three quarters of 2014 increased $209.1 million, or 5.8% compared to the same period in 2013, primarily related to a $102.0 million, or 4.8%, increase in salaries, wages and employees’ benefits, a $69.5 million, or 18.3%, increase in purchased transportation, a $26.6 million, or 15.5%, increase in other operating expenses and a $22.7 million, or 2.7%, increase in operating expenses and supplies.</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$102.0 million increase in salaries, wages and employees’ benefits was primarily due to an $80.1 million increase in wages and benefits in the first three quarters of 2014 compared to the first three quarters of 2013. This increase was largely driven by higher total shipments and by the negative impact the severe winter weather had on the productivity of our workforce which, among other things, increased our overtime and linehaul delay pay in the first quarter of 2014. The increase in salaries, wages and employees’ benefits was also driven by a $9.0 million increase in workers’ compensation expense, which was driven, in large part, by an increase in the number of claims.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$69.5 million increase in purchased transportation was primarily driven by increased total shipments and the use of additional high cost purchased rail and local cartage transportation to balance our networks and in response to the service disruptions related to the severe winter weather experienced during the first quarter. We also experienced an increase in purchased road miles in part due to the changes in our purchased transportation options as permitted in our modified labor agreement that went into effect in February 2014. Finally, we had higher vehicle rental expense as our percentage of leased units has increased since last year due to our current strategy of using operating leases for new revenue equipment.</w:t>
      </w:r>
    </w:p>
    <w:p>
      <w:pPr>
        <w:spacing w:after="0" w:line="2"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$26.6 million increase in other operating expenses was primarily due to a $13.1 million increase in cargo claims expense, which was primarily driven by an increase in the frequency and severity of our claims. The increase was also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caused by a $12.3 million increase in our bodily injury and property damage claims expense, which was driven by an increase in the number of outstanding claims and unfavorable development of prior year claims.</w:t>
      </w:r>
    </w:p>
    <w:p>
      <w:pPr>
        <w:spacing w:after="0" w:line="1" w:lineRule="exact"/>
        <w:rPr>
          <w:sz w:val="20"/>
          <w:szCs w:val="20"/>
          <w:color w:val="auto"/>
        </w:rPr>
      </w:pPr>
    </w:p>
    <w:p>
      <w:pPr>
        <w:jc w:val="both"/>
        <w:ind w:left="660" w:hanging="328"/>
        <w:spacing w:after="0" w:line="26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$22.7 million increase in operating expenses and supplies was primarily driven by higher vehicle maintenance of $11.5 million and an increase in fuel expense of $7.8 million. The increase in vehicle maintenance is primarily due to higher costs needed to support our aging fleet and an increase in miles driven. The increase in fuel expense is primarily a result of increased mileage due to higher total shipments.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Nonoperating expenses decreased $16.6 million in the first three quarters of 2014 compared to the first three quarters of 2013. The decrease was primarily driven by the $11.2 million gain we recorded on our extinguishment of debt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also experienced a decrease in interest expense as a result of the 2014 Financing Transactions which reduced our outstanding debt and lowered the weighted average interest rate on our debt.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effective tax rate for the first three quarters of 2014 and 2013 was 18.2% and 7.9%, respectively. Significant items impacting the first three quarters of 2014 rate include the settlement of several audits with the Internal Revenue Service as described below, a net state and foreign tax provision, certain permanent items, an intraperiod tax allocation required by ASC 740, “Income Taxes,”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2014 and December 31, 2013, substantially all of our net deferred tax assets are subject to a valuation allowance.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financing transactions of January 31, 2014 described in the "2014 Financing Transactions" footnote, the Company experienced a change of ownership as described in Section 382 of the Internal Revenue Code. The impact of the 2014 ownership change on the Company’s ability to utilize its Net Operating Loss carryforwards and other tax attributes is not expected to be material, as the carryforwards to which this ownership change would apply already have been significantly limited by previous ownership changes occurring in 2011 and 2013.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2014, we settled certain tax litigation with the Internal Revenue Service regarding tax years 2005 through 2007, resulting in refunds of $4.7 million and the recognition of $2.3 million of federal tax benefit. Further, the resolution of certain issues resulted in the recognition of $5.6 million of previously unrecognized tax benefits and the reversal of $1.5 million of related interest previously accrued. The resolution of the federal audits resulted in an estimated $1.7 million of additional state tax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YRC Freight </w:t>
      </w:r>
      <w:r>
        <w:rPr>
          <w:rFonts w:ascii="Times New Roman" w:cs="Times New Roman" w:eastAsia="Times New Roman" w:hAnsi="Times New Roman"/>
          <w:sz w:val="18"/>
          <w:szCs w:val="18"/>
          <w:color w:val="auto"/>
        </w:rPr>
        <w:t>is the reporting segment for our transportation service providers focused on business opportunities in national,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Transportation </w:t>
      </w:r>
      <w:r>
        <w:rPr>
          <w:rFonts w:ascii="Times New Roman" w:cs="Times New Roman" w:eastAsia="Times New Roman" w:hAnsi="Times New Roman"/>
          <w:sz w:val="18"/>
          <w:szCs w:val="18"/>
          <w:color w:val="auto"/>
        </w:rPr>
        <w:t>is the reporting segment for our transportation service providers focused on business opportunities in the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YRC Freight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YRC Freight represented 64% of our consolidated operating revenue for the third quarter of 2014 compared to 65% for the third quarter of 2013. YRC Freight represented 63% of consolidated operating revenue for the first three quarters of 2014 compared to 65% for the first three quarters of 2013. The table below provides summary financial information for YRC Freight for the third quarter and first three quarters of 2014 and 2013: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Third Quarter</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First Three Quarters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13"/>
                <w:szCs w:val="13"/>
                <w:color w:val="auto"/>
              </w:rPr>
            </w:pPr>
          </w:p>
        </w:tc>
        <w:tc>
          <w:tcPr>
            <w:tcW w:w="1320" w:type="dxa"/>
            <w:vAlign w:val="bottom"/>
            <w:gridSpan w:val="2"/>
          </w:tcPr>
          <w:p>
            <w:pPr>
              <w:ind w:left="380"/>
              <w:spacing w:after="0" w:line="151" w:lineRule="exact"/>
              <w:rPr>
                <w:sz w:val="20"/>
                <w:szCs w:val="20"/>
                <w:color w:val="auto"/>
              </w:rPr>
            </w:pPr>
            <w:r>
              <w:rPr>
                <w:rFonts w:ascii="Times New Roman" w:cs="Times New Roman" w:eastAsia="Times New Roman" w:hAnsi="Times New Roman"/>
                <w:sz w:val="14"/>
                <w:szCs w:val="14"/>
                <w:color w:val="auto"/>
              </w:rPr>
              <w:t>Percent</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13"/>
                <w:szCs w:val="13"/>
                <w:color w:val="auto"/>
              </w:rPr>
            </w:pPr>
          </w:p>
        </w:tc>
        <w:tc>
          <w:tcPr>
            <w:tcW w:w="1240" w:type="dxa"/>
            <w:vAlign w:val="bottom"/>
          </w:tcPr>
          <w:p>
            <w:pPr>
              <w:jc w:val="right"/>
              <w:ind w:right="316"/>
              <w:spacing w:after="0" w:line="151" w:lineRule="exact"/>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42"/>
        </w:trPr>
        <w:tc>
          <w:tcPr>
            <w:tcW w:w="3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843.0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Pr>
          <w:p>
            <w:pPr>
              <w:spacing w:after="0"/>
              <w:rPr>
                <w:sz w:val="21"/>
                <w:szCs w:val="21"/>
                <w:color w:val="auto"/>
              </w:rPr>
            </w:pPr>
          </w:p>
        </w:tc>
        <w:tc>
          <w:tcPr>
            <w:tcW w:w="12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640" w:type="dxa"/>
            <w:vAlign w:val="bottom"/>
          </w:tcPr>
          <w:p>
            <w:pPr>
              <w:ind w:left="40"/>
              <w:spacing w:after="0" w:line="254" w:lineRule="exact"/>
              <w:rPr>
                <w:sz w:val="20"/>
                <w:szCs w:val="20"/>
                <w:color w:val="auto"/>
              </w:rPr>
            </w:pPr>
            <w:r>
              <w:rPr>
                <w:rFonts w:ascii="Times New Roman" w:cs="Times New Roman" w:eastAsia="Times New Roman" w:hAnsi="Times New Roman"/>
                <w:sz w:val="18"/>
                <w:szCs w:val="18"/>
                <w:color w:val="auto"/>
              </w:rPr>
              <w:t>Operating ratio</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2"/>
                <w:szCs w:val="22"/>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2.2 pp</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(0.3pp</w:t>
            </w:r>
          </w:p>
        </w:tc>
        <w:tc>
          <w:tcPr>
            <w:tcW w:w="0" w:type="dxa"/>
            <w:vAlign w:val="bottom"/>
          </w:tcPr>
          <w:p>
            <w:pPr>
              <w:spacing w:after="0"/>
              <w:rPr>
                <w:sz w:val="1"/>
                <w:szCs w:val="1"/>
                <w:color w:val="auto"/>
              </w:rPr>
            </w:pPr>
          </w:p>
        </w:tc>
      </w:tr>
    </w:tbl>
    <w:p>
      <w:pPr>
        <w:ind w:left="60" w:right="8480" w:hanging="52"/>
        <w:spacing w:after="0" w:line="258" w:lineRule="auto"/>
        <w:tabs>
          <w:tab w:leader="none" w:pos="33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 represents the change in percentage points * not meaningful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2014 Compared to the Third Quarter of 2013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YRC Freight reported operating revenue of $843.0 million in the third quarter of 2014, an increase of $34.3 million, or 4.2%, compared to the same period in 2013. The table below summarizes the key revenue metrics for the YRC Freight reporting segment for the third quarter of 2014 compared to the third quarter of 2013:</w:t>
      </w:r>
    </w:p>
    <w:p>
      <w:pPr>
        <w:spacing w:after="0" w:line="399"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9"/>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324"/>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4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24.00</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r>
      <w:tr>
        <w:trPr>
          <w:trHeight w:val="643"/>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22"/>
                <w:szCs w:val="22"/>
                <w:color w:val="auto"/>
              </w:rPr>
            </w:pPr>
          </w:p>
        </w:tc>
      </w:tr>
      <w:tr>
        <w:trPr>
          <w:trHeight w:val="269"/>
        </w:trPr>
        <w:tc>
          <w:tcPr>
            <w:tcW w:w="480" w:type="dxa"/>
            <w:vAlign w:val="bottom"/>
          </w:tcPr>
          <w:p>
            <w:pPr>
              <w:spacing w:after="0"/>
              <w:rPr>
                <w:sz w:val="23"/>
                <w:szCs w:val="23"/>
                <w:color w:val="auto"/>
              </w:rPr>
            </w:pPr>
          </w:p>
        </w:tc>
        <w:tc>
          <w:tcPr>
            <w:tcW w:w="5280" w:type="dxa"/>
            <w:vAlign w:val="bottom"/>
            <w:gridSpan w:val="5"/>
            <w:shd w:val="clear" w:color="auto" w:fill="CCEEFF"/>
          </w:tcPr>
          <w:p>
            <w:pPr>
              <w:ind w:left="20"/>
              <w:spacing w:after="0" w:line="269" w:lineRule="exact"/>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Reconciliation of operating revenue to total picked up revenue:</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tcPr>
          <w:p>
            <w:pPr>
              <w:spacing w:after="0"/>
              <w:rPr>
                <w:sz w:val="23"/>
                <w:szCs w:val="23"/>
                <w:color w:val="auto"/>
              </w:rPr>
            </w:pPr>
          </w:p>
        </w:tc>
      </w:tr>
      <w:tr>
        <w:trPr>
          <w:trHeight w:val="243"/>
        </w:trPr>
        <w:tc>
          <w:tcPr>
            <w:tcW w:w="480" w:type="dxa"/>
            <w:vAlign w:val="bottom"/>
          </w:tcPr>
          <w:p>
            <w:pPr>
              <w:spacing w:after="0"/>
              <w:rPr>
                <w:sz w:val="21"/>
                <w:szCs w:val="21"/>
                <w:color w:val="auto"/>
              </w:rPr>
            </w:pP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76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8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689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1" w:lineRule="exact"/>
        <w:rPr>
          <w:sz w:val="20"/>
          <w:szCs w:val="20"/>
          <w:color w:val="auto"/>
        </w:rPr>
      </w:pPr>
    </w:p>
    <w:p>
      <w:pPr>
        <w:ind w:left="1020" w:hanging="202"/>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increases in yield are primarily attributable to a stronger overall pricing environment and successful contractual negotiations with our customers. The increases in the volume metrics are primarily attributable to higher total shipments over the comparable prior year period due to the improvement of the overall economic environment as well as increased shipper confidence due to the finalization of the 2014 Financing Transactions and our modified labor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YRC Freight was $8.8 million in the third quarter of 2014 compared to an operating loss of $9.7 million in the same period in 2013. Operating revenue in the third quarter of 2014 was higher by $34.3 million while total operating expenses increased by $15.8 million, or 1.9%. The operating expense increase consisted primarily of a $16.6 million, or 3.6%, increase in</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salaries,wages and employees’ benefits, an $8.7 million, or 7.5%, increase in purchased transportation, partially offset by a $5.0 million, or 2.8%, decrease in operating expenses and supplies.</w:t>
      </w:r>
    </w:p>
    <w:p>
      <w:pPr>
        <w:spacing w:after="0" w:line="162" w:lineRule="exact"/>
        <w:rPr>
          <w:sz w:val="20"/>
          <w:szCs w:val="20"/>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$16.6 million increase in salaries, wages and employees’ benefits in the third quarter of 2014 was primarily the result of an increase in wages and benefits driven by lower productivity levels and a slight increase in shipments.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$8.7 million increase in purchased transportation was primarily driven by an increase in purchased road miles as we utilized our new over-the-road purchased transportation option as permitted in our modified labor agreement that went into effect in February 2014.</w:t>
      </w:r>
    </w:p>
    <w:p>
      <w:pPr>
        <w:jc w:val="both"/>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$5.0 million decrease in operating expenses and supplies in the third quarter of 2014 was primarily due to a $5.2 million decrease in fuel expense primarily driven by a decrease in the cost per gallon of fuel. The fuel expense decrease was also a result of fewer miles driven, primarily due to an increase in our purchased transportation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Three Quarters of 2014 Compared to the First Three Quarters of 2013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YRC Freight reported operating revenue of $2,441.9 million in the first three quarters of 2014, an increase of $81.8 million, or 3.5%, compared to the same period in 2013. The table below summarizes the key revenue metrics for the YRC Freight reporting segment for the first three quarters of 2014 compared to the same period in 2013:</w:t>
      </w:r>
    </w:p>
    <w:p>
      <w:pPr>
        <w:spacing w:after="0" w:line="399"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First Three Quarters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9"/>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324"/>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4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r>
      <w:tr>
        <w:trPr>
          <w:trHeight w:val="643"/>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First Three Quarters</w:t>
            </w:r>
          </w:p>
        </w:tc>
      </w:tr>
      <w:tr>
        <w:trPr>
          <w:trHeight w:val="264"/>
        </w:trPr>
        <w:tc>
          <w:tcPr>
            <w:tcW w:w="480" w:type="dxa"/>
            <w:vAlign w:val="bottom"/>
          </w:tcPr>
          <w:p>
            <w:pPr>
              <w:spacing w:after="0"/>
              <w:rPr>
                <w:sz w:val="22"/>
                <w:szCs w:val="22"/>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22"/>
                <w:szCs w:val="22"/>
                <w:color w:val="auto"/>
              </w:rPr>
            </w:pPr>
          </w:p>
        </w:tc>
      </w:tr>
      <w:tr>
        <w:trPr>
          <w:trHeight w:val="269"/>
        </w:trPr>
        <w:tc>
          <w:tcPr>
            <w:tcW w:w="480" w:type="dxa"/>
            <w:vAlign w:val="bottom"/>
          </w:tcPr>
          <w:p>
            <w:pPr>
              <w:spacing w:after="0"/>
              <w:rPr>
                <w:sz w:val="23"/>
                <w:szCs w:val="23"/>
                <w:color w:val="auto"/>
              </w:rPr>
            </w:pPr>
          </w:p>
        </w:tc>
        <w:tc>
          <w:tcPr>
            <w:tcW w:w="5280" w:type="dxa"/>
            <w:vAlign w:val="bottom"/>
            <w:gridSpan w:val="5"/>
          </w:tcPr>
          <w:p>
            <w:pPr>
              <w:ind w:left="20"/>
              <w:spacing w:after="0" w:line="269" w:lineRule="exact"/>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Reconciliation of operating revenue to total picked up revenue:</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2,441.9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500" w:type="dxa"/>
            <w:vAlign w:val="bottom"/>
          </w:tcPr>
          <w:p>
            <w:pPr>
              <w:spacing w:after="0"/>
              <w:rPr>
                <w:sz w:val="22"/>
                <w:szCs w:val="22"/>
                <w:color w:val="auto"/>
              </w:rPr>
            </w:pPr>
          </w:p>
        </w:tc>
      </w:tr>
    </w:tbl>
    <w:p>
      <w:pPr>
        <w:spacing w:after="0" w:line="4" w:lineRule="exact"/>
        <w:rPr>
          <w:sz w:val="20"/>
          <w:szCs w:val="20"/>
          <w:color w:val="auto"/>
        </w:rPr>
      </w:pPr>
    </w:p>
    <w:p>
      <w:pPr>
        <w:ind w:left="1020" w:hanging="20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increases in the volume metrics are primarily driven by higher total shipments over the comparable prior year period due to the improvement of the overall economic environment as well as increased shipper confidence due to the finalization of the 2014 Financing Transactions and our modified labor agreement. The increases in yield are primarily attributable to a stronger overall pricing environment and successful contractual negotiations with our customers.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loss for YRC Freight was $24.0 million in the first three quarters of 2014 compared to $15.8 million in the same period in 2013. Operating revenue in the first three quarters of 2014 was higher by $81.8 million while total operating expenses increased by $90.0 million, or 3.8%. The operating expense increase consisted primarily of a $44.6 million, or 3.3%, increase in salaries, wages and employees’ benefits, a $43.9 million, or 13.8%, increase in purchased transportation and a $16.5 million, or 16.1%, increase in other operating expenses.</w:t>
      </w:r>
    </w:p>
    <w:p>
      <w:pPr>
        <w:spacing w:after="0" w:line="180"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$44.6 million increase in salaries, wages and employees’ benefits in the first three quarters of 2014 was primarily the result of a $34.4 million increase in wages and benefits. This increase was largely driven by higher total shipments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660"/>
        <w:spacing w:after="0" w:line="288" w:lineRule="auto"/>
        <w:rPr>
          <w:sz w:val="20"/>
          <w:szCs w:val="20"/>
          <w:color w:val="auto"/>
        </w:rPr>
      </w:pPr>
      <w:r>
        <w:rPr>
          <w:rFonts w:ascii="Times New Roman" w:cs="Times New Roman" w:eastAsia="Times New Roman" w:hAnsi="Times New Roman"/>
          <w:sz w:val="18"/>
          <w:szCs w:val="18"/>
          <w:color w:val="auto"/>
        </w:rPr>
        <w:t>and the negative impact the severe winter weather had on the productivity of our workforce which, among other things, increased our overtime and linehaul delay pay in the first quarter of 2014. Additionally, the increase in salaries, wages and employees’ benefits was also caused by a $6.5 million increase in workers’ compensation expense, which was driven, in large part, by an increase in new claims.</w:t>
      </w:r>
    </w:p>
    <w:p>
      <w:pPr>
        <w:spacing w:after="0" w:line="2" w:lineRule="exact"/>
        <w:rPr>
          <w:sz w:val="20"/>
          <w:szCs w:val="20"/>
          <w:color w:val="auto"/>
        </w:rPr>
      </w:pPr>
    </w:p>
    <w:p>
      <w:pPr>
        <w:jc w:val="both"/>
        <w:ind w:left="660" w:hanging="328"/>
        <w:spacing w:after="0" w:line="253"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$43.9 million increase in purchased transportation was primarily driven by less than optimal use of purchased transportation in response to increased total shipments and in response to the service disruptions related to the severe winter weather experienced during the first quarter. We also experienced an increase in purchased road miles as we began to utilize our new over-the-road purchased transportation option as permitted in our modified labor agreement that went into effect in February 2014. Finally, we had higher vehicle rent expense as our percentage of leased units has increased since last year due to our current strategy of using operating leases for new revenue equipment.</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$16.5 million increase in other operating expenses in the first three quarters of 2014 was primarily driven by an $8.4 million increase in our bodily injury and property damage expense due to unfavorable development on our outstanding claims. Additionally, the increase in other operating expense was largely due to a $9.0 million increase in cargo claims expense caused by an increase in the frequency and severity of our claims.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Transportation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represented 36% of consolidated revenue in the third quarter of 2014 compared to 35% in the third quarter of 2013. Regional Transportation represented 37% of consolidated revenue in the first three quarters of 2014 compared to 35% in the first three quarters of 2013. The table below provides summary financial information for Regional Transportation for the third quarter and the first three quarters of 2014 and 2013: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Third Quarter</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First Three Quarters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3"/>
                <w:szCs w:val="13"/>
                <w:color w:val="auto"/>
              </w:rPr>
            </w:pPr>
          </w:p>
        </w:tc>
        <w:tc>
          <w:tcPr>
            <w:tcW w:w="1480" w:type="dxa"/>
            <w:vAlign w:val="bottom"/>
            <w:gridSpan w:val="2"/>
          </w:tcPr>
          <w:p>
            <w:pPr>
              <w:ind w:left="460"/>
              <w:spacing w:after="0" w:line="151" w:lineRule="exact"/>
              <w:rPr>
                <w:sz w:val="20"/>
                <w:szCs w:val="20"/>
                <w:color w:val="auto"/>
              </w:rPr>
            </w:pPr>
            <w:r>
              <w:rPr>
                <w:rFonts w:ascii="Times New Roman" w:cs="Times New Roman" w:eastAsia="Times New Roman" w:hAnsi="Times New Roman"/>
                <w:sz w:val="14"/>
                <w:szCs w:val="14"/>
                <w:color w:val="auto"/>
              </w:rPr>
              <w:t>Percent</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ind w:left="300"/>
              <w:spacing w:after="0" w:line="151" w:lineRule="exact"/>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3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42"/>
        </w:trPr>
        <w:tc>
          <w:tcPr>
            <w:tcW w:w="3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Pr>
          <w:p>
            <w:pPr>
              <w:spacing w:after="0"/>
              <w:rPr>
                <w:sz w:val="21"/>
                <w:szCs w:val="21"/>
                <w:color w:val="auto"/>
              </w:rPr>
            </w:pPr>
          </w:p>
        </w:tc>
        <w:tc>
          <w:tcPr>
            <w:tcW w:w="13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1,409.2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360" w:type="dxa"/>
            <w:vAlign w:val="bottom"/>
          </w:tcPr>
          <w:p>
            <w:pPr>
              <w:ind w:left="40"/>
              <w:spacing w:after="0" w:line="254" w:lineRule="exact"/>
              <w:rPr>
                <w:sz w:val="20"/>
                <w:szCs w:val="20"/>
                <w:color w:val="auto"/>
              </w:rPr>
            </w:pPr>
            <w:r>
              <w:rPr>
                <w:rFonts w:ascii="Times New Roman" w:cs="Times New Roman" w:eastAsia="Times New Roman" w:hAnsi="Times New Roman"/>
                <w:sz w:val="18"/>
                <w:szCs w:val="18"/>
                <w:color w:val="auto"/>
              </w:rPr>
              <w:t xml:space="preserve">Operating ratio </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2"/>
                <w:szCs w:val="22"/>
                <w:color w:val="auto"/>
              </w:rPr>
            </w:pPr>
          </w:p>
        </w:tc>
        <w:tc>
          <w:tcPr>
            <w:tcW w:w="1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0.6 pp</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(0.5pp</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 represents the change in percentage points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2014 Compared to the Third Quarter of 2013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reported operating revenue of $479.6 million for the third quarter of 2014, an increase of $35.6 million, or 8.0%, from the third quarter of 2013. The table below summarizes the key revenue metrics for the Regional Transportation reporting segment for the third quarter of 2014 compared to the third quarter of 2013:</w:t>
      </w:r>
    </w:p>
    <w:p>
      <w:pPr>
        <w:spacing w:after="0" w:line="399"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24"/>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36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479.9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443.6</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2,046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1,932</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2,794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2,676</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11.73</w:t>
            </w:r>
          </w:p>
        </w:tc>
        <w:tc>
          <w:tcPr>
            <w:tcW w:w="10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11.48</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150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1,444</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702"/>
        </w:trPr>
        <w:tc>
          <w:tcPr>
            <w:tcW w:w="3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1672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5"/>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9"/>
        </w:trPr>
        <w:tc>
          <w:tcPr>
            <w:tcW w:w="492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Reconciliation of operating revenue to total picked up revenue: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8890</wp:posOffset>
            </wp:positionV>
            <wp:extent cx="1672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1" w:lineRule="exact"/>
        <w:rPr>
          <w:sz w:val="20"/>
          <w:szCs w:val="20"/>
          <w:color w:val="auto"/>
        </w:rPr>
      </w:pPr>
    </w:p>
    <w:p>
      <w:pPr>
        <w:ind w:left="1020" w:hanging="20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00" w:hanging="182"/>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-208915</wp:posOffset>
            </wp:positionV>
            <wp:extent cx="1672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increases in the volume metrics are primarily attributable to higher total shipments over the comparable prior year period due to the improvement of the overall economic environment as well as increased shipper confidence due to the finalization of the 2014 Financing Transactions and our modified labor agreement. The increase in the number of workdays in the third quarter of 2014 compared to the third quarter of 2013 also contributed to the higher volumes. The increases in yield are primarily attributable to a stronger pricing environment and a reduction in excess capacity.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Regional Transportation was $24.4 million for the third quarter of 2014, a increase of $4.4 million from the same period in 2013, consisting of the $35.6 million increase in revenue offset by a $31.2 million, or 7.4%, increase in total operating expenses. The increase in total operating expenses was primarily driven by an $18.4 million, or 7.4%, increase in salaries, wages and employees' benefits, a $9.7 million, or 42.1%, increase in purchased transportation and a $3.4 million, or 3.1%, increase in operating expenses and supplies.</w:t>
      </w:r>
    </w:p>
    <w:p>
      <w:pPr>
        <w:spacing w:after="0" w:line="180" w:lineRule="exact"/>
        <w:rPr>
          <w:sz w:val="20"/>
          <w:szCs w:val="20"/>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$18.4 million increase in salaries, wages and employees’ benefits in the third quarter of 2014 was primarily the result of a $13.2 million increase in wages and benefits in the third quarter of 2014 compared to the third quarter of 2013. This increase was largely driven by higher total shipments. The increase in salaries, wages and employees’ benefits was also due to a $3.4 million increase in workers’ compensation expense, which was caused, in large part, by an increase in new claims.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$9.7 million increase in purchased transportation was primarily driven by an increase in purchased local cartage and short-term revenue equipment rentals to handle the increased total shipments. We also had higher vehicle rent expense as our percentage of leased units has increased since last year due to our strategy of using operating leases for new revenue equipment.</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$3.4 million increase in operating expenses and supplies in the third quarter of 2014 was primarily driven by a $2.2 million increase in vehicle maintenance primarily due to an increase in miles driven and higher costs used to support our aging fleet and a $1.1 million increase in fuel expense, which was largely the result of increased use due to higher total shipments, partially offset by a lower cost per gallon of fuel.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Three Quarters of 2014 Compared to the First Three Quarters of 2013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reported operating revenue of $1,409.2 million for the first three quarters of 2014, an increase of $111.6 million, or 8.6%, from the first three quarters of 2013. The table below summarizes the key revenue metrics for the Regional Transportation reporting segment for the first three quarters of 2014 compared to the first three quarters of 2013:</w:t>
      </w:r>
    </w:p>
    <w:p>
      <w:pPr>
        <w:spacing w:after="0" w:line="399"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First Three Quarters</w:t>
            </w:r>
          </w:p>
        </w:tc>
        <w:tc>
          <w:tcPr>
            <w:tcW w:w="1420" w:type="dxa"/>
            <w:vAlign w:val="bottom"/>
          </w:tcPr>
          <w:p>
            <w:pPr>
              <w:spacing w:after="0"/>
              <w:rPr>
                <w:sz w:val="16"/>
                <w:szCs w:val="16"/>
                <w:color w:val="auto"/>
              </w:rPr>
            </w:pPr>
          </w:p>
        </w:tc>
      </w:tr>
      <w:tr>
        <w:trPr>
          <w:trHeight w:val="264"/>
        </w:trPr>
        <w:tc>
          <w:tcPr>
            <w:tcW w:w="3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36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0"/>
        </w:trPr>
        <w:tc>
          <w:tcPr>
            <w:tcW w:w="36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2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r>
        <w:trPr>
          <w:trHeight w:val="459"/>
        </w:trPr>
        <w:tc>
          <w:tcPr>
            <w:tcW w:w="3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24765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5"/>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9"/>
        </w:trPr>
        <w:tc>
          <w:tcPr>
            <w:tcW w:w="4960" w:type="dxa"/>
            <w:vAlign w:val="bottom"/>
          </w:tcPr>
          <w:p>
            <w:pPr>
              <w:ind w:left="20"/>
              <w:spacing w:after="0" w:line="269" w:lineRule="exact"/>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Reconciliation of operating revenue to total picked up revenue: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4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r>
    </w:tbl>
    <w:p>
      <w:pPr>
        <w:spacing w:after="0" w:line="4" w:lineRule="exact"/>
        <w:rPr>
          <w:sz w:val="20"/>
          <w:szCs w:val="20"/>
          <w:color w:val="auto"/>
        </w:rPr>
      </w:pPr>
    </w:p>
    <w:p>
      <w:pPr>
        <w:ind w:left="1020" w:hanging="20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00" w:hanging="182"/>
        <w:spacing w:after="0"/>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is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increases in the volume metrics are primarily attributable to higher total shipments over the comparable prior year period due to the improvement of the overall economic environment as well as increased shipper confidence due to the finalization of the 2014 Financing Transactions and our modified labor agreement and the additional 4.5 workdays in the first three quarters of 2014 compared to the first three quarters of 2013. The increases in yield are primarily attributable to a stronger pricing environment and a reduction in excess capacity.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for Regional Transportation was $55.5 million for the first three quarters of 2014, a decrease of $1.7 million from the same period in 2013, consisting of the $111.6 million increase in revenue, offset by a $113.3 million, or 9.1%, increase in total operating expenses. The increase in total operating expenses was primarily driven by a $54.8 million, or 7.4%, increase in salaries, wages and employees’ benefits, a $25.6 million, or 41.6%, increase in purchased transportation, a $20.6 million, or 6.4%, increase in operating expenses and supplies and a $10.2 million, or 15.3%, increase in other operating expenses.</w:t>
      </w:r>
    </w:p>
    <w:p>
      <w:pPr>
        <w:spacing w:after="0" w:line="184" w:lineRule="exact"/>
        <w:rPr>
          <w:sz w:val="20"/>
          <w:szCs w:val="20"/>
          <w:color w:val="auto"/>
        </w:rPr>
      </w:pPr>
    </w:p>
    <w:p>
      <w:pPr>
        <w:jc w:val="both"/>
        <w:ind w:left="660" w:hanging="328"/>
        <w:spacing w:after="0" w:line="25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$54.8 million increase in salaries, wages and employees’ benefits in the first three quarters of 2014 was primarily the result of a $46.2 million increase in wages and benefits in the first three quarters of 2014 compared to the same period in 2013. This increase was largely driven by higher total shipments and by the negative impact the severe winter weather had on the productivity of our workforce in the first quarter which, among other things, increased our overtime and linehaul delay pay. The increase in salaries, wages and employees’ benefits was also caused by a $3.6 million increase in workers’ compensation expense, which was due, in large part, to an increase in new claims.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$25.6 million increase in purchased transportation was primarily driven by an increase in purchased local cartage and short-term revenue equipment rentals to handle the increased total shipments. We also had higher vehicle rent expense as our percentage of leased units has increased since last year due to our strategy of using operating leases to acquire new revenue equipment.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$20.6 million increase in operating expenses and supplies in the first three quarters of 2014 was primarily driven by a $10.9 million increase in fuel expense, which was largely the result of increased use due to higher total shipments and a $5.2 million increase in vehicle maintenance primarily due to an increase in miles driven and higher costs to support our aging fleet.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$10.2 million increase in other operating expenses in the first half of 2014 was primarily driven by a $4.1 million increase in our bodily injury and property damage expense due to unfavorable development on our outstanding claims and a $4.0 million increase in cargo claims, which was primarily caused by an increase in total shipments.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Non-GAAP Financial Measures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operating income to Adjusted EBITDA (defined in our New Term Loan credit agreement as “Consolidated EBITDA”) for the third quarter and first three quarters of 2014 and 2013, and the trailing twelve months ended September 30, 2014, is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6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color w:val="auto"/>
              </w:rPr>
              <w:t>Third Quarter</w:t>
            </w:r>
          </w:p>
        </w:tc>
        <w:tc>
          <w:tcPr>
            <w:tcW w:w="200" w:type="dxa"/>
            <w:vAlign w:val="bottom"/>
          </w:tcPr>
          <w:p>
            <w:pPr>
              <w:spacing w:after="0"/>
              <w:rPr>
                <w:sz w:val="24"/>
                <w:szCs w:val="24"/>
                <w:color w:val="auto"/>
              </w:rPr>
            </w:pPr>
          </w:p>
        </w:tc>
        <w:tc>
          <w:tcPr>
            <w:tcW w:w="18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First Three Quarters</w:t>
            </w:r>
          </w:p>
        </w:tc>
        <w:tc>
          <w:tcPr>
            <w:tcW w:w="120" w:type="dxa"/>
            <w:vAlign w:val="bottom"/>
          </w:tcPr>
          <w:p>
            <w:pPr>
              <w:spacing w:after="0"/>
              <w:rPr>
                <w:sz w:val="24"/>
                <w:szCs w:val="24"/>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Four Consecutive</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Quarters Ending</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September 30, 2014</w:t>
            </w:r>
          </w:p>
        </w:tc>
        <w:tc>
          <w:tcPr>
            <w:tcW w:w="0" w:type="dxa"/>
            <w:vAlign w:val="bottom"/>
          </w:tcPr>
          <w:p>
            <w:pPr>
              <w:spacing w:after="0"/>
              <w:rPr>
                <w:sz w:val="1"/>
                <w:szCs w:val="1"/>
                <w:color w:val="auto"/>
              </w:rPr>
            </w:pPr>
          </w:p>
        </w:tc>
      </w:tr>
      <w:tr>
        <w:trPr>
          <w:trHeight w:val="242"/>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Reconciliation of operating income to adjusted EBITDA:</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Permitted dispositions and other</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nonoperating, net</w:t>
            </w:r>
            <w:r>
              <w:rPr>
                <w:rFonts w:ascii="Times New Roman" w:cs="Times New Roman" w:eastAsia="Times New Roman" w:hAnsi="Times New Roman"/>
                <w:sz w:val="25"/>
                <w:szCs w:val="25"/>
                <w:color w:val="auto"/>
                <w:vertAlign w:val="superscript"/>
              </w:rPr>
              <w:t>(a)</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
        <w:spacing w:after="0" w:line="251" w:lineRule="auto"/>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New Term Loan, other nonoperating, net shown above does not include the impact of earnings (loss) of our equity method investment as well as all non-cash foreign currency gains or losses.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Free Cash Flow (Deficit)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Adjusted EBITDA to adjusted free cash flow (deficit) for the third quarter and first three quarters of 2014 and 2013 including the reconciliation to adjusted free cash flow (deficit)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letter of credit fees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Working Capital cash flows excluding income tax,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received for income taxes,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Free Cash Flow (Deficit)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Adjusted EBITDA by segment for the third quarter and first three quarters of 2014 and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YRC Freight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87.8</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Regional Transportation</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196.2</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operating income (loss), by segment, to Adjusted EBITDA for the third quarter and first three quarters of 2014 and 2013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YRC Freight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Reconciliation of operating income (loss)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nonoperating expenses, net</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p>
      <w:pPr>
        <w:ind w:left="200" w:hanging="151"/>
        <w:spacing w:after="0"/>
        <w:tabs>
          <w:tab w:leader="none" w:pos="20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New Term Loan, other nonoperating, net shown above does not include the impact of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-132715</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Regional Transportation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Reconciliation of operating income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nonoperating expenses,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r>
      <w:tr>
        <w:trPr>
          <w:trHeight w:val="570"/>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Corporate and other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2013</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Reconciliation of operating loss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dispositions and other</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nonoperating income, net</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right="100" w:firstLine="8"/>
        <w:spacing w:after="0" w:line="251"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New Term Loan, other nonoperating, net shown above does not include the impact of earnings (loss) of our equity method investment as well as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-259080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Condition/Liquidity and Capital Resources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borrowings under our New ABL Facility and any prospective net operating cash flows from operations. As of September 30, 2014, we had cash and cash equivalents of $181.4 million, and cash and cash equivalents and amounts able to be drawn on our New ABL Facility totaling $212.9 million. The amount which is actually able to be drawn on our New ABL Facility is limited by certain financial covenants in the New ABL 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uses of cash are to fund our operations, including making contributions to our single-employer pension plans and various multi-employer pension funds, and to meet our other cash obligations, including paying cash interest and principal on our funded debt, letter of credit fees under our credit facilities and funding capital expenditures. For the nine months ended September 30, 2014, we used net cash of $26.3 million for our operating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considerable amount of indebtedness. As of September 30, 2014, we had $1,116.8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$6.8 million and $23.2 million, respectively. In addition, we have, and will continue to have, substantial operating lease obligations. As of September 30, 2014, our minimum rental expense under operating leases for the remainder of the year is $14.0 million. As of September 30, 2014, our operating lease obligations through 2025 totaled $153.7 million and is expected to increase as we lease additional revenue equipment. As of September 30, 2014, our Standard &amp; Poor’s Corporate Family Rating was “CCC+” and Moody’s Investor Service Corporate Family Rating was “B3”.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expenditures for the first three quarters of 2014 and 2013 were $47.6 million and $56.5 million, respectively. These amounts were principally used to fund replacement engines and trailer refurbishments for our revenue fleet, capitalized costs for our network facilities and technology infrastructure. Additionally, for the first three quarters of 2014, we entered into new operating leases for revenue equipment for $11.8 million, payable over the average lease term of three years. In light of our operating results and liquidity needs, we have deferred certain capital expenditures and expect to continue to do so for the remainder of 2014. As a result, the average age of our fleet is increasing, which may affect our maintenance costs and operational efficiency unless we are able to obtain suitable lease financing to meet our replacement equipment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13, 2014, we completed the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25, 2014, the Company entered into the Credit Agreement Amendment to, among other things, adjust the maximum permitted total leverage ratio through December 31, 2016 and increase the applicable interest rate over the same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Amendment resets the total maximum leverage ratio covenants as follows:</w:t>
      </w:r>
    </w:p>
    <w:p>
      <w:pPr>
        <w:spacing w:after="0" w:line="36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160" w:type="dxa"/>
            <w:vAlign w:val="bottom"/>
          </w:tcPr>
          <w:p>
            <w:pPr>
              <w:spacing w:after="0"/>
              <w:rPr>
                <w:sz w:val="13"/>
                <w:szCs w:val="13"/>
                <w:color w:val="auto"/>
              </w:rPr>
            </w:pPr>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2017 and thereafter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effectiveness of the Credit Agreement Amendment, each consenting lender received a fee equal to 0.25% of their outstanding exposure, resulting in $1.7 million of fees paid in the third quarter of 2014. These fees have been included in ‘Other Assets’ on the consolidated balance sheet and will be amortized over the remaining life of the New Term Loan.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Adjusted EBITDA, defined in the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Credit Agreement Amendment, is the aggregate principal amount of indebtedness outstanding. Our total leverage ratio for the four consecutive fiscal quarters ending September 30, 2014 was 4.94 to 1.00.</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results of operations will be sufficient to allow us to comply with the covenants in the Credit Agreement Amendment, fund our operations, increase working capital as necessary to support our planned revenue growth and fund capital expenditures for the next twelve months. In order for us to maintain compliance with the maximum total leverage ratio over the term of the New Term Loan, we must achieve operating results which reflect continuing improvement over our recent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satisfy our liquidity needs and meet future stepped-up covenants is primarily dependent on improvements to our profitability. Improvements to our profitability primarily include continued successful implementation and realization of productivity and efficiency initiatives including those identified in the modified labor agreement as well as pricing improvements. Some of these are outside of our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our operating results indicate we will not meet our maximum total leverage ratio, we may take action to improve our maximum total leverage ratio which will include paying down our outstanding indebtedness with either cash on hand or from cash proceeds from equity issuances. The issuance of equity is outside of our control and there can be no assurance that we will be able to issue additional equity at terms that are agreeable to us or that we would have sufficient cash on hand to meet the maximum total leverage ratio.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we fail to comply with any New Term Loan covenant or any New ABL Facility covenant, we would be considered in default, which would enable applicable lenders to accelerate the repayment of amounts outstanding, require the cash 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 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$26.3 million in the first three quarters of 2014 compared to $3.0 million in the first three quarters of 2013. This increase in cash utilization is primarily attributable to a $32.0 million year-over-year increase in the change in accounts receivable due to increased revenue, offset by a $10.1 million year-over-year decrease in net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cash flows increased by $52.1 million during the first three quarters of 2014 compared to the same period in 2013, largely driven by a net $57.1 million in proceeds from restricted escrow in 2014, compared to $19.9 million in proceeds in 2013. The 2014 restricted escrow deposits consist mostly of $38.6 million for the New ABL Facility, offset by the reduction of the $90.0 million receipt for the Prior ABL Facility and the reduction of deposits required for our New ABL Facility due to an increase in the borrowing base. In addition there was an $8.9 million decrease in the acquisition of property and equipment as we are using operating leases to procure our revenue equipment.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first three quarters of 2014 was $8.2 million compared to net cash used in financing activities of $6.3 million in the first three quarters of 2013. The cash provided during the first three quarters of 2014 was driven by the issuance of $693.0 million in long-term debt for the New Term Loan and $250.0 million equity issuance proceeds. These were offset by $888.7 million of repayments on our long-term debt. The repayments primarily consisted of $298.1 million for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Term Loan, $324.9 million for the Prior ABL Facility, $69.4 million for the 6% Notes and $183.5 million for the Series A Notes. We also had $29.0 million in debt issuance costs and $17.1 million in equity issuance costs related to our new debt and equity issued in 2014. During the first three quarters of 2013, the use of cash was driven by $6.6 million of repayments on other long-term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Non-union Pension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2014, Congress passed the “Highway and Transportation Funding Act of 2014” (“HATFA”) that, among other things, changed the way future minimum required contributions are calculated for certain pension plans. As a result, our expected cash contributions for our non-union sponsored U.S. pension plans for 2014-2018 are expected to be approximately $90 million lower than the estimate provided in our annual report on Form 10-K for the year ended December 31, 2013. As of September 30, 2014, the contributions to our non-union sponsored U.S. pension plans are expected to be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Expected Cash Contributions</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2014</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8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8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8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Commercial Commitments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sections provide aggregated information regarding our contractual cash obligations and other commercial commitments as of September 30,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cash outflows that we are contractually obligated to make as of September 30,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Pr>
          <w:p>
            <w:pPr>
              <w:spacing w:after="0"/>
              <w:rPr>
                <w:sz w:val="22"/>
                <w:szCs w:val="22"/>
                <w:color w:val="auto"/>
              </w:rPr>
            </w:pPr>
          </w:p>
        </w:tc>
      </w:tr>
      <w:tr>
        <w:trPr>
          <w:trHeight w:val="269"/>
        </w:trPr>
        <w:tc>
          <w:tcPr>
            <w:tcW w:w="374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Balance sheet obligations:</w:t>
            </w:r>
            <w:r>
              <w:rPr>
                <w:rFonts w:ascii="Times New Roman" w:cs="Times New Roman" w:eastAsia="Times New Roman" w:hAnsi="Times New Roman"/>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25"/>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ABL borrowings, including interest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4"/>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unused line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5"/>
        </w:trPr>
        <w:tc>
          <w:tcPr>
            <w:tcW w:w="3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41"/>
        </w:trPr>
        <w:tc>
          <w:tcPr>
            <w:tcW w:w="3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5"/>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4"/>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70"/>
        </w:trPr>
        <w:tc>
          <w:tcPr>
            <w:tcW w:w="37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Future service obligations </w:t>
            </w:r>
            <w:r>
              <w:rPr>
                <w:rFonts w:ascii="Times New Roman" w:cs="Times New Roman" w:eastAsia="Times New Roman" w:hAnsi="Times New Roman"/>
                <w:sz w:val="25"/>
                <w:szCs w:val="25"/>
                <w:color w:val="auto"/>
                <w:vertAlign w:val="superscript"/>
              </w:rPr>
              <w:t>(d)</w:t>
            </w:r>
          </w:p>
        </w:tc>
        <w:tc>
          <w:tcPr>
            <w:tcW w:w="1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23"/>
                <w:szCs w:val="23"/>
                <w:color w:val="auto"/>
              </w:rPr>
            </w:pPr>
          </w:p>
        </w:tc>
      </w:tr>
      <w:tr>
        <w:trPr>
          <w:trHeight w:val="270"/>
        </w:trPr>
        <w:tc>
          <w:tcPr>
            <w:tcW w:w="3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380" w:type="dxa"/>
            <w:vAlign w:val="bottom"/>
            <w:tcBorders>
              <w:top w:val="single" w:sz="8" w:color="auto"/>
            </w:tcBorders>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20" w:hanging="332"/>
        <w:spacing w:after="0" w:line="253"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for uncertain income tax positions as of September 30, 2014 were $20.5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$229.6 million of lease financing obligation payments represent interest payments of $167.6 million and principal payments of $62.0 million. The remaining principle obligation is offset by the estimated book value of leased property at the expiration date of each lease agreement.</w:t>
      </w:r>
    </w:p>
    <w:p>
      <w:pPr>
        <w:ind w:left="340" w:right="20" w:hanging="332"/>
        <w:spacing w:after="0" w:line="258"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workers’ compensation, property damage and liability claims obligations represent our undiscounted estimate of future payments for these obligations, not all of which are contractually required.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service obligations consist primarily of hardware and software maintenance contracts.</w:t>
      </w: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2014, we entered into new operating leases for revenue equipment of $11.8 million with a capital value of $13.2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Commercial Commitments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color w:val="auto"/>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Less than 1 year</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1-3 years</w:t>
            </w:r>
          </w:p>
        </w:tc>
        <w:tc>
          <w:tcPr>
            <w:tcW w:w="26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After 5 years</w:t>
            </w:r>
          </w:p>
        </w:tc>
        <w:tc>
          <w:tcPr>
            <w:tcW w:w="34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color w:val="auto"/>
              </w:rPr>
              <w:t>Total</w:t>
            </w: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New ABL Facility</w:t>
            </w:r>
            <w:r>
              <w:rPr>
                <w:rFonts w:ascii="Times New Roman" w:cs="Times New Roman" w:eastAsia="Times New Roman" w:hAnsi="Times New Roman"/>
                <w:sz w:val="25"/>
                <w:szCs w:val="25"/>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75.5</w:t>
            </w:r>
          </w:p>
        </w:tc>
        <w:tc>
          <w:tcPr>
            <w:tcW w:w="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372.9</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372.9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Surety bonds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566.1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2014 we held $33.6 million in restricted escrow, which represents cash collateral on our New ABL Facility.</w:t>
      </w:r>
    </w:p>
    <w:p>
      <w:pPr>
        <w:spacing w:after="0" w:line="17" w:lineRule="exact"/>
        <w:rPr>
          <w:rFonts w:ascii="Times New Roman" w:cs="Times New Roman" w:eastAsia="Times New Roman" w:hAnsi="Times New Roman"/>
          <w:sz w:val="14"/>
          <w:szCs w:val="14"/>
          <w:color w:val="auto"/>
        </w:rPr>
      </w:pPr>
    </w:p>
    <w:p>
      <w:pPr>
        <w:ind w:left="340" w:hanging="332"/>
        <w:spacing w:after="0" w:line="258"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unused line of credit that may actually be drawn is limited by certain financial covenants in the New ABL Facility. As of September 30, 2014, the amount that actually may be drawn on the New ABL Facility is $31.5 million.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2014 and have concluded that our disclosure controls and procedures were effective as of September 30, 2014.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PART II—OTHER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Legal Proceedings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discuss legal proceedings in the “Commitments, Contingencies and Uncertainties” note to our Consolidated Financial Statements included with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quarter to the Risk Factors disclosed in Part I, Item 1A - “Risk Factors” in our annual report on Form 10-K for the year ended December 31, 2013 and in our Form 10-Q for the quarter ended June 30, 2014.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Material Contracts</w:t>
      </w:r>
    </w:p>
    <w:p>
      <w:pPr>
        <w:spacing w:after="0" w:line="387" w:lineRule="exact"/>
        <w:rPr>
          <w:sz w:val="20"/>
          <w:szCs w:val="20"/>
          <w:color w:val="auto"/>
        </w:rPr>
      </w:pPr>
    </w:p>
    <w:p>
      <w:pPr>
        <w:ind w:left="2220" w:right="460" w:hanging="1133"/>
        <w:spacing w:after="0" w:line="266" w:lineRule="auto"/>
        <w:tabs>
          <w:tab w:leader="none" w:pos="22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Amendment No. 1 to Credit Agreement dated as of September 25, 2014, by and among the Company, as borrower, the lenders party thereto and Credit Suisse AG, Cayman Islands Branch as administrative agent (incorporated by reference to Exhibit 10.1 to Current Report on Form 8-K, filed on September 25, 2014, File No. 000-12255).</w:t>
      </w: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160"/>
        <w:spacing w:after="0" w:line="281" w:lineRule="auto"/>
        <w:rPr>
          <w:sz w:val="20"/>
          <w:szCs w:val="20"/>
          <w:color w:val="auto"/>
        </w:rPr>
      </w:pPr>
      <w:r>
        <w:rPr>
          <w:rFonts w:ascii="Times New Roman" w:cs="Times New Roman" w:eastAsia="Times New Roman" w:hAnsi="Times New Roman"/>
          <w:sz w:val="18"/>
          <w:szCs w:val="18"/>
          <w:color w:val="auto"/>
        </w:rPr>
        <w:t>Certification of James L. Welch filed pursuant to Exchange Act Rules 13a-14 and 15d-14, as adopted pursuant to Section 302 of the Sarbanes-Oxley Act of 2002.</w:t>
      </w:r>
    </w:p>
    <w:p>
      <w:pPr>
        <w:spacing w:after="0" w:line="2"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right="380"/>
        <w:spacing w:after="0" w:line="281" w:lineRule="auto"/>
        <w:rPr>
          <w:sz w:val="20"/>
          <w:szCs w:val="20"/>
          <w:color w:val="auto"/>
        </w:rPr>
      </w:pPr>
      <w:r>
        <w:rPr>
          <w:rFonts w:ascii="Times New Roman" w:cs="Times New Roman" w:eastAsia="Times New Roman" w:hAnsi="Times New Roman"/>
          <w:sz w:val="18"/>
          <w:szCs w:val="18"/>
          <w:color w:val="auto"/>
        </w:rPr>
        <w:t>Certification of Jamie G. Pierson filed pursuant to Exchange Act Rules 13a-14 and 15d-14, as adopted pursuant to Section 302 of the Sarbanes-Oxley Act of 2002.</w:t>
      </w:r>
    </w:p>
    <w:p>
      <w:pPr>
        <w:spacing w:after="0" w:line="2"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right="520"/>
        <w:spacing w:after="0" w:line="281" w:lineRule="auto"/>
        <w:rPr>
          <w:sz w:val="20"/>
          <w:szCs w:val="20"/>
          <w:color w:val="auto"/>
        </w:rPr>
      </w:pPr>
      <w:r>
        <w:rPr>
          <w:rFonts w:ascii="Times New Roman" w:cs="Times New Roman" w:eastAsia="Times New Roman" w:hAnsi="Times New Roman"/>
          <w:sz w:val="18"/>
          <w:szCs w:val="18"/>
          <w:color w:val="auto"/>
        </w:rPr>
        <w:t>Certification of James L. Welch furnished pursuant to 18 U.S.C. Section 1350, as adopted pursuant to Section 906 of the Sarbanes-Oxley Act of 2002.</w:t>
      </w:r>
    </w:p>
    <w:p>
      <w:pPr>
        <w:spacing w:after="0" w:line="2"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Certification of Jamie G. Pierson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74" w:lineRule="exact"/>
        <w:rPr>
          <w:sz w:val="20"/>
          <w:szCs w:val="20"/>
          <w:color w:val="auto"/>
        </w:rPr>
      </w:pPr>
    </w:p>
    <w:p>
      <w:pPr>
        <w:sectPr>
          <w:pgSz w:w="11900" w:h="16838" w:orient="portrait"/>
          <w:cols w:equalWidth="0" w:num="2">
            <w:col w:w="1880" w:space="34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w:t>
      </w:r>
    </w:p>
    <w:p>
      <w:pPr>
        <w:spacing w:after="0" w:line="74" w:lineRule="exact"/>
        <w:rPr>
          <w:sz w:val="20"/>
          <w:szCs w:val="20"/>
          <w:color w:val="auto"/>
        </w:rPr>
      </w:pPr>
    </w:p>
    <w:p>
      <w:pPr>
        <w:sectPr>
          <w:pgSz w:w="11900" w:h="16838" w:orient="portrait"/>
          <w:cols w:equalWidth="0" w:num="2">
            <w:col w:w="1940" w:space="28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p>
      <w:pPr>
        <w:spacing w:after="0" w:line="74" w:lineRule="exact"/>
        <w:rPr>
          <w:sz w:val="20"/>
          <w:szCs w:val="20"/>
          <w:color w:val="auto"/>
        </w:rPr>
      </w:pPr>
    </w:p>
    <w:p>
      <w:pPr>
        <w:sectPr>
          <w:pgSz w:w="11900" w:h="16838" w:orient="portrait"/>
          <w:cols w:equalWidth="0" w:num="2">
            <w:col w:w="1940" w:space="28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w:t>
      </w:r>
    </w:p>
    <w:p>
      <w:pPr>
        <w:spacing w:after="0" w:line="74" w:lineRule="exact"/>
        <w:rPr>
          <w:sz w:val="20"/>
          <w:szCs w:val="20"/>
          <w:color w:val="auto"/>
        </w:rPr>
      </w:pPr>
    </w:p>
    <w:p>
      <w:pPr>
        <w:sectPr>
          <w:pgSz w:w="11900" w:h="16838" w:orient="portrait"/>
          <w:cols w:equalWidth="0" w:num="2">
            <w:col w:w="1920" w:space="30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p>
      <w:pPr>
        <w:spacing w:after="0" w:line="74" w:lineRule="exact"/>
        <w:rPr>
          <w:sz w:val="20"/>
          <w:szCs w:val="20"/>
          <w:color w:val="auto"/>
        </w:rPr>
      </w:pPr>
    </w:p>
    <w:p>
      <w:pPr>
        <w:sectPr>
          <w:pgSz w:w="11900" w:h="16838" w:orient="portrait"/>
          <w:cols w:equalWidth="0" w:num="2">
            <w:col w:w="1940" w:space="28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p>
      <w:pPr>
        <w:spacing w:after="0" w:line="47" w:lineRule="exact"/>
        <w:rPr>
          <w:sz w:val="20"/>
          <w:szCs w:val="20"/>
          <w:color w:val="auto"/>
        </w:rPr>
      </w:pPr>
    </w:p>
    <w:p>
      <w:pPr>
        <w:sectPr>
          <w:pgSz w:w="11900" w:h="16838" w:orient="portrait"/>
          <w:cols w:equalWidth="0" w:num="2">
            <w:col w:w="1920" w:space="300"/>
            <w:col w:w="9200"/>
          </w:cols>
          <w:pgMar w:left="240" w:top="11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documents filed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YRC WORLDWIDE INC.</w:t>
            </w:r>
          </w:p>
        </w:tc>
      </w:tr>
      <w:tr>
        <w:trPr>
          <w:trHeight w:val="91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2014</w:t>
            </w: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2014</w:t>
            </w: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420"/>
          </w:cols>
          <w:pgMar w:left="240" w:top="118"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ind w:left="1140" w:right="2300" w:hanging="443"/>
        <w:spacing w:after="0" w:line="261"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140" w:right="2280" w:hanging="443"/>
        <w:spacing w:after="0" w:line="261"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140" w:right="2460" w:hanging="443"/>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140" w:right="2400" w:hanging="443"/>
        <w:spacing w:after="0" w:line="258"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2240" w:hanging="443"/>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1140" w:right="2360" w:hanging="443"/>
        <w:spacing w:after="0" w:line="282"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30, 2014</w:t>
      </w:r>
      <w:r>
        <w:rPr>
          <w:sz w:val="20"/>
          <w:szCs w:val="20"/>
          <w:color w:val="auto"/>
        </w:rPr>
        <w:tab/>
      </w:r>
      <w:r>
        <w:rPr>
          <w:rFonts w:ascii="Times New Roman" w:cs="Times New Roman" w:eastAsia="Times New Roman" w:hAnsi="Times New Roman"/>
          <w:sz w:val="17"/>
          <w:szCs w:val="17"/>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ind w:left="1140" w:right="2300" w:hanging="443"/>
        <w:spacing w:after="0" w:line="261"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140" w:right="2280" w:hanging="443"/>
        <w:spacing w:after="0" w:line="261"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140" w:right="2460" w:hanging="443"/>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140" w:right="2400" w:hanging="443"/>
        <w:spacing w:after="0" w:line="258"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2240" w:hanging="443"/>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1140" w:right="2360" w:hanging="443"/>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30, 2014</w:t>
      </w:r>
      <w:r>
        <w:rPr>
          <w:sz w:val="20"/>
          <w:szCs w:val="20"/>
          <w:color w:val="auto"/>
        </w:rPr>
        <w:tab/>
      </w:r>
      <w:r>
        <w:rPr>
          <w:rFonts w:ascii="Times New Roman" w:cs="Times New Roman" w:eastAsia="Times New Roman" w:hAnsi="Times New Roman"/>
          <w:sz w:val="17"/>
          <w:szCs w:val="17"/>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30, 2014</w:t>
      </w:r>
      <w:r>
        <w:rPr>
          <w:sz w:val="20"/>
          <w:szCs w:val="20"/>
          <w:color w:val="auto"/>
        </w:rPr>
        <w:tab/>
      </w:r>
      <w:r>
        <w:rPr>
          <w:rFonts w:ascii="Times New Roman" w:cs="Times New Roman" w:eastAsia="Times New Roman" w:hAnsi="Times New Roman"/>
          <w:sz w:val="17"/>
          <w:szCs w:val="17"/>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30, 2014</w:t>
      </w:r>
      <w:r>
        <w:rPr>
          <w:sz w:val="20"/>
          <w:szCs w:val="20"/>
          <w:color w:val="auto"/>
        </w:rPr>
        <w:tab/>
      </w:r>
      <w:r>
        <w:rPr>
          <w:rFonts w:ascii="Times New Roman" w:cs="Times New Roman" w:eastAsia="Times New Roman" w:hAnsi="Times New Roman"/>
          <w:sz w:val="17"/>
          <w:szCs w:val="17"/>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lvl w:ilvl="1">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4"/>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2019-12-05T19:48:25Z</dcterms:created>
  <dcterms:modified xsi:type="dcterms:W3CDTF">2019-12-05T19:48:25Z</dcterms:modified>
</cp:coreProperties>
</file>