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20"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80010</wp:posOffset>
            </wp:positionV>
            <wp:extent cx="17659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100965</wp:posOffset>
            </wp:positionV>
            <wp:extent cx="17659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396"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(Mark One)</w:t>
      </w:r>
    </w:p>
    <w:p>
      <w:pPr>
        <w:spacing w:after="0" w:line="57"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76" w:lineRule="exact"/>
        <w:rPr>
          <w:rFonts w:ascii="MS PGothic" w:cs="MS PGothic" w:eastAsia="MS PGothic" w:hAnsi="MS PGothic"/>
          <w:sz w:val="20"/>
          <w:szCs w:val="20"/>
          <w:color w:val="auto"/>
        </w:rPr>
      </w:pPr>
    </w:p>
    <w:p>
      <w:pPr>
        <w:ind w:left="4100"/>
        <w:spacing w:after="0"/>
        <w:rPr>
          <w:rFonts w:ascii="MS PGothic" w:cs="MS PGothic" w:eastAsia="MS PGothic" w:hAnsi="MS PGothic"/>
          <w:sz w:val="20"/>
          <w:szCs w:val="20"/>
          <w:color w:val="auto"/>
        </w:rPr>
      </w:pPr>
      <w:r>
        <w:rPr>
          <w:rFonts w:ascii="Arial" w:cs="Arial" w:eastAsia="Arial" w:hAnsi="Arial"/>
          <w:sz w:val="17"/>
          <w:szCs w:val="17"/>
          <w:b w:val="1"/>
          <w:bCs w:val="1"/>
          <w:color w:val="auto"/>
        </w:rPr>
        <w:t>For the quarterly period ended June 30, 2018</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53" w:lineRule="exact"/>
        <w:rPr>
          <w:sz w:val="24"/>
          <w:szCs w:val="24"/>
          <w:color w:val="auto"/>
        </w:rPr>
      </w:pPr>
    </w:p>
    <w:p>
      <w:pPr>
        <w:ind w:left="380" w:hanging="354"/>
        <w:spacing w:after="0"/>
        <w:tabs>
          <w:tab w:leader="none" w:pos="380" w:val="left"/>
        </w:tabs>
        <w:numPr>
          <w:ilvl w:val="0"/>
          <w:numId w:val="2"/>
        </w:numPr>
        <w:rPr>
          <w:rFonts w:ascii="Arial" w:cs="Arial" w:eastAsia="Arial" w:hAnsi="Arial"/>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420"/>
          </w:cols>
          <w:pgMar w:left="240" w:top="222" w:right="239" w:bottom="1440" w:gutter="0" w:footer="0" w:header="0"/>
        </w:sectPr>
      </w:pPr>
    </w:p>
    <w:p>
      <w:pPr>
        <w:spacing w:after="0" w:line="76" w:lineRule="exact"/>
        <w:rPr>
          <w:sz w:val="24"/>
          <w:szCs w:val="24"/>
          <w:color w:val="auto"/>
        </w:rPr>
      </w:pPr>
    </w:p>
    <w:p>
      <w:pPr>
        <w:ind w:left="3700"/>
        <w:spacing w:after="0"/>
        <w:rPr>
          <w:sz w:val="20"/>
          <w:szCs w:val="20"/>
          <w:color w:val="auto"/>
        </w:rPr>
      </w:pPr>
      <w:r>
        <w:rPr>
          <w:rFonts w:ascii="Arial" w:cs="Arial" w:eastAsia="Arial" w:hAnsi="Arial"/>
          <w:sz w:val="15"/>
          <w:szCs w:val="15"/>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90" w:lineRule="exact"/>
        <w:rPr>
          <w:sz w:val="24"/>
          <w:szCs w:val="24"/>
          <w:color w:val="auto"/>
        </w:rPr>
      </w:pPr>
    </w:p>
    <w:p>
      <w:pPr>
        <w:sectPr>
          <w:pgSz w:w="11900" w:h="16838" w:orient="portrait"/>
          <w:cols w:equalWidth="0" w:num="2">
            <w:col w:w="6020" w:space="720"/>
            <w:col w:w="4680"/>
          </w:cols>
          <w:pgMar w:left="240" w:top="222"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0-12255</w:t>
      </w:r>
    </w:p>
    <w:p>
      <w:pPr>
        <w:sectPr>
          <w:pgSz w:w="11900" w:h="16838" w:orient="portrait"/>
          <w:cols w:equalWidth="0" w:num="1">
            <w:col w:w="11420"/>
          </w:cols>
          <w:pgMar w:left="240" w:top="222" w:right="2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YRC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-269875</wp:posOffset>
            </wp:positionV>
            <wp:extent cx="17659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90170</wp:posOffset>
            </wp:positionV>
            <wp:extent cx="17659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tbl>
      <w:tblPr>
        <w:tblLayout w:type="fixed"/>
        <w:tblInd w:w="1260" w:type="dxa"/>
        <w:tblCellMar>
          <w:top w:w="0" w:type="dxa"/>
          <w:left w:w="0" w:type="dxa"/>
          <w:bottom w:w="0" w:type="dxa"/>
          <w:right w:w="0" w:type="dxa"/>
        </w:tblCellMar>
      </w:tblPr>
      <w:tr>
        <w:trPr>
          <w:trHeight w:val="217"/>
        </w:trPr>
        <w:tc>
          <w:tcPr>
            <w:tcW w:w="6360" w:type="dxa"/>
            <w:vAlign w:val="bottom"/>
          </w:tcPr>
          <w:p>
            <w:pPr>
              <w:jc w:val="center"/>
              <w:ind w:right="3205"/>
              <w:spacing w:after="0"/>
              <w:rPr>
                <w:sz w:val="20"/>
                <w:szCs w:val="20"/>
                <w:color w:val="auto"/>
              </w:rPr>
            </w:pPr>
            <w:r>
              <w:rPr>
                <w:rFonts w:ascii="Arial" w:cs="Arial" w:eastAsia="Arial" w:hAnsi="Arial"/>
                <w:sz w:val="17"/>
                <w:szCs w:val="17"/>
                <w:b w:val="1"/>
                <w:bCs w:val="1"/>
                <w:color w:val="auto"/>
                <w:w w:val="91"/>
              </w:rPr>
              <w:t>Delaware</w:t>
            </w:r>
          </w:p>
        </w:tc>
        <w:tc>
          <w:tcPr>
            <w:tcW w:w="1460" w:type="dxa"/>
            <w:vAlign w:val="bottom"/>
          </w:tcPr>
          <w:p>
            <w:pPr>
              <w:jc w:val="right"/>
              <w:ind w:right="46"/>
              <w:spacing w:after="0"/>
              <w:rPr>
                <w:sz w:val="20"/>
                <w:szCs w:val="20"/>
                <w:color w:val="auto"/>
              </w:rPr>
            </w:pPr>
            <w:r>
              <w:rPr>
                <w:rFonts w:ascii="Arial" w:cs="Arial" w:eastAsia="Arial" w:hAnsi="Arial"/>
                <w:sz w:val="17"/>
                <w:szCs w:val="17"/>
                <w:b w:val="1"/>
                <w:bCs w:val="1"/>
                <w:color w:val="auto"/>
              </w:rPr>
              <w:t>48-0948788</w:t>
            </w:r>
          </w:p>
        </w:tc>
      </w:tr>
      <w:tr>
        <w:trPr>
          <w:trHeight w:val="169"/>
        </w:trPr>
        <w:tc>
          <w:tcPr>
            <w:tcW w:w="6360" w:type="dxa"/>
            <w:vAlign w:val="bottom"/>
          </w:tcPr>
          <w:p>
            <w:pPr>
              <w:jc w:val="center"/>
              <w:ind w:right="3205"/>
              <w:spacing w:after="0"/>
              <w:rPr>
                <w:sz w:val="20"/>
                <w:szCs w:val="20"/>
                <w:color w:val="auto"/>
              </w:rPr>
            </w:pPr>
            <w:r>
              <w:rPr>
                <w:rFonts w:ascii="Arial" w:cs="Arial" w:eastAsia="Arial" w:hAnsi="Arial"/>
                <w:sz w:val="13"/>
                <w:szCs w:val="13"/>
                <w:b w:val="1"/>
                <w:bCs w:val="1"/>
                <w:color w:val="auto"/>
                <w:w w:val="94"/>
              </w:rPr>
              <w:t>(State or other jurisdiction of</w:t>
            </w:r>
          </w:p>
        </w:tc>
        <w:tc>
          <w:tcPr>
            <w:tcW w:w="1460" w:type="dxa"/>
            <w:vAlign w:val="bottom"/>
          </w:tcPr>
          <w:p>
            <w:pPr>
              <w:jc w:val="center"/>
              <w:ind w:left="326"/>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6360" w:type="dxa"/>
            <w:vAlign w:val="bottom"/>
          </w:tcPr>
          <w:p>
            <w:pPr>
              <w:jc w:val="center"/>
              <w:ind w:right="3225"/>
              <w:spacing w:after="0"/>
              <w:rPr>
                <w:sz w:val="20"/>
                <w:szCs w:val="20"/>
                <w:color w:val="auto"/>
              </w:rPr>
            </w:pPr>
            <w:r>
              <w:rPr>
                <w:rFonts w:ascii="Arial" w:cs="Arial" w:eastAsia="Arial" w:hAnsi="Arial"/>
                <w:sz w:val="13"/>
                <w:szCs w:val="13"/>
                <w:b w:val="1"/>
                <w:bCs w:val="1"/>
                <w:color w:val="auto"/>
                <w:w w:val="93"/>
              </w:rPr>
              <w:t>incorporation or organization)</w:t>
            </w:r>
          </w:p>
        </w:tc>
        <w:tc>
          <w:tcPr>
            <w:tcW w:w="1460" w:type="dxa"/>
            <w:vAlign w:val="bottom"/>
          </w:tcPr>
          <w:p>
            <w:pPr>
              <w:jc w:val="center"/>
              <w:ind w:left="326"/>
              <w:spacing w:after="0"/>
              <w:rPr>
                <w:sz w:val="20"/>
                <w:szCs w:val="20"/>
                <w:color w:val="auto"/>
              </w:rPr>
            </w:pPr>
            <w:r>
              <w:rPr>
                <w:rFonts w:ascii="Arial" w:cs="Arial" w:eastAsia="Arial" w:hAnsi="Arial"/>
                <w:sz w:val="13"/>
                <w:szCs w:val="13"/>
                <w:b w:val="1"/>
                <w:bCs w:val="1"/>
                <w:color w:val="auto"/>
                <w:w w:val="96"/>
              </w:rPr>
              <w:t>Identification No.)</w:t>
            </w:r>
          </w:p>
        </w:tc>
      </w:tr>
      <w:tr>
        <w:trPr>
          <w:trHeight w:val="350"/>
        </w:trPr>
        <w:tc>
          <w:tcPr>
            <w:tcW w:w="6360" w:type="dxa"/>
            <w:vAlign w:val="bottom"/>
          </w:tcPr>
          <w:p>
            <w:pPr>
              <w:jc w:val="center"/>
              <w:ind w:right="3205"/>
              <w:spacing w:after="0"/>
              <w:rPr>
                <w:sz w:val="20"/>
                <w:szCs w:val="20"/>
                <w:color w:val="auto"/>
              </w:rPr>
            </w:pPr>
            <w:r>
              <w:rPr>
                <w:rFonts w:ascii="Arial" w:cs="Arial" w:eastAsia="Arial" w:hAnsi="Arial"/>
                <w:sz w:val="17"/>
                <w:szCs w:val="17"/>
                <w:b w:val="1"/>
                <w:bCs w:val="1"/>
                <w:color w:val="auto"/>
                <w:w w:val="89"/>
              </w:rPr>
              <w:t>10990 Roe Avenue, Overland Park, Kansas</w:t>
            </w:r>
          </w:p>
        </w:tc>
        <w:tc>
          <w:tcPr>
            <w:tcW w:w="1460" w:type="dxa"/>
            <w:vAlign w:val="bottom"/>
          </w:tcPr>
          <w:p>
            <w:pPr>
              <w:jc w:val="right"/>
              <w:ind w:right="246"/>
              <w:spacing w:after="0"/>
              <w:rPr>
                <w:sz w:val="20"/>
                <w:szCs w:val="20"/>
                <w:color w:val="auto"/>
              </w:rPr>
            </w:pPr>
            <w:r>
              <w:rPr>
                <w:rFonts w:ascii="Arial" w:cs="Arial" w:eastAsia="Arial" w:hAnsi="Arial"/>
                <w:sz w:val="17"/>
                <w:szCs w:val="17"/>
                <w:b w:val="1"/>
                <w:bCs w:val="1"/>
                <w:color w:val="auto"/>
              </w:rPr>
              <w:t>66211</w:t>
            </w:r>
          </w:p>
        </w:tc>
      </w:tr>
      <w:tr>
        <w:trPr>
          <w:trHeight w:val="204"/>
        </w:trPr>
        <w:tc>
          <w:tcPr>
            <w:tcW w:w="6360" w:type="dxa"/>
            <w:vAlign w:val="bottom"/>
          </w:tcPr>
          <w:p>
            <w:pPr>
              <w:jc w:val="center"/>
              <w:ind w:right="3225"/>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1460" w:type="dxa"/>
            <w:vAlign w:val="bottom"/>
          </w:tcPr>
          <w:p>
            <w:pPr>
              <w:jc w:val="center"/>
              <w:ind w:left="326"/>
              <w:spacing w:after="0"/>
              <w:rPr>
                <w:sz w:val="20"/>
                <w:szCs w:val="20"/>
                <w:color w:val="auto"/>
              </w:rPr>
            </w:pPr>
            <w:r>
              <w:rPr>
                <w:rFonts w:ascii="Arial" w:cs="Arial" w:eastAsia="Arial" w:hAnsi="Arial"/>
                <w:sz w:val="13"/>
                <w:szCs w:val="13"/>
                <w:b w:val="1"/>
                <w:bCs w:val="1"/>
                <w:color w:val="auto"/>
                <w:w w:val="96"/>
              </w:rPr>
              <w:t>(Zip Code)</w:t>
            </w:r>
          </w:p>
        </w:tc>
      </w:tr>
      <w:tr>
        <w:trPr>
          <w:trHeight w:val="325"/>
        </w:trPr>
        <w:tc>
          <w:tcPr>
            <w:tcW w:w="6360" w:type="dxa"/>
            <w:vAlign w:val="bottom"/>
          </w:tcPr>
          <w:p>
            <w:pPr>
              <w:jc w:val="center"/>
              <w:ind w:left="2485"/>
              <w:spacing w:after="0"/>
              <w:rPr>
                <w:sz w:val="20"/>
                <w:szCs w:val="20"/>
                <w:color w:val="auto"/>
              </w:rPr>
            </w:pPr>
            <w:r>
              <w:rPr>
                <w:rFonts w:ascii="Arial" w:cs="Arial" w:eastAsia="Arial" w:hAnsi="Arial"/>
                <w:sz w:val="17"/>
                <w:szCs w:val="17"/>
                <w:b w:val="1"/>
                <w:bCs w:val="1"/>
                <w:color w:val="auto"/>
                <w:w w:val="89"/>
              </w:rPr>
              <w:t>(913) 696-6100</w:t>
            </w:r>
          </w:p>
        </w:tc>
        <w:tc>
          <w:tcPr>
            <w:tcW w:w="1460" w:type="dxa"/>
            <w:vAlign w:val="bottom"/>
          </w:tcPr>
          <w:p>
            <w:pPr>
              <w:spacing w:after="0"/>
              <w:rPr>
                <w:sz w:val="24"/>
                <w:szCs w:val="24"/>
                <w:color w:val="auto"/>
              </w:rPr>
            </w:pPr>
          </w:p>
        </w:tc>
      </w:tr>
      <w:tr>
        <w:trPr>
          <w:trHeight w:val="179"/>
        </w:trPr>
        <w:tc>
          <w:tcPr>
            <w:tcW w:w="6360" w:type="dxa"/>
            <w:vAlign w:val="bottom"/>
          </w:tcPr>
          <w:p>
            <w:pPr>
              <w:jc w:val="center"/>
              <w:ind w:left="2465"/>
              <w:spacing w:after="0"/>
              <w:rPr>
                <w:sz w:val="20"/>
                <w:szCs w:val="20"/>
                <w:color w:val="auto"/>
              </w:rPr>
            </w:pPr>
            <w:r>
              <w:rPr>
                <w:rFonts w:ascii="Arial" w:cs="Arial" w:eastAsia="Arial" w:hAnsi="Arial"/>
                <w:sz w:val="13"/>
                <w:szCs w:val="13"/>
                <w:b w:val="1"/>
                <w:bCs w:val="1"/>
                <w:color w:val="auto"/>
                <w:w w:val="91"/>
              </w:rPr>
              <w:t>(Registrant’s telephone number, including area code)</w:t>
            </w:r>
          </w:p>
        </w:tc>
        <w:tc>
          <w:tcPr>
            <w:tcW w:w="1460" w:type="dxa"/>
            <w:vAlign w:val="bottom"/>
          </w:tcPr>
          <w:p>
            <w:pPr>
              <w:spacing w:after="0"/>
              <w:rPr>
                <w:sz w:val="15"/>
                <w:szCs w:val="15"/>
                <w:color w:val="auto"/>
              </w:rPr>
            </w:pPr>
          </w:p>
        </w:tc>
      </w:tr>
      <w:tr>
        <w:trPr>
          <w:trHeight w:val="224"/>
        </w:trPr>
        <w:tc>
          <w:tcPr>
            <w:tcW w:w="6360" w:type="dxa"/>
            <w:vAlign w:val="bottom"/>
          </w:tcPr>
          <w:p>
            <w:pPr>
              <w:jc w:val="center"/>
              <w:ind w:left="2465"/>
              <w:spacing w:after="0"/>
              <w:rPr>
                <w:sz w:val="20"/>
                <w:szCs w:val="20"/>
                <w:color w:val="auto"/>
              </w:rPr>
            </w:pPr>
            <w:r>
              <w:rPr>
                <w:rFonts w:ascii="Arial" w:cs="Arial" w:eastAsia="Arial" w:hAnsi="Arial"/>
                <w:sz w:val="17"/>
                <w:szCs w:val="17"/>
                <w:b w:val="1"/>
                <w:bCs w:val="1"/>
                <w:color w:val="auto"/>
                <w:w w:val="89"/>
              </w:rPr>
              <w:t>None</w:t>
            </w:r>
          </w:p>
        </w:tc>
        <w:tc>
          <w:tcPr>
            <w:tcW w:w="1460" w:type="dxa"/>
            <w:vAlign w:val="bottom"/>
          </w:tcPr>
          <w:p>
            <w:pPr>
              <w:spacing w:after="0"/>
              <w:rPr>
                <w:sz w:val="19"/>
                <w:szCs w:val="19"/>
                <w:color w:val="auto"/>
              </w:rPr>
            </w:pPr>
          </w:p>
        </w:tc>
      </w:tr>
    </w:tbl>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293370</wp:posOffset>
            </wp:positionV>
            <wp:extent cx="1765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both"/>
        <w:spacing w:after="0" w:line="21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2" w:lineRule="exact"/>
        <w:rPr>
          <w:sz w:val="24"/>
          <w:szCs w:val="24"/>
          <w:color w:val="auto"/>
        </w:rPr>
      </w:pPr>
    </w:p>
    <w:p>
      <w:pPr>
        <w:jc w:val="both"/>
        <w:spacing w:after="0" w:line="216"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2" w:lineRule="exact"/>
        <w:rPr>
          <w:sz w:val="24"/>
          <w:szCs w:val="24"/>
          <w:color w:val="auto"/>
        </w:rPr>
      </w:pPr>
    </w:p>
    <w:p>
      <w:pPr>
        <w:jc w:val="both"/>
        <w:spacing w:after="0" w:line="25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20" w:type="dxa"/>
        <w:tblCellMar>
          <w:top w:w="0" w:type="dxa"/>
          <w:left w:w="0" w:type="dxa"/>
          <w:bottom w:w="0" w:type="dxa"/>
          <w:right w:w="0" w:type="dxa"/>
        </w:tblCellMar>
      </w:tblPr>
      <w:tr>
        <w:trPr>
          <w:trHeight w:val="264"/>
        </w:trPr>
        <w:tc>
          <w:tcPr>
            <w:tcW w:w="2360" w:type="dxa"/>
            <w:vAlign w:val="bottom"/>
            <w:vMerge w:val="restart"/>
          </w:tcPr>
          <w:p>
            <w:pPr>
              <w:spacing w:after="0"/>
              <w:rPr>
                <w:sz w:val="20"/>
                <w:szCs w:val="20"/>
                <w:color w:val="auto"/>
              </w:rPr>
            </w:pPr>
            <w:r>
              <w:rPr>
                <w:rFonts w:ascii="Arial" w:cs="Arial" w:eastAsia="Arial" w:hAnsi="Arial"/>
                <w:sz w:val="17"/>
                <w:szCs w:val="17"/>
                <w:color w:val="auto"/>
              </w:rPr>
              <w:t>Large accelerated filer</w:t>
            </w:r>
          </w:p>
        </w:tc>
        <w:tc>
          <w:tcPr>
            <w:tcW w:w="980" w:type="dxa"/>
            <w:vAlign w:val="bottom"/>
          </w:tcPr>
          <w:p>
            <w:pPr>
              <w:ind w:left="860"/>
              <w:spacing w:after="0"/>
              <w:rPr>
                <w:sz w:val="20"/>
                <w:szCs w:val="20"/>
                <w:color w:val="auto"/>
              </w:rPr>
            </w:pPr>
            <w:r>
              <w:rPr>
                <w:rFonts w:ascii="Arial" w:cs="Arial" w:eastAsia="Arial" w:hAnsi="Arial"/>
                <w:sz w:val="17"/>
                <w:szCs w:val="17"/>
                <w:color w:val="auto"/>
              </w:rPr>
              <w:t>o</w:t>
            </w:r>
          </w:p>
        </w:tc>
        <w:tc>
          <w:tcPr>
            <w:tcW w:w="3280" w:type="dxa"/>
            <w:vAlign w:val="bottom"/>
          </w:tcPr>
          <w:p>
            <w:pPr>
              <w:spacing w:after="0"/>
              <w:rPr>
                <w:sz w:val="22"/>
                <w:szCs w:val="22"/>
                <w:color w:val="auto"/>
              </w:rPr>
            </w:pPr>
          </w:p>
        </w:tc>
        <w:tc>
          <w:tcPr>
            <w:tcW w:w="3800" w:type="dxa"/>
            <w:vAlign w:val="bottom"/>
            <w:vMerge w:val="restart"/>
          </w:tcPr>
          <w:p>
            <w:pPr>
              <w:ind w:left="1280"/>
              <w:spacing w:after="0"/>
              <w:rPr>
                <w:sz w:val="20"/>
                <w:szCs w:val="20"/>
                <w:color w:val="auto"/>
              </w:rPr>
            </w:pPr>
            <w:r>
              <w:rPr>
                <w:rFonts w:ascii="Arial" w:cs="Arial" w:eastAsia="Arial" w:hAnsi="Arial"/>
                <w:sz w:val="17"/>
                <w:szCs w:val="17"/>
                <w:color w:val="auto"/>
              </w:rPr>
              <w:t>Accelerated filer</w:t>
            </w:r>
          </w:p>
        </w:tc>
        <w:tc>
          <w:tcPr>
            <w:tcW w:w="820" w:type="dxa"/>
            <w:vAlign w:val="bottom"/>
          </w:tcPr>
          <w:p>
            <w:pPr>
              <w:ind w:left="68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83"/>
        </w:trPr>
        <w:tc>
          <w:tcPr>
            <w:tcW w:w="236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3280" w:type="dxa"/>
            <w:vAlign w:val="bottom"/>
          </w:tcPr>
          <w:p>
            <w:pPr>
              <w:spacing w:after="0"/>
              <w:rPr>
                <w:sz w:val="7"/>
                <w:szCs w:val="7"/>
                <w:color w:val="auto"/>
              </w:rPr>
            </w:pPr>
          </w:p>
        </w:tc>
        <w:tc>
          <w:tcPr>
            <w:tcW w:w="38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6"/>
        </w:trPr>
        <w:tc>
          <w:tcPr>
            <w:tcW w:w="2360" w:type="dxa"/>
            <w:vAlign w:val="bottom"/>
          </w:tcPr>
          <w:p>
            <w:pPr>
              <w:spacing w:after="0"/>
              <w:rPr>
                <w:sz w:val="20"/>
                <w:szCs w:val="20"/>
                <w:color w:val="auto"/>
              </w:rPr>
            </w:pPr>
            <w:r>
              <w:rPr>
                <w:rFonts w:ascii="Arial" w:cs="Arial" w:eastAsia="Arial" w:hAnsi="Arial"/>
                <w:sz w:val="17"/>
                <w:szCs w:val="17"/>
                <w:color w:val="auto"/>
              </w:rPr>
              <w:t>Non-accelerated filer</w:t>
            </w:r>
          </w:p>
        </w:tc>
        <w:tc>
          <w:tcPr>
            <w:tcW w:w="980" w:type="dxa"/>
            <w:vAlign w:val="bottom"/>
          </w:tcPr>
          <w:p>
            <w:pPr>
              <w:ind w:left="860"/>
              <w:spacing w:after="0"/>
              <w:rPr>
                <w:sz w:val="20"/>
                <w:szCs w:val="20"/>
                <w:color w:val="auto"/>
              </w:rPr>
            </w:pPr>
            <w:r>
              <w:rPr>
                <w:rFonts w:ascii="Arial" w:cs="Arial" w:eastAsia="Arial" w:hAnsi="Arial"/>
                <w:sz w:val="17"/>
                <w:szCs w:val="17"/>
                <w:color w:val="auto"/>
              </w:rPr>
              <w:t>o</w:t>
            </w:r>
          </w:p>
        </w:tc>
        <w:tc>
          <w:tcPr>
            <w:tcW w:w="3280" w:type="dxa"/>
            <w:vAlign w:val="bottom"/>
          </w:tcPr>
          <w:p>
            <w:pPr>
              <w:ind w:left="40"/>
              <w:spacing w:after="0"/>
              <w:rPr>
                <w:sz w:val="20"/>
                <w:szCs w:val="20"/>
                <w:color w:val="auto"/>
              </w:rPr>
            </w:pPr>
            <w:r>
              <w:rPr>
                <w:rFonts w:ascii="Arial" w:cs="Arial" w:eastAsia="Arial" w:hAnsi="Arial"/>
                <w:sz w:val="17"/>
                <w:szCs w:val="17"/>
                <w:color w:val="auto"/>
              </w:rPr>
              <w:t>Smaller reporting company o</w:t>
            </w:r>
          </w:p>
        </w:tc>
        <w:tc>
          <w:tcPr>
            <w:tcW w:w="3800" w:type="dxa"/>
            <w:vAlign w:val="bottom"/>
          </w:tcPr>
          <w:p>
            <w:pPr>
              <w:ind w:left="1280"/>
              <w:spacing w:after="0"/>
              <w:rPr>
                <w:sz w:val="20"/>
                <w:szCs w:val="20"/>
                <w:color w:val="auto"/>
              </w:rPr>
            </w:pPr>
            <w:r>
              <w:rPr>
                <w:rFonts w:ascii="Arial" w:cs="Arial" w:eastAsia="Arial" w:hAnsi="Arial"/>
                <w:sz w:val="17"/>
                <w:szCs w:val="17"/>
                <w:color w:val="auto"/>
              </w:rPr>
              <w:t>Emerging growth company</w:t>
            </w:r>
          </w:p>
        </w:tc>
        <w:tc>
          <w:tcPr>
            <w:tcW w:w="820" w:type="dxa"/>
            <w:vAlign w:val="bottom"/>
          </w:tcPr>
          <w:p>
            <w:pPr>
              <w:ind w:left="680"/>
              <w:spacing w:after="0"/>
              <w:rPr>
                <w:sz w:val="20"/>
                <w:szCs w:val="20"/>
                <w:color w:val="auto"/>
              </w:rPr>
            </w:pPr>
            <w:r>
              <w:rPr>
                <w:rFonts w:ascii="Arial" w:cs="Arial" w:eastAsia="Arial" w:hAnsi="Arial"/>
                <w:sz w:val="17"/>
                <w:szCs w:val="17"/>
                <w:color w:val="auto"/>
              </w:rPr>
              <w:t>o</w:t>
            </w:r>
          </w:p>
        </w:tc>
        <w:tc>
          <w:tcPr>
            <w:tcW w:w="0" w:type="dxa"/>
            <w:vAlign w:val="bottom"/>
          </w:tcPr>
          <w:p>
            <w:pPr>
              <w:spacing w:after="0"/>
              <w:rPr>
                <w:sz w:val="1"/>
                <w:szCs w:val="1"/>
                <w:color w:val="auto"/>
              </w:rPr>
            </w:pPr>
          </w:p>
        </w:tc>
      </w:tr>
    </w:tbl>
    <w:p>
      <w:pPr>
        <w:spacing w:after="0" w:line="63" w:lineRule="exact"/>
        <w:rPr>
          <w:sz w:val="24"/>
          <w:szCs w:val="24"/>
          <w:color w:val="auto"/>
        </w:rPr>
      </w:pPr>
    </w:p>
    <w:p>
      <w:pPr>
        <w:spacing w:after="0" w:line="269"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30" w:lineRule="exact"/>
        <w:rPr>
          <w:sz w:val="24"/>
          <w:szCs w:val="24"/>
          <w:color w:val="auto"/>
        </w:rPr>
      </w:pPr>
    </w:p>
    <w:p>
      <w:pPr>
        <w:spacing w:after="0" w:line="196" w:lineRule="exact"/>
        <w:tabs>
          <w:tab w:leader="none" w:pos="560" w:val="left"/>
        </w:tabs>
        <w:rPr>
          <w:sz w:val="20"/>
          <w:szCs w:val="20"/>
          <w:color w:val="auto"/>
        </w:rPr>
      </w:pPr>
      <w:r>
        <w:rPr>
          <w:rFonts w:ascii="Arial" w:cs="Arial" w:eastAsia="Arial" w:hAnsi="Arial"/>
          <w:sz w:val="17"/>
          <w:szCs w:val="17"/>
          <w:color w:val="auto"/>
        </w:rPr>
        <w:t>Yes o</w:t>
        <w:tab/>
        <w:t xml:space="preserve">No </w:t>
      </w:r>
      <w:r>
        <w:rPr>
          <w:rFonts w:ascii="MS PGothic" w:cs="MS PGothic" w:eastAsia="MS PGothic" w:hAnsi="MS PGothic"/>
          <w:sz w:val="17"/>
          <w:szCs w:val="17"/>
          <w:color w:val="auto"/>
        </w:rPr>
        <w:t>☒</w:t>
      </w:r>
    </w:p>
    <w:p>
      <w:pPr>
        <w:spacing w:after="0" w:line="82"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209" w:lineRule="exact"/>
        <w:rPr>
          <w:sz w:val="24"/>
          <w:szCs w:val="24"/>
          <w:color w:val="auto"/>
        </w:rPr>
      </w:pPr>
    </w:p>
    <w:tbl>
      <w:tblPr>
        <w:tblLayout w:type="fixed"/>
        <w:tblInd w:w="1380" w:type="dxa"/>
        <w:tblCellMar>
          <w:top w:w="0" w:type="dxa"/>
          <w:left w:w="0" w:type="dxa"/>
          <w:bottom w:w="0" w:type="dxa"/>
          <w:right w:w="0" w:type="dxa"/>
        </w:tblCellMar>
      </w:tblPr>
      <w:tr>
        <w:trPr>
          <w:trHeight w:val="149"/>
        </w:trPr>
        <w:tc>
          <w:tcPr>
            <w:tcW w:w="1260" w:type="dxa"/>
            <w:vAlign w:val="bottom"/>
          </w:tcPr>
          <w:p>
            <w:pPr>
              <w:spacing w:after="0"/>
              <w:rPr>
                <w:sz w:val="12"/>
                <w:szCs w:val="12"/>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92"/>
              </w:rPr>
              <w:t>Class</w:t>
            </w:r>
          </w:p>
        </w:tc>
        <w:tc>
          <w:tcPr>
            <w:tcW w:w="3060" w:type="dxa"/>
            <w:vAlign w:val="bottom"/>
          </w:tcPr>
          <w:p>
            <w:pPr>
              <w:spacing w:after="0"/>
              <w:rPr>
                <w:sz w:val="12"/>
                <w:szCs w:val="12"/>
                <w:color w:val="auto"/>
              </w:rPr>
            </w:pPr>
          </w:p>
        </w:tc>
        <w:tc>
          <w:tcPr>
            <w:tcW w:w="3320" w:type="dxa"/>
            <w:vAlign w:val="bottom"/>
            <w:gridSpan w:val="2"/>
          </w:tcPr>
          <w:p>
            <w:pPr>
              <w:jc w:val="center"/>
              <w:ind w:left="1713"/>
              <w:spacing w:after="0"/>
              <w:rPr>
                <w:sz w:val="20"/>
                <w:szCs w:val="20"/>
                <w:color w:val="auto"/>
              </w:rPr>
            </w:pPr>
            <w:r>
              <w:rPr>
                <w:rFonts w:ascii="Arial" w:cs="Arial" w:eastAsia="Arial" w:hAnsi="Arial"/>
                <w:sz w:val="13"/>
                <w:szCs w:val="13"/>
                <w:color w:val="auto"/>
                <w:w w:val="93"/>
              </w:rPr>
              <w:t>Outstanding at July 27, 2018</w:t>
            </w:r>
          </w:p>
        </w:tc>
      </w:tr>
      <w:tr>
        <w:trPr>
          <w:trHeight w:val="20"/>
        </w:trPr>
        <w:tc>
          <w:tcPr>
            <w:tcW w:w="1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r>
        <w:trPr>
          <w:trHeight w:val="244"/>
        </w:trPr>
        <w:tc>
          <w:tcPr>
            <w:tcW w:w="4620" w:type="dxa"/>
            <w:vAlign w:val="bottom"/>
            <w:gridSpan w:val="3"/>
          </w:tcPr>
          <w:p>
            <w:pPr>
              <w:jc w:val="center"/>
              <w:ind w:right="1800"/>
              <w:spacing w:after="0"/>
              <w:rPr>
                <w:sz w:val="20"/>
                <w:szCs w:val="20"/>
                <w:color w:val="auto"/>
              </w:rPr>
            </w:pPr>
            <w:r>
              <w:rPr>
                <w:rFonts w:ascii="Arial" w:cs="Arial" w:eastAsia="Arial" w:hAnsi="Arial"/>
                <w:sz w:val="17"/>
                <w:szCs w:val="17"/>
                <w:color w:val="auto"/>
                <w:w w:val="88"/>
              </w:rPr>
              <w:t>Common Stock, $0.01 par value per share</w:t>
            </w:r>
          </w:p>
        </w:tc>
        <w:tc>
          <w:tcPr>
            <w:tcW w:w="178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7"/>
                <w:szCs w:val="17"/>
                <w:color w:val="auto"/>
                <w:w w:val="86"/>
              </w:rPr>
              <w:t>34,051,407 shares</w:t>
            </w:r>
          </w:p>
        </w:tc>
      </w:tr>
    </w:tbl>
    <w:p>
      <w:pPr>
        <w:sectPr>
          <w:pgSz w:w="11900" w:h="16838" w:orient="portrait"/>
          <w:cols w:equalWidth="0" w:num="1">
            <w:col w:w="11420"/>
          </w:cols>
          <w:pgMar w:left="240" w:top="222" w:right="239" w:bottom="1440" w:gutter="0" w:footer="0" w:header="0"/>
          <w:type w:val="continuous"/>
        </w:sectPr>
      </w:pPr>
    </w:p>
    <w:bookmarkStart w:id="1" w:name="page2"/>
    <w:bookmarkEnd w:id="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INDEX</w:t>
      </w: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480" w:type="dxa"/>
            <w:vAlign w:val="bottom"/>
          </w:tcPr>
          <w:p>
            <w:pPr>
              <w:spacing w:after="0"/>
              <w:rPr>
                <w:sz w:val="20"/>
                <w:szCs w:val="20"/>
                <w:color w:val="auto"/>
              </w:rPr>
            </w:pPr>
            <w:r>
              <w:rPr>
                <w:rFonts w:ascii="Arial" w:cs="Arial" w:eastAsia="Arial" w:hAnsi="Arial"/>
                <w:sz w:val="13"/>
                <w:szCs w:val="13"/>
                <w:color w:val="auto"/>
              </w:rPr>
              <w:t>Item</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5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3"/>
                <w:szCs w:val="13"/>
                <w:color w:val="auto"/>
              </w:rPr>
              <w:t>Page</w:t>
            </w:r>
          </w:p>
        </w:tc>
      </w:tr>
      <w:tr>
        <w:trPr>
          <w:trHeight w:val="176"/>
        </w:trPr>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580" w:type="dxa"/>
            <w:vAlign w:val="bottom"/>
            <w:gridSpan w:val="10"/>
          </w:tcPr>
          <w:p>
            <w:pPr>
              <w:jc w:val="center"/>
              <w:ind w:right="3820"/>
              <w:spacing w:after="0" w:line="176" w:lineRule="exact"/>
              <w:rPr>
                <w:rFonts w:ascii="Arial" w:cs="Arial" w:eastAsia="Arial" w:hAnsi="Arial"/>
                <w:sz w:val="17"/>
                <w:szCs w:val="17"/>
                <w:color w:val="0000FF"/>
                <w:w w:val="96"/>
              </w:rPr>
            </w:pPr>
            <w:hyperlink w:anchor="page3">
              <w:r>
                <w:rPr>
                  <w:rFonts w:ascii="Arial" w:cs="Arial" w:eastAsia="Arial" w:hAnsi="Arial"/>
                  <w:sz w:val="17"/>
                  <w:szCs w:val="17"/>
                  <w:color w:val="0000FF"/>
                  <w:w w:val="96"/>
                </w:rPr>
                <w:t>PART I – FINANCIAL INFORMATION</w:t>
              </w:r>
            </w:hyperlink>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4"/>
        </w:trPr>
        <w:tc>
          <w:tcPr>
            <w:tcW w:w="480" w:type="dxa"/>
            <w:vAlign w:val="bottom"/>
          </w:tcPr>
          <w:p>
            <w:pPr>
              <w:spacing w:after="0"/>
              <w:rPr>
                <w:sz w:val="20"/>
                <w:szCs w:val="20"/>
                <w:color w:val="auto"/>
              </w:rPr>
            </w:pPr>
            <w:r>
              <w:rPr>
                <w:rFonts w:ascii="Arial" w:cs="Arial" w:eastAsia="Arial" w:hAnsi="Arial"/>
                <w:sz w:val="17"/>
                <w:szCs w:val="17"/>
                <w:color w:val="auto"/>
              </w:rPr>
              <w:t>1</w:t>
            </w:r>
          </w:p>
        </w:tc>
        <w:tc>
          <w:tcPr>
            <w:tcW w:w="1400" w:type="dxa"/>
            <w:vAlign w:val="bottom"/>
            <w:gridSpan w:val="4"/>
          </w:tcPr>
          <w:p>
            <w:pPr>
              <w:spacing w:after="0"/>
              <w:rPr>
                <w:rFonts w:ascii="Arial" w:cs="Arial" w:eastAsia="Arial" w:hAnsi="Arial"/>
                <w:sz w:val="17"/>
                <w:szCs w:val="17"/>
                <w:color w:val="0000FF"/>
                <w:w w:val="86"/>
              </w:rPr>
            </w:pPr>
            <w:hyperlink w:anchor="page3">
              <w:r>
                <w:rPr>
                  <w:rFonts w:ascii="Arial" w:cs="Arial" w:eastAsia="Arial" w:hAnsi="Arial"/>
                  <w:sz w:val="17"/>
                  <w:szCs w:val="17"/>
                  <w:color w:val="0000FF"/>
                  <w:w w:val="86"/>
                </w:rPr>
                <w:t>Financial Statements</w:t>
              </w:r>
            </w:hyperlink>
          </w:p>
        </w:tc>
        <w:tc>
          <w:tcPr>
            <w:tcW w:w="2380" w:type="dxa"/>
            <w:vAlign w:val="bottom"/>
            <w:gridSpan w:val="3"/>
          </w:tcPr>
          <w:p>
            <w:pPr>
              <w:spacing w:after="0"/>
              <w:rPr>
                <w:sz w:val="21"/>
                <w:szCs w:val="21"/>
                <w:color w:val="auto"/>
              </w:rPr>
            </w:pPr>
          </w:p>
        </w:tc>
        <w:tc>
          <w:tcPr>
            <w:tcW w:w="2760" w:type="dxa"/>
            <w:vAlign w:val="bottom"/>
            <w:tcBorders>
              <w:top w:val="single" w:sz="8" w:color="0000FF"/>
            </w:tcBorders>
            <w:gridSpan w:val="8"/>
          </w:tcPr>
          <w:p>
            <w:pPr>
              <w:spacing w:after="0"/>
              <w:rPr>
                <w:sz w:val="21"/>
                <w:szCs w:val="21"/>
                <w:color w:val="auto"/>
              </w:rPr>
            </w:pPr>
          </w:p>
        </w:tc>
        <w:tc>
          <w:tcPr>
            <w:tcW w:w="382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3">
              <w:r>
                <w:rPr>
                  <w:rFonts w:ascii="Arial" w:cs="Arial" w:eastAsia="Arial" w:hAnsi="Arial"/>
                  <w:sz w:val="17"/>
                  <w:szCs w:val="17"/>
                  <w:color w:val="0000FF"/>
                </w:rPr>
                <w:t>3</w:t>
              </w:r>
            </w:hyperlink>
          </w:p>
        </w:tc>
      </w:tr>
      <w:tr>
        <w:trPr>
          <w:trHeight w:val="20"/>
        </w:trPr>
        <w:tc>
          <w:tcPr>
            <w:tcW w:w="4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16"/>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Consolidated Balance Sheets - June 30, 2018 and December 31, 2017</w:t>
              </w:r>
            </w:hyperlink>
          </w:p>
        </w:tc>
        <w:tc>
          <w:tcPr>
            <w:tcW w:w="560" w:type="dxa"/>
            <w:vAlign w:val="bottom"/>
            <w:gridSpan w:val="4"/>
          </w:tcPr>
          <w:p>
            <w:pPr>
              <w:jc w:val="right"/>
              <w:ind w:right="20"/>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16"/>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Statements of Consolidated Comprehensive Income - Three and Six Months Ended June 30, 2018 and 2017</w:t>
              </w:r>
            </w:hyperlink>
          </w:p>
        </w:tc>
        <w:tc>
          <w:tcPr>
            <w:tcW w:w="560" w:type="dxa"/>
            <w:vAlign w:val="bottom"/>
            <w:gridSpan w:val="4"/>
          </w:tcPr>
          <w:p>
            <w:pPr>
              <w:jc w:val="right"/>
              <w:ind w:right="20"/>
              <w:spacing w:after="0"/>
              <w:rPr>
                <w:rFonts w:ascii="Arial" w:cs="Arial" w:eastAsia="Arial" w:hAnsi="Arial"/>
                <w:sz w:val="17"/>
                <w:szCs w:val="17"/>
                <w:color w:val="0000EE"/>
              </w:rPr>
            </w:pPr>
            <w:hyperlink w:anchor="page4">
              <w:r>
                <w:rPr>
                  <w:rFonts w:ascii="Arial" w:cs="Arial" w:eastAsia="Arial" w:hAnsi="Arial"/>
                  <w:sz w:val="17"/>
                  <w:szCs w:val="17"/>
                  <w:color w:val="0000EE"/>
                </w:rPr>
                <w:t>4</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20" w:type="dxa"/>
            <w:vAlign w:val="bottom"/>
            <w:gridSpan w:val="15"/>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Statements of Consolidated Cash Flows - Six Months Ended June 30, 2018 and 2017</w:t>
              </w:r>
            </w:hyperlink>
          </w:p>
        </w:tc>
        <w:tc>
          <w:tcPr>
            <w:tcW w:w="2920" w:type="dxa"/>
            <w:vAlign w:val="bottom"/>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5">
              <w:r>
                <w:rPr>
                  <w:rFonts w:ascii="Arial" w:cs="Arial" w:eastAsia="Arial" w:hAnsi="Arial"/>
                  <w:sz w:val="17"/>
                  <w:szCs w:val="17"/>
                  <w:color w:val="0000EE"/>
                </w:rPr>
                <w:t>5</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00" w:type="dxa"/>
            <w:vAlign w:val="bottom"/>
            <w:gridSpan w:val="11"/>
          </w:tcPr>
          <w:p>
            <w:pPr>
              <w:spacing w:after="0"/>
              <w:rPr>
                <w:rFonts w:ascii="Arial" w:cs="Arial" w:eastAsia="Arial" w:hAnsi="Arial"/>
                <w:sz w:val="17"/>
                <w:szCs w:val="17"/>
                <w:color w:val="0000EE"/>
                <w:w w:val="90"/>
              </w:rPr>
            </w:pPr>
            <w:hyperlink w:anchor="page6">
              <w:r>
                <w:rPr>
                  <w:rFonts w:ascii="Arial" w:cs="Arial" w:eastAsia="Arial" w:hAnsi="Arial"/>
                  <w:sz w:val="17"/>
                  <w:szCs w:val="17"/>
                  <w:color w:val="0000EE"/>
                  <w:w w:val="90"/>
                </w:rPr>
                <w:t>Statement of Consolidated Shareholders’ Deficit - Six Months Ended June 30, 2018</w:t>
              </w:r>
            </w:hyperlink>
          </w:p>
        </w:tc>
        <w:tc>
          <w:tcPr>
            <w:tcW w:w="4440" w:type="dxa"/>
            <w:vAlign w:val="bottom"/>
            <w:gridSpan w:val="5"/>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6">
              <w:r>
                <w:rPr>
                  <w:rFonts w:ascii="Arial" w:cs="Arial" w:eastAsia="Arial" w:hAnsi="Arial"/>
                  <w:sz w:val="17"/>
                  <w:szCs w:val="17"/>
                  <w:color w:val="0000EE"/>
                </w:rPr>
                <w:t>6</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spacing w:after="0"/>
              <w:rPr>
                <w:rFonts w:ascii="Arial" w:cs="Arial" w:eastAsia="Arial" w:hAnsi="Arial"/>
                <w:sz w:val="17"/>
                <w:szCs w:val="17"/>
                <w:color w:val="0000FF"/>
                <w:w w:val="88"/>
              </w:rPr>
            </w:pPr>
            <w:hyperlink w:anchor="page7">
              <w:r>
                <w:rPr>
                  <w:rFonts w:ascii="Arial" w:cs="Arial" w:eastAsia="Arial" w:hAnsi="Arial"/>
                  <w:sz w:val="17"/>
                  <w:szCs w:val="17"/>
                  <w:color w:val="0000FF"/>
                  <w:w w:val="88"/>
                </w:rPr>
                <w:t>Notes to Consolidated Financial Statements</w:t>
              </w:r>
            </w:hyperlink>
          </w:p>
        </w:tc>
        <w:tc>
          <w:tcPr>
            <w:tcW w:w="2680" w:type="dxa"/>
            <w:vAlign w:val="bottom"/>
            <w:gridSpan w:val="5"/>
          </w:tcPr>
          <w:p>
            <w:pPr>
              <w:spacing w:after="0"/>
              <w:rPr>
                <w:sz w:val="20"/>
                <w:szCs w:val="20"/>
                <w:color w:val="auto"/>
              </w:rPr>
            </w:pPr>
          </w:p>
        </w:tc>
        <w:tc>
          <w:tcPr>
            <w:tcW w:w="4520" w:type="dxa"/>
            <w:vAlign w:val="bottom"/>
            <w:gridSpan w:val="6"/>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7">
              <w:r>
                <w:rPr>
                  <w:rFonts w:ascii="Arial" w:cs="Arial" w:eastAsia="Arial" w:hAnsi="Arial"/>
                  <w:sz w:val="17"/>
                  <w:szCs w:val="17"/>
                  <w:color w:val="0000EE"/>
                </w:rPr>
                <w:t>7</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2</w:t>
            </w:r>
          </w:p>
        </w:tc>
        <w:tc>
          <w:tcPr>
            <w:tcW w:w="6020" w:type="dxa"/>
            <w:vAlign w:val="bottom"/>
            <w:gridSpan w:val="13"/>
          </w:tcPr>
          <w:p>
            <w:pPr>
              <w:spacing w:after="0"/>
              <w:rPr>
                <w:rFonts w:ascii="Arial" w:cs="Arial" w:eastAsia="Arial" w:hAnsi="Arial"/>
                <w:sz w:val="17"/>
                <w:szCs w:val="17"/>
                <w:color w:val="0000FF"/>
                <w:w w:val="89"/>
              </w:rPr>
            </w:pPr>
            <w:hyperlink w:anchor="page14">
              <w:r>
                <w:rPr>
                  <w:rFonts w:ascii="Arial" w:cs="Arial" w:eastAsia="Arial" w:hAnsi="Arial"/>
                  <w:sz w:val="17"/>
                  <w:szCs w:val="17"/>
                  <w:color w:val="0000FF"/>
                  <w:w w:val="89"/>
                </w:rPr>
                <w:t>Management’s Discussion and Analysis of Financial Condition and Results of Operations</w:t>
              </w:r>
            </w:hyperlink>
          </w:p>
        </w:tc>
        <w:tc>
          <w:tcPr>
            <w:tcW w:w="4340" w:type="dxa"/>
            <w:vAlign w:val="bottom"/>
            <w:gridSpan w:val="4"/>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14">
              <w:r>
                <w:rPr>
                  <w:rFonts w:ascii="Arial" w:cs="Arial" w:eastAsia="Arial" w:hAnsi="Arial"/>
                  <w:sz w:val="17"/>
                  <w:szCs w:val="17"/>
                  <w:color w:val="0000EE"/>
                </w:rPr>
                <w:t>14</w:t>
              </w:r>
            </w:hyperlink>
          </w:p>
        </w:tc>
      </w:tr>
      <w:tr>
        <w:trPr>
          <w:trHeight w:val="20"/>
        </w:trPr>
        <w:tc>
          <w:tcPr>
            <w:tcW w:w="48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3</w:t>
            </w:r>
          </w:p>
        </w:tc>
        <w:tc>
          <w:tcPr>
            <w:tcW w:w="6020" w:type="dxa"/>
            <w:vAlign w:val="bottom"/>
            <w:gridSpan w:val="13"/>
          </w:tcPr>
          <w:p>
            <w:pPr>
              <w:spacing w:after="0"/>
              <w:rPr>
                <w:rFonts w:ascii="Arial" w:cs="Arial" w:eastAsia="Arial" w:hAnsi="Arial"/>
                <w:sz w:val="17"/>
                <w:szCs w:val="17"/>
                <w:color w:val="0000FF"/>
              </w:rPr>
            </w:pPr>
            <w:hyperlink w:anchor="page29">
              <w:r>
                <w:rPr>
                  <w:rFonts w:ascii="Arial" w:cs="Arial" w:eastAsia="Arial" w:hAnsi="Arial"/>
                  <w:sz w:val="17"/>
                  <w:szCs w:val="17"/>
                  <w:color w:val="0000FF"/>
                </w:rPr>
                <w:t>Quantitative and Qualitative Disclosures About Market Risk</w:t>
              </w:r>
            </w:hyperlink>
          </w:p>
        </w:tc>
        <w:tc>
          <w:tcPr>
            <w:tcW w:w="380" w:type="dxa"/>
            <w:vAlign w:val="bottom"/>
          </w:tcPr>
          <w:p>
            <w:pPr>
              <w:spacing w:after="0"/>
              <w:rPr>
                <w:sz w:val="20"/>
                <w:szCs w:val="20"/>
                <w:color w:val="auto"/>
              </w:rPr>
            </w:pPr>
          </w:p>
        </w:tc>
        <w:tc>
          <w:tcPr>
            <w:tcW w:w="3960" w:type="dxa"/>
            <w:vAlign w:val="bottom"/>
            <w:gridSpan w:val="3"/>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29">
              <w:r>
                <w:rPr>
                  <w:rFonts w:ascii="Arial" w:cs="Arial" w:eastAsia="Arial" w:hAnsi="Arial"/>
                  <w:sz w:val="17"/>
                  <w:szCs w:val="17"/>
                  <w:color w:val="0000EE"/>
                </w:rPr>
                <w:t>29</w:t>
              </w:r>
            </w:hyperlink>
          </w:p>
        </w:tc>
      </w:tr>
      <w:tr>
        <w:trPr>
          <w:trHeight w:val="20"/>
        </w:trPr>
        <w:tc>
          <w:tcPr>
            <w:tcW w:w="48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4</w:t>
            </w:r>
          </w:p>
        </w:tc>
        <w:tc>
          <w:tcPr>
            <w:tcW w:w="6400" w:type="dxa"/>
            <w:vAlign w:val="bottom"/>
            <w:gridSpan w:val="14"/>
          </w:tcPr>
          <w:p>
            <w:pPr>
              <w:spacing w:after="0"/>
              <w:rPr>
                <w:rFonts w:ascii="Arial" w:cs="Arial" w:eastAsia="Arial" w:hAnsi="Arial"/>
                <w:sz w:val="17"/>
                <w:szCs w:val="17"/>
                <w:color w:val="0000FF"/>
              </w:rPr>
            </w:pPr>
            <w:hyperlink w:anchor="page29">
              <w:r>
                <w:rPr>
                  <w:rFonts w:ascii="Arial" w:cs="Arial" w:eastAsia="Arial" w:hAnsi="Arial"/>
                  <w:sz w:val="17"/>
                  <w:szCs w:val="17"/>
                  <w:color w:val="0000FF"/>
                </w:rPr>
                <w:t>Controls and Procedures</w:t>
              </w:r>
            </w:hyperlink>
          </w:p>
        </w:tc>
        <w:tc>
          <w:tcPr>
            <w:tcW w:w="3960" w:type="dxa"/>
            <w:vAlign w:val="bottom"/>
            <w:gridSpan w:val="3"/>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29">
              <w:r>
                <w:rPr>
                  <w:rFonts w:ascii="Arial" w:cs="Arial" w:eastAsia="Arial" w:hAnsi="Arial"/>
                  <w:sz w:val="17"/>
                  <w:szCs w:val="17"/>
                  <w:color w:val="0000EE"/>
                </w:rPr>
                <w:t>29</w:t>
              </w:r>
            </w:hyperlink>
          </w:p>
        </w:tc>
      </w:tr>
      <w:tr>
        <w:trPr>
          <w:trHeight w:val="232"/>
        </w:trPr>
        <w:tc>
          <w:tcPr>
            <w:tcW w:w="48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1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40" w:type="dxa"/>
            <w:vAlign w:val="bottom"/>
            <w:gridSpan w:val="9"/>
          </w:tcPr>
          <w:p>
            <w:pPr>
              <w:jc w:val="center"/>
              <w:ind w:right="3960"/>
              <w:spacing w:after="0"/>
              <w:rPr>
                <w:rFonts w:ascii="Arial" w:cs="Arial" w:eastAsia="Arial" w:hAnsi="Arial"/>
                <w:sz w:val="17"/>
                <w:szCs w:val="17"/>
                <w:color w:val="0000FF"/>
                <w:w w:val="94"/>
              </w:rPr>
            </w:pPr>
            <w:hyperlink w:anchor="page30">
              <w:r>
                <w:rPr>
                  <w:rFonts w:ascii="Arial" w:cs="Arial" w:eastAsia="Arial" w:hAnsi="Arial"/>
                  <w:sz w:val="17"/>
                  <w:szCs w:val="17"/>
                  <w:color w:val="0000FF"/>
                  <w:w w:val="94"/>
                </w:rPr>
                <w:t>PART II – OTHER INFORMATION</w:t>
              </w:r>
            </w:hyperlink>
          </w:p>
        </w:tc>
        <w:tc>
          <w:tcPr>
            <w:tcW w:w="38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1</w:t>
            </w:r>
          </w:p>
        </w:tc>
        <w:tc>
          <w:tcPr>
            <w:tcW w:w="1240" w:type="dxa"/>
            <w:vAlign w:val="bottom"/>
            <w:gridSpan w:val="3"/>
          </w:tcPr>
          <w:p>
            <w:pPr>
              <w:spacing w:after="0"/>
              <w:rPr>
                <w:rFonts w:ascii="Arial" w:cs="Arial" w:eastAsia="Arial" w:hAnsi="Arial"/>
                <w:sz w:val="17"/>
                <w:szCs w:val="17"/>
                <w:color w:val="0000FF"/>
                <w:w w:val="86"/>
              </w:rPr>
            </w:pPr>
            <w:hyperlink w:anchor="page30">
              <w:r>
                <w:rPr>
                  <w:rFonts w:ascii="Arial" w:cs="Arial" w:eastAsia="Arial" w:hAnsi="Arial"/>
                  <w:sz w:val="17"/>
                  <w:szCs w:val="17"/>
                  <w:color w:val="0000FF"/>
                  <w:w w:val="86"/>
                </w:rPr>
                <w:t>Legal Proceedings</w:t>
              </w:r>
            </w:hyperlink>
          </w:p>
        </w:tc>
        <w:tc>
          <w:tcPr>
            <w:tcW w:w="2680" w:type="dxa"/>
            <w:vAlign w:val="bottom"/>
            <w:gridSpan w:val="5"/>
          </w:tcPr>
          <w:p>
            <w:pPr>
              <w:spacing w:after="0"/>
              <w:rPr>
                <w:sz w:val="20"/>
                <w:szCs w:val="20"/>
                <w:color w:val="auto"/>
              </w:rPr>
            </w:pPr>
          </w:p>
        </w:tc>
        <w:tc>
          <w:tcPr>
            <w:tcW w:w="2480" w:type="dxa"/>
            <w:vAlign w:val="bottom"/>
            <w:tcBorders>
              <w:top w:val="single" w:sz="8" w:color="0000FF"/>
            </w:tcBorders>
            <w:gridSpan w:val="6"/>
          </w:tcPr>
          <w:p>
            <w:pPr>
              <w:spacing w:after="0"/>
              <w:rPr>
                <w:sz w:val="20"/>
                <w:szCs w:val="20"/>
                <w:color w:val="auto"/>
              </w:rPr>
            </w:pPr>
          </w:p>
        </w:tc>
        <w:tc>
          <w:tcPr>
            <w:tcW w:w="3960" w:type="dxa"/>
            <w:vAlign w:val="bottom"/>
            <w:gridSpan w:val="3"/>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30">
              <w:r>
                <w:rPr>
                  <w:rFonts w:ascii="Arial" w:cs="Arial" w:eastAsia="Arial" w:hAnsi="Arial"/>
                  <w:sz w:val="17"/>
                  <w:szCs w:val="17"/>
                  <w:color w:val="0000EE"/>
                </w:rPr>
                <w:t>30</w:t>
              </w:r>
            </w:hyperlink>
          </w:p>
        </w:tc>
      </w:tr>
      <w:tr>
        <w:trPr>
          <w:trHeight w:val="20"/>
        </w:trPr>
        <w:tc>
          <w:tcPr>
            <w:tcW w:w="48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120" w:type="dxa"/>
            <w:vAlign w:val="bottom"/>
            <w:gridSpan w:val="1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1A</w:t>
            </w:r>
          </w:p>
        </w:tc>
        <w:tc>
          <w:tcPr>
            <w:tcW w:w="840" w:type="dxa"/>
            <w:vAlign w:val="bottom"/>
            <w:gridSpan w:val="2"/>
          </w:tcPr>
          <w:p>
            <w:pPr>
              <w:spacing w:after="0"/>
              <w:rPr>
                <w:rFonts w:ascii="Arial" w:cs="Arial" w:eastAsia="Arial" w:hAnsi="Arial"/>
                <w:sz w:val="17"/>
                <w:szCs w:val="17"/>
                <w:color w:val="0000FF"/>
                <w:w w:val="86"/>
              </w:rPr>
            </w:pPr>
            <w:hyperlink w:anchor="page30">
              <w:r>
                <w:rPr>
                  <w:rFonts w:ascii="Arial" w:cs="Arial" w:eastAsia="Arial" w:hAnsi="Arial"/>
                  <w:sz w:val="17"/>
                  <w:szCs w:val="17"/>
                  <w:color w:val="0000FF"/>
                  <w:w w:val="86"/>
                </w:rPr>
                <w:t>Risk Factors</w:t>
              </w:r>
            </w:hyperlink>
          </w:p>
        </w:tc>
        <w:tc>
          <w:tcPr>
            <w:tcW w:w="400" w:type="dxa"/>
            <w:vAlign w:val="bottom"/>
          </w:tcPr>
          <w:p>
            <w:pPr>
              <w:spacing w:after="0"/>
              <w:rPr>
                <w:sz w:val="20"/>
                <w:szCs w:val="20"/>
                <w:color w:val="auto"/>
              </w:rPr>
            </w:pPr>
          </w:p>
        </w:tc>
        <w:tc>
          <w:tcPr>
            <w:tcW w:w="9120" w:type="dxa"/>
            <w:vAlign w:val="bottom"/>
            <w:gridSpan w:val="14"/>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30">
              <w:r>
                <w:rPr>
                  <w:rFonts w:ascii="Arial" w:cs="Arial" w:eastAsia="Arial" w:hAnsi="Arial"/>
                  <w:sz w:val="17"/>
                  <w:szCs w:val="17"/>
                  <w:color w:val="0000EE"/>
                </w:rPr>
                <w:t>30</w:t>
              </w:r>
            </w:hyperlink>
          </w:p>
        </w:tc>
      </w:tr>
      <w:tr>
        <w:trPr>
          <w:trHeight w:val="20"/>
        </w:trPr>
        <w:tc>
          <w:tcPr>
            <w:tcW w:w="4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3" w:lineRule="exact"/>
        <w:rPr>
          <w:sz w:val="20"/>
          <w:szCs w:val="20"/>
          <w:color w:val="auto"/>
        </w:rPr>
      </w:pPr>
    </w:p>
    <w:p>
      <w:pPr>
        <w:ind w:left="500" w:hanging="474"/>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0000FF"/>
        </w:rPr>
        <w:t>Not Applicable</w:t>
      </w:r>
    </w:p>
    <w:p>
      <w:pPr>
        <w:spacing w:after="0" w:line="56"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3</w:t>
      </w:r>
      <w:r>
        <w:rPr>
          <w:rFonts w:ascii="Arial" w:cs="Arial" w:eastAsia="Arial" w:hAnsi="Arial"/>
          <w:sz w:val="15"/>
          <w:szCs w:val="15"/>
          <w:u w:val="single" w:color="auto"/>
          <w:color w:val="0000FF"/>
        </w:rPr>
        <w:t>Not Applicable</w:t>
      </w:r>
    </w:p>
    <w:p>
      <w:pPr>
        <w:spacing w:after="0" w:line="56"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4</w:t>
      </w:r>
      <w:r>
        <w:rPr>
          <w:rFonts w:ascii="Arial" w:cs="Arial" w:eastAsia="Arial" w:hAnsi="Arial"/>
          <w:sz w:val="15"/>
          <w:szCs w:val="15"/>
          <w:u w:val="single" w:color="auto"/>
          <w:color w:val="0000FF"/>
        </w:rPr>
        <w:t>Not Applicable</w:t>
      </w:r>
    </w:p>
    <w:p>
      <w:pPr>
        <w:spacing w:after="0" w:line="56"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5</w:t>
      </w:r>
      <w:r>
        <w:rPr>
          <w:rFonts w:ascii="Arial" w:cs="Arial" w:eastAsia="Arial" w:hAnsi="Arial"/>
          <w:sz w:val="15"/>
          <w:szCs w:val="15"/>
          <w:u w:val="single" w:color="auto"/>
          <w:color w:val="0000FF"/>
        </w:rPr>
        <w:t>Not Applicable</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6</w:t>
            </w:r>
          </w:p>
        </w:tc>
        <w:tc>
          <w:tcPr>
            <w:tcW w:w="560" w:type="dxa"/>
            <w:vAlign w:val="bottom"/>
          </w:tcPr>
          <w:p>
            <w:pPr>
              <w:spacing w:after="0"/>
              <w:rPr>
                <w:rFonts w:ascii="Arial" w:cs="Arial" w:eastAsia="Arial" w:hAnsi="Arial"/>
                <w:sz w:val="17"/>
                <w:szCs w:val="17"/>
                <w:color w:val="0000FF"/>
                <w:w w:val="90"/>
              </w:rPr>
            </w:pPr>
            <w:hyperlink w:anchor="page30">
              <w:r>
                <w:rPr>
                  <w:rFonts w:ascii="Arial" w:cs="Arial" w:eastAsia="Arial" w:hAnsi="Arial"/>
                  <w:sz w:val="17"/>
                  <w:szCs w:val="17"/>
                  <w:color w:val="0000FF"/>
                  <w:w w:val="90"/>
                </w:rPr>
                <w:t>Exhibits</w:t>
              </w:r>
            </w:hyperlink>
          </w:p>
        </w:tc>
        <w:tc>
          <w:tcPr>
            <w:tcW w:w="2380" w:type="dxa"/>
            <w:vAlign w:val="bottom"/>
            <w:gridSpan w:val="2"/>
          </w:tcPr>
          <w:p>
            <w:pPr>
              <w:spacing w:after="0"/>
              <w:rPr>
                <w:sz w:val="16"/>
                <w:szCs w:val="16"/>
                <w:color w:val="auto"/>
              </w:rPr>
            </w:pPr>
          </w:p>
        </w:tc>
        <w:tc>
          <w:tcPr>
            <w:tcW w:w="7960" w:type="dxa"/>
            <w:vAlign w:val="bottom"/>
            <w:gridSpan w:val="2"/>
          </w:tcPr>
          <w:p>
            <w:pPr>
              <w:jc w:val="right"/>
              <w:spacing w:after="0"/>
              <w:rPr>
                <w:rFonts w:ascii="Arial" w:cs="Arial" w:eastAsia="Arial" w:hAnsi="Arial"/>
                <w:sz w:val="17"/>
                <w:szCs w:val="17"/>
                <w:color w:val="0000EE"/>
              </w:rPr>
            </w:pPr>
            <w:hyperlink w:anchor="page30">
              <w:r>
                <w:rPr>
                  <w:rFonts w:ascii="Arial" w:cs="Arial" w:eastAsia="Arial" w:hAnsi="Arial"/>
                  <w:sz w:val="17"/>
                  <w:szCs w:val="17"/>
                  <w:color w:val="0000EE"/>
                </w:rPr>
                <w:t>30</w:t>
              </w:r>
            </w:hyperlink>
          </w:p>
        </w:tc>
      </w:tr>
      <w:tr>
        <w:trPr>
          <w:trHeight w:val="20"/>
        </w:trPr>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940" w:type="dxa"/>
            <w:vAlign w:val="bottom"/>
            <w:gridSpan w:val="3"/>
          </w:tcPr>
          <w:p>
            <w:pPr>
              <w:spacing w:after="0"/>
              <w:rPr>
                <w:rFonts w:ascii="Arial" w:cs="Arial" w:eastAsia="Arial" w:hAnsi="Arial"/>
                <w:sz w:val="17"/>
                <w:szCs w:val="17"/>
                <w:color w:val="0000FF"/>
              </w:rPr>
            </w:pPr>
            <w:hyperlink w:anchor="page31">
              <w:r>
                <w:rPr>
                  <w:rFonts w:ascii="Arial" w:cs="Arial" w:eastAsia="Arial" w:hAnsi="Arial"/>
                  <w:sz w:val="17"/>
                  <w:szCs w:val="17"/>
                  <w:color w:val="0000FF"/>
                </w:rPr>
                <w:t>Signatures</w:t>
              </w:r>
            </w:hyperlink>
          </w:p>
        </w:tc>
        <w:tc>
          <w:tcPr>
            <w:tcW w:w="7960" w:type="dxa"/>
            <w:vAlign w:val="bottom"/>
            <w:gridSpan w:val="2"/>
          </w:tcPr>
          <w:p>
            <w:pPr>
              <w:jc w:val="right"/>
              <w:spacing w:after="0"/>
              <w:rPr>
                <w:rFonts w:ascii="Arial" w:cs="Arial" w:eastAsia="Arial" w:hAnsi="Arial"/>
                <w:sz w:val="17"/>
                <w:szCs w:val="17"/>
                <w:color w:val="0000FF"/>
              </w:rPr>
            </w:pPr>
            <w:hyperlink w:anchor="page31">
              <w:r>
                <w:rPr>
                  <w:rFonts w:ascii="Arial" w:cs="Arial" w:eastAsia="Arial" w:hAnsi="Arial"/>
                  <w:sz w:val="17"/>
                  <w:szCs w:val="17"/>
                  <w:color w:val="0000FF"/>
                </w:rPr>
                <w:t>31</w:t>
              </w:r>
            </w:hyperlink>
          </w:p>
        </w:tc>
      </w:tr>
      <w:tr>
        <w:trPr>
          <w:trHeight w:val="672"/>
        </w:trPr>
        <w:tc>
          <w:tcPr>
            <w:tcW w:w="48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40" w:type="dxa"/>
            <w:vAlign w:val="bottom"/>
          </w:tcPr>
          <w:p>
            <w:pPr>
              <w:spacing w:after="0"/>
              <w:rPr>
                <w:sz w:val="24"/>
                <w:szCs w:val="24"/>
                <w:color w:val="auto"/>
              </w:rPr>
            </w:pPr>
          </w:p>
        </w:tc>
        <w:tc>
          <w:tcPr>
            <w:tcW w:w="7800" w:type="dxa"/>
            <w:vAlign w:val="bottom"/>
          </w:tcPr>
          <w:p>
            <w:pPr>
              <w:jc w:val="right"/>
              <w:ind w:right="5396"/>
              <w:spacing w:after="0"/>
              <w:rPr>
                <w:sz w:val="20"/>
                <w:szCs w:val="20"/>
                <w:color w:val="auto"/>
              </w:rPr>
            </w:pPr>
            <w:r>
              <w:rPr>
                <w:rFonts w:ascii="Arial" w:cs="Arial" w:eastAsia="Arial" w:hAnsi="Arial"/>
                <w:sz w:val="17"/>
                <w:szCs w:val="17"/>
                <w:color w:val="auto"/>
              </w:rPr>
              <w:t>2</w:t>
            </w:r>
          </w:p>
        </w:tc>
        <w:tc>
          <w:tcPr>
            <w:tcW w:w="160" w:type="dxa"/>
            <w:vAlign w:val="bottom"/>
            <w:tcBorders>
              <w:top w:val="single" w:sz="8" w:color="0000FF"/>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PART I—FINANCIAL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(Amounts in millions except share and per share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3"/>
                <w:szCs w:val="13"/>
                <w:color w:val="auto"/>
                <w:w w:val="88"/>
              </w:rPr>
              <w:t>June 30,</w:t>
            </w:r>
          </w:p>
        </w:tc>
        <w:tc>
          <w:tcPr>
            <w:tcW w:w="220" w:type="dxa"/>
            <w:vAlign w:val="bottom"/>
          </w:tcPr>
          <w:p>
            <w:pPr>
              <w:spacing w:after="0"/>
              <w:rPr>
                <w:sz w:val="13"/>
                <w:szCs w:val="13"/>
                <w:color w:val="auto"/>
              </w:rPr>
            </w:pPr>
          </w:p>
        </w:tc>
        <w:tc>
          <w:tcPr>
            <w:tcW w:w="1240" w:type="dxa"/>
            <w:vAlign w:val="bottom"/>
          </w:tcPr>
          <w:p>
            <w:pPr>
              <w:jc w:val="right"/>
              <w:ind w:right="277"/>
              <w:spacing w:after="0"/>
              <w:rPr>
                <w:sz w:val="20"/>
                <w:szCs w:val="20"/>
                <w:color w:val="auto"/>
              </w:rPr>
            </w:pPr>
            <w:r>
              <w:rPr>
                <w:rFonts w:ascii="Arial" w:cs="Arial" w:eastAsia="Arial" w:hAnsi="Arial"/>
                <w:sz w:val="13"/>
                <w:szCs w:val="13"/>
                <w:color w:val="auto"/>
              </w:rPr>
              <w:t>December 31,</w:t>
            </w:r>
          </w:p>
        </w:tc>
        <w:tc>
          <w:tcPr>
            <w:tcW w:w="0" w:type="dxa"/>
            <w:vAlign w:val="bottom"/>
          </w:tcPr>
          <w:p>
            <w:pPr>
              <w:spacing w:after="0"/>
              <w:rPr>
                <w:sz w:val="1"/>
                <w:szCs w:val="1"/>
                <w:color w:val="auto"/>
              </w:rPr>
            </w:pPr>
          </w:p>
        </w:tc>
      </w:tr>
      <w:tr>
        <w:trPr>
          <w:trHeight w:val="177"/>
        </w:trPr>
        <w:tc>
          <w:tcPr>
            <w:tcW w:w="8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98"/>
              <w:spacing w:after="0"/>
              <w:rPr>
                <w:sz w:val="20"/>
                <w:szCs w:val="20"/>
                <w:color w:val="auto"/>
              </w:rPr>
            </w:pPr>
            <w:r>
              <w:rPr>
                <w:rFonts w:ascii="Arial" w:cs="Arial" w:eastAsia="Arial" w:hAnsi="Arial"/>
                <w:sz w:val="13"/>
                <w:szCs w:val="13"/>
                <w:color w:val="auto"/>
                <w:w w:val="89"/>
              </w:rPr>
              <w:t>2018</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232"/>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3"/>
                <w:szCs w:val="13"/>
                <w:color w:val="auto"/>
                <w:w w:val="97"/>
              </w:rPr>
              <w:t>(Unaudited)</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Cash and cash equivalents</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158.7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91.6</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Restricted amounts held in escrow</w:t>
            </w:r>
          </w:p>
        </w:tc>
        <w:tc>
          <w:tcPr>
            <w:tcW w:w="2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Accounts receivable, net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553.9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488.3</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Prepaid expenses and other</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82.2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66.1</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794.8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700.1</w:t>
            </w:r>
          </w:p>
        </w:tc>
        <w:tc>
          <w:tcPr>
            <w:tcW w:w="0" w:type="dxa"/>
            <w:vAlign w:val="bottom"/>
          </w:tcPr>
          <w:p>
            <w:pPr>
              <w:spacing w:after="0"/>
              <w:rPr>
                <w:sz w:val="1"/>
                <w:szCs w:val="1"/>
                <w:color w:val="auto"/>
              </w:rPr>
            </w:pPr>
          </w:p>
        </w:tc>
      </w:tr>
      <w:tr>
        <w:trPr>
          <w:trHeight w:val="206"/>
        </w:trPr>
        <w:tc>
          <w:tcPr>
            <w:tcW w:w="8340" w:type="dxa"/>
            <w:vAlign w:val="bottom"/>
          </w:tcPr>
          <w:p>
            <w:pPr>
              <w:ind w:left="20"/>
              <w:spacing w:after="0"/>
              <w:rPr>
                <w:sz w:val="20"/>
                <w:szCs w:val="20"/>
                <w:color w:val="auto"/>
              </w:rPr>
            </w:pPr>
            <w:r>
              <w:rPr>
                <w:rFonts w:ascii="Arial" w:cs="Arial" w:eastAsia="Arial" w:hAnsi="Arial"/>
                <w:sz w:val="17"/>
                <w:szCs w:val="17"/>
                <w:color w:val="auto"/>
              </w:rPr>
              <w:t>Property and Equipment:</w:t>
            </w: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8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Cost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2,745.8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2,770.2</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Less – accumulated depreciation</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(1,971.2)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(1,957.5)</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Net property and equipment</w:t>
            </w: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774.6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812.7</w:t>
            </w:r>
          </w:p>
        </w:tc>
        <w:tc>
          <w:tcPr>
            <w:tcW w:w="0" w:type="dxa"/>
            <w:vAlign w:val="bottom"/>
          </w:tcPr>
          <w:p>
            <w:pPr>
              <w:spacing w:after="0"/>
              <w:rPr>
                <w:sz w:val="1"/>
                <w:szCs w:val="1"/>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75.1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72.7</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b w:val="1"/>
                <w:bCs w:val="1"/>
                <w:color w:val="auto"/>
              </w:rPr>
              <w:t>Total Assets</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1,644.5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1,585.5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Shareholders’ Deficit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3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8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Accounts payable</w:t>
            </w: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193.7</w:t>
            </w:r>
          </w:p>
        </w:tc>
        <w:tc>
          <w:tcPr>
            <w:tcW w:w="12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172.0</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Wages, vacations and employee benefits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224.6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182.3</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Claims and insurance accruals</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116.4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115.1</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accrued taxes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25.0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23.6</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Other current and accrued liabilities</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24.4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Current maturities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19"/>
        </w:trPr>
        <w:tc>
          <w:tcPr>
            <w:tcW w:w="8340" w:type="dxa"/>
            <w:vAlign w:val="bottom"/>
          </w:tcPr>
          <w:p>
            <w:pPr>
              <w:ind w:left="660"/>
              <w:spacing w:after="0"/>
              <w:rPr>
                <w:sz w:val="20"/>
                <w:szCs w:val="20"/>
                <w:color w:val="auto"/>
              </w:rPr>
            </w:pPr>
            <w:r>
              <w:rPr>
                <w:rFonts w:ascii="Arial" w:cs="Arial" w:eastAsia="Arial" w:hAnsi="Arial"/>
                <w:sz w:val="17"/>
                <w:szCs w:val="17"/>
                <w:color w:val="auto"/>
              </w:rPr>
              <w:t>Total current liabilities</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612.6</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544.2</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Long-term debt, less current portion</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864.7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875.5</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Deferred income taxes, net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Pension and postretirement</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226.6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235.4</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Claims and other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281.6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280.8</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Commitments and contingencies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Shareholders’ Deficit: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Preferred stock, $1 par value per share</w:t>
            </w:r>
          </w:p>
        </w:tc>
        <w:tc>
          <w:tcPr>
            <w:tcW w:w="2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Common stock, $0.01 par value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Capital surplus</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2,326.6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2,323.3</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Accumulated deficit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(2,228.8)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(2,228.6)</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Accumulated other comprehensive loss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(349.5)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(355.8)</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Treasury stock, at cost (410 shares)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0" w:type="dxa"/>
            <w:vAlign w:val="bottom"/>
          </w:tcPr>
          <w:p>
            <w:pPr>
              <w:spacing w:after="0"/>
              <w:rPr>
                <w:sz w:val="1"/>
                <w:szCs w:val="1"/>
                <w:color w:val="auto"/>
              </w:rPr>
            </w:pPr>
          </w:p>
        </w:tc>
      </w:tr>
      <w:tr>
        <w:trPr>
          <w:trHeight w:val="219"/>
        </w:trPr>
        <w:tc>
          <w:tcPr>
            <w:tcW w:w="8340" w:type="dxa"/>
            <w:vAlign w:val="bottom"/>
          </w:tcPr>
          <w:p>
            <w:pPr>
              <w:ind w:left="660"/>
              <w:spacing w:after="0"/>
              <w:rPr>
                <w:sz w:val="20"/>
                <w:szCs w:val="20"/>
                <w:color w:val="auto"/>
              </w:rPr>
            </w:pPr>
            <w:r>
              <w:rPr>
                <w:rFonts w:ascii="Arial" w:cs="Arial" w:eastAsia="Arial" w:hAnsi="Arial"/>
                <w:sz w:val="17"/>
                <w:szCs w:val="17"/>
                <w:color w:val="auto"/>
              </w:rPr>
              <w:t>Total shareholders’ deficit</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(344.1)</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(353.5)</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b w:val="1"/>
                <w:bCs w:val="1"/>
                <w:color w:val="auto"/>
              </w:rPr>
              <w:t>Total Liabilities and Shareholders’ Deficit</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1,644.5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1,585.5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540"/>
              <w:spacing w:after="0"/>
              <w:rPr>
                <w:sz w:val="20"/>
                <w:szCs w:val="20"/>
                <w:color w:val="auto"/>
              </w:rPr>
            </w:pPr>
            <w:r>
              <w:rPr>
                <w:rFonts w:ascii="Arial" w:cs="Arial" w:eastAsia="Arial" w:hAnsi="Arial"/>
                <w:sz w:val="17"/>
                <w:szCs w:val="17"/>
                <w:color w:val="auto"/>
                <w:w w:val="96"/>
              </w:rPr>
              <w:t>The accompanying notes are an integral part of these statements.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3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8"/>
        </w:trPr>
        <w:tc>
          <w:tcPr>
            <w:tcW w:w="8340" w:type="dxa"/>
            <w:vAlign w:val="bottom"/>
          </w:tcPr>
          <w:p>
            <w:pPr>
              <w:ind w:left="5680"/>
              <w:spacing w:after="0"/>
              <w:rPr>
                <w:sz w:val="20"/>
                <w:szCs w:val="20"/>
                <w:color w:val="auto"/>
              </w:rPr>
            </w:pPr>
            <w:r>
              <w:rPr>
                <w:rFonts w:ascii="Arial" w:cs="Arial" w:eastAsia="Arial" w:hAnsi="Arial"/>
                <w:sz w:val="17"/>
                <w:szCs w:val="17"/>
                <w:color w:val="auto"/>
              </w:rPr>
              <w:t>3</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Operating Revenue</w:t>
      </w:r>
    </w:p>
    <w:p>
      <w:pPr>
        <w:spacing w:after="0" w:line="8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Operating Expenses: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jc w:val="center"/>
        <w:ind w:right="3220"/>
        <w:spacing w:after="0"/>
        <w:rPr>
          <w:sz w:val="20"/>
          <w:szCs w:val="20"/>
          <w:color w:val="auto"/>
        </w:rPr>
      </w:pPr>
      <w:r>
        <w:rPr>
          <w:rFonts w:ascii="Arial" w:cs="Arial" w:eastAsia="Arial" w:hAnsi="Arial"/>
          <w:sz w:val="15"/>
          <w:szCs w:val="15"/>
          <w:color w:val="auto"/>
        </w:rPr>
        <w:t>STATEMENTS OF CONSOLIDATED COMPREHENSIVE INCOME</w:t>
      </w:r>
    </w:p>
    <w:p>
      <w:pPr>
        <w:spacing w:after="0" w:line="41" w:lineRule="exact"/>
        <w:rPr>
          <w:sz w:val="20"/>
          <w:szCs w:val="20"/>
          <w:color w:val="auto"/>
        </w:rPr>
      </w:pPr>
    </w:p>
    <w:p>
      <w:pPr>
        <w:jc w:val="center"/>
        <w:ind w:right="3220"/>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ind w:right="3220"/>
        <w:spacing w:after="0"/>
        <w:rPr>
          <w:sz w:val="20"/>
          <w:szCs w:val="20"/>
          <w:color w:val="auto"/>
        </w:rPr>
      </w:pPr>
      <w:r>
        <w:rPr>
          <w:rFonts w:ascii="Arial" w:cs="Arial" w:eastAsia="Arial" w:hAnsi="Arial"/>
          <w:sz w:val="17"/>
          <w:szCs w:val="17"/>
          <w:color w:val="auto"/>
        </w:rPr>
        <w:t>For the Three Months and Six Months Ended June 30</w:t>
      </w:r>
    </w:p>
    <w:p>
      <w:pPr>
        <w:spacing w:after="0" w:line="6" w:lineRule="exact"/>
        <w:rPr>
          <w:sz w:val="20"/>
          <w:szCs w:val="20"/>
          <w:color w:val="auto"/>
        </w:rPr>
      </w:pPr>
    </w:p>
    <w:p>
      <w:pPr>
        <w:jc w:val="center"/>
        <w:ind w:right="3220"/>
        <w:spacing w:after="0"/>
        <w:rPr>
          <w:sz w:val="20"/>
          <w:szCs w:val="20"/>
          <w:color w:val="auto"/>
        </w:rPr>
      </w:pPr>
      <w:r>
        <w:rPr>
          <w:rFonts w:ascii="Arial" w:cs="Arial" w:eastAsia="Arial" w:hAnsi="Arial"/>
          <w:sz w:val="16"/>
          <w:szCs w:val="16"/>
          <w:color w:val="auto"/>
        </w:rPr>
        <w:t>(Amounts in millions except per share data, shares in thousands)</w:t>
      </w:r>
    </w:p>
    <w:p>
      <w:pPr>
        <w:spacing w:after="0" w:line="17" w:lineRule="exact"/>
        <w:rPr>
          <w:sz w:val="20"/>
          <w:szCs w:val="20"/>
          <w:color w:val="auto"/>
        </w:rPr>
      </w:pPr>
    </w:p>
    <w:p>
      <w:pPr>
        <w:jc w:val="center"/>
        <w:ind w:right="3220"/>
        <w:spacing w:after="0"/>
        <w:rPr>
          <w:sz w:val="20"/>
          <w:szCs w:val="20"/>
          <w:color w:val="auto"/>
        </w:rPr>
      </w:pPr>
      <w:r>
        <w:rPr>
          <w:rFonts w:ascii="Arial" w:cs="Arial" w:eastAsia="Arial" w:hAnsi="Arial"/>
          <w:sz w:val="17"/>
          <w:szCs w:val="17"/>
          <w:color w:val="auto"/>
        </w:rPr>
        <w:t>(Unaudited)</w:t>
      </w:r>
    </w:p>
    <w:p>
      <w:pPr>
        <w:spacing w:after="0" w:line="378" w:lineRule="exact"/>
        <w:rPr>
          <w:sz w:val="20"/>
          <w:szCs w:val="20"/>
          <w:color w:val="auto"/>
        </w:rPr>
      </w:pPr>
    </w:p>
    <w:tbl>
      <w:tblPr>
        <w:tblLayout w:type="fixed"/>
        <w:tblInd w:w="1840" w:type="dxa"/>
        <w:tblCellMar>
          <w:top w:w="0" w:type="dxa"/>
          <w:left w:w="0" w:type="dxa"/>
          <w:bottom w:w="0" w:type="dxa"/>
          <w:right w:w="0" w:type="dxa"/>
        </w:tblCellMar>
      </w:tblPr>
      <w:tr>
        <w:trPr>
          <w:trHeight w:val="177"/>
        </w:trPr>
        <w:tc>
          <w:tcPr>
            <w:tcW w:w="3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color w:val="auto"/>
              </w:rPr>
              <w:t>Three Months</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3"/>
                <w:szCs w:val="13"/>
                <w:color w:val="auto"/>
              </w:rPr>
              <w:t>Six Months</w:t>
            </w:r>
          </w:p>
        </w:tc>
        <w:tc>
          <w:tcPr>
            <w:tcW w:w="1020" w:type="dxa"/>
            <w:vAlign w:val="bottom"/>
            <w:tcBorders>
              <w:bottom w:val="single" w:sz="8" w:color="auto"/>
            </w:tcBorders>
          </w:tcPr>
          <w:p>
            <w:pPr>
              <w:spacing w:after="0"/>
              <w:rPr>
                <w:sz w:val="15"/>
                <w:szCs w:val="15"/>
                <w:color w:val="auto"/>
              </w:rPr>
            </w:pPr>
          </w:p>
        </w:tc>
      </w:tr>
      <w:tr>
        <w:trPr>
          <w:trHeight w:val="244"/>
        </w:trPr>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27"/>
              <w:spacing w:after="0"/>
              <w:rPr>
                <w:sz w:val="20"/>
                <w:szCs w:val="20"/>
                <w:color w:val="auto"/>
              </w:rPr>
            </w:pPr>
            <w:r>
              <w:rPr>
                <w:rFonts w:ascii="Arial" w:cs="Arial" w:eastAsia="Arial" w:hAnsi="Arial"/>
                <w:sz w:val="13"/>
                <w:szCs w:val="13"/>
                <w:color w:val="auto"/>
              </w:rPr>
              <w:t>2018</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color w:val="auto"/>
              </w:rPr>
              <w:t>2017</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27"/>
              <w:spacing w:after="0"/>
              <w:rPr>
                <w:sz w:val="20"/>
                <w:szCs w:val="20"/>
                <w:color w:val="auto"/>
              </w:rPr>
            </w:pPr>
            <w:r>
              <w:rPr>
                <w:rFonts w:ascii="Arial" w:cs="Arial" w:eastAsia="Arial" w:hAnsi="Arial"/>
                <w:sz w:val="13"/>
                <w:szCs w:val="13"/>
                <w:color w:val="auto"/>
              </w:rPr>
              <w:t>2018</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5"/>
              <w:spacing w:after="0"/>
              <w:rPr>
                <w:sz w:val="20"/>
                <w:szCs w:val="20"/>
                <w:color w:val="auto"/>
              </w:rPr>
            </w:pPr>
            <w:r>
              <w:rPr>
                <w:rFonts w:ascii="Arial" w:cs="Arial" w:eastAsia="Arial" w:hAnsi="Arial"/>
                <w:sz w:val="13"/>
                <w:szCs w:val="13"/>
                <w:color w:val="auto"/>
              </w:rPr>
              <w:t>2017</w:t>
            </w:r>
          </w:p>
        </w:tc>
      </w:tr>
      <w:tr>
        <w:trPr>
          <w:trHeight w:val="224"/>
        </w:trPr>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47"/>
              <w:spacing w:after="0"/>
              <w:rPr>
                <w:sz w:val="20"/>
                <w:szCs w:val="20"/>
                <w:color w:val="auto"/>
              </w:rPr>
            </w:pPr>
            <w:r>
              <w:rPr>
                <w:rFonts w:ascii="Arial" w:cs="Arial" w:eastAsia="Arial" w:hAnsi="Arial"/>
                <w:sz w:val="17"/>
                <w:szCs w:val="17"/>
                <w:color w:val="auto"/>
              </w:rPr>
              <w:t>1,326.5</w:t>
            </w:r>
          </w:p>
        </w:tc>
        <w:tc>
          <w:tcPr>
            <w:tcW w:w="100" w:type="dxa"/>
            <w:vAlign w:val="bottom"/>
          </w:tcPr>
          <w:p>
            <w:pPr>
              <w:spacing w:after="0"/>
              <w:rPr>
                <w:sz w:val="19"/>
                <w:szCs w:val="19"/>
                <w:color w:val="auto"/>
              </w:rPr>
            </w:pPr>
          </w:p>
        </w:tc>
        <w:tc>
          <w:tcPr>
            <w:tcW w:w="480" w:type="dxa"/>
            <w:vAlign w:val="bottom"/>
          </w:tcPr>
          <w:p>
            <w:pPr>
              <w:jc w:val="right"/>
              <w:ind w:right="276"/>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45"/>
              <w:spacing w:after="0"/>
              <w:rPr>
                <w:sz w:val="20"/>
                <w:szCs w:val="20"/>
                <w:color w:val="auto"/>
              </w:rPr>
            </w:pPr>
            <w:r>
              <w:rPr>
                <w:rFonts w:ascii="Arial" w:cs="Arial" w:eastAsia="Arial" w:hAnsi="Arial"/>
                <w:sz w:val="17"/>
                <w:szCs w:val="17"/>
                <w:color w:val="auto"/>
              </w:rPr>
              <w:t>1,260.6</w:t>
            </w:r>
          </w:p>
        </w:tc>
        <w:tc>
          <w:tcPr>
            <w:tcW w:w="120" w:type="dxa"/>
            <w:vAlign w:val="bottom"/>
          </w:tcPr>
          <w:p>
            <w:pPr>
              <w:spacing w:after="0"/>
              <w:rPr>
                <w:sz w:val="19"/>
                <w:szCs w:val="19"/>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27"/>
              <w:spacing w:after="0"/>
              <w:rPr>
                <w:sz w:val="20"/>
                <w:szCs w:val="20"/>
                <w:color w:val="auto"/>
              </w:rPr>
            </w:pPr>
            <w:r>
              <w:rPr>
                <w:rFonts w:ascii="Arial" w:cs="Arial" w:eastAsia="Arial" w:hAnsi="Arial"/>
                <w:sz w:val="17"/>
                <w:szCs w:val="17"/>
                <w:color w:val="auto"/>
              </w:rPr>
              <w:t>2,541.0</w:t>
            </w:r>
          </w:p>
        </w:tc>
        <w:tc>
          <w:tcPr>
            <w:tcW w:w="100" w:type="dxa"/>
            <w:vAlign w:val="bottom"/>
          </w:tcPr>
          <w:p>
            <w:pPr>
              <w:spacing w:after="0"/>
              <w:rPr>
                <w:sz w:val="19"/>
                <w:szCs w:val="19"/>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25"/>
              <w:spacing w:after="0"/>
              <w:rPr>
                <w:sz w:val="20"/>
                <w:szCs w:val="20"/>
                <w:color w:val="auto"/>
              </w:rPr>
            </w:pPr>
            <w:r>
              <w:rPr>
                <w:rFonts w:ascii="Arial" w:cs="Arial" w:eastAsia="Arial" w:hAnsi="Arial"/>
                <w:sz w:val="17"/>
                <w:szCs w:val="17"/>
                <w:color w:val="auto"/>
              </w:rPr>
              <w:t>2,431.2</w:t>
            </w:r>
          </w:p>
        </w:tc>
      </w:tr>
      <w:tr>
        <w:trPr>
          <w:trHeight w:val="26"/>
        </w:trPr>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-2035175</wp:posOffset>
            </wp:positionH>
            <wp:positionV relativeFrom="paragraph">
              <wp:posOffset>-175260</wp:posOffset>
            </wp:positionV>
            <wp:extent cx="7112000" cy="167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2000" cy="167640"/>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2">
            <w:col w:w="2600" w:space="720"/>
            <w:col w:w="8000"/>
          </w:cols>
          <w:pgMar w:left="240" w:top="122" w:right="339" w:bottom="1440" w:gutter="0" w:footer="0" w:header="0"/>
        </w:sectPr>
      </w:pPr>
    </w:p>
    <w:tbl>
      <w:tblPr>
        <w:tblLayout w:type="fixed"/>
        <w:tblInd w:w="120" w:type="dxa"/>
        <w:tblCellMar>
          <w:top w:w="0" w:type="dxa"/>
          <w:left w:w="0" w:type="dxa"/>
          <w:bottom w:w="0" w:type="dxa"/>
          <w:right w:w="0" w:type="dxa"/>
        </w:tblCellMar>
      </w:tblPr>
      <w:tr>
        <w:trPr>
          <w:trHeight w:val="252"/>
        </w:trPr>
        <w:tc>
          <w:tcPr>
            <w:tcW w:w="5040" w:type="dxa"/>
            <w:vAlign w:val="bottom"/>
            <w:shd w:val="clear" w:color="auto" w:fill="BFE4FF"/>
          </w:tcPr>
          <w:p>
            <w:pPr>
              <w:ind w:left="340"/>
              <w:spacing w:after="0"/>
              <w:rPr>
                <w:sz w:val="20"/>
                <w:szCs w:val="20"/>
                <w:color w:val="auto"/>
              </w:rPr>
            </w:pPr>
            <w:r>
              <w:rPr>
                <w:rFonts w:ascii="Arial" w:cs="Arial" w:eastAsia="Arial" w:hAnsi="Arial"/>
                <w:sz w:val="17"/>
                <w:szCs w:val="17"/>
                <w:color w:val="auto"/>
              </w:rPr>
              <w:t>Salaries, wages and employee benefits</w:t>
            </w:r>
          </w:p>
        </w:tc>
        <w:tc>
          <w:tcPr>
            <w:tcW w:w="480" w:type="dxa"/>
            <w:vAlign w:val="bottom"/>
            <w:shd w:val="clear" w:color="auto" w:fill="BFE4FF"/>
          </w:tcPr>
          <w:p>
            <w:pPr>
              <w:spacing w:after="0"/>
              <w:rPr>
                <w:sz w:val="21"/>
                <w:szCs w:val="21"/>
                <w:color w:val="auto"/>
              </w:rPr>
            </w:pPr>
          </w:p>
        </w:tc>
        <w:tc>
          <w:tcPr>
            <w:tcW w:w="1000" w:type="dxa"/>
            <w:vAlign w:val="bottom"/>
            <w:shd w:val="clear" w:color="auto" w:fill="BFE4FF"/>
          </w:tcPr>
          <w:p>
            <w:pPr>
              <w:jc w:val="right"/>
              <w:ind w:right="36"/>
              <w:spacing w:after="0"/>
              <w:rPr>
                <w:sz w:val="20"/>
                <w:szCs w:val="20"/>
                <w:color w:val="auto"/>
              </w:rPr>
            </w:pPr>
            <w:r>
              <w:rPr>
                <w:rFonts w:ascii="Arial" w:cs="Arial" w:eastAsia="Arial" w:hAnsi="Arial"/>
                <w:sz w:val="17"/>
                <w:szCs w:val="17"/>
                <w:color w:val="auto"/>
              </w:rPr>
              <w:t>756.0</w:t>
            </w:r>
          </w:p>
        </w:tc>
        <w:tc>
          <w:tcPr>
            <w:tcW w:w="100" w:type="dxa"/>
            <w:vAlign w:val="bottom"/>
            <w:shd w:val="clear" w:color="auto" w:fill="BFE4FF"/>
          </w:tcPr>
          <w:p>
            <w:pPr>
              <w:spacing w:after="0"/>
              <w:rPr>
                <w:sz w:val="21"/>
                <w:szCs w:val="21"/>
                <w:color w:val="auto"/>
              </w:rPr>
            </w:pPr>
          </w:p>
        </w:tc>
        <w:tc>
          <w:tcPr>
            <w:tcW w:w="480" w:type="dxa"/>
            <w:vAlign w:val="bottom"/>
            <w:shd w:val="clear" w:color="auto" w:fill="BFE4FF"/>
          </w:tcPr>
          <w:p>
            <w:pPr>
              <w:spacing w:after="0"/>
              <w:rPr>
                <w:sz w:val="21"/>
                <w:szCs w:val="21"/>
                <w:color w:val="auto"/>
              </w:rPr>
            </w:pPr>
          </w:p>
        </w:tc>
        <w:tc>
          <w:tcPr>
            <w:tcW w:w="1000" w:type="dxa"/>
            <w:vAlign w:val="bottom"/>
            <w:shd w:val="clear" w:color="auto" w:fill="BFE4FF"/>
          </w:tcPr>
          <w:p>
            <w:pPr>
              <w:jc w:val="right"/>
              <w:ind w:right="36"/>
              <w:spacing w:after="0"/>
              <w:rPr>
                <w:sz w:val="20"/>
                <w:szCs w:val="20"/>
                <w:color w:val="auto"/>
              </w:rPr>
            </w:pPr>
            <w:r>
              <w:rPr>
                <w:rFonts w:ascii="Arial" w:cs="Arial" w:eastAsia="Arial" w:hAnsi="Arial"/>
                <w:sz w:val="17"/>
                <w:szCs w:val="17"/>
                <w:color w:val="auto"/>
              </w:rPr>
              <w:t>736.4</w:t>
            </w:r>
          </w:p>
        </w:tc>
        <w:tc>
          <w:tcPr>
            <w:tcW w:w="120" w:type="dxa"/>
            <w:vAlign w:val="bottom"/>
            <w:shd w:val="clear" w:color="auto" w:fill="BFE4FF"/>
          </w:tcPr>
          <w:p>
            <w:pPr>
              <w:spacing w:after="0"/>
              <w:rPr>
                <w:sz w:val="21"/>
                <w:szCs w:val="21"/>
                <w:color w:val="auto"/>
              </w:rPr>
            </w:pPr>
          </w:p>
        </w:tc>
        <w:tc>
          <w:tcPr>
            <w:tcW w:w="460" w:type="dxa"/>
            <w:vAlign w:val="bottom"/>
            <w:shd w:val="clear" w:color="auto" w:fill="BFE4FF"/>
          </w:tcPr>
          <w:p>
            <w:pPr>
              <w:spacing w:after="0"/>
              <w:rPr>
                <w:sz w:val="21"/>
                <w:szCs w:val="21"/>
                <w:color w:val="auto"/>
              </w:rPr>
            </w:pPr>
          </w:p>
        </w:tc>
        <w:tc>
          <w:tcPr>
            <w:tcW w:w="980" w:type="dxa"/>
            <w:vAlign w:val="bottom"/>
            <w:shd w:val="clear" w:color="auto" w:fill="BFE4FF"/>
          </w:tcPr>
          <w:p>
            <w:pPr>
              <w:jc w:val="right"/>
              <w:ind w:right="16"/>
              <w:spacing w:after="0"/>
              <w:rPr>
                <w:sz w:val="20"/>
                <w:szCs w:val="20"/>
                <w:color w:val="auto"/>
              </w:rPr>
            </w:pPr>
            <w:r>
              <w:rPr>
                <w:rFonts w:ascii="Arial" w:cs="Arial" w:eastAsia="Arial" w:hAnsi="Arial"/>
                <w:sz w:val="17"/>
                <w:szCs w:val="17"/>
                <w:color w:val="auto"/>
              </w:rPr>
              <w:t>1,485.7</w:t>
            </w:r>
          </w:p>
        </w:tc>
        <w:tc>
          <w:tcPr>
            <w:tcW w:w="100" w:type="dxa"/>
            <w:vAlign w:val="bottom"/>
            <w:shd w:val="clear" w:color="auto" w:fill="BFE4FF"/>
          </w:tcPr>
          <w:p>
            <w:pPr>
              <w:spacing w:after="0"/>
              <w:rPr>
                <w:sz w:val="21"/>
                <w:szCs w:val="21"/>
                <w:color w:val="auto"/>
              </w:rPr>
            </w:pPr>
          </w:p>
        </w:tc>
        <w:tc>
          <w:tcPr>
            <w:tcW w:w="460" w:type="dxa"/>
            <w:vAlign w:val="bottom"/>
            <w:shd w:val="clear" w:color="auto" w:fill="BFE4FF"/>
          </w:tcPr>
          <w:p>
            <w:pPr>
              <w:spacing w:after="0"/>
              <w:rPr>
                <w:sz w:val="21"/>
                <w:szCs w:val="21"/>
                <w:color w:val="auto"/>
              </w:rPr>
            </w:pPr>
          </w:p>
        </w:tc>
        <w:tc>
          <w:tcPr>
            <w:tcW w:w="980" w:type="dxa"/>
            <w:vAlign w:val="bottom"/>
            <w:shd w:val="clear" w:color="auto" w:fill="BFE4FF"/>
          </w:tcPr>
          <w:p>
            <w:pPr>
              <w:jc w:val="right"/>
              <w:ind w:right="16"/>
              <w:spacing w:after="0"/>
              <w:rPr>
                <w:sz w:val="20"/>
                <w:szCs w:val="20"/>
                <w:color w:val="auto"/>
              </w:rPr>
            </w:pPr>
            <w:r>
              <w:rPr>
                <w:rFonts w:ascii="Arial" w:cs="Arial" w:eastAsia="Arial" w:hAnsi="Arial"/>
                <w:sz w:val="17"/>
                <w:szCs w:val="17"/>
                <w:color w:val="auto"/>
              </w:rPr>
              <w:t>1,454.8</w:t>
            </w:r>
          </w:p>
        </w:tc>
      </w:tr>
      <w:tr>
        <w:trPr>
          <w:trHeight w:val="226"/>
        </w:trPr>
        <w:tc>
          <w:tcPr>
            <w:tcW w:w="5040" w:type="dxa"/>
            <w:vAlign w:val="bottom"/>
          </w:tcPr>
          <w:p>
            <w:pPr>
              <w:ind w:left="340"/>
              <w:spacing w:after="0"/>
              <w:rPr>
                <w:sz w:val="20"/>
                <w:szCs w:val="20"/>
                <w:color w:val="auto"/>
              </w:rPr>
            </w:pPr>
            <w:r>
              <w:rPr>
                <w:rFonts w:ascii="Arial" w:cs="Arial" w:eastAsia="Arial" w:hAnsi="Arial"/>
                <w:sz w:val="17"/>
                <w:szCs w:val="17"/>
                <w:color w:val="auto"/>
              </w:rPr>
              <w:t>Fuel, operating expenses and supplies</w:t>
            </w: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242.0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209.7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472.2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426.0</w:t>
            </w:r>
          </w:p>
        </w:tc>
      </w:tr>
      <w:tr>
        <w:trPr>
          <w:trHeight w:val="26"/>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2"/>
        </w:trPr>
        <w:tc>
          <w:tcPr>
            <w:tcW w:w="5040" w:type="dxa"/>
            <w:vAlign w:val="bottom"/>
            <w:tcBorders>
              <w:bottom w:val="single" w:sz="8" w:color="BFE4FF"/>
            </w:tcBorders>
            <w:shd w:val="clear" w:color="auto" w:fill="BFE4FF"/>
          </w:tcPr>
          <w:p>
            <w:pPr>
              <w:ind w:left="340"/>
              <w:spacing w:after="0"/>
              <w:rPr>
                <w:sz w:val="20"/>
                <w:szCs w:val="20"/>
                <w:color w:val="auto"/>
              </w:rPr>
            </w:pPr>
            <w:r>
              <w:rPr>
                <w:rFonts w:ascii="Arial" w:cs="Arial" w:eastAsia="Arial" w:hAnsi="Arial"/>
                <w:sz w:val="17"/>
                <w:szCs w:val="17"/>
                <w:color w:val="auto"/>
              </w:rPr>
              <w:t>Purchased transportation</w:t>
            </w:r>
          </w:p>
        </w:tc>
        <w:tc>
          <w:tcPr>
            <w:tcW w:w="48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177.2</w:t>
            </w:r>
          </w:p>
        </w:tc>
        <w:tc>
          <w:tcPr>
            <w:tcW w:w="100" w:type="dxa"/>
            <w:vAlign w:val="bottom"/>
            <w:tcBorders>
              <w:bottom w:val="single" w:sz="8" w:color="BFE4FF"/>
            </w:tcBorders>
            <w:shd w:val="clear" w:color="auto" w:fill="BFE4FF"/>
          </w:tcPr>
          <w:p>
            <w:pPr>
              <w:spacing w:after="0"/>
              <w:rPr>
                <w:sz w:val="20"/>
                <w:szCs w:val="20"/>
                <w:color w:val="auto"/>
              </w:rPr>
            </w:pPr>
          </w:p>
        </w:tc>
        <w:tc>
          <w:tcPr>
            <w:tcW w:w="48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159.6</w:t>
            </w:r>
          </w:p>
        </w:tc>
        <w:tc>
          <w:tcPr>
            <w:tcW w:w="120" w:type="dxa"/>
            <w:vAlign w:val="bottom"/>
            <w:tcBorders>
              <w:bottom w:val="single" w:sz="8" w:color="BFE4FF"/>
            </w:tcBorders>
            <w:shd w:val="clear" w:color="auto" w:fill="BFE4FF"/>
          </w:tcPr>
          <w:p>
            <w:pPr>
              <w:spacing w:after="0"/>
              <w:rPr>
                <w:sz w:val="20"/>
                <w:szCs w:val="20"/>
                <w:color w:val="auto"/>
              </w:rPr>
            </w:pPr>
          </w:p>
        </w:tc>
        <w:tc>
          <w:tcPr>
            <w:tcW w:w="460" w:type="dxa"/>
            <w:vAlign w:val="bottom"/>
            <w:tcBorders>
              <w:bottom w:val="single" w:sz="8" w:color="BFE4FF"/>
            </w:tcBorders>
            <w:shd w:val="clear" w:color="auto" w:fill="BFE4FF"/>
          </w:tcPr>
          <w:p>
            <w:pPr>
              <w:spacing w:after="0"/>
              <w:rPr>
                <w:sz w:val="20"/>
                <w:szCs w:val="20"/>
                <w:color w:val="auto"/>
              </w:rPr>
            </w:pP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332.6</w:t>
            </w:r>
          </w:p>
        </w:tc>
        <w:tc>
          <w:tcPr>
            <w:tcW w:w="100" w:type="dxa"/>
            <w:vAlign w:val="bottom"/>
            <w:tcBorders>
              <w:bottom w:val="single" w:sz="8" w:color="BFE4FF"/>
            </w:tcBorders>
            <w:shd w:val="clear" w:color="auto" w:fill="BFE4FF"/>
          </w:tcPr>
          <w:p>
            <w:pPr>
              <w:spacing w:after="0"/>
              <w:rPr>
                <w:sz w:val="20"/>
                <w:szCs w:val="20"/>
                <w:color w:val="auto"/>
              </w:rPr>
            </w:pPr>
          </w:p>
        </w:tc>
        <w:tc>
          <w:tcPr>
            <w:tcW w:w="460" w:type="dxa"/>
            <w:vAlign w:val="bottom"/>
            <w:tcBorders>
              <w:bottom w:val="single" w:sz="8" w:color="BFE4FF"/>
            </w:tcBorders>
            <w:shd w:val="clear" w:color="auto" w:fill="BFE4FF"/>
          </w:tcPr>
          <w:p>
            <w:pPr>
              <w:spacing w:after="0"/>
              <w:rPr>
                <w:sz w:val="20"/>
                <w:szCs w:val="20"/>
                <w:color w:val="auto"/>
              </w:rPr>
            </w:pP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294.1</w:t>
            </w:r>
          </w:p>
        </w:tc>
      </w:tr>
      <w:tr>
        <w:trPr>
          <w:trHeight w:val="226"/>
        </w:trPr>
        <w:tc>
          <w:tcPr>
            <w:tcW w:w="504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37.6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37.2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75.3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74.3</w:t>
            </w:r>
          </w:p>
        </w:tc>
      </w:tr>
      <w:tr>
        <w:trPr>
          <w:trHeight w:val="26"/>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2"/>
        </w:trPr>
        <w:tc>
          <w:tcPr>
            <w:tcW w:w="5040" w:type="dxa"/>
            <w:vAlign w:val="bottom"/>
            <w:tcBorders>
              <w:bottom w:val="single" w:sz="8" w:color="BFE4FF"/>
            </w:tcBorders>
            <w:shd w:val="clear" w:color="auto" w:fill="BFE4FF"/>
          </w:tcPr>
          <w:p>
            <w:pPr>
              <w:ind w:left="340"/>
              <w:spacing w:after="0"/>
              <w:rPr>
                <w:sz w:val="20"/>
                <w:szCs w:val="20"/>
                <w:color w:val="auto"/>
              </w:rPr>
            </w:pPr>
            <w:r>
              <w:rPr>
                <w:rFonts w:ascii="Arial" w:cs="Arial" w:eastAsia="Arial" w:hAnsi="Arial"/>
                <w:sz w:val="17"/>
                <w:szCs w:val="17"/>
                <w:color w:val="auto"/>
              </w:rPr>
              <w:t>Other operating expenses</w:t>
            </w:r>
          </w:p>
        </w:tc>
        <w:tc>
          <w:tcPr>
            <w:tcW w:w="48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60.6</w:t>
            </w:r>
          </w:p>
        </w:tc>
        <w:tc>
          <w:tcPr>
            <w:tcW w:w="100" w:type="dxa"/>
            <w:vAlign w:val="bottom"/>
            <w:tcBorders>
              <w:bottom w:val="single" w:sz="8" w:color="BFE4FF"/>
            </w:tcBorders>
            <w:shd w:val="clear" w:color="auto" w:fill="BFE4FF"/>
          </w:tcPr>
          <w:p>
            <w:pPr>
              <w:spacing w:after="0"/>
              <w:rPr>
                <w:sz w:val="20"/>
                <w:szCs w:val="20"/>
                <w:color w:val="auto"/>
              </w:rPr>
            </w:pPr>
          </w:p>
        </w:tc>
        <w:tc>
          <w:tcPr>
            <w:tcW w:w="48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65.5</w:t>
            </w:r>
          </w:p>
        </w:tc>
        <w:tc>
          <w:tcPr>
            <w:tcW w:w="120" w:type="dxa"/>
            <w:vAlign w:val="bottom"/>
            <w:tcBorders>
              <w:bottom w:val="single" w:sz="8" w:color="BFE4FF"/>
            </w:tcBorders>
            <w:shd w:val="clear" w:color="auto" w:fill="BFE4FF"/>
          </w:tcPr>
          <w:p>
            <w:pPr>
              <w:spacing w:after="0"/>
              <w:rPr>
                <w:sz w:val="20"/>
                <w:szCs w:val="20"/>
                <w:color w:val="auto"/>
              </w:rPr>
            </w:pPr>
          </w:p>
        </w:tc>
        <w:tc>
          <w:tcPr>
            <w:tcW w:w="460" w:type="dxa"/>
            <w:vAlign w:val="bottom"/>
            <w:tcBorders>
              <w:bottom w:val="single" w:sz="8" w:color="BFE4FF"/>
            </w:tcBorders>
            <w:shd w:val="clear" w:color="auto" w:fill="BFE4FF"/>
          </w:tcPr>
          <w:p>
            <w:pPr>
              <w:spacing w:after="0"/>
              <w:rPr>
                <w:sz w:val="20"/>
                <w:szCs w:val="20"/>
                <w:color w:val="auto"/>
              </w:rPr>
            </w:pP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123.2</w:t>
            </w:r>
          </w:p>
        </w:tc>
        <w:tc>
          <w:tcPr>
            <w:tcW w:w="100" w:type="dxa"/>
            <w:vAlign w:val="bottom"/>
            <w:tcBorders>
              <w:bottom w:val="single" w:sz="8" w:color="BFE4FF"/>
            </w:tcBorders>
            <w:shd w:val="clear" w:color="auto" w:fill="BFE4FF"/>
          </w:tcPr>
          <w:p>
            <w:pPr>
              <w:spacing w:after="0"/>
              <w:rPr>
                <w:sz w:val="20"/>
                <w:szCs w:val="20"/>
                <w:color w:val="auto"/>
              </w:rPr>
            </w:pPr>
          </w:p>
        </w:tc>
        <w:tc>
          <w:tcPr>
            <w:tcW w:w="460" w:type="dxa"/>
            <w:vAlign w:val="bottom"/>
            <w:tcBorders>
              <w:bottom w:val="single" w:sz="8" w:color="BFE4FF"/>
            </w:tcBorders>
            <w:shd w:val="clear" w:color="auto" w:fill="BFE4FF"/>
          </w:tcPr>
          <w:p>
            <w:pPr>
              <w:spacing w:after="0"/>
              <w:rPr>
                <w:sz w:val="20"/>
                <w:szCs w:val="20"/>
                <w:color w:val="auto"/>
              </w:rPr>
            </w:pP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126.8</w:t>
            </w:r>
          </w:p>
        </w:tc>
      </w:tr>
      <w:tr>
        <w:trPr>
          <w:trHeight w:val="226"/>
        </w:trPr>
        <w:tc>
          <w:tcPr>
            <w:tcW w:w="5040" w:type="dxa"/>
            <w:vAlign w:val="bottom"/>
          </w:tcPr>
          <w:p>
            <w:pPr>
              <w:ind w:left="340"/>
              <w:spacing w:after="0"/>
              <w:rPr>
                <w:sz w:val="20"/>
                <w:szCs w:val="20"/>
                <w:color w:val="auto"/>
              </w:rPr>
            </w:pPr>
            <w:r>
              <w:rPr>
                <w:rFonts w:ascii="Arial" w:cs="Arial" w:eastAsia="Arial" w:hAnsi="Arial"/>
                <w:sz w:val="17"/>
                <w:szCs w:val="17"/>
                <w:color w:val="auto"/>
              </w:rPr>
              <w:t>Losses (gains) on property disposals, net</w:t>
            </w: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1.7</w:t>
            </w:r>
          </w:p>
        </w:tc>
      </w:tr>
      <w:tr>
        <w:trPr>
          <w:trHeight w:val="26"/>
        </w:trPr>
        <w:tc>
          <w:tcPr>
            <w:tcW w:w="504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BFE4FF"/>
            </w:tcBorders>
            <w:shd w:val="clear" w:color="auto" w:fill="BFE4FF"/>
          </w:tcPr>
          <w:p>
            <w:pPr>
              <w:ind w:left="640"/>
              <w:spacing w:after="0"/>
              <w:rPr>
                <w:sz w:val="20"/>
                <w:szCs w:val="20"/>
                <w:color w:val="auto"/>
              </w:rPr>
            </w:pPr>
            <w:r>
              <w:rPr>
                <w:rFonts w:ascii="Arial" w:cs="Arial" w:eastAsia="Arial" w:hAnsi="Arial"/>
                <w:sz w:val="17"/>
                <w:szCs w:val="17"/>
                <w:color w:val="auto"/>
              </w:rPr>
              <w:t>Total operating expenses</w:t>
            </w: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1,275.6</w:t>
            </w:r>
          </w:p>
        </w:tc>
        <w:tc>
          <w:tcPr>
            <w:tcW w:w="10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1,207.4</w:t>
            </w:r>
          </w:p>
        </w:tc>
        <w:tc>
          <w:tcPr>
            <w:tcW w:w="12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2,494.4</w:t>
            </w:r>
          </w:p>
        </w:tc>
        <w:tc>
          <w:tcPr>
            <w:tcW w:w="10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2,377.7</w:t>
            </w:r>
          </w:p>
        </w:tc>
      </w:tr>
      <w:tr>
        <w:trPr>
          <w:trHeight w:val="219"/>
        </w:trPr>
        <w:tc>
          <w:tcPr>
            <w:tcW w:w="5040" w:type="dxa"/>
            <w:vAlign w:val="bottom"/>
          </w:tcPr>
          <w:p>
            <w:pPr>
              <w:ind w:left="1060"/>
              <w:spacing w:after="0"/>
              <w:rPr>
                <w:sz w:val="20"/>
                <w:szCs w:val="20"/>
                <w:color w:val="auto"/>
              </w:rPr>
            </w:pPr>
            <w:r>
              <w:rPr>
                <w:rFonts w:ascii="Arial" w:cs="Arial" w:eastAsia="Arial" w:hAnsi="Arial"/>
                <w:sz w:val="17"/>
                <w:szCs w:val="17"/>
                <w:b w:val="1"/>
                <w:bCs w:val="1"/>
                <w:color w:val="auto"/>
              </w:rPr>
              <w:t>Operating Income</w:t>
            </w: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50.9</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53.2</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46.6</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53.5</w:t>
            </w:r>
          </w:p>
        </w:tc>
      </w:tr>
      <w:tr>
        <w:trPr>
          <w:trHeight w:val="26"/>
        </w:trPr>
        <w:tc>
          <w:tcPr>
            <w:tcW w:w="504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4"/>
        </w:trPr>
        <w:tc>
          <w:tcPr>
            <w:tcW w:w="50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b w:val="1"/>
                <w:bCs w:val="1"/>
                <w:color w:val="auto"/>
              </w:rPr>
              <w:t>Nonoperating Expenses:</w:t>
            </w:r>
          </w:p>
        </w:tc>
        <w:tc>
          <w:tcPr>
            <w:tcW w:w="480" w:type="dxa"/>
            <w:vAlign w:val="bottom"/>
            <w:tcBorders>
              <w:bottom w:val="single" w:sz="8" w:color="BFE4FF"/>
            </w:tcBorders>
            <w:shd w:val="clear" w:color="auto" w:fill="BFE4FF"/>
          </w:tcPr>
          <w:p>
            <w:pPr>
              <w:spacing w:after="0"/>
              <w:rPr>
                <w:sz w:val="19"/>
                <w:szCs w:val="19"/>
                <w:color w:val="auto"/>
              </w:rPr>
            </w:pPr>
          </w:p>
        </w:tc>
        <w:tc>
          <w:tcPr>
            <w:tcW w:w="1000" w:type="dxa"/>
            <w:vAlign w:val="bottom"/>
            <w:tcBorders>
              <w:bottom w:val="single" w:sz="8" w:color="BFE4FF"/>
            </w:tcBorders>
            <w:shd w:val="clear" w:color="auto" w:fill="BFE4FF"/>
          </w:tcPr>
          <w:p>
            <w:pPr>
              <w:spacing w:after="0"/>
              <w:rPr>
                <w:sz w:val="19"/>
                <w:szCs w:val="19"/>
                <w:color w:val="auto"/>
              </w:rPr>
            </w:pPr>
          </w:p>
        </w:tc>
        <w:tc>
          <w:tcPr>
            <w:tcW w:w="100" w:type="dxa"/>
            <w:vAlign w:val="bottom"/>
            <w:tcBorders>
              <w:bottom w:val="single" w:sz="8" w:color="BFE4FF"/>
            </w:tcBorders>
            <w:shd w:val="clear" w:color="auto" w:fill="BFE4FF"/>
          </w:tcPr>
          <w:p>
            <w:pPr>
              <w:spacing w:after="0"/>
              <w:rPr>
                <w:sz w:val="19"/>
                <w:szCs w:val="19"/>
                <w:color w:val="auto"/>
              </w:rPr>
            </w:pPr>
          </w:p>
        </w:tc>
        <w:tc>
          <w:tcPr>
            <w:tcW w:w="480" w:type="dxa"/>
            <w:vAlign w:val="bottom"/>
            <w:tcBorders>
              <w:bottom w:val="single" w:sz="8" w:color="BFE4FF"/>
            </w:tcBorders>
            <w:shd w:val="clear" w:color="auto" w:fill="BFE4FF"/>
          </w:tcPr>
          <w:p>
            <w:pPr>
              <w:spacing w:after="0"/>
              <w:rPr>
                <w:sz w:val="19"/>
                <w:szCs w:val="19"/>
                <w:color w:val="auto"/>
              </w:rPr>
            </w:pPr>
          </w:p>
        </w:tc>
        <w:tc>
          <w:tcPr>
            <w:tcW w:w="1000" w:type="dxa"/>
            <w:vAlign w:val="bottom"/>
            <w:tcBorders>
              <w:bottom w:val="single" w:sz="8" w:color="BFE4FF"/>
            </w:tcBorders>
            <w:shd w:val="clear" w:color="auto" w:fill="BFE4FF"/>
          </w:tcPr>
          <w:p>
            <w:pPr>
              <w:spacing w:after="0"/>
              <w:rPr>
                <w:sz w:val="19"/>
                <w:szCs w:val="19"/>
                <w:color w:val="auto"/>
              </w:rPr>
            </w:pPr>
          </w:p>
        </w:tc>
        <w:tc>
          <w:tcPr>
            <w:tcW w:w="120" w:type="dxa"/>
            <w:vAlign w:val="bottom"/>
            <w:tcBorders>
              <w:bottom w:val="single" w:sz="8" w:color="BFE4FF"/>
            </w:tcBorders>
            <w:shd w:val="clear" w:color="auto" w:fill="BFE4FF"/>
          </w:tcPr>
          <w:p>
            <w:pPr>
              <w:spacing w:after="0"/>
              <w:rPr>
                <w:sz w:val="19"/>
                <w:szCs w:val="19"/>
                <w:color w:val="auto"/>
              </w:rPr>
            </w:pPr>
          </w:p>
        </w:tc>
        <w:tc>
          <w:tcPr>
            <w:tcW w:w="460" w:type="dxa"/>
            <w:vAlign w:val="bottom"/>
            <w:tcBorders>
              <w:bottom w:val="single" w:sz="8" w:color="BFE4FF"/>
            </w:tcBorders>
            <w:shd w:val="clear" w:color="auto" w:fill="BFE4FF"/>
          </w:tcPr>
          <w:p>
            <w:pPr>
              <w:spacing w:after="0"/>
              <w:rPr>
                <w:sz w:val="19"/>
                <w:szCs w:val="19"/>
                <w:color w:val="auto"/>
              </w:rPr>
            </w:pPr>
          </w:p>
        </w:tc>
        <w:tc>
          <w:tcPr>
            <w:tcW w:w="980" w:type="dxa"/>
            <w:vAlign w:val="bottom"/>
            <w:tcBorders>
              <w:bottom w:val="single" w:sz="8" w:color="BFE4FF"/>
            </w:tcBorders>
            <w:shd w:val="clear" w:color="auto" w:fill="BFE4FF"/>
          </w:tcPr>
          <w:p>
            <w:pPr>
              <w:spacing w:after="0"/>
              <w:rPr>
                <w:sz w:val="19"/>
                <w:szCs w:val="19"/>
                <w:color w:val="auto"/>
              </w:rPr>
            </w:pPr>
          </w:p>
        </w:tc>
        <w:tc>
          <w:tcPr>
            <w:tcW w:w="100" w:type="dxa"/>
            <w:vAlign w:val="bottom"/>
            <w:tcBorders>
              <w:bottom w:val="single" w:sz="8" w:color="BFE4FF"/>
            </w:tcBorders>
            <w:shd w:val="clear" w:color="auto" w:fill="BFE4FF"/>
          </w:tcPr>
          <w:p>
            <w:pPr>
              <w:spacing w:after="0"/>
              <w:rPr>
                <w:sz w:val="19"/>
                <w:szCs w:val="19"/>
                <w:color w:val="auto"/>
              </w:rPr>
            </w:pPr>
          </w:p>
        </w:tc>
        <w:tc>
          <w:tcPr>
            <w:tcW w:w="460" w:type="dxa"/>
            <w:vAlign w:val="bottom"/>
            <w:tcBorders>
              <w:bottom w:val="single" w:sz="8" w:color="BFE4FF"/>
            </w:tcBorders>
            <w:shd w:val="clear" w:color="auto" w:fill="BFE4FF"/>
          </w:tcPr>
          <w:p>
            <w:pPr>
              <w:spacing w:after="0"/>
              <w:rPr>
                <w:sz w:val="19"/>
                <w:szCs w:val="19"/>
                <w:color w:val="auto"/>
              </w:rPr>
            </w:pPr>
          </w:p>
        </w:tc>
        <w:tc>
          <w:tcPr>
            <w:tcW w:w="980" w:type="dxa"/>
            <w:vAlign w:val="bottom"/>
            <w:tcBorders>
              <w:bottom w:val="single" w:sz="8" w:color="BFE4FF"/>
            </w:tcBorders>
            <w:shd w:val="clear" w:color="auto" w:fill="BFE4FF"/>
          </w:tcPr>
          <w:p>
            <w:pPr>
              <w:spacing w:after="0"/>
              <w:rPr>
                <w:sz w:val="19"/>
                <w:szCs w:val="19"/>
                <w:color w:val="auto"/>
              </w:rPr>
            </w:pPr>
          </w:p>
        </w:tc>
      </w:tr>
      <w:tr>
        <w:trPr>
          <w:trHeight w:val="226"/>
        </w:trPr>
        <w:tc>
          <w:tcPr>
            <w:tcW w:w="5040" w:type="dxa"/>
            <w:vAlign w:val="bottom"/>
          </w:tcPr>
          <w:p>
            <w:pPr>
              <w:ind w:left="340"/>
              <w:spacing w:after="0"/>
              <w:rPr>
                <w:sz w:val="20"/>
                <w:szCs w:val="20"/>
                <w:color w:val="auto"/>
              </w:rPr>
            </w:pPr>
            <w:r>
              <w:rPr>
                <w:rFonts w:ascii="Arial" w:cs="Arial" w:eastAsia="Arial" w:hAnsi="Arial"/>
                <w:sz w:val="17"/>
                <w:szCs w:val="17"/>
                <w:color w:val="auto"/>
              </w:rPr>
              <w:t>Interest expense</w:t>
            </w: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25.5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25.7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51.1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51.1</w:t>
            </w:r>
          </w:p>
        </w:tc>
      </w:tr>
      <w:tr>
        <w:trPr>
          <w:trHeight w:val="26"/>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2"/>
        </w:trPr>
        <w:tc>
          <w:tcPr>
            <w:tcW w:w="5040" w:type="dxa"/>
            <w:vAlign w:val="bottom"/>
            <w:tcBorders>
              <w:bottom w:val="single" w:sz="8" w:color="BFE4FF"/>
            </w:tcBorders>
            <w:shd w:val="clear" w:color="auto" w:fill="BFE4FF"/>
          </w:tcPr>
          <w:p>
            <w:pPr>
              <w:ind w:left="340"/>
              <w:spacing w:after="0"/>
              <w:rPr>
                <w:sz w:val="20"/>
                <w:szCs w:val="20"/>
                <w:color w:val="auto"/>
              </w:rPr>
            </w:pPr>
            <w:r>
              <w:rPr>
                <w:rFonts w:ascii="Arial" w:cs="Arial" w:eastAsia="Arial" w:hAnsi="Arial"/>
                <w:sz w:val="17"/>
                <w:szCs w:val="17"/>
                <w:color w:val="auto"/>
              </w:rPr>
              <w:t>Non-union pension and postretirement benefits</w:t>
            </w:r>
          </w:p>
        </w:tc>
        <w:tc>
          <w:tcPr>
            <w:tcW w:w="48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BFE4FF"/>
            </w:tcBorders>
            <w:shd w:val="clear" w:color="auto" w:fill="BFE4FF"/>
          </w:tcPr>
          <w:p>
            <w:pPr>
              <w:spacing w:after="0"/>
              <w:rPr>
                <w:sz w:val="20"/>
                <w:szCs w:val="20"/>
                <w:color w:val="auto"/>
              </w:rPr>
            </w:pPr>
          </w:p>
        </w:tc>
        <w:tc>
          <w:tcPr>
            <w:tcW w:w="48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BFE4FF"/>
            </w:tcBorders>
            <w:shd w:val="clear" w:color="auto" w:fill="BFE4FF"/>
          </w:tcPr>
          <w:p>
            <w:pPr>
              <w:spacing w:after="0"/>
              <w:rPr>
                <w:sz w:val="20"/>
                <w:szCs w:val="20"/>
                <w:color w:val="auto"/>
              </w:rPr>
            </w:pPr>
          </w:p>
        </w:tc>
        <w:tc>
          <w:tcPr>
            <w:tcW w:w="9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BFE4FF"/>
            </w:tcBorders>
            <w:shd w:val="clear" w:color="auto" w:fill="BFE4FF"/>
          </w:tcPr>
          <w:p>
            <w:pPr>
              <w:spacing w:after="0"/>
              <w:rPr>
                <w:sz w:val="20"/>
                <w:szCs w:val="20"/>
                <w:color w:val="auto"/>
              </w:rPr>
            </w:pP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6.5</w:t>
            </w:r>
          </w:p>
        </w:tc>
      </w:tr>
      <w:tr>
        <w:trPr>
          <w:trHeight w:val="226"/>
        </w:trPr>
        <w:tc>
          <w:tcPr>
            <w:tcW w:w="5040" w:type="dxa"/>
            <w:vAlign w:val="bottom"/>
          </w:tcPr>
          <w:p>
            <w:pPr>
              <w:ind w:left="340"/>
              <w:spacing w:after="0"/>
              <w:rPr>
                <w:sz w:val="20"/>
                <w:szCs w:val="20"/>
                <w:color w:val="auto"/>
              </w:rPr>
            </w:pPr>
            <w:r>
              <w:rPr>
                <w:rFonts w:ascii="Arial" w:cs="Arial" w:eastAsia="Arial" w:hAnsi="Arial"/>
                <w:sz w:val="17"/>
                <w:szCs w:val="17"/>
                <w:color w:val="auto"/>
              </w:rPr>
              <w:t>Other, net</w:t>
            </w: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2.7</w:t>
            </w:r>
          </w:p>
        </w:tc>
      </w:tr>
      <w:tr>
        <w:trPr>
          <w:trHeight w:val="26"/>
        </w:trPr>
        <w:tc>
          <w:tcPr>
            <w:tcW w:w="504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BFE4FF"/>
            </w:tcBorders>
            <w:shd w:val="clear" w:color="auto" w:fill="BFE4FF"/>
          </w:tcPr>
          <w:p>
            <w:pPr>
              <w:ind w:left="640"/>
              <w:spacing w:after="0"/>
              <w:rPr>
                <w:sz w:val="20"/>
                <w:szCs w:val="20"/>
                <w:color w:val="auto"/>
              </w:rPr>
            </w:pPr>
            <w:r>
              <w:rPr>
                <w:rFonts w:ascii="Arial" w:cs="Arial" w:eastAsia="Arial" w:hAnsi="Arial"/>
                <w:sz w:val="17"/>
                <w:szCs w:val="17"/>
                <w:color w:val="auto"/>
              </w:rPr>
              <w:t>Nonoperating expenses, net</w:t>
            </w: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26.1</w:t>
            </w:r>
          </w:p>
        </w:tc>
        <w:tc>
          <w:tcPr>
            <w:tcW w:w="10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30.6</w:t>
            </w:r>
          </w:p>
        </w:tc>
        <w:tc>
          <w:tcPr>
            <w:tcW w:w="12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49.3</w:t>
            </w:r>
          </w:p>
        </w:tc>
        <w:tc>
          <w:tcPr>
            <w:tcW w:w="10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60.3</w:t>
            </w:r>
          </w:p>
        </w:tc>
      </w:tr>
      <w:tr>
        <w:trPr>
          <w:trHeight w:val="219"/>
        </w:trPr>
        <w:tc>
          <w:tcPr>
            <w:tcW w:w="504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24.8</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22.6</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w:t>
            </w:r>
          </w:p>
        </w:tc>
      </w:tr>
      <w:tr>
        <w:trPr>
          <w:trHeight w:val="26"/>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2"/>
        </w:trPr>
        <w:tc>
          <w:tcPr>
            <w:tcW w:w="50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Income tax expense (benefit)</w:t>
            </w: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10.4</w:t>
            </w:r>
          </w:p>
        </w:tc>
        <w:tc>
          <w:tcPr>
            <w:tcW w:w="10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3.6</w:t>
            </w:r>
          </w:p>
        </w:tc>
        <w:tc>
          <w:tcPr>
            <w:tcW w:w="12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(0.5)</w:t>
            </w:r>
          </w:p>
        </w:tc>
      </w:tr>
      <w:tr>
        <w:trPr>
          <w:trHeight w:val="219"/>
        </w:trPr>
        <w:tc>
          <w:tcPr>
            <w:tcW w:w="504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19.0</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(6.3)</w:t>
            </w:r>
          </w:p>
        </w:tc>
      </w:tr>
      <w:tr>
        <w:trPr>
          <w:trHeight w:val="26"/>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2"/>
        </w:trPr>
        <w:tc>
          <w:tcPr>
            <w:tcW w:w="50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Other comprehensive income, net of tax</w:t>
            </w: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6.0</w:t>
            </w:r>
          </w:p>
        </w:tc>
        <w:tc>
          <w:tcPr>
            <w:tcW w:w="12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6.3</w:t>
            </w:r>
          </w:p>
        </w:tc>
        <w:tc>
          <w:tcPr>
            <w:tcW w:w="10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10.4</w:t>
            </w:r>
          </w:p>
        </w:tc>
      </w:tr>
      <w:tr>
        <w:trPr>
          <w:trHeight w:val="219"/>
        </w:trPr>
        <w:tc>
          <w:tcPr>
            <w:tcW w:w="5040" w:type="dxa"/>
            <w:vAlign w:val="bottom"/>
          </w:tcPr>
          <w:p>
            <w:pPr>
              <w:ind w:left="340"/>
              <w:spacing w:after="0"/>
              <w:rPr>
                <w:sz w:val="20"/>
                <w:szCs w:val="20"/>
                <w:color w:val="auto"/>
              </w:rPr>
            </w:pPr>
            <w:r>
              <w:rPr>
                <w:rFonts w:ascii="Arial" w:cs="Arial" w:eastAsia="Arial" w:hAnsi="Arial"/>
                <w:sz w:val="17"/>
                <w:szCs w:val="17"/>
                <w:b w:val="1"/>
                <w:bCs w:val="1"/>
                <w:color w:val="auto"/>
              </w:rPr>
              <w:t>Comprehensive Income</w:t>
            </w:r>
          </w:p>
        </w:tc>
        <w:tc>
          <w:tcPr>
            <w:tcW w:w="480" w:type="dxa"/>
            <w:vAlign w:val="bottom"/>
            <w:tcBorders>
              <w:top w:val="single" w:sz="8" w:color="auto"/>
            </w:tcBorders>
          </w:tcPr>
          <w:p>
            <w:pPr>
              <w:jc w:val="right"/>
              <w:ind w:right="296"/>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76"/>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25.0</w:t>
            </w:r>
          </w:p>
        </w:tc>
        <w:tc>
          <w:tcPr>
            <w:tcW w:w="120" w:type="dxa"/>
            <w:vAlign w:val="bottom"/>
          </w:tcPr>
          <w:p>
            <w:pPr>
              <w:spacing w:after="0"/>
              <w:rPr>
                <w:sz w:val="19"/>
                <w:szCs w:val="19"/>
                <w:color w:val="auto"/>
              </w:rPr>
            </w:pPr>
          </w:p>
        </w:tc>
        <w:tc>
          <w:tcPr>
            <w:tcW w:w="460" w:type="dxa"/>
            <w:vAlign w:val="bottom"/>
            <w:tcBorders>
              <w:top w:val="single" w:sz="8" w:color="auto"/>
            </w:tcBorders>
          </w:tcPr>
          <w:p>
            <w:pPr>
              <w:jc w:val="right"/>
              <w:ind w:right="27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9"/>
                <w:szCs w:val="19"/>
                <w:color w:val="auto"/>
              </w:rPr>
            </w:pPr>
          </w:p>
        </w:tc>
        <w:tc>
          <w:tcPr>
            <w:tcW w:w="460" w:type="dxa"/>
            <w:vAlign w:val="bottom"/>
            <w:tcBorders>
              <w:top w:val="single" w:sz="8" w:color="auto"/>
            </w:tcBorders>
          </w:tcPr>
          <w:p>
            <w:pPr>
              <w:jc w:val="right"/>
              <w:ind w:right="27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4.1</w:t>
            </w:r>
          </w:p>
        </w:tc>
      </w:tr>
      <w:tr>
        <w:trPr>
          <w:trHeight w:val="66"/>
        </w:trPr>
        <w:tc>
          <w:tcPr>
            <w:tcW w:w="5040" w:type="dxa"/>
            <w:vAlign w:val="bottom"/>
            <w:tcBorders>
              <w:bottom w:val="single" w:sz="8" w:color="BFE4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BFE4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80"/>
        </w:trPr>
        <w:tc>
          <w:tcPr>
            <w:tcW w:w="5040" w:type="dxa"/>
            <w:vAlign w:val="bottom"/>
            <w:shd w:val="clear" w:color="auto" w:fill="BFE4FF"/>
          </w:tcPr>
          <w:p>
            <w:pPr>
              <w:spacing w:after="0"/>
              <w:rPr>
                <w:sz w:val="24"/>
                <w:szCs w:val="24"/>
                <w:color w:val="auto"/>
              </w:rPr>
            </w:pPr>
          </w:p>
        </w:tc>
        <w:tc>
          <w:tcPr>
            <w:tcW w:w="480" w:type="dxa"/>
            <w:vAlign w:val="bottom"/>
            <w:shd w:val="clear" w:color="auto" w:fill="BFE4FF"/>
          </w:tcPr>
          <w:p>
            <w:pPr>
              <w:spacing w:after="0"/>
              <w:rPr>
                <w:sz w:val="24"/>
                <w:szCs w:val="24"/>
                <w:color w:val="auto"/>
              </w:rPr>
            </w:pPr>
          </w:p>
        </w:tc>
        <w:tc>
          <w:tcPr>
            <w:tcW w:w="100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480" w:type="dxa"/>
            <w:vAlign w:val="bottom"/>
            <w:shd w:val="clear" w:color="auto" w:fill="BFE4FF"/>
          </w:tcPr>
          <w:p>
            <w:pPr>
              <w:spacing w:after="0"/>
              <w:rPr>
                <w:sz w:val="24"/>
                <w:szCs w:val="24"/>
                <w:color w:val="auto"/>
              </w:rPr>
            </w:pPr>
          </w:p>
        </w:tc>
        <w:tc>
          <w:tcPr>
            <w:tcW w:w="100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460" w:type="dxa"/>
            <w:vAlign w:val="bottom"/>
            <w:shd w:val="clear" w:color="auto" w:fill="BFE4FF"/>
          </w:tcPr>
          <w:p>
            <w:pPr>
              <w:spacing w:after="0"/>
              <w:rPr>
                <w:sz w:val="24"/>
                <w:szCs w:val="24"/>
                <w:color w:val="auto"/>
              </w:rPr>
            </w:pPr>
          </w:p>
        </w:tc>
        <w:tc>
          <w:tcPr>
            <w:tcW w:w="98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460" w:type="dxa"/>
            <w:vAlign w:val="bottom"/>
            <w:shd w:val="clear" w:color="auto" w:fill="BFE4FF"/>
          </w:tcPr>
          <w:p>
            <w:pPr>
              <w:spacing w:after="0"/>
              <w:rPr>
                <w:sz w:val="24"/>
                <w:szCs w:val="24"/>
                <w:color w:val="auto"/>
              </w:rPr>
            </w:pPr>
          </w:p>
        </w:tc>
        <w:tc>
          <w:tcPr>
            <w:tcW w:w="980" w:type="dxa"/>
            <w:vAlign w:val="bottom"/>
            <w:shd w:val="clear" w:color="auto" w:fill="BFE4FF"/>
          </w:tcPr>
          <w:p>
            <w:pPr>
              <w:spacing w:after="0"/>
              <w:rPr>
                <w:sz w:val="24"/>
                <w:szCs w:val="24"/>
                <w:color w:val="auto"/>
              </w:rPr>
            </w:pPr>
          </w:p>
        </w:tc>
      </w:tr>
      <w:tr>
        <w:trPr>
          <w:trHeight w:val="226"/>
        </w:trPr>
        <w:tc>
          <w:tcPr>
            <w:tcW w:w="5040" w:type="dxa"/>
            <w:vAlign w:val="bottom"/>
          </w:tcPr>
          <w:p>
            <w:pPr>
              <w:ind w:left="20"/>
              <w:spacing w:after="0"/>
              <w:rPr>
                <w:sz w:val="20"/>
                <w:szCs w:val="20"/>
                <w:color w:val="auto"/>
              </w:rPr>
            </w:pPr>
            <w:r>
              <w:rPr>
                <w:rFonts w:ascii="Arial" w:cs="Arial" w:eastAsia="Arial" w:hAnsi="Arial"/>
                <w:sz w:val="17"/>
                <w:szCs w:val="17"/>
                <w:b w:val="1"/>
                <w:bCs w:val="1"/>
                <w:color w:val="auto"/>
              </w:rPr>
              <w:t>Average Common Shares Outstanding – Basic</w:t>
            </w: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32,966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32,715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32,894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32,642</w:t>
            </w:r>
          </w:p>
        </w:tc>
      </w:tr>
      <w:tr>
        <w:trPr>
          <w:trHeight w:val="26"/>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2"/>
        </w:trPr>
        <w:tc>
          <w:tcPr>
            <w:tcW w:w="50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b w:val="1"/>
                <w:bCs w:val="1"/>
                <w:color w:val="auto"/>
              </w:rPr>
              <w:t>Average Common Shares Outstanding – Diluted</w:t>
            </w:r>
          </w:p>
        </w:tc>
        <w:tc>
          <w:tcPr>
            <w:tcW w:w="48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33,794</w:t>
            </w:r>
          </w:p>
        </w:tc>
        <w:tc>
          <w:tcPr>
            <w:tcW w:w="100" w:type="dxa"/>
            <w:vAlign w:val="bottom"/>
            <w:tcBorders>
              <w:bottom w:val="single" w:sz="8" w:color="BFE4FF"/>
            </w:tcBorders>
            <w:shd w:val="clear" w:color="auto" w:fill="BFE4FF"/>
          </w:tcPr>
          <w:p>
            <w:pPr>
              <w:spacing w:after="0"/>
              <w:rPr>
                <w:sz w:val="20"/>
                <w:szCs w:val="20"/>
                <w:color w:val="auto"/>
              </w:rPr>
            </w:pPr>
          </w:p>
        </w:tc>
        <w:tc>
          <w:tcPr>
            <w:tcW w:w="48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33,322</w:t>
            </w:r>
          </w:p>
        </w:tc>
        <w:tc>
          <w:tcPr>
            <w:tcW w:w="120" w:type="dxa"/>
            <w:vAlign w:val="bottom"/>
            <w:tcBorders>
              <w:bottom w:val="single" w:sz="8" w:color="BFE4FF"/>
            </w:tcBorders>
            <w:shd w:val="clear" w:color="auto" w:fill="BFE4FF"/>
          </w:tcPr>
          <w:p>
            <w:pPr>
              <w:spacing w:after="0"/>
              <w:rPr>
                <w:sz w:val="20"/>
                <w:szCs w:val="20"/>
                <w:color w:val="auto"/>
              </w:rPr>
            </w:pPr>
          </w:p>
        </w:tc>
        <w:tc>
          <w:tcPr>
            <w:tcW w:w="460" w:type="dxa"/>
            <w:vAlign w:val="bottom"/>
            <w:tcBorders>
              <w:bottom w:val="single" w:sz="8" w:color="BFE4FF"/>
            </w:tcBorders>
            <w:shd w:val="clear" w:color="auto" w:fill="BFE4FF"/>
          </w:tcPr>
          <w:p>
            <w:pPr>
              <w:spacing w:after="0"/>
              <w:rPr>
                <w:sz w:val="20"/>
                <w:szCs w:val="20"/>
                <w:color w:val="auto"/>
              </w:rPr>
            </w:pP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32,894</w:t>
            </w:r>
          </w:p>
        </w:tc>
        <w:tc>
          <w:tcPr>
            <w:tcW w:w="100" w:type="dxa"/>
            <w:vAlign w:val="bottom"/>
            <w:tcBorders>
              <w:bottom w:val="single" w:sz="8" w:color="BFE4FF"/>
            </w:tcBorders>
            <w:shd w:val="clear" w:color="auto" w:fill="BFE4FF"/>
          </w:tcPr>
          <w:p>
            <w:pPr>
              <w:spacing w:after="0"/>
              <w:rPr>
                <w:sz w:val="20"/>
                <w:szCs w:val="20"/>
                <w:color w:val="auto"/>
              </w:rPr>
            </w:pPr>
          </w:p>
        </w:tc>
        <w:tc>
          <w:tcPr>
            <w:tcW w:w="460" w:type="dxa"/>
            <w:vAlign w:val="bottom"/>
            <w:tcBorders>
              <w:bottom w:val="single" w:sz="8" w:color="BFE4FF"/>
            </w:tcBorders>
            <w:shd w:val="clear" w:color="auto" w:fill="BFE4FF"/>
          </w:tcPr>
          <w:p>
            <w:pPr>
              <w:spacing w:after="0"/>
              <w:rPr>
                <w:sz w:val="20"/>
                <w:szCs w:val="20"/>
                <w:color w:val="auto"/>
              </w:rPr>
            </w:pP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32,642</w:t>
            </w:r>
          </w:p>
        </w:tc>
      </w:tr>
      <w:tr>
        <w:trPr>
          <w:trHeight w:val="277"/>
        </w:trPr>
        <w:tc>
          <w:tcPr>
            <w:tcW w:w="5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r>
      <w:tr>
        <w:trPr>
          <w:trHeight w:val="232"/>
        </w:trPr>
        <w:tc>
          <w:tcPr>
            <w:tcW w:w="50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b w:val="1"/>
                <w:bCs w:val="1"/>
                <w:color w:val="auto"/>
              </w:rPr>
              <w:t>Earnings (Loss) Per Share – Basic</w:t>
            </w:r>
          </w:p>
        </w:tc>
        <w:tc>
          <w:tcPr>
            <w:tcW w:w="480" w:type="dxa"/>
            <w:vAlign w:val="bottom"/>
            <w:tcBorders>
              <w:bottom w:val="single" w:sz="8" w:color="BFE4FF"/>
            </w:tcBorders>
            <w:shd w:val="clear" w:color="auto" w:fill="BFE4FF"/>
          </w:tcPr>
          <w:p>
            <w:pPr>
              <w:jc w:val="right"/>
              <w:ind w:right="29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0.44</w:t>
            </w:r>
          </w:p>
        </w:tc>
        <w:tc>
          <w:tcPr>
            <w:tcW w:w="100" w:type="dxa"/>
            <w:vAlign w:val="bottom"/>
            <w:tcBorders>
              <w:bottom w:val="single" w:sz="8" w:color="BFE4FF"/>
            </w:tcBorders>
            <w:shd w:val="clear" w:color="auto" w:fill="BFE4FF"/>
          </w:tcPr>
          <w:p>
            <w:pPr>
              <w:spacing w:after="0"/>
              <w:rPr>
                <w:sz w:val="20"/>
                <w:szCs w:val="20"/>
                <w:color w:val="auto"/>
              </w:rPr>
            </w:pPr>
          </w:p>
        </w:tc>
        <w:tc>
          <w:tcPr>
            <w:tcW w:w="480" w:type="dxa"/>
            <w:vAlign w:val="bottom"/>
            <w:tcBorders>
              <w:bottom w:val="single" w:sz="8" w:color="BFE4FF"/>
            </w:tcBorders>
            <w:shd w:val="clear" w:color="auto" w:fill="BFE4FF"/>
          </w:tcPr>
          <w:p>
            <w:pPr>
              <w:jc w:val="right"/>
              <w:ind w:right="276"/>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0.58</w:t>
            </w:r>
          </w:p>
        </w:tc>
        <w:tc>
          <w:tcPr>
            <w:tcW w:w="580" w:type="dxa"/>
            <w:vAlign w:val="bottom"/>
            <w:tcBorders>
              <w:bottom w:val="single" w:sz="8" w:color="BFE4FF"/>
            </w:tcBorders>
            <w:gridSpan w:val="2"/>
            <w:shd w:val="clear" w:color="auto" w:fill="BFE4FF"/>
          </w:tcPr>
          <w:p>
            <w:pPr>
              <w:jc w:val="right"/>
              <w:ind w:right="276"/>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0.00</w:t>
            </w:r>
          </w:p>
        </w:tc>
        <w:tc>
          <w:tcPr>
            <w:tcW w:w="560" w:type="dxa"/>
            <w:vAlign w:val="bottom"/>
            <w:tcBorders>
              <w:bottom w:val="single" w:sz="8" w:color="BFE4FF"/>
            </w:tcBorders>
            <w:gridSpan w:val="2"/>
            <w:shd w:val="clear" w:color="auto" w:fill="BFE4FF"/>
          </w:tcPr>
          <w:p>
            <w:pPr>
              <w:jc w:val="right"/>
              <w:ind w:right="276"/>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(0.19)</w:t>
            </w:r>
          </w:p>
        </w:tc>
      </w:tr>
      <w:tr>
        <w:trPr>
          <w:trHeight w:val="226"/>
        </w:trPr>
        <w:tc>
          <w:tcPr>
            <w:tcW w:w="5040" w:type="dxa"/>
            <w:vAlign w:val="bottom"/>
          </w:tcPr>
          <w:p>
            <w:pPr>
              <w:ind w:left="20"/>
              <w:spacing w:after="0"/>
              <w:rPr>
                <w:sz w:val="20"/>
                <w:szCs w:val="20"/>
                <w:color w:val="auto"/>
              </w:rPr>
            </w:pPr>
            <w:r>
              <w:rPr>
                <w:rFonts w:ascii="Arial" w:cs="Arial" w:eastAsia="Arial" w:hAnsi="Arial"/>
                <w:sz w:val="17"/>
                <w:szCs w:val="17"/>
                <w:b w:val="1"/>
                <w:bCs w:val="1"/>
                <w:color w:val="auto"/>
              </w:rPr>
              <w:t>Earnings (Loss) Per Share – Diluted</w:t>
            </w:r>
          </w:p>
        </w:tc>
        <w:tc>
          <w:tcPr>
            <w:tcW w:w="480" w:type="dxa"/>
            <w:vAlign w:val="bottom"/>
          </w:tcPr>
          <w:p>
            <w:pPr>
              <w:jc w:val="right"/>
              <w:ind w:right="296"/>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0.43</w:t>
            </w:r>
          </w:p>
        </w:tc>
        <w:tc>
          <w:tcPr>
            <w:tcW w:w="100" w:type="dxa"/>
            <w:vAlign w:val="bottom"/>
          </w:tcPr>
          <w:p>
            <w:pPr>
              <w:spacing w:after="0"/>
              <w:rPr>
                <w:sz w:val="19"/>
                <w:szCs w:val="19"/>
                <w:color w:val="auto"/>
              </w:rPr>
            </w:pPr>
          </w:p>
        </w:tc>
        <w:tc>
          <w:tcPr>
            <w:tcW w:w="480" w:type="dxa"/>
            <w:vAlign w:val="bottom"/>
          </w:tcPr>
          <w:p>
            <w:pPr>
              <w:jc w:val="right"/>
              <w:ind w:right="276"/>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0.57</w:t>
            </w:r>
          </w:p>
        </w:tc>
        <w:tc>
          <w:tcPr>
            <w:tcW w:w="580" w:type="dxa"/>
            <w:vAlign w:val="bottom"/>
            <w:gridSpan w:val="2"/>
          </w:tcPr>
          <w:p>
            <w:pPr>
              <w:jc w:val="right"/>
              <w:ind w:right="276"/>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0.00</w:t>
            </w:r>
          </w:p>
        </w:tc>
        <w:tc>
          <w:tcPr>
            <w:tcW w:w="560" w:type="dxa"/>
            <w:vAlign w:val="bottom"/>
            <w:gridSpan w:val="2"/>
          </w:tcPr>
          <w:p>
            <w:pPr>
              <w:jc w:val="right"/>
              <w:ind w:right="276"/>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(0.19)</w:t>
            </w:r>
          </w:p>
        </w:tc>
      </w:tr>
    </w:tbl>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20"/>
          </w:cols>
          <w:pgMar w:left="240" w:top="122" w:right="339" w:bottom="1440" w:gutter="0" w:footer="0" w:header="0"/>
          <w:type w:val="continuous"/>
        </w:sectPr>
      </w:pPr>
    </w:p>
    <w:bookmarkStart w:id="4" w:name="page5"/>
    <w:bookmarkEnd w:id="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STATEMENTS OF CONSOLIDATED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Six Months Ended June 30</w:t>
      </w:r>
    </w:p>
    <w:p>
      <w:pPr>
        <w:spacing w:after="0" w:line="6"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(Amounts in millions)</w:t>
      </w:r>
    </w:p>
    <w:p>
      <w:pPr>
        <w:spacing w:after="0" w:line="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3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2018</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2017</w:t>
            </w:r>
          </w:p>
        </w:tc>
      </w:tr>
      <w:tr>
        <w:trPr>
          <w:trHeight w:val="22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Net loss</w:t>
            </w:r>
          </w:p>
        </w:tc>
        <w:tc>
          <w:tcPr>
            <w:tcW w:w="940" w:type="dxa"/>
            <w:vAlign w:val="bottom"/>
          </w:tcPr>
          <w:p>
            <w:pPr>
              <w:jc w:val="right"/>
              <w:ind w:right="74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9"/>
                <w:szCs w:val="19"/>
                <w:color w:val="auto"/>
              </w:rPr>
            </w:pP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Noncash items included in net loss:</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Depreciation and amortization</w:t>
            </w:r>
          </w:p>
        </w:tc>
        <w:tc>
          <w:tcPr>
            <w:tcW w:w="94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7"/>
                <w:szCs w:val="17"/>
                <w:color w:val="auto"/>
              </w:rPr>
              <w:t>75.3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74.3</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Noncash equity-based compensation and employee benefits expense</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11.7</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Losses on property disposals, net</w:t>
            </w:r>
          </w:p>
        </w:tc>
        <w:tc>
          <w:tcPr>
            <w:tcW w:w="94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7"/>
                <w:szCs w:val="17"/>
                <w:color w:val="auto"/>
              </w:rPr>
              <w:t>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1.7</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noncash items, net</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6.8</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Changes in assets and liabilities, net:</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Accounts receivable</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(61.5)</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Accounts payable</w:t>
            </w:r>
          </w:p>
        </w:tc>
        <w:tc>
          <w:tcPr>
            <w:tcW w:w="94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7"/>
                <w:szCs w:val="17"/>
                <w:color w:val="auto"/>
              </w:rPr>
              <w:t>17.8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operating assets</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Other operating liabilities</w:t>
            </w:r>
          </w:p>
        </w:tc>
        <w:tc>
          <w:tcPr>
            <w:tcW w:w="94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7"/>
                <w:szCs w:val="17"/>
                <w:color w:val="auto"/>
              </w:rPr>
              <w:t>40.5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14.9</w:t>
            </w:r>
          </w:p>
        </w:tc>
      </w:tr>
      <w:tr>
        <w:trPr>
          <w:trHeight w:val="26"/>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b w:val="1"/>
                <w:bCs w:val="1"/>
                <w:color w:val="auto"/>
              </w:rPr>
              <w:t>Net cash provided by operating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40.7</w:t>
            </w:r>
          </w:p>
        </w:tc>
      </w:tr>
      <w:tr>
        <w:trPr>
          <w:trHeight w:val="206"/>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38"/>
        </w:trPr>
        <w:tc>
          <w:tcPr>
            <w:tcW w:w="8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Acquisition of property and equipment</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(39.0)</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Proceeds from disposal of property and equipment</w:t>
            </w:r>
          </w:p>
        </w:tc>
        <w:tc>
          <w:tcPr>
            <w:tcW w:w="94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6.7</w:t>
            </w:r>
          </w:p>
        </w:tc>
      </w:tr>
      <w:tr>
        <w:trPr>
          <w:trHeight w:val="26"/>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b w:val="1"/>
                <w:bCs w:val="1"/>
                <w:color w:val="auto"/>
              </w:rPr>
              <w:t>Net cash used in 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(32.3)</w:t>
            </w:r>
          </w:p>
        </w:tc>
      </w:tr>
      <w:tr>
        <w:trPr>
          <w:trHeight w:val="206"/>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38"/>
        </w:trPr>
        <w:tc>
          <w:tcPr>
            <w:tcW w:w="8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Repayments of long-term debt</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Debt issuance costs</w:t>
            </w:r>
          </w:p>
        </w:tc>
        <w:tc>
          <w:tcPr>
            <w:tcW w:w="94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Payments for tax withheld on equity-based compensation</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19"/>
        </w:trPr>
        <w:tc>
          <w:tcPr>
            <w:tcW w:w="8340" w:type="dxa"/>
            <w:vAlign w:val="bottom"/>
          </w:tcPr>
          <w:p>
            <w:pPr>
              <w:ind w:left="360"/>
              <w:spacing w:after="0"/>
              <w:rPr>
                <w:sz w:val="20"/>
                <w:szCs w:val="20"/>
                <w:color w:val="auto"/>
              </w:rPr>
            </w:pPr>
            <w:r>
              <w:rPr>
                <w:rFonts w:ascii="Arial" w:cs="Arial" w:eastAsia="Arial" w:hAnsi="Arial"/>
                <w:sz w:val="17"/>
                <w:szCs w:val="17"/>
                <w:b w:val="1"/>
                <w:bCs w:val="1"/>
                <w:color w:val="auto"/>
              </w:rPr>
              <w:t>Net cash used in financing activities</w:t>
            </w:r>
          </w:p>
        </w:tc>
        <w:tc>
          <w:tcPr>
            <w:tcW w:w="9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(16.2)</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(14.9)</w:t>
            </w:r>
          </w:p>
        </w:tc>
      </w:tr>
      <w:tr>
        <w:trPr>
          <w:trHeight w:val="26"/>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Increase (Decrease) In Cash, Cash Equivalents and Restricted Amounts Held in Escrow</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w:t>
            </w: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Cash, Cash Equivalents and Restricted Amounts Held in Escrow, Beginning of Period</w:t>
            </w:r>
          </w:p>
        </w:tc>
        <w:tc>
          <w:tcPr>
            <w:tcW w:w="94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7"/>
                <w:szCs w:val="17"/>
                <w:color w:val="auto"/>
                <w:w w:val="98"/>
              </w:rPr>
              <w:t>145.7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275.7</w:t>
            </w:r>
          </w:p>
        </w:tc>
      </w:tr>
      <w:tr>
        <w:trPr>
          <w:trHeight w:val="26"/>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Cash Equivalents and Restricted Amounts Held in Escrow, End of Period</w:t>
            </w:r>
          </w:p>
        </w:tc>
        <w:tc>
          <w:tcPr>
            <w:tcW w:w="94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98"/>
              </w:rPr>
              <w:t>158.7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269.2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42"/>
        </w:trPr>
        <w:tc>
          <w:tcPr>
            <w:tcW w:w="8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Cash Flow Information</w:t>
            </w: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Interest paid</w:t>
            </w:r>
          </w:p>
        </w:tc>
        <w:tc>
          <w:tcPr>
            <w:tcW w:w="940" w:type="dxa"/>
            <w:vAlign w:val="bottom"/>
          </w:tcPr>
          <w:p>
            <w:pPr>
              <w:jc w:val="right"/>
              <w:ind w:right="74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(49.4)</w:t>
            </w:r>
          </w:p>
        </w:tc>
        <w:tc>
          <w:tcPr>
            <w:tcW w:w="120" w:type="dxa"/>
            <w:vAlign w:val="bottom"/>
          </w:tcPr>
          <w:p>
            <w:pPr>
              <w:spacing w:after="0"/>
              <w:rPr>
                <w:sz w:val="19"/>
                <w:szCs w:val="19"/>
                <w:color w:val="auto"/>
              </w:rPr>
            </w:pP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(54.1)</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6"/>
        </w:trPr>
        <w:tc>
          <w:tcPr>
            <w:tcW w:w="8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Income tax refund (payment), net</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3.0</w:t>
            </w:r>
          </w:p>
        </w:tc>
      </w:tr>
      <w:tr>
        <w:trPr>
          <w:trHeight w:val="26"/>
        </w:trPr>
        <w:tc>
          <w:tcPr>
            <w:tcW w:w="8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940" w:type="dxa"/>
            <w:vAlign w:val="bottom"/>
          </w:tcPr>
          <w:p>
            <w:pPr>
              <w:jc w:val="center"/>
              <w:ind w:left="1416"/>
              <w:spacing w:after="0"/>
              <w:rPr>
                <w:sz w:val="20"/>
                <w:szCs w:val="20"/>
                <w:color w:val="auto"/>
              </w:rPr>
            </w:pPr>
            <w:r>
              <w:rPr>
                <w:rFonts w:ascii="Arial" w:cs="Arial" w:eastAsia="Arial" w:hAnsi="Arial"/>
                <w:sz w:val="17"/>
                <w:szCs w:val="17"/>
                <w:color w:val="auto"/>
                <w:w w:val="94"/>
              </w:rPr>
              <w:t>STATEMENT OF CONSOLIDATED SHAREHOLDERS’ DEFICIT</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1"/>
        </w:trPr>
        <w:tc>
          <w:tcPr>
            <w:tcW w:w="9940" w:type="dxa"/>
            <w:vAlign w:val="bottom"/>
          </w:tcPr>
          <w:p>
            <w:pPr>
              <w:jc w:val="center"/>
              <w:ind w:left="1396"/>
              <w:spacing w:after="0"/>
              <w:rPr>
                <w:sz w:val="20"/>
                <w:szCs w:val="20"/>
                <w:color w:val="auto"/>
              </w:rPr>
            </w:pPr>
            <w:r>
              <w:rPr>
                <w:rFonts w:ascii="Arial" w:cs="Arial" w:eastAsia="Arial" w:hAnsi="Arial"/>
                <w:sz w:val="17"/>
                <w:szCs w:val="17"/>
                <w:color w:val="auto"/>
                <w:w w:val="91"/>
              </w:rPr>
              <w:t>YRC Worldwide Inc. and Subsidiaries</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1"/>
        </w:trPr>
        <w:tc>
          <w:tcPr>
            <w:tcW w:w="9940" w:type="dxa"/>
            <w:vAlign w:val="bottom"/>
          </w:tcPr>
          <w:p>
            <w:pPr>
              <w:jc w:val="center"/>
              <w:ind w:left="1396"/>
              <w:spacing w:after="0"/>
              <w:rPr>
                <w:sz w:val="20"/>
                <w:szCs w:val="20"/>
                <w:color w:val="auto"/>
              </w:rPr>
            </w:pPr>
            <w:r>
              <w:rPr>
                <w:rFonts w:ascii="Arial" w:cs="Arial" w:eastAsia="Arial" w:hAnsi="Arial"/>
                <w:sz w:val="17"/>
                <w:szCs w:val="17"/>
                <w:color w:val="auto"/>
                <w:w w:val="88"/>
              </w:rPr>
              <w:t>For the Six Months Ended June 30, 2018</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1"/>
        </w:trPr>
        <w:tc>
          <w:tcPr>
            <w:tcW w:w="9940" w:type="dxa"/>
            <w:vAlign w:val="bottom"/>
          </w:tcPr>
          <w:p>
            <w:pPr>
              <w:jc w:val="center"/>
              <w:ind w:left="1396"/>
              <w:spacing w:after="0"/>
              <w:rPr>
                <w:sz w:val="20"/>
                <w:szCs w:val="20"/>
                <w:color w:val="auto"/>
              </w:rPr>
            </w:pPr>
            <w:r>
              <w:rPr>
                <w:rFonts w:ascii="Arial" w:cs="Arial" w:eastAsia="Arial" w:hAnsi="Arial"/>
                <w:sz w:val="17"/>
                <w:szCs w:val="17"/>
                <w:color w:val="auto"/>
                <w:w w:val="95"/>
              </w:rPr>
              <w:t>(Amounts in millions)</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3"/>
        </w:trPr>
        <w:tc>
          <w:tcPr>
            <w:tcW w:w="9940" w:type="dxa"/>
            <w:vAlign w:val="bottom"/>
          </w:tcPr>
          <w:p>
            <w:pPr>
              <w:jc w:val="center"/>
              <w:ind w:left="1396"/>
              <w:spacing w:after="0"/>
              <w:rPr>
                <w:sz w:val="20"/>
                <w:szCs w:val="20"/>
                <w:color w:val="auto"/>
              </w:rPr>
            </w:pPr>
            <w:r>
              <w:rPr>
                <w:rFonts w:ascii="Arial" w:cs="Arial" w:eastAsia="Arial" w:hAnsi="Arial"/>
                <w:sz w:val="17"/>
                <w:szCs w:val="17"/>
                <w:color w:val="auto"/>
                <w:w w:val="92"/>
              </w:rPr>
              <w:t>(Unaudited)</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02"/>
        </w:trPr>
        <w:tc>
          <w:tcPr>
            <w:tcW w:w="9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2"/>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Preferred Stock:</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and ending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Common Stock:</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and ending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0.3</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Capital Surplus:</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2,323.3</w:t>
            </w:r>
          </w:p>
        </w:tc>
      </w:tr>
      <w:tr>
        <w:trPr>
          <w:trHeight w:val="26"/>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2"/>
        </w:trPr>
        <w:tc>
          <w:tcPr>
            <w:tcW w:w="9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Equity-based compensation</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3.3</w:t>
            </w:r>
          </w:p>
        </w:tc>
      </w:tr>
      <w:tr>
        <w:trPr>
          <w:trHeight w:val="219"/>
        </w:trPr>
        <w:tc>
          <w:tcPr>
            <w:tcW w:w="9940" w:type="dxa"/>
            <w:vAlign w:val="bottom"/>
          </w:tcPr>
          <w:p>
            <w:pPr>
              <w:ind w:left="160"/>
              <w:spacing w:after="0"/>
              <w:rPr>
                <w:sz w:val="20"/>
                <w:szCs w:val="20"/>
                <w:color w:val="auto"/>
              </w:rPr>
            </w:pPr>
            <w:r>
              <w:rPr>
                <w:rFonts w:ascii="Arial" w:cs="Arial" w:eastAsia="Arial" w:hAnsi="Arial"/>
                <w:sz w:val="17"/>
                <w:szCs w:val="17"/>
                <w:color w:val="auto"/>
              </w:rPr>
              <w:t>Ending balance</w:t>
            </w: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2,326.6</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Accumulated Deficit:</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(2,228.6)</w:t>
            </w:r>
          </w:p>
        </w:tc>
      </w:tr>
      <w:tr>
        <w:trPr>
          <w:trHeight w:val="26"/>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2"/>
        </w:trPr>
        <w:tc>
          <w:tcPr>
            <w:tcW w:w="9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loss</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9"/>
        </w:trPr>
        <w:tc>
          <w:tcPr>
            <w:tcW w:w="9940" w:type="dxa"/>
            <w:vAlign w:val="bottom"/>
          </w:tcPr>
          <w:p>
            <w:pPr>
              <w:ind w:left="160"/>
              <w:spacing w:after="0"/>
              <w:rPr>
                <w:sz w:val="20"/>
                <w:szCs w:val="20"/>
                <w:color w:val="auto"/>
              </w:rPr>
            </w:pPr>
            <w:r>
              <w:rPr>
                <w:rFonts w:ascii="Arial" w:cs="Arial" w:eastAsia="Arial" w:hAnsi="Arial"/>
                <w:sz w:val="17"/>
                <w:szCs w:val="17"/>
                <w:color w:val="auto"/>
              </w:rPr>
              <w:t>Ending balance</w:t>
            </w: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(2,228.8)</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Accumulated Other Comprehensive Loss:</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(355.8)</w:t>
            </w:r>
          </w:p>
        </w:tc>
      </w:tr>
      <w:tr>
        <w:trPr>
          <w:trHeight w:val="26"/>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2"/>
        </w:trPr>
        <w:tc>
          <w:tcPr>
            <w:tcW w:w="9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Reclassification of prior net pension actuarial losses, net of tax</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7.6</w:t>
            </w:r>
          </w:p>
        </w:tc>
      </w:tr>
      <w:tr>
        <w:trPr>
          <w:trHeight w:val="226"/>
        </w:trPr>
        <w:tc>
          <w:tcPr>
            <w:tcW w:w="9940" w:type="dxa"/>
            <w:vAlign w:val="bottom"/>
          </w:tcPr>
          <w:p>
            <w:pPr>
              <w:ind w:left="260"/>
              <w:spacing w:after="0"/>
              <w:rPr>
                <w:sz w:val="20"/>
                <w:szCs w:val="20"/>
                <w:color w:val="auto"/>
              </w:rPr>
            </w:pPr>
            <w:r>
              <w:rPr>
                <w:rFonts w:ascii="Arial" w:cs="Arial" w:eastAsia="Arial" w:hAnsi="Arial"/>
                <w:sz w:val="17"/>
                <w:szCs w:val="17"/>
                <w:color w:val="auto"/>
              </w:rPr>
              <w:t>Reclassification of prior service credit, net of tax</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6"/>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2"/>
        </w:trPr>
        <w:tc>
          <w:tcPr>
            <w:tcW w:w="9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Foreign currency translation adjustments</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19"/>
        </w:trPr>
        <w:tc>
          <w:tcPr>
            <w:tcW w:w="9940" w:type="dxa"/>
            <w:vAlign w:val="bottom"/>
          </w:tcPr>
          <w:p>
            <w:pPr>
              <w:ind w:left="160"/>
              <w:spacing w:after="0"/>
              <w:rPr>
                <w:sz w:val="20"/>
                <w:szCs w:val="20"/>
                <w:color w:val="auto"/>
              </w:rPr>
            </w:pPr>
            <w:r>
              <w:rPr>
                <w:rFonts w:ascii="Arial" w:cs="Arial" w:eastAsia="Arial" w:hAnsi="Arial"/>
                <w:sz w:val="17"/>
                <w:szCs w:val="17"/>
                <w:color w:val="auto"/>
              </w:rPr>
              <w:t>Ending balance</w:t>
            </w: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(349.5)</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Treasury Stock, At Cost:</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and ending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(92.7)</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9"/>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Shareholders’ Deficit</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(344.1)</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2" w:right="239" w:bottom="1440" w:gutter="0" w:footer="0" w:header="0"/>
        </w:sectPr>
      </w:pPr>
    </w:p>
    <w:bookmarkStart w:id="6" w:name="page7"/>
    <w:bookmarkEnd w:id="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YRC Worldwide Inc. (also referred to as “YRC Worldwide,” the “Company,” “we,” “us” or “our”) is a holding company that, through wholly owned operating subsidiaries, offers its customers a wide range of transportation services. YRC Worldwide has one of the largest, most comprehensive less-than-truckload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 Our reporting segments include the following:</w:t>
      </w:r>
    </w:p>
    <w:p>
      <w:pPr>
        <w:spacing w:after="0" w:line="182" w:lineRule="exact"/>
        <w:rPr>
          <w:sz w:val="20"/>
          <w:szCs w:val="20"/>
          <w:color w:val="auto"/>
        </w:rPr>
      </w:pPr>
    </w:p>
    <w:p>
      <w:pPr>
        <w:jc w:val="both"/>
        <w:ind w:left="600" w:hanging="297"/>
        <w:spacing w:after="0" w:line="252"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YRC Freight is the reporting segment that focuses on longer haul business opportunities with national, regional and international services. YRC Freight provides for the movement of industrial, commercial and retail goods, primarily through centralized management. This reporting segment includes YRC Inc. (doing business as, and herein referred to as, “YRC Freight”), our LTL subsidiary, and Reimer Express Lines Ltd. (“YRC Reimer”). YRC Reimer is a subsidiary located in Canada that specializes in shipments into, across and out of Canada. In addition to the United States and Canada, YRC Freight also serves parts of Mexico and Puerto Rico.</w:t>
      </w:r>
    </w:p>
    <w:p>
      <w:pPr>
        <w:spacing w:after="0" w:line="181" w:lineRule="exact"/>
        <w:rPr>
          <w:rFonts w:ascii="Arial" w:cs="Arial" w:eastAsia="Arial" w:hAnsi="Arial"/>
          <w:sz w:val="17"/>
          <w:szCs w:val="17"/>
          <w:color w:val="auto"/>
        </w:rPr>
      </w:pPr>
    </w:p>
    <w:p>
      <w:pPr>
        <w:jc w:val="both"/>
        <w:ind w:left="600" w:hanging="297"/>
        <w:spacing w:after="0" w:line="254"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Regional Transportation is the reporting segment for our transportation service providers focused on business opportunities in the regional and next-day delivery markets. Regional Transportation is comprised of USF Holland LLC (“Holland”), New Penn Motor Express LLC (“New Penn”) and USF Reddaway Inc. (“Reddaway”). These companies each provide regional, next-day ground services in their respective regions through a network of facilities located across the United States, Canada, and Puerto Rico.</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At June 30, 2018, approximately 79% of our labor force is subject to collective bargaining agreements, which predominantly expire in March 2019.</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Principles of Consolidation</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accompanying Consolidated Financial Statements include the accounts of YRC Worldwide and its wholly owned subsidiaries. All intercompany accounts and transactions have been eliminated in consolidation. We report on a calendar year basis. The quarters of the Regional Transportation companies (with the exception of New Penn) consist of thirteen weeks that end on a Saturday either before or after the end of March, June and September, whereas all other operating segment quarters end on the natural calendar quarter end. For ease of reference, the calendar quarter end dates are used herein.</w:t>
      </w:r>
    </w:p>
    <w:p>
      <w:pPr>
        <w:spacing w:after="0" w:line="16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make estimates and assumptions that affect the amounts reported in the Consolidated Financial Statements and notes. Actual results could differ from those estimates. We have prepared the Consolidated Financial Statements, without audit, pursuant to the rules and regulations of the Securities and Exchange Commission (“SEC”). In our opinion, we have made all normal recurring adjustments necessary for a fair statement of the financial position, results of operations and cash flows for the interim periods included in these financial statements. Certain information and note disclosures normally included in financial statements prepared in accordance with generally accepted accounting principles in the United States (“GAAP”) have been condensed or omitted from these statements pursuant to SEC rules and regulations. Accordingly, the accompanying Consolidated Financial Statements should be read in conjunction with the Consolidated Financial Statements included in our Annual Report on Form 10-K for the year ended December 31, 2017.</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 xml:space="preserve">Certain reclassifications have been made to prior year’s consolidated financial statements to conform to current year presentation. Total net periodic pension cost associated with the Company’s non-union defined benefit plans that was previously reported in operating expenses in the income statement is now reported in nonoperating expenses due to the adoption of Accounting Standards Update (“ASU”) 2017-07, </w:t>
      </w:r>
      <w:r>
        <w:rPr>
          <w:rFonts w:ascii="Arial" w:cs="Arial" w:eastAsia="Arial" w:hAnsi="Arial"/>
          <w:sz w:val="15"/>
          <w:szCs w:val="15"/>
          <w:i w:val="1"/>
          <w:iCs w:val="1"/>
          <w:color w:val="auto"/>
        </w:rPr>
        <w:t>Improving the Presentation of Net Periodic Pension Cost and Net</w:t>
      </w:r>
      <w:r>
        <w:rPr>
          <w:rFonts w:ascii="Arial" w:cs="Arial" w:eastAsia="Arial" w:hAnsi="Arial"/>
          <w:sz w:val="15"/>
          <w:szCs w:val="15"/>
          <w:color w:val="auto"/>
        </w:rPr>
        <w:t xml:space="preserve"> </w:t>
      </w:r>
      <w:r>
        <w:rPr>
          <w:rFonts w:ascii="Arial" w:cs="Arial" w:eastAsia="Arial" w:hAnsi="Arial"/>
          <w:sz w:val="15"/>
          <w:szCs w:val="15"/>
          <w:i w:val="1"/>
          <w:iCs w:val="1"/>
          <w:color w:val="auto"/>
        </w:rPr>
        <w:t>Periodic Postretirement Benefit Cost</w:t>
      </w:r>
      <w:r>
        <w:rPr>
          <w:rFonts w:ascii="Arial" w:cs="Arial" w:eastAsia="Arial" w:hAnsi="Arial"/>
          <w:sz w:val="15"/>
          <w:szCs w:val="15"/>
          <w:color w:val="auto"/>
        </w:rPr>
        <w:t>, discussed further below. This resulted in a $3.2 million and $6.5 million reclassification from “Salaries, wages and employee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benefits” in operating expenses to “Non-union pension and postretirement benefits” in nonoperating expenses for the three and six months ended June 30, 2017, respectively. In addition, due to the adoption of ASU 2016-09, </w:t>
      </w:r>
      <w:r>
        <w:rPr>
          <w:rFonts w:ascii="Arial" w:cs="Arial" w:eastAsia="Arial" w:hAnsi="Arial"/>
          <w:sz w:val="15"/>
          <w:szCs w:val="15"/>
          <w:i w:val="1"/>
          <w:iCs w:val="1"/>
          <w:color w:val="auto"/>
        </w:rPr>
        <w:t>Improvements to Employee Share-Based Payment Accounting</w:t>
      </w:r>
      <w:r>
        <w:rPr>
          <w:rFonts w:ascii="Arial" w:cs="Arial" w:eastAsia="Arial" w:hAnsi="Arial"/>
          <w:sz w:val="15"/>
          <w:szCs w:val="15"/>
          <w:color w:val="auto"/>
        </w:rPr>
        <w:t>, cash paid to a taxing authority when shares are withheld to satisfy the employer’s statutory income tax withholding obligation are now required to be classified as a financing activity. This resulted in a $2.3 million reclassification in the six months ended June 30, 2017 from “Change in other operating liabilities” in cash flows from operating activities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“Payments for tax withheld on equity-based compensation” in cash flows from financing activities in the statement of consolidated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Reclassifications Out of Accumulated Other Comprehensive Loss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For the three and six months ended June 30, 2018, we reclassified the amortization of our prior net pension losses and prior net service credit, net of tax, totaling $3.7 million and $7.4 million, respectively, from accumulated other comprehensive loss to net income (loss). For the three and six months ended June 30, 2017, we reclassified the amortization of our prior net pension loss, net of tax, totaling $3.9 million and $7.8 million, respectively, from accumulated other comprehensive loss to net income (loss). This reclassification is a component of net periodic pension cost and is discussed in the “Employee Benefits” footnote to the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 and Revenue-Related Reserves</w:t>
      </w:r>
    </w:p>
    <w:p>
      <w:pPr>
        <w:spacing w:after="0" w:line="207"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The Company’s revenues are derived from the transportation services we provide through the delivery of goods over the duration of a shipment. Upon receipt of the bill of lading, the contract existence criteria is met as evidenced by a legally enforceable agreement between two parties where collectability is probable, thus creating the distinct performance obligation. The Company has elected to expense initial direct costs as incurred because the average shipment cycle is less than one week.</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YRC Freight and Regional Transportation segments recognize revenue and substantially all the purchased transportation expense on a gross basis because we direct the use of the transportation service provided and remain responsible for the complete and proper shipment.</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Inherent within our revenue recognition practices are estimates for revenue associated with shipments in transit and future adjustments to revenue and accounts receivable for billing adjustments and collectability.</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For shipments in transit, we record revenue based on the percentage of service completed as of the period end and recognize delivery costs as incurred. The percentage of service completed for each shipment is based on how far along in the shipment cycle each shipment is in relation to standard transit days. Standard transit days are defined as our published service days between origin zip code and destination zip code. The total revenue earned is accumulated for all shipments in transit at a particular period end and recorded as operating revenue.</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Given the nature of our transportation services, future adjustments may arise which creates variability when establishing the transaction price used to recognize revenue. We have a high volume of performance obligations with similar characteristics, therefore we primarily use historical trends to arrive at estimated reserves. For rerate reserves, which are common for LTL carriers, we assign pricing to bills of lading at the time of shipment based primarily on the weight, general classification of the product, the shipping destination and individual customer discounts. This process is referred to as rating. At various points throughout our process, incorrect ratings could be identified based on many factors, including weight and commodity verifications. Although the majority of rerating occurs in the same month as the original rating, a portion occurs during the following periods. For the reserve for uncollectible accounts, we primarily use historical write-off experience but may also consider customer-specific factors, overall collection trends and economic conditions as part of our ongoing monitoring of credit.</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considered the disclosure requirements for revenue disaggregation guidance in ASC Topic 606 and noted that our segments disaggregate our revenues based on geographic and time-based factors as our Regional Transportation segment carriers operate in a smaller geographic footprint and have a shorter length of haul as compared to our YRC Freight segment. No other criteria listed in the guidance or through our review process was considered to be meaningful for financial statement users. As such, we conclude that no further disaggregation of revenues is necessary. Refer to the “Business Segments” footnote to the consolidated financial statements for more details.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Newly Adopted Accounting Standards</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In May 2014, the Financial Accounting Standards Board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new standard became effective for the Company for its annual reporting period beginning January 1, 2018, recognizing the cumulative effect using a modified retrospective approach. There was no cumulative effect adjustment recorded. The Company has completed the implementation including the impacts of new expanded disclosure requirements and the impacts on the Company’s internal control over financial reporting and has included updates to our disclosures herein.</w:t>
      </w:r>
    </w:p>
    <w:p>
      <w:pPr>
        <w:spacing w:after="0" w:line="1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November 2016, the FASB issued ASU 2016-18, </w:t>
      </w:r>
      <w:r>
        <w:rPr>
          <w:rFonts w:ascii="Arial" w:cs="Arial" w:eastAsia="Arial" w:hAnsi="Arial"/>
          <w:sz w:val="17"/>
          <w:szCs w:val="17"/>
          <w:i w:val="1"/>
          <w:iCs w:val="1"/>
          <w:color w:val="auto"/>
        </w:rPr>
        <w:t>Statement of Cash Flows</w:t>
      </w:r>
      <w:r>
        <w:rPr>
          <w:rFonts w:ascii="Arial" w:cs="Arial" w:eastAsia="Arial" w:hAnsi="Arial"/>
          <w:sz w:val="17"/>
          <w:szCs w:val="17"/>
          <w:color w:val="auto"/>
        </w:rPr>
        <w:t>, to clarify the guidance on how companies present restricted cash and restricted cash equivalents in the statement of cash flows. As a result, the Company no longer presents transfers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between cash and cash equivalents and restricted cash in the statement of cash flows. The new standard became effective for the Company for its annual reporting period beginning January 1, 2018, and was adopted using a retrospective transition approach. The statement of consolidated cash flows has been updated to reflect the presentation of beginning and ending cash to include “Cash and cash equivalents” as well as “Restricted amounts held in escrow” and removed changes in restricted escrows as a component of investing activities.</w:t>
      </w:r>
    </w:p>
    <w:p>
      <w:pPr>
        <w:spacing w:after="0" w:line="17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 xml:space="preserve">In March 2017, the FASB issued ASU 2017-07, </w:t>
      </w:r>
      <w:r>
        <w:rPr>
          <w:rFonts w:ascii="Arial" w:cs="Arial" w:eastAsia="Arial" w:hAnsi="Arial"/>
          <w:sz w:val="15"/>
          <w:szCs w:val="15"/>
          <w:i w:val="1"/>
          <w:iCs w:val="1"/>
          <w:color w:val="auto"/>
        </w:rPr>
        <w:t>Improving the Presentation of Net Periodic Pension Cost and Net Periodic Postretirement Benefit Cost</w:t>
      </w:r>
      <w:r>
        <w:rPr>
          <w:rFonts w:ascii="Arial" w:cs="Arial" w:eastAsia="Arial" w:hAnsi="Arial"/>
          <w:sz w:val="15"/>
          <w:szCs w:val="15"/>
          <w:color w:val="auto"/>
        </w:rPr>
        <w:t>, which requires companies to present the service cost component of net benefit cost in the same income statement line item as other employee compensation costs arising from services rendered during the period. All other components of net benefit cost are presented outside of any subtotal for operating income, if one is presented. The new standard was effective and implemented for the Company for its annual reporting period beginning January 1, 2018, with retrospective application.</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Recently Issued Accounting Standards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requires lessees to recognize a right-to-use asset and a lease obligation for all leases. Additional qualitative and quantitative disclosures, including significant judgments made by management, will be required. The new standard will become effective for the Company for its annual reporting period beginning January 1, 2019, including interim periods within that reporting period. The Company will adopt the standard using a modified retrospective approach with the effective date of the standard as the date of initial application.</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Upon adoption, the Company plans to elect the package of three practical expedients which allows entities to not reassess initial direct costs, lease classification for existing or expired leases, and lease definition for existing or expired contracts as of the effective date of January 1, 2019. Additionally, the Company does not plan to elect the hindsight method practical expedient which would allow us to reassess lease terms and impairment. For leases with a term of twelve months or less, the Company plans to make an accounting policy election in which the right of use lease asset and lease liability will not be recognized on the consolidated balance sheet. The Company does not plan to separate lease and non-lease components for its revenue equipment and real property leases.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Using a cross functional team, the Company has identified a software solution to measure and record right-of-use asset and liability balances and has entered a majority of the existing leases into the solution. The Company will continue to evaluate contractual lease obligations and refine our understanding of the accounting impacts and the necessary updates to our internal controls over financial reporting from the adoption of the new standard. We expect the adoption of this standard will have a material impact on the consolidated financial statements through the recognition of significant right-of-use assets and liabilities. The income statement impact continues to be evaluated.</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 - Reporting Comprehensive Income (Topic 220): Reclassification of Certain Tax Effects from</w:t>
      </w:r>
      <w:r>
        <w:rPr>
          <w:rFonts w:ascii="Arial" w:cs="Arial" w:eastAsia="Arial" w:hAnsi="Arial"/>
          <w:sz w:val="17"/>
          <w:szCs w:val="17"/>
          <w:color w:val="auto"/>
        </w:rPr>
        <w:t xml:space="preserve"> </w:t>
      </w:r>
      <w:r>
        <w:rPr>
          <w:rFonts w:ascii="Arial" w:cs="Arial" w:eastAsia="Arial" w:hAnsi="Arial"/>
          <w:sz w:val="17"/>
          <w:szCs w:val="17"/>
          <w:i w:val="1"/>
          <w:iCs w:val="1"/>
          <w:color w:val="auto"/>
        </w:rPr>
        <w:t>Accumulated Other Comprehensive Income</w:t>
      </w:r>
      <w:r>
        <w:rPr>
          <w:rFonts w:ascii="Arial" w:cs="Arial" w:eastAsia="Arial" w:hAnsi="Arial"/>
          <w:sz w:val="17"/>
          <w:szCs w:val="17"/>
          <w:color w:val="auto"/>
        </w:rPr>
        <w:t>, in response to the Tax Cuts and Jobs Act of 2017 (the “Tax Act”), to provide the option to reclassify certain tax effects out of</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comprehensive income and to retained earnings. The Company elected not to apply this reclassification option as it will not have a material impact on our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 and Financing</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Our outstanding debt as of June 30, 2018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 of June 30, 2018 (in millions)</w:t>
            </w:r>
          </w:p>
        </w:tc>
        <w:tc>
          <w:tcPr>
            <w:tcW w:w="180" w:type="dxa"/>
            <w:vAlign w:val="bottom"/>
          </w:tcPr>
          <w:p>
            <w:pPr>
              <w:spacing w:after="0"/>
              <w:rPr>
                <w:sz w:val="13"/>
                <w:szCs w:val="13"/>
                <w:color w:val="auto"/>
              </w:rPr>
            </w:pPr>
          </w:p>
        </w:tc>
        <w:tc>
          <w:tcPr>
            <w:tcW w:w="940" w:type="dxa"/>
            <w:vAlign w:val="bottom"/>
            <w:vMerge w:val="restart"/>
          </w:tcPr>
          <w:p>
            <w:pPr>
              <w:jc w:val="right"/>
              <w:ind w:right="198"/>
              <w:spacing w:after="0"/>
              <w:rPr>
                <w:sz w:val="20"/>
                <w:szCs w:val="20"/>
                <w:color w:val="auto"/>
              </w:rPr>
            </w:pPr>
            <w:r>
              <w:rPr>
                <w:rFonts w:ascii="Arial" w:cs="Arial" w:eastAsia="Arial" w:hAnsi="Arial"/>
                <w:sz w:val="13"/>
                <w:szCs w:val="13"/>
                <w:b w:val="1"/>
                <w:bCs w:val="1"/>
                <w:color w:val="auto"/>
              </w:rPr>
              <w:t>Par Value</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ind w:right="238"/>
              <w:spacing w:after="0"/>
              <w:rPr>
                <w:sz w:val="20"/>
                <w:szCs w:val="20"/>
                <w:color w:val="auto"/>
              </w:rPr>
            </w:pPr>
            <w:r>
              <w:rPr>
                <w:rFonts w:ascii="Arial" w:cs="Arial" w:eastAsia="Arial" w:hAnsi="Arial"/>
                <w:sz w:val="13"/>
                <w:szCs w:val="13"/>
                <w:b w:val="1"/>
                <w:bCs w:val="1"/>
                <w:color w:val="auto"/>
              </w:rPr>
              <w:t>Discount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b w:val="1"/>
                <w:bCs w:val="1"/>
                <w:color w:val="auto"/>
              </w:rPr>
              <w:t>Debt Issuance</w:t>
            </w:r>
          </w:p>
        </w:tc>
        <w:tc>
          <w:tcPr>
            <w:tcW w:w="240" w:type="dxa"/>
            <w:vAlign w:val="bottom"/>
          </w:tcPr>
          <w:p>
            <w:pPr>
              <w:spacing w:after="0"/>
              <w:rPr>
                <w:sz w:val="13"/>
                <w:szCs w:val="13"/>
                <w:color w:val="auto"/>
              </w:rPr>
            </w:pPr>
          </w:p>
        </w:tc>
        <w:tc>
          <w:tcPr>
            <w:tcW w:w="880" w:type="dxa"/>
            <w:vAlign w:val="bottom"/>
          </w:tcPr>
          <w:p>
            <w:pPr>
              <w:jc w:val="right"/>
              <w:ind w:right="339"/>
              <w:spacing w:after="0"/>
              <w:rPr>
                <w:sz w:val="20"/>
                <w:szCs w:val="20"/>
                <w:color w:val="auto"/>
              </w:rPr>
            </w:pPr>
            <w:r>
              <w:rPr>
                <w:rFonts w:ascii="Arial" w:cs="Arial" w:eastAsia="Arial" w:hAnsi="Arial"/>
                <w:sz w:val="13"/>
                <w:szCs w:val="13"/>
                <w:b w:val="1"/>
                <w:bCs w:val="1"/>
                <w:color w:val="auto"/>
              </w:rPr>
              <w:t>Book</w:t>
            </w:r>
          </w:p>
        </w:tc>
        <w:tc>
          <w:tcPr>
            <w:tcW w:w="120" w:type="dxa"/>
            <w:vAlign w:val="bottom"/>
          </w:tcPr>
          <w:p>
            <w:pPr>
              <w:spacing w:after="0"/>
              <w:rPr>
                <w:sz w:val="13"/>
                <w:szCs w:val="13"/>
                <w:color w:val="auto"/>
              </w:rPr>
            </w:pPr>
          </w:p>
        </w:tc>
        <w:tc>
          <w:tcPr>
            <w:tcW w:w="1540" w:type="dxa"/>
            <w:vAlign w:val="bottom"/>
            <w:gridSpan w:val="2"/>
          </w:tcPr>
          <w:p>
            <w:pPr>
              <w:ind w:left="420"/>
              <w:spacing w:after="0"/>
              <w:rPr>
                <w:sz w:val="20"/>
                <w:szCs w:val="20"/>
                <w:color w:val="auto"/>
              </w:rPr>
            </w:pPr>
            <w:r>
              <w:rPr>
                <w:rFonts w:ascii="Arial" w:cs="Arial" w:eastAsia="Arial" w:hAnsi="Arial"/>
                <w:sz w:val="13"/>
                <w:szCs w:val="13"/>
                <w:b w:val="1"/>
                <w:bCs w:val="1"/>
                <w:color w:val="auto"/>
              </w:rPr>
              <w:t>Stated</w:t>
            </w:r>
          </w:p>
        </w:tc>
        <w:tc>
          <w:tcPr>
            <w:tcW w:w="1180" w:type="dxa"/>
            <w:vAlign w:val="bottom"/>
          </w:tcPr>
          <w:p>
            <w:pPr>
              <w:jc w:val="right"/>
              <w:ind w:right="1"/>
              <w:spacing w:after="0"/>
              <w:rPr>
                <w:sz w:val="20"/>
                <w:szCs w:val="20"/>
                <w:color w:val="auto"/>
              </w:rPr>
            </w:pPr>
            <w:r>
              <w:rPr>
                <w:rFonts w:ascii="Arial" w:cs="Arial" w:eastAsia="Arial" w:hAnsi="Arial"/>
                <w:sz w:val="13"/>
                <w:szCs w:val="13"/>
                <w:b w:val="1"/>
                <w:bCs w:val="1"/>
                <w:color w:val="auto"/>
                <w:w w:val="98"/>
              </w:rPr>
              <w:t>Average Effective</w:t>
            </w:r>
          </w:p>
        </w:tc>
        <w:tc>
          <w:tcPr>
            <w:tcW w:w="0" w:type="dxa"/>
            <w:vAlign w:val="bottom"/>
          </w:tcPr>
          <w:p>
            <w:pPr>
              <w:spacing w:after="0"/>
              <w:rPr>
                <w:sz w:val="1"/>
                <w:szCs w:val="1"/>
                <w:color w:val="auto"/>
              </w:rPr>
            </w:pPr>
          </w:p>
        </w:tc>
      </w:tr>
      <w:tr>
        <w:trPr>
          <w:trHeight w:val="179"/>
        </w:trPr>
        <w:tc>
          <w:tcPr>
            <w:tcW w:w="37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Costs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rPr>
              <w:t>Value</w:t>
            </w:r>
          </w:p>
        </w:tc>
        <w:tc>
          <w:tcPr>
            <w:tcW w:w="12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Interest Rate</w:t>
            </w:r>
          </w:p>
        </w:tc>
        <w:tc>
          <w:tcPr>
            <w:tcW w:w="3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Interest Rate</w:t>
            </w:r>
          </w:p>
        </w:tc>
        <w:tc>
          <w:tcPr>
            <w:tcW w:w="0" w:type="dxa"/>
            <w:vAlign w:val="bottom"/>
          </w:tcPr>
          <w:p>
            <w:pPr>
              <w:spacing w:after="0"/>
              <w:rPr>
                <w:sz w:val="1"/>
                <w:szCs w:val="1"/>
                <w:color w:val="auto"/>
              </w:rPr>
            </w:pPr>
          </w:p>
        </w:tc>
      </w:tr>
      <w:tr>
        <w:trPr>
          <w:trHeight w:val="249"/>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586.5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570.0</w:t>
            </w:r>
          </w:p>
        </w:tc>
        <w:tc>
          <w:tcPr>
            <w:tcW w:w="1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ind w:left="720"/>
              <w:spacing w:after="0" w:line="250" w:lineRule="exact"/>
              <w:rPr>
                <w:sz w:val="20"/>
                <w:szCs w:val="20"/>
                <w:color w:val="auto"/>
              </w:rPr>
            </w:pPr>
            <w:r>
              <w:rPr>
                <w:rFonts w:ascii="Arial" w:cs="Arial" w:eastAsia="Arial" w:hAnsi="Arial"/>
                <w:sz w:val="17"/>
                <w:szCs w:val="17"/>
                <w:color w:val="auto"/>
              </w:rPr>
              <w:t xml:space="preserve">10.6% </w:t>
            </w:r>
            <w:r>
              <w:rPr>
                <w:rFonts w:ascii="Arial" w:cs="Arial" w:eastAsia="Arial" w:hAnsi="Arial"/>
                <w:sz w:val="23"/>
                <w:szCs w:val="23"/>
                <w:color w:val="auto"/>
                <w:vertAlign w:val="superscript"/>
              </w:rPr>
              <w:t>(a)</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26"/>
        </w:trPr>
        <w:tc>
          <w:tcPr>
            <w:tcW w:w="3720" w:type="dxa"/>
            <w:vAlign w:val="bottom"/>
          </w:tcPr>
          <w:p>
            <w:pPr>
              <w:ind w:left="20"/>
              <w:spacing w:after="0"/>
              <w:rPr>
                <w:sz w:val="20"/>
                <w:szCs w:val="20"/>
                <w:color w:val="auto"/>
              </w:rPr>
            </w:pPr>
            <w:r>
              <w:rPr>
                <w:rFonts w:ascii="Arial" w:cs="Arial" w:eastAsia="Arial" w:hAnsi="Arial"/>
                <w:sz w:val="17"/>
                <w:szCs w:val="17"/>
                <w:color w:val="auto"/>
              </w:rPr>
              <w:t>ABL Facility</w:t>
            </w: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7"/>
                <w:szCs w:val="17"/>
                <w:color w:val="auto"/>
              </w:rPr>
              <w:t>N/A</w:t>
            </w:r>
          </w:p>
        </w:tc>
        <w:tc>
          <w:tcPr>
            <w:tcW w:w="1180" w:type="dxa"/>
            <w:vAlign w:val="bottom"/>
          </w:tcPr>
          <w:p>
            <w:pPr>
              <w:jc w:val="right"/>
              <w:ind w:right="81"/>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Secured Second A&amp;R CDA</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26.9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26.8</w:t>
            </w:r>
          </w:p>
        </w:tc>
        <w:tc>
          <w:tcPr>
            <w:tcW w:w="1320" w:type="dxa"/>
            <w:vAlign w:val="bottom"/>
            <w:tcBorders>
              <w:bottom w:val="single" w:sz="8" w:color="CCEEFF"/>
            </w:tcBorders>
            <w:gridSpan w:val="2"/>
            <w:shd w:val="clear" w:color="auto" w:fill="CCEEFF"/>
          </w:tcPr>
          <w:p>
            <w:pPr>
              <w:jc w:val="right"/>
              <w:ind w:right="105"/>
              <w:spacing w:after="0"/>
              <w:rPr>
                <w:sz w:val="20"/>
                <w:szCs w:val="20"/>
                <w:color w:val="auto"/>
              </w:rPr>
            </w:pPr>
            <w:r>
              <w:rPr>
                <w:rFonts w:ascii="Arial" w:cs="Arial" w:eastAsia="Arial" w:hAnsi="Arial"/>
                <w:sz w:val="17"/>
                <w:szCs w:val="17"/>
                <w:color w:val="auto"/>
              </w:rPr>
              <w:t>7.0-18.3%</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26"/>
        </w:trPr>
        <w:tc>
          <w:tcPr>
            <w:tcW w:w="3720" w:type="dxa"/>
            <w:vAlign w:val="bottom"/>
          </w:tcPr>
          <w:p>
            <w:pPr>
              <w:ind w:left="20"/>
              <w:spacing w:after="0"/>
              <w:rPr>
                <w:sz w:val="20"/>
                <w:szCs w:val="20"/>
                <w:color w:val="auto"/>
              </w:rPr>
            </w:pPr>
            <w:r>
              <w:rPr>
                <w:rFonts w:ascii="Arial" w:cs="Arial" w:eastAsia="Arial" w:hAnsi="Arial"/>
                <w:sz w:val="17"/>
                <w:szCs w:val="17"/>
                <w:color w:val="auto"/>
              </w:rPr>
              <w:t>Unsecured Second A&amp;R CDA</w:t>
            </w:r>
          </w:p>
        </w:tc>
        <w:tc>
          <w:tcPr>
            <w:tcW w:w="18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48.2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7"/>
                <w:szCs w:val="17"/>
                <w:color w:val="auto"/>
              </w:rPr>
              <w:t>47.9</w:t>
            </w:r>
          </w:p>
        </w:tc>
        <w:tc>
          <w:tcPr>
            <w:tcW w:w="1320" w:type="dxa"/>
            <w:vAlign w:val="bottom"/>
            <w:gridSpan w:val="2"/>
          </w:tcPr>
          <w:p>
            <w:pPr>
              <w:jc w:val="right"/>
              <w:ind w:right="105"/>
              <w:spacing w:after="0"/>
              <w:rPr>
                <w:sz w:val="20"/>
                <w:szCs w:val="20"/>
                <w:color w:val="auto"/>
              </w:rPr>
            </w:pPr>
            <w:r>
              <w:rPr>
                <w:rFonts w:ascii="Arial" w:cs="Arial" w:eastAsia="Arial" w:hAnsi="Arial"/>
                <w:sz w:val="17"/>
                <w:szCs w:val="17"/>
                <w:color w:val="auto"/>
              </w:rPr>
              <w:t>7.0-18.3%</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 financing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249.1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248.5</w:t>
            </w:r>
          </w:p>
        </w:tc>
        <w:tc>
          <w:tcPr>
            <w:tcW w:w="1320" w:type="dxa"/>
            <w:vAlign w:val="bottom"/>
            <w:tcBorders>
              <w:bottom w:val="single" w:sz="8" w:color="CCEEFF"/>
            </w:tcBorders>
            <w:gridSpan w:val="2"/>
            <w:shd w:val="clear" w:color="auto" w:fill="CCEEFF"/>
          </w:tcPr>
          <w:p>
            <w:pPr>
              <w:jc w:val="right"/>
              <w:ind w:right="105"/>
              <w:spacing w:after="0"/>
              <w:rPr>
                <w:sz w:val="20"/>
                <w:szCs w:val="20"/>
                <w:color w:val="auto"/>
              </w:rPr>
            </w:pPr>
            <w:r>
              <w:rPr>
                <w:rFonts w:ascii="Arial" w:cs="Arial" w:eastAsia="Arial" w:hAnsi="Arial"/>
                <w:sz w:val="17"/>
                <w:szCs w:val="17"/>
                <w:color w:val="auto"/>
              </w:rPr>
              <w:t>8.7-18.2%</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19"/>
        </w:trPr>
        <w:tc>
          <w:tcPr>
            <w:tcW w:w="3720" w:type="dxa"/>
            <w:vAlign w:val="bottom"/>
          </w:tcPr>
          <w:p>
            <w:pPr>
              <w:ind w:left="20"/>
              <w:spacing w:after="0"/>
              <w:rPr>
                <w:sz w:val="20"/>
                <w:szCs w:val="20"/>
                <w:color w:val="auto"/>
              </w:rPr>
            </w:pPr>
            <w:r>
              <w:rPr>
                <w:rFonts w:ascii="Arial" w:cs="Arial" w:eastAsia="Arial" w:hAnsi="Arial"/>
                <w:sz w:val="17"/>
                <w:szCs w:val="17"/>
                <w:color w:val="auto"/>
              </w:rPr>
              <w:t>Total debt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910.7</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893.2</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maturities of Term Loan</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20" w:type="dxa"/>
            <w:vAlign w:val="bottom"/>
          </w:tcPr>
          <w:p>
            <w:pPr>
              <w:ind w:left="20"/>
              <w:spacing w:after="0"/>
              <w:rPr>
                <w:sz w:val="20"/>
                <w:szCs w:val="20"/>
                <w:color w:val="auto"/>
              </w:rPr>
            </w:pPr>
            <w:r>
              <w:rPr>
                <w:rFonts w:ascii="Arial" w:cs="Arial" w:eastAsia="Arial" w:hAnsi="Arial"/>
                <w:sz w:val="17"/>
                <w:szCs w:val="17"/>
                <w:color w:val="auto"/>
              </w:rPr>
              <w:t>Current maturities of lease financing obligations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(9.0)</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5"/>
              </w:rPr>
              <w:t>Current maturities of Unsecured Second A&amp;R CDA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72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882.2</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864.7</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300" w:hanging="299"/>
        <w:spacing w:after="0"/>
        <w:tabs>
          <w:tab w:leader="none" w:pos="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Variable interest rate of 1, 3 or 6-month LIBOR, with a floor of 1.0%, plus a fixed margin of 8.50%.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ABL Facility Availability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Our principal sources of liquidity are cash and cash equivalents, available borrowings under our asset-based loan facility (the</w:t>
      </w:r>
    </w:p>
    <w:p>
      <w:pPr>
        <w:spacing w:after="0" w:line="1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“ABL Facility”) and any prospective net cash flow from operations. As of June 30, 2018, our availability under our ABL Facility was $74.7 million, which is derived by reducing the amount that may be advanced against eligible receivables plus eligible borrowing base cash by certain reserves imposed by the ABL Agent and our $351.5 million of outstanding letters of credit. Our Managed Accessibility was $32.1 million, which is the measure of availability management uses based on the ABL requirement to maintain availability in an amount at least equal to or above 10% of the collateral line cap. Our cash and cash equivalents and Managed Accessibility were $190.8 million as of June 30, 2018.</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Facility Covenants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credit agreement (the “Term Loan Agreement”) governing our term loan facility (the “Term Loan”) has certain financial covenants, that, among other things, restrict certain capital expenditures and require us to comply with a maximum total leverage ratio covenant (defined as Consolidated Total Debt divided by Consolidated Adjusted EBITDA as defined below).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Our total maximum leverage ratio covenants are as follows:</w:t>
      </w:r>
    </w:p>
    <w:p>
      <w:pPr>
        <w:spacing w:after="0" w:line="138" w:lineRule="exact"/>
        <w:rPr>
          <w:sz w:val="20"/>
          <w:szCs w:val="20"/>
          <w:color w:val="auto"/>
        </w:rPr>
      </w:pPr>
    </w:p>
    <w:tbl>
      <w:tblPr>
        <w:tblLayout w:type="fixed"/>
        <w:tblInd w:w="1880" w:type="dxa"/>
        <w:tblCellMar>
          <w:top w:w="0" w:type="dxa"/>
          <w:left w:w="0" w:type="dxa"/>
          <w:bottom w:w="0" w:type="dxa"/>
          <w:right w:w="0" w:type="dxa"/>
        </w:tblCellMar>
      </w:tblPr>
      <w:tr>
        <w:trPr>
          <w:trHeight w:val="149"/>
        </w:trPr>
        <w:tc>
          <w:tcPr>
            <w:tcW w:w="254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7"/>
              </w:rPr>
              <w:t>Four Consecutive Fiscal Quarters Ending</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7"/>
              </w:rPr>
              <w:t>Maximum Total</w:t>
            </w:r>
          </w:p>
        </w:tc>
        <w:tc>
          <w:tcPr>
            <w:tcW w:w="160" w:type="dxa"/>
            <w:vAlign w:val="bottom"/>
          </w:tcPr>
          <w:p>
            <w:pPr>
              <w:spacing w:after="0"/>
              <w:rPr>
                <w:sz w:val="12"/>
                <w:szCs w:val="12"/>
                <w:color w:val="auto"/>
              </w:rPr>
            </w:pPr>
          </w:p>
        </w:tc>
        <w:tc>
          <w:tcPr>
            <w:tcW w:w="256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8"/>
              </w:rPr>
              <w:t>Four Consecutive Fiscal Quarters Ending</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7"/>
              </w:rPr>
              <w:t>Maximum Total</w:t>
            </w:r>
          </w:p>
        </w:tc>
        <w:tc>
          <w:tcPr>
            <w:tcW w:w="0" w:type="dxa"/>
            <w:vAlign w:val="bottom"/>
          </w:tcPr>
          <w:p>
            <w:pPr>
              <w:spacing w:after="0"/>
              <w:rPr>
                <w:sz w:val="1"/>
                <w:szCs w:val="1"/>
                <w:color w:val="auto"/>
              </w:rPr>
            </w:pPr>
          </w:p>
        </w:tc>
      </w:tr>
      <w:tr>
        <w:trPr>
          <w:trHeight w:val="179"/>
        </w:trPr>
        <w:tc>
          <w:tcPr>
            <w:tcW w:w="25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Leverage Ratio</w:t>
            </w:r>
          </w:p>
        </w:tc>
        <w:tc>
          <w:tcPr>
            <w:tcW w:w="1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Leverage Ratio</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June 30, 2018</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3.50 to 1.00</w:t>
            </w:r>
          </w:p>
        </w:tc>
        <w:tc>
          <w:tcPr>
            <w:tcW w:w="160" w:type="dxa"/>
            <w:vAlign w:val="bottom"/>
          </w:tcPr>
          <w:p>
            <w:pPr>
              <w:spacing w:after="0"/>
              <w:rPr>
                <w:sz w:val="19"/>
                <w:szCs w:val="19"/>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March 31, 2020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3.00 to 1.00</w:t>
            </w:r>
          </w:p>
        </w:tc>
        <w:tc>
          <w:tcPr>
            <w:tcW w:w="0" w:type="dxa"/>
            <w:vAlign w:val="bottom"/>
          </w:tcPr>
          <w:p>
            <w:pPr>
              <w:spacing w:after="0"/>
              <w:rPr>
                <w:sz w:val="1"/>
                <w:szCs w:val="1"/>
                <w:color w:val="auto"/>
              </w:rPr>
            </w:pPr>
          </w:p>
        </w:tc>
      </w:tr>
      <w:tr>
        <w:trPr>
          <w:trHeight w:val="226"/>
        </w:trPr>
        <w:tc>
          <w:tcPr>
            <w:tcW w:w="2540" w:type="dxa"/>
            <w:vAlign w:val="bottom"/>
          </w:tcPr>
          <w:p>
            <w:pPr>
              <w:ind w:left="20"/>
              <w:spacing w:after="0"/>
              <w:rPr>
                <w:sz w:val="20"/>
                <w:szCs w:val="20"/>
                <w:color w:val="auto"/>
              </w:rPr>
            </w:pPr>
            <w:r>
              <w:rPr>
                <w:rFonts w:ascii="Arial" w:cs="Arial" w:eastAsia="Arial" w:hAnsi="Arial"/>
                <w:sz w:val="17"/>
                <w:szCs w:val="17"/>
                <w:color w:val="auto"/>
              </w:rPr>
              <w:t>September 30, 2018</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3.50 to 1.00</w:t>
            </w:r>
          </w:p>
        </w:tc>
        <w:tc>
          <w:tcPr>
            <w:tcW w:w="16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Arial" w:cs="Arial" w:eastAsia="Arial" w:hAnsi="Arial"/>
                <w:sz w:val="17"/>
                <w:szCs w:val="17"/>
                <w:color w:val="auto"/>
              </w:rPr>
              <w:t>June 30, 2020</w:t>
            </w:r>
          </w:p>
        </w:tc>
        <w:tc>
          <w:tcPr>
            <w:tcW w:w="1220" w:type="dxa"/>
            <w:vAlign w:val="bottom"/>
          </w:tcPr>
          <w:p>
            <w:pPr>
              <w:jc w:val="center"/>
              <w:spacing w:after="0"/>
              <w:rPr>
                <w:sz w:val="20"/>
                <w:szCs w:val="20"/>
                <w:color w:val="auto"/>
              </w:rPr>
            </w:pPr>
            <w:r>
              <w:rPr>
                <w:rFonts w:ascii="Arial" w:cs="Arial" w:eastAsia="Arial" w:hAnsi="Arial"/>
                <w:sz w:val="17"/>
                <w:szCs w:val="17"/>
                <w:color w:val="auto"/>
                <w:w w:val="89"/>
              </w:rPr>
              <w:t>3.00 to 1.00</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December 31, 2018</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3.50 to 1.00</w:t>
            </w:r>
          </w:p>
        </w:tc>
        <w:tc>
          <w:tcPr>
            <w:tcW w:w="160" w:type="dxa"/>
            <w:vAlign w:val="bottom"/>
          </w:tcPr>
          <w:p>
            <w:pPr>
              <w:spacing w:after="0"/>
              <w:rPr>
                <w:sz w:val="20"/>
                <w:szCs w:val="20"/>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September 30, 2020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2.75 to 1.00</w:t>
            </w:r>
          </w:p>
        </w:tc>
        <w:tc>
          <w:tcPr>
            <w:tcW w:w="0" w:type="dxa"/>
            <w:vAlign w:val="bottom"/>
          </w:tcPr>
          <w:p>
            <w:pPr>
              <w:spacing w:after="0"/>
              <w:rPr>
                <w:sz w:val="1"/>
                <w:szCs w:val="1"/>
                <w:color w:val="auto"/>
              </w:rPr>
            </w:pPr>
          </w:p>
        </w:tc>
      </w:tr>
      <w:tr>
        <w:trPr>
          <w:trHeight w:val="226"/>
        </w:trPr>
        <w:tc>
          <w:tcPr>
            <w:tcW w:w="2540" w:type="dxa"/>
            <w:vAlign w:val="bottom"/>
          </w:tcPr>
          <w:p>
            <w:pPr>
              <w:ind w:left="20"/>
              <w:spacing w:after="0"/>
              <w:rPr>
                <w:sz w:val="20"/>
                <w:szCs w:val="20"/>
                <w:color w:val="auto"/>
              </w:rPr>
            </w:pPr>
            <w:r>
              <w:rPr>
                <w:rFonts w:ascii="Arial" w:cs="Arial" w:eastAsia="Arial" w:hAnsi="Arial"/>
                <w:sz w:val="17"/>
                <w:szCs w:val="17"/>
                <w:color w:val="auto"/>
              </w:rPr>
              <w:t>March 31, 2019</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3.25 to 1.00</w:t>
            </w:r>
          </w:p>
        </w:tc>
        <w:tc>
          <w:tcPr>
            <w:tcW w:w="16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Arial" w:cs="Arial" w:eastAsia="Arial" w:hAnsi="Arial"/>
                <w:sz w:val="17"/>
                <w:szCs w:val="17"/>
                <w:color w:val="auto"/>
              </w:rPr>
              <w:t>December 31, 2020</w:t>
            </w:r>
          </w:p>
        </w:tc>
        <w:tc>
          <w:tcPr>
            <w:tcW w:w="1220" w:type="dxa"/>
            <w:vAlign w:val="bottom"/>
          </w:tcPr>
          <w:p>
            <w:pPr>
              <w:jc w:val="center"/>
              <w:spacing w:after="0"/>
              <w:rPr>
                <w:sz w:val="20"/>
                <w:szCs w:val="20"/>
                <w:color w:val="auto"/>
              </w:rPr>
            </w:pPr>
            <w:r>
              <w:rPr>
                <w:rFonts w:ascii="Arial" w:cs="Arial" w:eastAsia="Arial" w:hAnsi="Arial"/>
                <w:sz w:val="17"/>
                <w:szCs w:val="17"/>
                <w:color w:val="auto"/>
                <w:w w:val="89"/>
              </w:rPr>
              <w:t>2.75 to 1.00</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June 30, 2019</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3.25 to 1.00</w:t>
            </w:r>
          </w:p>
        </w:tc>
        <w:tc>
          <w:tcPr>
            <w:tcW w:w="160" w:type="dxa"/>
            <w:vAlign w:val="bottom"/>
          </w:tcPr>
          <w:p>
            <w:pPr>
              <w:spacing w:after="0"/>
              <w:rPr>
                <w:sz w:val="20"/>
                <w:szCs w:val="20"/>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March 31, 2021</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2.75 to 1.00</w:t>
            </w:r>
          </w:p>
        </w:tc>
        <w:tc>
          <w:tcPr>
            <w:tcW w:w="0" w:type="dxa"/>
            <w:vAlign w:val="bottom"/>
          </w:tcPr>
          <w:p>
            <w:pPr>
              <w:spacing w:after="0"/>
              <w:rPr>
                <w:sz w:val="1"/>
                <w:szCs w:val="1"/>
                <w:color w:val="auto"/>
              </w:rPr>
            </w:pPr>
          </w:p>
        </w:tc>
      </w:tr>
      <w:tr>
        <w:trPr>
          <w:trHeight w:val="226"/>
        </w:trPr>
        <w:tc>
          <w:tcPr>
            <w:tcW w:w="2540" w:type="dxa"/>
            <w:vAlign w:val="bottom"/>
          </w:tcPr>
          <w:p>
            <w:pPr>
              <w:ind w:left="20"/>
              <w:spacing w:after="0"/>
              <w:rPr>
                <w:sz w:val="20"/>
                <w:szCs w:val="20"/>
                <w:color w:val="auto"/>
              </w:rPr>
            </w:pPr>
            <w:r>
              <w:rPr>
                <w:rFonts w:ascii="Arial" w:cs="Arial" w:eastAsia="Arial" w:hAnsi="Arial"/>
                <w:sz w:val="17"/>
                <w:szCs w:val="17"/>
                <w:color w:val="auto"/>
              </w:rPr>
              <w:t>September 30, 2019</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3.25 to 1.00</w:t>
            </w:r>
          </w:p>
        </w:tc>
        <w:tc>
          <w:tcPr>
            <w:tcW w:w="16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Arial" w:cs="Arial" w:eastAsia="Arial" w:hAnsi="Arial"/>
                <w:sz w:val="17"/>
                <w:szCs w:val="17"/>
                <w:color w:val="auto"/>
              </w:rPr>
              <w:t>June 30, 2021 and thereafter</w:t>
            </w:r>
          </w:p>
        </w:tc>
        <w:tc>
          <w:tcPr>
            <w:tcW w:w="1220" w:type="dxa"/>
            <w:vAlign w:val="bottom"/>
          </w:tcPr>
          <w:p>
            <w:pPr>
              <w:jc w:val="center"/>
              <w:spacing w:after="0"/>
              <w:rPr>
                <w:sz w:val="20"/>
                <w:szCs w:val="20"/>
                <w:color w:val="auto"/>
              </w:rPr>
            </w:pPr>
            <w:r>
              <w:rPr>
                <w:rFonts w:ascii="Arial" w:cs="Arial" w:eastAsia="Arial" w:hAnsi="Arial"/>
                <w:sz w:val="17"/>
                <w:szCs w:val="17"/>
                <w:color w:val="auto"/>
                <w:w w:val="89"/>
              </w:rPr>
              <w:t>2.50 to 1.00</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December 31, 2019</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3.00 to 1.00</w:t>
            </w:r>
          </w:p>
        </w:tc>
        <w:tc>
          <w:tcPr>
            <w:tcW w:w="160" w:type="dxa"/>
            <w:vAlign w:val="bottom"/>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5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Consolidated Adjusted EBITDA, defined in our Term Loan Agreement as “Consolidated EBITDA,” is a measure that reflects our earnings before interest, taxes, depreciation, and amortization expense, and is further adjusted for, among other things, letter of credit fees, equity-based compensation expense, net gains or losses on property disposals, restructuring charges, transaction costs related to issuances of debt, non-recurring consulting fees, expenses associated with certain lump sum payments to our union employees and the gains or losses from permitted dispositions and discontinued operations. Consolidated Total Debt, as defined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22" w:right="239" w:bottom="1440" w:gutter="0" w:footer="0" w:header="0"/>
        </w:sectPr>
      </w:pPr>
    </w:p>
    <w:bookmarkStart w:id="10" w:name="page11"/>
    <w:bookmarkEnd w:id="1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our Term Loan Agreement, is the aggregate principal amount of indebtedness outstanding. Our total leverage ratio for the four consecutive fiscal quarters ending June 30, 2018 was 3.18 to 1.00.</w:t>
      </w:r>
    </w:p>
    <w:p>
      <w:pPr>
        <w:spacing w:after="0" w:line="166" w:lineRule="exact"/>
        <w:rPr>
          <w:sz w:val="20"/>
          <w:szCs w:val="20"/>
          <w:color w:val="auto"/>
        </w:rPr>
      </w:pPr>
    </w:p>
    <w:p>
      <w:pPr>
        <w:jc w:val="both"/>
        <w:ind w:right="240"/>
        <w:spacing w:after="0" w:line="258" w:lineRule="auto"/>
        <w:rPr>
          <w:sz w:val="20"/>
          <w:szCs w:val="20"/>
          <w:color w:val="auto"/>
        </w:rPr>
      </w:pPr>
      <w:r>
        <w:rPr>
          <w:rFonts w:ascii="Arial" w:cs="Arial" w:eastAsia="Arial" w:hAnsi="Arial"/>
          <w:sz w:val="17"/>
          <w:szCs w:val="17"/>
          <w:color w:val="auto"/>
        </w:rPr>
        <w:t>Impacts to our consolidated financial statements due to the implementation of ASC 842, Leases, on January 1, 2019 will not impact our compliance with the financial covenants included in our Term Loan Agreement as changes in generally accepted accounting principles subsequent to the date of the agreement are not required to be implemented for purposes of covenant calculations.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believe that our results of operations will be sufficient to allow us to comply with the covenants in the Term Loan Agreement, fund our operations, increase working capital as necessary to support our planned revenue growth and fund capital expenditures for at least the next twelve months. Our ability to satisfy our liquidity needs and meet future stepped-up covenants beyond the next twelve months is dependent upon our ability to achieve operating results that reflect improvement over our 2017 results. Means for improving our profitability may include streamlining our support structure and networks, as well as ongoing successful implementation and realization of pricing, productivity and efficiency initiatives, in addition to increased volume and shipments, and increasing capital expenditures, some of which are outside of our control.</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book value and estimated fair values of our long-term debt, including current maturities and other financial instruments, are summarized as follows: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 2018</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3"/>
                <w:szCs w:val="13"/>
                <w:b w:val="1"/>
                <w:bCs w:val="1"/>
                <w:color w:val="auto"/>
              </w:rPr>
              <w:t>December 31, 2017</w:t>
            </w:r>
          </w:p>
        </w:tc>
      </w:tr>
      <w:tr>
        <w:trPr>
          <w:trHeight w:val="244"/>
        </w:trPr>
        <w:tc>
          <w:tcPr>
            <w:tcW w:w="5140" w:type="dxa"/>
            <w:vAlign w:val="bottom"/>
          </w:tcPr>
          <w:p>
            <w:pPr>
              <w:ind w:left="20"/>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21"/>
                <w:szCs w:val="21"/>
                <w:color w:val="auto"/>
              </w:rPr>
            </w:pPr>
          </w:p>
        </w:tc>
        <w:tc>
          <w:tcPr>
            <w:tcW w:w="1360" w:type="dxa"/>
            <w:vAlign w:val="bottom"/>
            <w:gridSpan w:val="2"/>
          </w:tcPr>
          <w:p>
            <w:pPr>
              <w:ind w:left="160"/>
              <w:spacing w:after="0"/>
              <w:rPr>
                <w:sz w:val="20"/>
                <w:szCs w:val="20"/>
                <w:color w:val="auto"/>
              </w:rPr>
            </w:pPr>
            <w:r>
              <w:rPr>
                <w:rFonts w:ascii="Arial" w:cs="Arial" w:eastAsia="Arial" w:hAnsi="Arial"/>
                <w:sz w:val="13"/>
                <w:szCs w:val="13"/>
                <w:color w:val="auto"/>
              </w:rPr>
              <w:t>Book Value</w:t>
            </w:r>
          </w:p>
        </w:tc>
        <w:tc>
          <w:tcPr>
            <w:tcW w:w="400" w:type="dxa"/>
            <w:vAlign w:val="bottom"/>
          </w:tcPr>
          <w:p>
            <w:pPr>
              <w:spacing w:after="0"/>
              <w:rPr>
                <w:sz w:val="21"/>
                <w:szCs w:val="21"/>
                <w:color w:val="auto"/>
              </w:rPr>
            </w:pPr>
          </w:p>
        </w:tc>
        <w:tc>
          <w:tcPr>
            <w:tcW w:w="1180" w:type="dxa"/>
            <w:vAlign w:val="bottom"/>
            <w:gridSpan w:val="2"/>
          </w:tcPr>
          <w:p>
            <w:pPr>
              <w:ind w:left="60"/>
              <w:spacing w:after="0"/>
              <w:rPr>
                <w:sz w:val="20"/>
                <w:szCs w:val="20"/>
                <w:color w:val="auto"/>
              </w:rPr>
            </w:pPr>
            <w:r>
              <w:rPr>
                <w:rFonts w:ascii="Arial" w:cs="Arial" w:eastAsia="Arial" w:hAnsi="Arial"/>
                <w:sz w:val="13"/>
                <w:szCs w:val="13"/>
                <w:color w:val="auto"/>
              </w:rPr>
              <w:t>Fair value</w:t>
            </w:r>
          </w:p>
        </w:tc>
        <w:tc>
          <w:tcPr>
            <w:tcW w:w="280" w:type="dxa"/>
            <w:vAlign w:val="bottom"/>
          </w:tcPr>
          <w:p>
            <w:pPr>
              <w:spacing w:after="0"/>
              <w:rPr>
                <w:sz w:val="21"/>
                <w:szCs w:val="21"/>
                <w:color w:val="auto"/>
              </w:rPr>
            </w:pPr>
          </w:p>
        </w:tc>
        <w:tc>
          <w:tcPr>
            <w:tcW w:w="1320" w:type="dxa"/>
            <w:vAlign w:val="bottom"/>
            <w:gridSpan w:val="2"/>
          </w:tcPr>
          <w:p>
            <w:pPr>
              <w:ind w:left="160"/>
              <w:spacing w:after="0"/>
              <w:rPr>
                <w:sz w:val="20"/>
                <w:szCs w:val="20"/>
                <w:color w:val="auto"/>
              </w:rPr>
            </w:pPr>
            <w:r>
              <w:rPr>
                <w:rFonts w:ascii="Arial" w:cs="Arial" w:eastAsia="Arial" w:hAnsi="Arial"/>
                <w:sz w:val="13"/>
                <w:szCs w:val="13"/>
                <w:color w:val="auto"/>
              </w:rPr>
              <w:t>Book Value</w:t>
            </w:r>
          </w:p>
        </w:tc>
        <w:tc>
          <w:tcPr>
            <w:tcW w:w="280" w:type="dxa"/>
            <w:vAlign w:val="bottom"/>
          </w:tcPr>
          <w:p>
            <w:pPr>
              <w:spacing w:after="0"/>
              <w:rPr>
                <w:sz w:val="21"/>
                <w:szCs w:val="21"/>
                <w:color w:val="auto"/>
              </w:rPr>
            </w:pPr>
          </w:p>
        </w:tc>
        <w:tc>
          <w:tcPr>
            <w:tcW w:w="1180" w:type="dxa"/>
            <w:vAlign w:val="bottom"/>
          </w:tcPr>
          <w:p>
            <w:pPr>
              <w:jc w:val="right"/>
              <w:ind w:right="379"/>
              <w:spacing w:after="0"/>
              <w:rPr>
                <w:sz w:val="20"/>
                <w:szCs w:val="20"/>
                <w:color w:val="auto"/>
              </w:rPr>
            </w:pPr>
            <w:r>
              <w:rPr>
                <w:rFonts w:ascii="Arial" w:cs="Arial" w:eastAsia="Arial" w:hAnsi="Arial"/>
                <w:sz w:val="13"/>
                <w:szCs w:val="13"/>
                <w:color w:val="auto"/>
              </w:rPr>
              <w:t>Fair value</w:t>
            </w:r>
          </w:p>
        </w:tc>
      </w:tr>
      <w:tr>
        <w:trPr>
          <w:trHeight w:val="229"/>
        </w:trPr>
        <w:tc>
          <w:tcPr>
            <w:tcW w:w="5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570.0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595.8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576.8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596.9</w:t>
            </w:r>
          </w:p>
        </w:tc>
      </w:tr>
      <w:tr>
        <w:trPr>
          <w:trHeight w:val="226"/>
        </w:trPr>
        <w:tc>
          <w:tcPr>
            <w:tcW w:w="5140" w:type="dxa"/>
            <w:vAlign w:val="bottom"/>
          </w:tcPr>
          <w:p>
            <w:pPr>
              <w:ind w:left="20"/>
              <w:spacing w:after="0"/>
              <w:rPr>
                <w:sz w:val="20"/>
                <w:szCs w:val="20"/>
                <w:color w:val="auto"/>
              </w:rPr>
            </w:pPr>
            <w:r>
              <w:rPr>
                <w:rFonts w:ascii="Arial" w:cs="Arial" w:eastAsia="Arial" w:hAnsi="Arial"/>
                <w:sz w:val="17"/>
                <w:szCs w:val="17"/>
                <w:color w:val="auto"/>
              </w:rPr>
              <w:t>Lease financing obligations</w:t>
            </w:r>
          </w:p>
        </w:tc>
        <w:tc>
          <w:tcPr>
            <w:tcW w:w="280" w:type="dxa"/>
            <w:vAlign w:val="bottom"/>
          </w:tcPr>
          <w:p>
            <w:pPr>
              <w:spacing w:after="0"/>
              <w:rPr>
                <w:sz w:val="19"/>
                <w:szCs w:val="19"/>
                <w:color w:val="auto"/>
              </w:rPr>
            </w:pPr>
          </w:p>
        </w:tc>
        <w:tc>
          <w:tcPr>
            <w:tcW w:w="1240" w:type="dxa"/>
            <w:vAlign w:val="bottom"/>
          </w:tcPr>
          <w:p>
            <w:pPr>
              <w:jc w:val="right"/>
              <w:ind w:right="42"/>
              <w:spacing w:after="0"/>
              <w:rPr>
                <w:sz w:val="20"/>
                <w:szCs w:val="20"/>
                <w:color w:val="auto"/>
              </w:rPr>
            </w:pPr>
            <w:r>
              <w:rPr>
                <w:rFonts w:ascii="Arial" w:cs="Arial" w:eastAsia="Arial" w:hAnsi="Arial"/>
                <w:sz w:val="17"/>
                <w:szCs w:val="17"/>
                <w:color w:val="auto"/>
              </w:rPr>
              <w:t>248.5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7"/>
                <w:szCs w:val="17"/>
                <w:color w:val="auto"/>
              </w:rPr>
              <w:t>248.1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42"/>
              <w:spacing w:after="0"/>
              <w:rPr>
                <w:sz w:val="20"/>
                <w:szCs w:val="20"/>
                <w:color w:val="auto"/>
              </w:rPr>
            </w:pPr>
            <w:r>
              <w:rPr>
                <w:rFonts w:ascii="Arial" w:cs="Arial" w:eastAsia="Arial" w:hAnsi="Arial"/>
                <w:sz w:val="17"/>
                <w:szCs w:val="17"/>
                <w:color w:val="auto"/>
              </w:rPr>
              <w:t>254.6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257.7</w:t>
            </w:r>
          </w:p>
        </w:tc>
      </w:tr>
      <w:tr>
        <w:trPr>
          <w:trHeight w:val="26"/>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Second A&amp;R CDA</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75.3</w:t>
            </w:r>
          </w:p>
        </w:tc>
      </w:tr>
      <w:tr>
        <w:trPr>
          <w:trHeight w:val="219"/>
        </w:trPr>
        <w:tc>
          <w:tcPr>
            <w:tcW w:w="5140" w:type="dxa"/>
            <w:vAlign w:val="bottom"/>
          </w:tcPr>
          <w:p>
            <w:pPr>
              <w:ind w:left="20"/>
              <w:spacing w:after="0"/>
              <w:rPr>
                <w:sz w:val="20"/>
                <w:szCs w:val="20"/>
                <w:color w:val="auto"/>
              </w:rPr>
            </w:pPr>
            <w:r>
              <w:rPr>
                <w:rFonts w:ascii="Arial" w:cs="Arial" w:eastAsia="Arial" w:hAnsi="Arial"/>
                <w:sz w:val="17"/>
                <w:szCs w:val="17"/>
                <w:color w:val="auto"/>
              </w:rPr>
              <w:t>Total debt</w:t>
            </w: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tcPr>
          <w:p>
            <w:pPr>
              <w:jc w:val="right"/>
              <w:ind w:right="42"/>
              <w:spacing w:after="0"/>
              <w:rPr>
                <w:sz w:val="20"/>
                <w:szCs w:val="20"/>
                <w:color w:val="auto"/>
              </w:rPr>
            </w:pPr>
            <w:r>
              <w:rPr>
                <w:rFonts w:ascii="Arial" w:cs="Arial" w:eastAsia="Arial" w:hAnsi="Arial"/>
                <w:sz w:val="17"/>
                <w:szCs w:val="17"/>
                <w:color w:val="auto"/>
              </w:rPr>
              <w:t>893.2</w:t>
            </w: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920.2</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jc w:val="right"/>
              <w:ind w:right="42"/>
              <w:spacing w:after="0"/>
              <w:rPr>
                <w:sz w:val="20"/>
                <w:szCs w:val="20"/>
                <w:color w:val="auto"/>
              </w:rPr>
            </w:pPr>
            <w:r>
              <w:rPr>
                <w:rFonts w:ascii="Arial" w:cs="Arial" w:eastAsia="Arial" w:hAnsi="Arial"/>
                <w:sz w:val="17"/>
                <w:szCs w:val="17"/>
                <w:color w:val="auto"/>
              </w:rPr>
              <w:t>906.1</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929.9</w:t>
            </w:r>
          </w:p>
        </w:tc>
      </w:tr>
      <w:tr>
        <w:trPr>
          <w:trHeight w:val="26"/>
        </w:trPr>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fair values of the Term Loan and the Second Amended and Restated Contribution Deferral Agreement (the “Second A&amp;R CDA”) were estimated based on observable prices (level two inputs for fair value measurements). The fair value of the lease financing obligations is estimated using a publicly-traded secured loan with similar characteristics (level three input for fair value measurement).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Employee Benefits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Qualified and Nonqualified Defined Benefit Pension Plans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our Company-sponsored pension plan costs for the three and six months ended June 30:</w:t>
      </w:r>
    </w:p>
    <w:p>
      <w:pPr>
        <w:spacing w:after="0" w:line="388" w:lineRule="exact"/>
        <w:rPr>
          <w:sz w:val="20"/>
          <w:szCs w:val="20"/>
          <w:color w:val="auto"/>
        </w:rPr>
      </w:pPr>
    </w:p>
    <w:tbl>
      <w:tblPr>
        <w:tblLayout w:type="fixed"/>
        <w:tblInd w:w="300" w:type="dxa"/>
        <w:tblCellMar>
          <w:top w:w="0" w:type="dxa"/>
          <w:left w:w="0" w:type="dxa"/>
          <w:bottom w:w="0" w:type="dxa"/>
          <w:right w:w="0" w:type="dxa"/>
        </w:tblCellMar>
      </w:tblPr>
      <w:tr>
        <w:trPr>
          <w:trHeight w:val="179"/>
        </w:trPr>
        <w:tc>
          <w:tcPr>
            <w:tcW w:w="44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b w:val="1"/>
                <w:bCs w:val="1"/>
                <w:color w:val="auto"/>
              </w:rPr>
              <w:t>Three Months</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3"/>
                <w:szCs w:val="13"/>
                <w:b w:val="1"/>
                <w:bCs w:val="1"/>
                <w:color w:val="auto"/>
              </w:rPr>
              <w:t>Six Months</w:t>
            </w:r>
          </w:p>
        </w:tc>
        <w:tc>
          <w:tcPr>
            <w:tcW w:w="1040" w:type="dxa"/>
            <w:vAlign w:val="bottom"/>
            <w:tcBorders>
              <w:bottom w:val="single" w:sz="8" w:color="auto"/>
            </w:tcBorders>
          </w:tcPr>
          <w:p>
            <w:pPr>
              <w:spacing w:after="0"/>
              <w:rPr>
                <w:sz w:val="15"/>
                <w:szCs w:val="15"/>
                <w:color w:val="auto"/>
              </w:rPr>
            </w:pPr>
          </w:p>
        </w:tc>
      </w:tr>
      <w:tr>
        <w:trPr>
          <w:trHeight w:val="244"/>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2017</w:t>
            </w:r>
          </w:p>
        </w:tc>
      </w:tr>
      <w:tr>
        <w:trPr>
          <w:trHeight w:val="229"/>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 cost</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2.6</w:t>
            </w:r>
          </w:p>
        </w:tc>
      </w:tr>
      <w:tr>
        <w:trPr>
          <w:trHeight w:val="226"/>
        </w:trPr>
        <w:tc>
          <w:tcPr>
            <w:tcW w:w="440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38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7"/>
                <w:szCs w:val="17"/>
                <w:color w:val="auto"/>
              </w:rPr>
              <w:t>12.8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7"/>
                <w:szCs w:val="17"/>
                <w:color w:val="auto"/>
              </w:rPr>
              <w:t>21.8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7"/>
                <w:szCs w:val="17"/>
                <w:color w:val="auto"/>
              </w:rPr>
              <w:t>25.6</w:t>
            </w:r>
          </w:p>
        </w:tc>
      </w:tr>
      <w:tr>
        <w:trPr>
          <w:trHeight w:val="26"/>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2"/>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return on plan assets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(29.6)</w:t>
            </w:r>
          </w:p>
        </w:tc>
      </w:tr>
      <w:tr>
        <w:trPr>
          <w:trHeight w:val="226"/>
        </w:trPr>
        <w:tc>
          <w:tcPr>
            <w:tcW w:w="4400" w:type="dxa"/>
            <w:vAlign w:val="bottom"/>
          </w:tcPr>
          <w:p>
            <w:pPr>
              <w:ind w:left="20"/>
              <w:spacing w:after="0"/>
              <w:rPr>
                <w:sz w:val="20"/>
                <w:szCs w:val="20"/>
                <w:color w:val="auto"/>
              </w:rPr>
            </w:pPr>
            <w:r>
              <w:rPr>
                <w:rFonts w:ascii="Arial" w:cs="Arial" w:eastAsia="Arial" w:hAnsi="Arial"/>
                <w:sz w:val="17"/>
                <w:szCs w:val="17"/>
                <w:color w:val="auto"/>
              </w:rPr>
              <w:t>Amortization of prior service credit</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7"/>
                <w:szCs w:val="17"/>
                <w:color w:val="auto"/>
              </w:rPr>
              <w:t>—</w:t>
            </w:r>
          </w:p>
        </w:tc>
      </w:tr>
      <w:tr>
        <w:trPr>
          <w:trHeight w:val="26"/>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2"/>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Amortization of prior net pension loss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7.8</w:t>
            </w:r>
          </w:p>
        </w:tc>
      </w:tr>
      <w:tr>
        <w:trPr>
          <w:trHeight w:val="219"/>
        </w:trPr>
        <w:tc>
          <w:tcPr>
            <w:tcW w:w="4400" w:type="dxa"/>
            <w:vAlign w:val="bottom"/>
          </w:tcPr>
          <w:p>
            <w:pPr>
              <w:ind w:left="20"/>
              <w:spacing w:after="0"/>
              <w:rPr>
                <w:sz w:val="20"/>
                <w:szCs w:val="20"/>
                <w:color w:val="auto"/>
              </w:rPr>
            </w:pPr>
            <w:r>
              <w:rPr>
                <w:rFonts w:ascii="Arial" w:cs="Arial" w:eastAsia="Arial" w:hAnsi="Arial"/>
                <w:sz w:val="17"/>
                <w:szCs w:val="17"/>
                <w:color w:val="auto"/>
              </w:rPr>
              <w:t>Total net periodic pension cost</w:t>
            </w:r>
          </w:p>
        </w:tc>
        <w:tc>
          <w:tcPr>
            <w:tcW w:w="380" w:type="dxa"/>
            <w:vAlign w:val="bottom"/>
            <w:tcBorders>
              <w:top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9"/>
                <w:szCs w:val="19"/>
                <w:color w:val="auto"/>
              </w:rPr>
            </w:pPr>
          </w:p>
        </w:tc>
        <w:tc>
          <w:tcPr>
            <w:tcW w:w="480" w:type="dxa"/>
            <w:vAlign w:val="bottom"/>
            <w:tcBorders>
              <w:top w:val="single" w:sz="8" w:color="auto"/>
            </w:tcBorders>
          </w:tcPr>
          <w:p>
            <w:pPr>
              <w:jc w:val="right"/>
              <w:ind w:right="296"/>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6.4</w:t>
            </w:r>
          </w:p>
        </w:tc>
      </w:tr>
      <w:tr>
        <w:trPr>
          <w:trHeight w:val="26"/>
        </w:trPr>
        <w:tc>
          <w:tcPr>
            <w:tcW w:w="4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We expect to contribute $15.4 million to our Company-sponsored pension plans in 2018, of which we have contributed $2.3 million through June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effective tax rate for the three and six months ended June 30, 2018 was 41.9% and 92.6%, respectively, compared to 15.9% and 7.4% for the three and six months ended June 30, 2017, respectively. The significant items impacting the 2018 rates include a provision for net state and foreign taxes, foreign withholding taxes related to dividends from a foreign subsidiary, certain permanent items, and a change in the valuation allowance established for the net deferred tax asset balance projected for December 31, 2018. The significant items impacting the 2017 rates include a provision for federal alternative minimum tax, a net state and foreign tax provision, certain permanent items, and a change in the valuation allowance established for the net deferred tax asset balance that had been projected for December 31, 2017. We recognize valuation allowances on deferred tax assets if, based on the weight of the evidence, we determine it is more likely than not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June 30, 2018 and December 31, 2017, substantially all of our net deferred tax assets were subject to a valuation allowance.</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indicated in the Company’s 2017 Form 10-K, certain tax accounting items impacted by the Tax Act were considered provisional due to limited availability of official guidance. No items considered provisional in the 2017 Form 10-K have been finalized as of the quarter ending June 30,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(Loss) Per Share</w:t>
      </w:r>
    </w:p>
    <w:p>
      <w:pPr>
        <w:spacing w:after="0" w:line="22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calculate basic earnings per share by dividing our net earnings by our weighted-average shares outstanding at the end of the period. The calculation for diluted earnings per share adjusts the weighted average shares outstanding for our dilutive unvested shares and stock units using the treasury stock method. Our calculations for basic and dilutive earnings per share for the three and six months ended June 30, 2018 and 2017 are as follows:</w:t>
      </w:r>
    </w:p>
    <w:p>
      <w:pPr>
        <w:spacing w:after="0" w:line="164" w:lineRule="exact"/>
        <w:rPr>
          <w:sz w:val="20"/>
          <w:szCs w:val="20"/>
          <w:color w:val="auto"/>
        </w:rPr>
      </w:pPr>
    </w:p>
    <w:tbl>
      <w:tblPr>
        <w:tblLayout w:type="fixed"/>
        <w:tblInd w:w="400" w:type="dxa"/>
        <w:tblCellMar>
          <w:top w:w="0" w:type="dxa"/>
          <w:left w:w="0" w:type="dxa"/>
          <w:bottom w:w="0" w:type="dxa"/>
          <w:right w:w="0" w:type="dxa"/>
        </w:tblCellMar>
      </w:tblPr>
      <w:tr>
        <w:trPr>
          <w:trHeight w:val="179"/>
        </w:trPr>
        <w:tc>
          <w:tcPr>
            <w:tcW w:w="6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Six Months</w:t>
            </w:r>
          </w:p>
        </w:tc>
        <w:tc>
          <w:tcPr>
            <w:tcW w:w="720" w:type="dxa"/>
            <w:vAlign w:val="bottom"/>
            <w:tcBorders>
              <w:bottom w:val="single" w:sz="8" w:color="auto"/>
            </w:tcBorders>
          </w:tcPr>
          <w:p>
            <w:pPr>
              <w:spacing w:after="0"/>
              <w:rPr>
                <w:sz w:val="15"/>
                <w:szCs w:val="15"/>
                <w:color w:val="auto"/>
              </w:rPr>
            </w:pPr>
          </w:p>
        </w:tc>
      </w:tr>
      <w:tr>
        <w:trPr>
          <w:trHeight w:val="244"/>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millions, except per share data, shares and stock units in thousands)</w:t>
            </w: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rPr>
              <w:t>2017</w:t>
            </w:r>
          </w:p>
        </w:tc>
      </w:tr>
      <w:tr>
        <w:trPr>
          <w:trHeight w:val="229"/>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and dilutive net income (loss) available to common shareholders</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14.4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19.0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302"/>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2"/>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weighted average shares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32,966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32,715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32,894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32,642</w:t>
            </w:r>
          </w:p>
        </w:tc>
      </w:tr>
      <w:tr>
        <w:trPr>
          <w:trHeight w:val="226"/>
        </w:trPr>
        <w:tc>
          <w:tcPr>
            <w:tcW w:w="6060" w:type="dxa"/>
            <w:vAlign w:val="bottom"/>
          </w:tcPr>
          <w:p>
            <w:pPr>
              <w:ind w:left="20"/>
              <w:spacing w:after="0"/>
              <w:rPr>
                <w:sz w:val="20"/>
                <w:szCs w:val="20"/>
                <w:color w:val="auto"/>
              </w:rPr>
            </w:pPr>
            <w:r>
              <w:rPr>
                <w:rFonts w:ascii="Arial" w:cs="Arial" w:eastAsia="Arial" w:hAnsi="Arial"/>
                <w:sz w:val="17"/>
                <w:szCs w:val="17"/>
                <w:color w:val="auto"/>
              </w:rPr>
              <w:t>Effect of dilutive securities:</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6"/>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2"/>
        </w:trPr>
        <w:tc>
          <w:tcPr>
            <w:tcW w:w="6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Unvested shares and stock units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r>
      <w:tr>
        <w:trPr>
          <w:trHeight w:val="219"/>
        </w:trPr>
        <w:tc>
          <w:tcPr>
            <w:tcW w:w="6060" w:type="dxa"/>
            <w:vAlign w:val="bottom"/>
          </w:tcPr>
          <w:p>
            <w:pPr>
              <w:ind w:left="20"/>
              <w:spacing w:after="0"/>
              <w:rPr>
                <w:sz w:val="20"/>
                <w:szCs w:val="20"/>
                <w:color w:val="auto"/>
              </w:rPr>
            </w:pPr>
            <w:r>
              <w:rPr>
                <w:rFonts w:ascii="Arial" w:cs="Arial" w:eastAsia="Arial" w:hAnsi="Arial"/>
                <w:sz w:val="17"/>
                <w:szCs w:val="17"/>
                <w:color w:val="auto"/>
              </w:rPr>
              <w:t>Dilutive weighted average shares outstanding</w:t>
            </w: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33,794</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33,322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32,894</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32,642</w:t>
            </w:r>
          </w:p>
        </w:tc>
      </w:tr>
      <w:tr>
        <w:trPr>
          <w:trHeight w:val="66"/>
        </w:trPr>
        <w:tc>
          <w:tcPr>
            <w:tcW w:w="60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r>
        <w:trPr>
          <w:trHeight w:val="280"/>
        </w:trPr>
        <w:tc>
          <w:tcPr>
            <w:tcW w:w="60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3"/>
        </w:trPr>
        <w:tc>
          <w:tcPr>
            <w:tcW w:w="6060" w:type="dxa"/>
            <w:vAlign w:val="bottom"/>
          </w:tcPr>
          <w:p>
            <w:pPr>
              <w:ind w:left="20"/>
              <w:spacing w:after="0" w:line="263" w:lineRule="exact"/>
              <w:rPr>
                <w:sz w:val="20"/>
                <w:szCs w:val="20"/>
                <w:color w:val="auto"/>
              </w:rPr>
            </w:pPr>
            <w:r>
              <w:rPr>
                <w:rFonts w:ascii="Arial" w:cs="Arial" w:eastAsia="Arial" w:hAnsi="Arial"/>
                <w:sz w:val="17"/>
                <w:szCs w:val="17"/>
                <w:color w:val="auto"/>
              </w:rPr>
              <w:t>Basic earnings (loss) per share</w:t>
            </w:r>
            <w:r>
              <w:rPr>
                <w:rFonts w:ascii="Arial" w:cs="Arial" w:eastAsia="Arial" w:hAnsi="Arial"/>
                <w:sz w:val="23"/>
                <w:szCs w:val="23"/>
                <w:color w:val="auto"/>
                <w:vertAlign w:val="superscript"/>
              </w:rPr>
              <w:t>(a)</w:t>
            </w: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20"/>
              <w:spacing w:after="0"/>
              <w:rPr>
                <w:sz w:val="20"/>
                <w:szCs w:val="20"/>
                <w:color w:val="auto"/>
              </w:rPr>
            </w:pPr>
            <w:r>
              <w:rPr>
                <w:rFonts w:ascii="Arial" w:cs="Arial" w:eastAsia="Arial" w:hAnsi="Arial"/>
                <w:sz w:val="17"/>
                <w:szCs w:val="17"/>
                <w:color w:val="auto"/>
              </w:rPr>
              <w:t>0.44</w:t>
            </w:r>
          </w:p>
        </w:tc>
        <w:tc>
          <w:tcPr>
            <w:tcW w:w="100" w:type="dxa"/>
            <w:vAlign w:val="bottom"/>
          </w:tcPr>
          <w:p>
            <w:pPr>
              <w:spacing w:after="0"/>
              <w:rPr>
                <w:sz w:val="22"/>
                <w:szCs w:val="22"/>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9"/>
              <w:spacing w:after="0"/>
              <w:rPr>
                <w:sz w:val="20"/>
                <w:szCs w:val="20"/>
                <w:color w:val="auto"/>
              </w:rPr>
            </w:pPr>
            <w:r>
              <w:rPr>
                <w:rFonts w:ascii="Arial" w:cs="Arial" w:eastAsia="Arial" w:hAnsi="Arial"/>
                <w:sz w:val="17"/>
                <w:szCs w:val="17"/>
                <w:color w:val="auto"/>
              </w:rPr>
              <w:t>0.58</w:t>
            </w:r>
          </w:p>
        </w:tc>
        <w:tc>
          <w:tcPr>
            <w:tcW w:w="100" w:type="dxa"/>
            <w:vAlign w:val="bottom"/>
          </w:tcPr>
          <w:p>
            <w:pPr>
              <w:spacing w:after="0"/>
              <w:rPr>
                <w:sz w:val="22"/>
                <w:szCs w:val="22"/>
                <w:color w:val="auto"/>
              </w:rPr>
            </w:pP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20"/>
              <w:spacing w:after="0"/>
              <w:rPr>
                <w:sz w:val="20"/>
                <w:szCs w:val="20"/>
                <w:color w:val="auto"/>
              </w:rPr>
            </w:pPr>
            <w:r>
              <w:rPr>
                <w:rFonts w:ascii="Arial" w:cs="Arial" w:eastAsia="Arial" w:hAnsi="Arial"/>
                <w:sz w:val="17"/>
                <w:szCs w:val="17"/>
                <w:color w:val="auto"/>
              </w:rPr>
              <w:t>0.00</w:t>
            </w:r>
          </w:p>
        </w:tc>
        <w:tc>
          <w:tcPr>
            <w:tcW w:w="100" w:type="dxa"/>
            <w:vAlign w:val="bottom"/>
          </w:tcPr>
          <w:p>
            <w:pPr>
              <w:spacing w:after="0"/>
              <w:rPr>
                <w:sz w:val="22"/>
                <w:szCs w:val="22"/>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(0.19)</w:t>
            </w:r>
          </w:p>
        </w:tc>
      </w:tr>
      <w:tr>
        <w:trPr>
          <w:trHeight w:val="234"/>
        </w:trPr>
        <w:tc>
          <w:tcPr>
            <w:tcW w:w="6060" w:type="dxa"/>
            <w:vAlign w:val="bottom"/>
          </w:tcPr>
          <w:p>
            <w:pPr>
              <w:ind w:left="20"/>
              <w:spacing w:after="0" w:line="234" w:lineRule="exact"/>
              <w:rPr>
                <w:sz w:val="20"/>
                <w:szCs w:val="20"/>
                <w:color w:val="auto"/>
              </w:rPr>
            </w:pPr>
            <w:r>
              <w:rPr>
                <w:rFonts w:ascii="Arial" w:cs="Arial" w:eastAsia="Arial" w:hAnsi="Arial"/>
                <w:sz w:val="17"/>
                <w:szCs w:val="17"/>
                <w:color w:val="auto"/>
              </w:rPr>
              <w:t>Diluted earnings (loss) per share</w:t>
            </w:r>
            <w:r>
              <w:rPr>
                <w:rFonts w:ascii="Arial" w:cs="Arial" w:eastAsia="Arial" w:hAnsi="Arial"/>
                <w:sz w:val="23"/>
                <w:szCs w:val="23"/>
                <w:color w:val="auto"/>
                <w:vertAlign w:val="superscript"/>
              </w:rPr>
              <w:t>(a)</w:t>
            </w: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20"/>
              <w:spacing w:after="0"/>
              <w:rPr>
                <w:sz w:val="20"/>
                <w:szCs w:val="20"/>
                <w:color w:val="auto"/>
              </w:rPr>
            </w:pPr>
            <w:r>
              <w:rPr>
                <w:rFonts w:ascii="Arial" w:cs="Arial" w:eastAsia="Arial" w:hAnsi="Arial"/>
                <w:sz w:val="17"/>
                <w:szCs w:val="17"/>
                <w:color w:val="auto"/>
              </w:rPr>
              <w:t>0.43</w:t>
            </w:r>
          </w:p>
        </w:tc>
        <w:tc>
          <w:tcPr>
            <w:tcW w:w="100" w:type="dxa"/>
            <w:vAlign w:val="bottom"/>
          </w:tcPr>
          <w:p>
            <w:pPr>
              <w:spacing w:after="0"/>
              <w:rPr>
                <w:sz w:val="20"/>
                <w:szCs w:val="20"/>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9"/>
              <w:spacing w:after="0"/>
              <w:rPr>
                <w:sz w:val="20"/>
                <w:szCs w:val="20"/>
                <w:color w:val="auto"/>
              </w:rPr>
            </w:pPr>
            <w:r>
              <w:rPr>
                <w:rFonts w:ascii="Arial" w:cs="Arial" w:eastAsia="Arial" w:hAnsi="Arial"/>
                <w:sz w:val="17"/>
                <w:szCs w:val="17"/>
                <w:color w:val="auto"/>
              </w:rPr>
              <w:t>0.57</w:t>
            </w:r>
          </w:p>
        </w:tc>
        <w:tc>
          <w:tcPr>
            <w:tcW w:w="100" w:type="dxa"/>
            <w:vAlign w:val="bottom"/>
          </w:tcPr>
          <w:p>
            <w:pPr>
              <w:spacing w:after="0"/>
              <w:rPr>
                <w:sz w:val="20"/>
                <w:szCs w:val="20"/>
                <w:color w:val="auto"/>
              </w:rPr>
            </w:pP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20"/>
              <w:spacing w:after="0"/>
              <w:rPr>
                <w:sz w:val="20"/>
                <w:szCs w:val="20"/>
                <w:color w:val="auto"/>
              </w:rPr>
            </w:pPr>
            <w:r>
              <w:rPr>
                <w:rFonts w:ascii="Arial" w:cs="Arial" w:eastAsia="Arial" w:hAnsi="Arial"/>
                <w:sz w:val="17"/>
                <w:szCs w:val="17"/>
                <w:color w:val="auto"/>
              </w:rPr>
              <w:t>0.00</w:t>
            </w:r>
          </w:p>
        </w:tc>
        <w:tc>
          <w:tcPr>
            <w:tcW w:w="100" w:type="dxa"/>
            <w:vAlign w:val="bottom"/>
          </w:tcPr>
          <w:p>
            <w:pPr>
              <w:spacing w:after="0"/>
              <w:rPr>
                <w:sz w:val="20"/>
                <w:szCs w:val="20"/>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-154940</wp:posOffset>
            </wp:positionV>
            <wp:extent cx="6760210" cy="160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60210" cy="160020"/>
                    </a:xfrm>
                    <a:prstGeom prst="rect">
                      <a:avLst/>
                    </a:prstGeom>
                    <a:noFill/>
                  </pic:spPr>
                </pic:pic>
              </a:graphicData>
            </a:graphic>
          </wp:anchor>
        </w:drawing>
      </w:r>
    </w:p>
    <w:p>
      <w:pPr>
        <w:ind w:left="600" w:hanging="297"/>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Earnings (loss) per share is based on unrounded figures and not the rounded figures presented.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At June 30, 2018 and 2017, our anti-dilutive unvested shares, options, and stock units were approximately 57,000 and 350,000,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Segments</w:t>
      </w:r>
    </w:p>
    <w:p>
      <w:pPr>
        <w:spacing w:after="0" w:line="2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report financial and descriptive information about our reporting segments on a basis consistent with that used internally for evaluating segment performance and allocating resources to segments. We evaluate segment performance primarily on external revenue, operating income (loss), and operating ratio.</w:t>
      </w:r>
    </w:p>
    <w:p>
      <w:pPr>
        <w:spacing w:after="0" w:line="143" w:lineRule="exact"/>
        <w:rPr>
          <w:sz w:val="20"/>
          <w:szCs w:val="20"/>
          <w:color w:val="auto"/>
        </w:rPr>
      </w:pPr>
    </w:p>
    <w:p>
      <w:pPr>
        <w:ind w:right="300"/>
        <w:spacing w:after="0" w:line="299" w:lineRule="auto"/>
        <w:rPr>
          <w:sz w:val="20"/>
          <w:szCs w:val="20"/>
          <w:color w:val="auto"/>
        </w:rPr>
      </w:pPr>
      <w:r>
        <w:rPr>
          <w:rFonts w:ascii="Arial" w:cs="Arial" w:eastAsia="Arial" w:hAnsi="Arial"/>
          <w:sz w:val="15"/>
          <w:szCs w:val="15"/>
          <w:color w:val="auto"/>
        </w:rPr>
        <w:t>We charge management fees and other corporate service fees to our reporting segments based on the benefits received or an overhead allocation basis. Shared support functions include information technology, legal, financial services, revenue management, and other company-wide services. Corporate represents residual operating expenses of the holding company that are not attributable to any segment and remain unallocated. Corporate identifiable assets primarily consist of cash and cash equivalents, restricted amounts held in escrow, and information technology assets, which are offset by eliminations with the two business segments.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122" w:right="239" w:bottom="1440" w:gutter="0" w:footer="0" w:header="0"/>
        </w:sectPr>
      </w:pPr>
    </w:p>
    <w:bookmarkStart w:id="12" w:name="page13"/>
    <w:bookmarkEnd w:id="1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previously noted in our first quarter consolidated financial statements, we considered the disclosure requirements for revenue disaggregation guidance in ASC Topic 606 and noted that our segments disaggregate our revenues based on geographic and time-based factors as our Regional Transportation segment carriers operate in a smaller geographic footprint and have a shorter length of haul as compared to our YRC Freight segment.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operations by business segment: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420" w:type="dxa"/>
            <w:vAlign w:val="bottom"/>
          </w:tcPr>
          <w:p>
            <w:pPr>
              <w:spacing w:after="0"/>
              <w:rPr>
                <w:sz w:val="13"/>
                <w:szCs w:val="13"/>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YRC Freight</w:t>
            </w:r>
          </w:p>
        </w:tc>
        <w:tc>
          <w:tcPr>
            <w:tcW w:w="20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Regional</w:t>
            </w:r>
          </w:p>
        </w:tc>
        <w:tc>
          <w:tcPr>
            <w:tcW w:w="22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Corporate/</w:t>
            </w:r>
          </w:p>
        </w:tc>
        <w:tc>
          <w:tcPr>
            <w:tcW w:w="200" w:type="dxa"/>
            <w:vAlign w:val="bottom"/>
          </w:tcPr>
          <w:p>
            <w:pPr>
              <w:spacing w:after="0"/>
              <w:rPr>
                <w:sz w:val="13"/>
                <w:szCs w:val="13"/>
                <w:color w:val="auto"/>
              </w:rPr>
            </w:pPr>
          </w:p>
        </w:tc>
        <w:tc>
          <w:tcPr>
            <w:tcW w:w="1180" w:type="dxa"/>
            <w:vAlign w:val="bottom"/>
            <w:vMerge w:val="restart"/>
          </w:tcPr>
          <w:p>
            <w:pPr>
              <w:jc w:val="right"/>
              <w:ind w:right="238"/>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79"/>
        </w:trPr>
        <w:tc>
          <w:tcPr>
            <w:tcW w:w="364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Transportation</w:t>
            </w:r>
          </w:p>
        </w:tc>
        <w:tc>
          <w:tcPr>
            <w:tcW w:w="22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Eliminations</w:t>
            </w:r>
          </w:p>
        </w:tc>
        <w:tc>
          <w:tcPr>
            <w:tcW w:w="2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June 30, 2018</w:t>
            </w:r>
          </w:p>
        </w:tc>
        <w:tc>
          <w:tcPr>
            <w:tcW w:w="1420" w:type="dxa"/>
            <w:vAlign w:val="bottom"/>
            <w:tcBorders>
              <w:top w:val="single" w:sz="8" w:color="auto"/>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40" w:type="dxa"/>
            <w:vAlign w:val="bottom"/>
          </w:tcPr>
          <w:p>
            <w:pPr>
              <w:ind w:left="360"/>
              <w:spacing w:after="0"/>
              <w:rPr>
                <w:sz w:val="20"/>
                <w:szCs w:val="20"/>
                <w:color w:val="auto"/>
              </w:rPr>
            </w:pPr>
            <w:r>
              <w:rPr>
                <w:rFonts w:ascii="Arial" w:cs="Arial" w:eastAsia="Arial" w:hAnsi="Arial"/>
                <w:sz w:val="17"/>
                <w:szCs w:val="17"/>
                <w:color w:val="auto"/>
              </w:rPr>
              <w:t>Identifiable assets</w:t>
            </w: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1,001.5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620.8</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9"/>
              <w:spacing w:after="0"/>
              <w:rPr>
                <w:sz w:val="20"/>
                <w:szCs w:val="20"/>
                <w:color w:val="auto"/>
              </w:rPr>
            </w:pPr>
            <w:r>
              <w:rPr>
                <w:rFonts w:ascii="Arial" w:cs="Arial" w:eastAsia="Arial" w:hAnsi="Arial"/>
                <w:sz w:val="17"/>
                <w:szCs w:val="17"/>
                <w:color w:val="auto"/>
              </w:rPr>
              <w:t>22.2</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1,644.5</w:t>
            </w:r>
          </w:p>
        </w:tc>
        <w:tc>
          <w:tcPr>
            <w:tcW w:w="0" w:type="dxa"/>
            <w:vAlign w:val="bottom"/>
          </w:tcPr>
          <w:p>
            <w:pPr>
              <w:spacing w:after="0"/>
              <w:rPr>
                <w:sz w:val="1"/>
                <w:szCs w:val="1"/>
                <w:color w:val="auto"/>
              </w:rPr>
            </w:pPr>
          </w:p>
        </w:tc>
      </w:tr>
      <w:tr>
        <w:trPr>
          <w:trHeight w:val="26"/>
        </w:trPr>
        <w:tc>
          <w:tcPr>
            <w:tcW w:w="3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December 31, 2017</w:t>
            </w:r>
          </w:p>
        </w:tc>
        <w:tc>
          <w:tcPr>
            <w:tcW w:w="14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640" w:type="dxa"/>
            <w:vAlign w:val="bottom"/>
          </w:tcPr>
          <w:p>
            <w:pPr>
              <w:ind w:left="360"/>
              <w:spacing w:after="0"/>
              <w:rPr>
                <w:sz w:val="20"/>
                <w:szCs w:val="20"/>
                <w:color w:val="auto"/>
              </w:rPr>
            </w:pPr>
            <w:r>
              <w:rPr>
                <w:rFonts w:ascii="Arial" w:cs="Arial" w:eastAsia="Arial" w:hAnsi="Arial"/>
                <w:sz w:val="17"/>
                <w:szCs w:val="17"/>
                <w:color w:val="auto"/>
              </w:rPr>
              <w:t>Identifiable assets</w:t>
            </w: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1,042.1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607.4</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(64.0)</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1,585.5</w:t>
            </w:r>
          </w:p>
        </w:tc>
        <w:tc>
          <w:tcPr>
            <w:tcW w:w="0" w:type="dxa"/>
            <w:vAlign w:val="bottom"/>
          </w:tcPr>
          <w:p>
            <w:pPr>
              <w:spacing w:after="0"/>
              <w:rPr>
                <w:sz w:val="1"/>
                <w:szCs w:val="1"/>
                <w:color w:val="auto"/>
              </w:rPr>
            </w:pPr>
          </w:p>
        </w:tc>
      </w:tr>
      <w:tr>
        <w:trPr>
          <w:trHeight w:val="26"/>
        </w:trPr>
        <w:tc>
          <w:tcPr>
            <w:tcW w:w="3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 June 30, 2018</w:t>
            </w:r>
          </w:p>
        </w:tc>
        <w:tc>
          <w:tcPr>
            <w:tcW w:w="14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640" w:type="dxa"/>
            <w:vAlign w:val="bottom"/>
          </w:tcPr>
          <w:p>
            <w:pPr>
              <w:ind w:left="360"/>
              <w:spacing w:after="0"/>
              <w:rPr>
                <w:sz w:val="20"/>
                <w:szCs w:val="20"/>
                <w:color w:val="auto"/>
              </w:rPr>
            </w:pPr>
            <w:r>
              <w:rPr>
                <w:rFonts w:ascii="Arial" w:cs="Arial" w:eastAsia="Arial" w:hAnsi="Arial"/>
                <w:sz w:val="17"/>
                <w:szCs w:val="17"/>
                <w:color w:val="auto"/>
              </w:rPr>
              <w:t>External revenue</w:t>
            </w: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827.6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499.0</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1,326.5</w:t>
            </w:r>
          </w:p>
        </w:tc>
        <w:tc>
          <w:tcPr>
            <w:tcW w:w="0" w:type="dxa"/>
            <w:vAlign w:val="bottom"/>
          </w:tcPr>
          <w:p>
            <w:pPr>
              <w:spacing w:after="0"/>
              <w:rPr>
                <w:sz w:val="1"/>
                <w:szCs w:val="1"/>
                <w:color w:val="auto"/>
              </w:rPr>
            </w:pPr>
          </w:p>
        </w:tc>
      </w:tr>
      <w:tr>
        <w:trPr>
          <w:trHeight w:val="26"/>
        </w:trPr>
        <w:tc>
          <w:tcPr>
            <w:tcW w:w="3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Operating income (loss)</w:t>
            </w: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50.9</w:t>
            </w:r>
          </w:p>
        </w:tc>
        <w:tc>
          <w:tcPr>
            <w:tcW w:w="0" w:type="dxa"/>
            <w:vAlign w:val="bottom"/>
          </w:tcPr>
          <w:p>
            <w:pPr>
              <w:spacing w:after="0"/>
              <w:rPr>
                <w:sz w:val="1"/>
                <w:szCs w:val="1"/>
                <w:color w:val="auto"/>
              </w:rPr>
            </w:pPr>
          </w:p>
        </w:tc>
      </w:tr>
      <w:tr>
        <w:trPr>
          <w:trHeight w:val="226"/>
        </w:trPr>
        <w:tc>
          <w:tcPr>
            <w:tcW w:w="3640" w:type="dxa"/>
            <w:vAlign w:val="bottom"/>
          </w:tcPr>
          <w:p>
            <w:pPr>
              <w:ind w:left="20"/>
              <w:spacing w:after="0"/>
              <w:rPr>
                <w:sz w:val="20"/>
                <w:szCs w:val="20"/>
                <w:color w:val="auto"/>
              </w:rPr>
            </w:pPr>
            <w:r>
              <w:rPr>
                <w:rFonts w:ascii="Arial" w:cs="Arial" w:eastAsia="Arial" w:hAnsi="Arial"/>
                <w:sz w:val="17"/>
                <w:szCs w:val="17"/>
                <w:color w:val="auto"/>
              </w:rPr>
              <w:t>Six Months Ended June 30, 2018</w:t>
            </w: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External revenue</w:t>
            </w: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1,578.9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962.3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2,541.0</w:t>
            </w:r>
          </w:p>
        </w:tc>
        <w:tc>
          <w:tcPr>
            <w:tcW w:w="0" w:type="dxa"/>
            <w:vAlign w:val="bottom"/>
          </w:tcPr>
          <w:p>
            <w:pPr>
              <w:spacing w:after="0"/>
              <w:rPr>
                <w:sz w:val="1"/>
                <w:szCs w:val="1"/>
                <w:color w:val="auto"/>
              </w:rPr>
            </w:pPr>
          </w:p>
        </w:tc>
      </w:tr>
      <w:tr>
        <w:trPr>
          <w:trHeight w:val="226"/>
        </w:trPr>
        <w:tc>
          <w:tcPr>
            <w:tcW w:w="3640" w:type="dxa"/>
            <w:vAlign w:val="bottom"/>
          </w:tcPr>
          <w:p>
            <w:pPr>
              <w:ind w:left="360"/>
              <w:spacing w:after="0"/>
              <w:rPr>
                <w:sz w:val="20"/>
                <w:szCs w:val="20"/>
                <w:color w:val="auto"/>
              </w:rPr>
            </w:pPr>
            <w:r>
              <w:rPr>
                <w:rFonts w:ascii="Arial" w:cs="Arial" w:eastAsia="Arial" w:hAnsi="Arial"/>
                <w:sz w:val="17"/>
                <w:szCs w:val="17"/>
                <w:color w:val="auto"/>
              </w:rPr>
              <w:t>Operating income (loss)</w:t>
            </w: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19.9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34.4</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46.6</w:t>
            </w:r>
          </w:p>
        </w:tc>
        <w:tc>
          <w:tcPr>
            <w:tcW w:w="0" w:type="dxa"/>
            <w:vAlign w:val="bottom"/>
          </w:tcPr>
          <w:p>
            <w:pPr>
              <w:spacing w:after="0"/>
              <w:rPr>
                <w:sz w:val="1"/>
                <w:szCs w:val="1"/>
                <w:color w:val="auto"/>
              </w:rPr>
            </w:pPr>
          </w:p>
        </w:tc>
      </w:tr>
      <w:tr>
        <w:trPr>
          <w:trHeight w:val="26"/>
        </w:trPr>
        <w:tc>
          <w:tcPr>
            <w:tcW w:w="3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 June 30, 2017</w:t>
            </w:r>
          </w:p>
        </w:tc>
        <w:tc>
          <w:tcPr>
            <w:tcW w:w="14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640" w:type="dxa"/>
            <w:vAlign w:val="bottom"/>
          </w:tcPr>
          <w:p>
            <w:pPr>
              <w:ind w:left="360"/>
              <w:spacing w:after="0"/>
              <w:rPr>
                <w:sz w:val="20"/>
                <w:szCs w:val="20"/>
                <w:color w:val="auto"/>
              </w:rPr>
            </w:pPr>
            <w:r>
              <w:rPr>
                <w:rFonts w:ascii="Arial" w:cs="Arial" w:eastAsia="Arial" w:hAnsi="Arial"/>
                <w:sz w:val="17"/>
                <w:szCs w:val="17"/>
                <w:color w:val="auto"/>
              </w:rPr>
              <w:t>External revenue</w:t>
            </w: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789.5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471.2</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1,260.6</w:t>
            </w:r>
          </w:p>
        </w:tc>
        <w:tc>
          <w:tcPr>
            <w:tcW w:w="0" w:type="dxa"/>
            <w:vAlign w:val="bottom"/>
          </w:tcPr>
          <w:p>
            <w:pPr>
              <w:spacing w:after="0"/>
              <w:rPr>
                <w:sz w:val="1"/>
                <w:szCs w:val="1"/>
                <w:color w:val="auto"/>
              </w:rPr>
            </w:pPr>
          </w:p>
        </w:tc>
      </w:tr>
      <w:tr>
        <w:trPr>
          <w:trHeight w:val="26"/>
        </w:trPr>
        <w:tc>
          <w:tcPr>
            <w:tcW w:w="3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3640" w:type="dxa"/>
            <w:vAlign w:val="bottom"/>
            <w:shd w:val="clear" w:color="auto" w:fill="CCEEFF"/>
          </w:tcPr>
          <w:p>
            <w:pPr>
              <w:ind w:left="360"/>
              <w:spacing w:after="0" w:line="252" w:lineRule="exact"/>
              <w:rPr>
                <w:sz w:val="20"/>
                <w:szCs w:val="20"/>
                <w:color w:val="auto"/>
              </w:rPr>
            </w:pPr>
            <w:r>
              <w:rPr>
                <w:rFonts w:ascii="Arial" w:cs="Arial" w:eastAsia="Arial" w:hAnsi="Arial"/>
                <w:sz w:val="17"/>
                <w:szCs w:val="17"/>
                <w:color w:val="auto"/>
              </w:rPr>
              <w:t>Operating income (loss)</w:t>
            </w:r>
            <w:r>
              <w:rPr>
                <w:rFonts w:ascii="Arial" w:cs="Arial" w:eastAsia="Arial" w:hAnsi="Arial"/>
                <w:sz w:val="23"/>
                <w:szCs w:val="23"/>
                <w:color w:val="auto"/>
                <w:vertAlign w:val="superscript"/>
              </w:rPr>
              <w:t>(a)</w:t>
            </w:r>
          </w:p>
        </w:tc>
        <w:tc>
          <w:tcPr>
            <w:tcW w:w="14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30.9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25.3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53.2</w:t>
            </w:r>
          </w:p>
        </w:tc>
        <w:tc>
          <w:tcPr>
            <w:tcW w:w="0" w:type="dxa"/>
            <w:vAlign w:val="bottom"/>
          </w:tcPr>
          <w:p>
            <w:pPr>
              <w:spacing w:after="0"/>
              <w:rPr>
                <w:sz w:val="1"/>
                <w:szCs w:val="1"/>
                <w:color w:val="auto"/>
              </w:rPr>
            </w:pPr>
          </w:p>
        </w:tc>
      </w:tr>
      <w:tr>
        <w:trPr>
          <w:trHeight w:val="226"/>
        </w:trPr>
        <w:tc>
          <w:tcPr>
            <w:tcW w:w="3640" w:type="dxa"/>
            <w:vAlign w:val="bottom"/>
          </w:tcPr>
          <w:p>
            <w:pPr>
              <w:ind w:left="20"/>
              <w:spacing w:after="0"/>
              <w:rPr>
                <w:sz w:val="20"/>
                <w:szCs w:val="20"/>
                <w:color w:val="auto"/>
              </w:rPr>
            </w:pPr>
            <w:r>
              <w:rPr>
                <w:rFonts w:ascii="Arial" w:cs="Arial" w:eastAsia="Arial" w:hAnsi="Arial"/>
                <w:sz w:val="17"/>
                <w:szCs w:val="17"/>
                <w:color w:val="auto"/>
              </w:rPr>
              <w:t>Six Months Ended June 30, 2017</w:t>
            </w: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External revenue</w:t>
            </w: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1,518.4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913.0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2,431.2</w:t>
            </w:r>
          </w:p>
        </w:tc>
        <w:tc>
          <w:tcPr>
            <w:tcW w:w="0" w:type="dxa"/>
            <w:vAlign w:val="bottom"/>
          </w:tcPr>
          <w:p>
            <w:pPr>
              <w:spacing w:after="0"/>
              <w:rPr>
                <w:sz w:val="1"/>
                <w:szCs w:val="1"/>
                <w:color w:val="auto"/>
              </w:rPr>
            </w:pPr>
          </w:p>
        </w:tc>
      </w:tr>
      <w:tr>
        <w:trPr>
          <w:trHeight w:val="245"/>
        </w:trPr>
        <w:tc>
          <w:tcPr>
            <w:tcW w:w="3640" w:type="dxa"/>
            <w:vAlign w:val="bottom"/>
          </w:tcPr>
          <w:p>
            <w:pPr>
              <w:ind w:left="360"/>
              <w:spacing w:after="0" w:line="245" w:lineRule="exact"/>
              <w:rPr>
                <w:sz w:val="20"/>
                <w:szCs w:val="20"/>
                <w:color w:val="auto"/>
              </w:rPr>
            </w:pPr>
            <w:r>
              <w:rPr>
                <w:rFonts w:ascii="Arial" w:cs="Arial" w:eastAsia="Arial" w:hAnsi="Arial"/>
                <w:sz w:val="17"/>
                <w:szCs w:val="17"/>
                <w:color w:val="auto"/>
              </w:rPr>
              <w:t>Operating income (loss)</w:t>
            </w:r>
            <w:r>
              <w:rPr>
                <w:rFonts w:ascii="Arial" w:cs="Arial" w:eastAsia="Arial" w:hAnsi="Arial"/>
                <w:sz w:val="23"/>
                <w:szCs w:val="23"/>
                <w:color w:val="auto"/>
                <w:vertAlign w:val="superscript"/>
              </w:rPr>
              <w:t>(a)</w:t>
            </w: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23.4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37.5</w:t>
            </w:r>
          </w:p>
        </w:tc>
        <w:tc>
          <w:tcPr>
            <w:tcW w:w="10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21"/>
                <w:szCs w:val="21"/>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53.5</w:t>
            </w:r>
          </w:p>
        </w:tc>
        <w:tc>
          <w:tcPr>
            <w:tcW w:w="0" w:type="dxa"/>
            <w:vAlign w:val="bottom"/>
          </w:tcPr>
          <w:p>
            <w:pPr>
              <w:spacing w:after="0"/>
              <w:rPr>
                <w:sz w:val="1"/>
                <w:szCs w:val="1"/>
                <w:color w:val="auto"/>
              </w:rPr>
            </w:pPr>
          </w:p>
        </w:tc>
      </w:tr>
    </w:tbl>
    <w:p>
      <w:pPr>
        <w:ind w:left="600" w:right="3200" w:hanging="297"/>
        <w:spacing w:after="0" w:line="258" w:lineRule="auto"/>
        <w:tabs>
          <w:tab w:leader="none" w:pos="600" w:val="left"/>
        </w:tabs>
        <w:numPr>
          <w:ilvl w:val="1"/>
          <w:numId w:val="7"/>
        </w:numPr>
        <w:rPr>
          <w:rFonts w:ascii="Arial" w:cs="Arial" w:eastAsia="Arial" w:hAnsi="Arial"/>
          <w:sz w:val="13"/>
          <w:szCs w:val="13"/>
          <w:color w:val="auto"/>
        </w:rPr>
      </w:pPr>
      <w:r>
        <w:rPr>
          <w:rFonts w:ascii="Arial" w:cs="Arial" w:eastAsia="Arial" w:hAnsi="Arial"/>
          <w:sz w:val="13"/>
          <w:szCs w:val="13"/>
          <w:color w:val="auto"/>
        </w:rPr>
        <w:t xml:space="preserve">Due to the adoption of ASU 2017-07, </w:t>
      </w:r>
      <w:r>
        <w:rPr>
          <w:rFonts w:ascii="Arial" w:cs="Arial" w:eastAsia="Arial" w:hAnsi="Arial"/>
          <w:sz w:val="13"/>
          <w:szCs w:val="13"/>
          <w:i w:val="1"/>
          <w:iCs w:val="1"/>
          <w:color w:val="auto"/>
        </w:rPr>
        <w:t>Improving the Presentation of Net Periodic Pension Cost and Net Periodic Postretirement Benefit Cost</w:t>
      </w:r>
      <w:r>
        <w:rPr>
          <w:rFonts w:ascii="Arial" w:cs="Arial" w:eastAsia="Arial" w:hAnsi="Arial"/>
          <w:sz w:val="13"/>
          <w:szCs w:val="13"/>
          <w:color w:val="auto"/>
        </w:rPr>
        <w:t>, “Operating income (loss)” for prior year has been updated to reflect the reclassification of pension expense.</w:t>
      </w:r>
    </w:p>
    <w:p>
      <w:pPr>
        <w:spacing w:after="0" w:line="180" w:lineRule="exact"/>
        <w:rPr>
          <w:rFonts w:ascii="Arial" w:cs="Arial" w:eastAsia="Arial" w:hAnsi="Arial"/>
          <w:sz w:val="13"/>
          <w:szCs w:val="13"/>
          <w:color w:val="auto"/>
        </w:rPr>
      </w:pPr>
    </w:p>
    <w:p>
      <w:pPr>
        <w:ind w:left="180" w:hanging="179"/>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Uncertainties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of June 30, 2018, our operating lease payment obligations through 2030 totaled $411.5 million and are expected to increase as we lease additional revenue equipment. Additionally, for the six months ended June 30, 2018, we entered into new operating leases for revenue equipment totaling $108.9 million in future lease payments, payable over an average lease term of four years.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Legal Matters</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are involved in litigation or proceedings that arise in ordinary business activities. When possible,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 date of these consolidated financial statements, we believe that our consolidated financial statements include adequate provisions for estimated costs and losses that may be incurred within the litigation and proceedings to which we are a party.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Yellow Corporation Pension Plan was amended in 2017 to permit the payment of lump sum benefit payments effective January 1, 2018. Subsequent to June 30, 2018, the 2017 amendment triggered a non-cash settlement charge due to the amount of lump sum benefit payments distributed from plan assets in 2018. The lump sum benefit payments reduce pension obligations and are funded from existing plan assets. The non-cash settlement charge results from the requirement to expense a portion of the Plan’s unrecognized actuarial losses associated with the lump sum settlements.</w:t>
      </w:r>
    </w:p>
    <w:p>
      <w:pPr>
        <w:spacing w:after="0" w:line="163"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Settlement accounting is triggered when the payment of lump sum benefits meet and exceed a minimum threshold in any fiscal year, a threshold which is based on the sum of the Plan’s service cost and interest cost. The non-cash settlement charge is determined by multiplying the unrecognized losses by the portion of the total projected benefit obligation settled through the payment of lump sums. The third and fourth quarter pension settlement charges cannot be determined at this time, as the actual amounts are dependent on various factors, including final lump sums paid, interest rates and the value of plan assets.</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Management’s Discussion and Analysis of Financial Condition and Results of Operations (“MD&amp;A”) should be read in conjunction with the Consolidated Financial Statements and the Notes to Consolidated Financial Statements included elsewhere in this report. This report includes forward-looking statements within the meaning of Section 27A of the Securities Act of 1933, as amended, and Section 21E of the Securities Exchange Act of 1934, as amended (“Exchange Act”). Forward-looking statements include those preceded by, followed by or characterized by words such as “will,” “expect,” “intend,” “anticipate,” “believe,” “could,” “should,” “may,” “project,” “forecast,” “propose,” “plan,” “designed,” “estimate,” “enable” and similar expressions which speak only as of the date the statement was made. Forward-looking statements are inherently uncertain, are based upon current beliefs, assumptions and expectations of Company management and current market conditions, and are subject to significant business, economic, competitive, regulatory and other risks, uncertainties and contingencies, known and unknown, many of which are beyond our control. Readers are cautioned not to place undue reliance on any forward-looking statements. Our future financial condition and results could differ materially from those predicted in such forward-looking statements because of a number of factors, including (without limitation):</w:t>
      </w:r>
    </w:p>
    <w:p>
      <w:pPr>
        <w:spacing w:after="0" w:line="222" w:lineRule="exact"/>
        <w:rPr>
          <w:sz w:val="20"/>
          <w:szCs w:val="20"/>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general economic factors, including (without limitation) customer demand in the retail and manufacturing sectors;</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business risks and increasing costs associated with the transportation industry, including increasing equipment, operational and technology costs and disruption from natural disasters;</w:t>
      </w:r>
    </w:p>
    <w:p>
      <w:pPr>
        <w:spacing w:after="0" w:line="14"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competition and competitive pressure on pricing;</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risk of labor disruptions or stoppages if our relationship with our employees and unions were to deteriorate;</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pension expense and funding obligations, subject to interest rate volatility;</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increasing costs relating to our self-insurance claims expenses;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finance the maintenance, acquisition and replacement of revenue equipment and other necessary capital expenditures;</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comply and the cost of compliance with, or liability resulting from violation of, federal, state, local and foreign laws and regulations, including (without limitation) labor laws and laws and regulations regarding the environment;</w:t>
      </w:r>
    </w:p>
    <w:p>
      <w:pPr>
        <w:spacing w:after="0" w:line="14"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impediments to our operations and business resulting from anti-terrorism measures;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impact of claims and litigation expense to which we are or may become exposed;</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that we may not realize the expected benefits and costs savings from our performance and operational improvement initiatives;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attract and retain qualified drivers and increasing costs of driver compensation;</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significant privacy breach or IT system disruption;</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risks of operating in foreign countries;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dependence on key employees;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seasonality;</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shortages of fuel and changes in the cost of fuel or the index upon which we base our fuel surcharge and the effectiveness of our fuel surcharge program in protecting us against fuel price volatility;</w:t>
      </w:r>
    </w:p>
    <w:p>
      <w:pPr>
        <w:spacing w:after="0" w:line="14" w:lineRule="exact"/>
        <w:rPr>
          <w:rFonts w:ascii="Arial" w:cs="Arial" w:eastAsia="Arial" w:hAnsi="Arial"/>
          <w:sz w:val="17"/>
          <w:szCs w:val="17"/>
          <w:color w:val="auto"/>
        </w:rPr>
      </w:pPr>
    </w:p>
    <w:p>
      <w:pPr>
        <w:ind w:left="600" w:hanging="297"/>
        <w:spacing w:after="0" w:line="295" w:lineRule="auto"/>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generate sufficient liquidity to satisfy our cash needs and future cash commitments, including (without limitation) our obligations related to our indebtedness and lease and pension funding requirements, and our ability to achieve increased cash flows through improvement in operations;</w:t>
      </w:r>
    </w:p>
    <w:p>
      <w:pPr>
        <w:ind w:left="600" w:hanging="297"/>
        <w:spacing w:after="0" w:line="269"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limitations on our operations, our financing opportunities, potential strategic transactions, acquisitions or dispositions resulting from restrictive covenants in the documents governing our existing and future indebtedness;</w:t>
      </w:r>
    </w:p>
    <w:p>
      <w:pPr>
        <w:spacing w:after="0" w:line="14"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failure to comply with the covenants in the documents governing our existing and future indebtedness;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fluctuations in the price of our common stock;</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dilution from future issuances of our common stock;</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intention not to pay dividends on our common stock;</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that we have the ability to issue preferred stock that may adversely affect the rights of holders of our common stock; and</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risks and contingencies, including (without limitation) the risk factors that are included in our reports filed with the SEC, including those described under “Risk Factors” in our annual report on Form 10-K and quarterly reports on Form 10-Q, including this quarterly report.</w:t>
      </w:r>
    </w:p>
    <w:p>
      <w:pPr>
        <w:sectPr>
          <w:pgSz w:w="11900" w:h="16838" w:orient="portrait"/>
          <w:cols w:equalWidth="0" w:num="1">
            <w:col w:w="11420"/>
          </w:cols>
          <w:pgMar w:left="240" w:top="122" w:right="2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MD&amp;A includes the following sections:</w:t>
      </w:r>
    </w:p>
    <w:p>
      <w:pPr>
        <w:spacing w:after="0" w:line="203"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 xml:space="preserve">Our Business </w:t>
      </w:r>
      <w:r>
        <w:rPr>
          <w:rFonts w:ascii="Arial" w:cs="Arial" w:eastAsia="Arial" w:hAnsi="Arial"/>
          <w:sz w:val="17"/>
          <w:szCs w:val="17"/>
          <w:color w:val="auto"/>
        </w:rPr>
        <w:t>— a brief description of our business and a discussion of how we assess our operating results.</w:t>
      </w:r>
    </w:p>
    <w:p>
      <w:pPr>
        <w:spacing w:after="0" w:line="169"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 xml:space="preserve">Consolidated Results of Operations </w:t>
      </w:r>
      <w:r>
        <w:rPr>
          <w:rFonts w:ascii="Arial" w:cs="Arial" w:eastAsia="Arial" w:hAnsi="Arial"/>
          <w:sz w:val="15"/>
          <w:szCs w:val="15"/>
          <w:color w:val="auto"/>
        </w:rPr>
        <w:t>— an analysis of our consolidated results of operations for the three and six months ended June 30, 2018 and</w:t>
      </w:r>
    </w:p>
    <w:p>
      <w:pPr>
        <w:spacing w:after="0" w:line="4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2017.</w:t>
      </w:r>
    </w:p>
    <w:p>
      <w:pPr>
        <w:spacing w:after="0" w:line="153"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Reporting Segment Results of Operations </w:t>
      </w:r>
      <w:r>
        <w:rPr>
          <w:rFonts w:ascii="Arial" w:cs="Arial" w:eastAsia="Arial" w:hAnsi="Arial"/>
          <w:sz w:val="17"/>
          <w:szCs w:val="17"/>
          <w:color w:val="auto"/>
        </w:rPr>
        <w:t>— an analysis of our results of operations for the three and six months ended June 30, 2018 and 2017 for</w:t>
      </w:r>
      <w:r>
        <w:rPr>
          <w:rFonts w:ascii="Arial" w:cs="Arial" w:eastAsia="Arial" w:hAnsi="Arial"/>
          <w:sz w:val="17"/>
          <w:szCs w:val="17"/>
          <w:b w:val="1"/>
          <w:bCs w:val="1"/>
          <w:color w:val="auto"/>
        </w:rPr>
        <w:t xml:space="preserve"> </w:t>
      </w:r>
      <w:r>
        <w:rPr>
          <w:rFonts w:ascii="Arial" w:cs="Arial" w:eastAsia="Arial" w:hAnsi="Arial"/>
          <w:sz w:val="17"/>
          <w:szCs w:val="17"/>
          <w:color w:val="auto"/>
        </w:rPr>
        <w:t>our YRC Freight and Regional Transportation reporting segments.</w:t>
      </w:r>
    </w:p>
    <w:p>
      <w:pPr>
        <w:spacing w:after="0" w:line="120"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Certain Non-GAAP Financial Measures </w:t>
      </w:r>
      <w:r>
        <w:rPr>
          <w:rFonts w:ascii="Arial" w:cs="Arial" w:eastAsia="Arial" w:hAnsi="Arial"/>
          <w:sz w:val="17"/>
          <w:szCs w:val="17"/>
          <w:color w:val="auto"/>
        </w:rPr>
        <w:t>— presentation and an analysis of selected non-GAAP financial measures for the three and six months</w:t>
      </w:r>
      <w:r>
        <w:rPr>
          <w:rFonts w:ascii="Arial" w:cs="Arial" w:eastAsia="Arial" w:hAnsi="Arial"/>
          <w:sz w:val="17"/>
          <w:szCs w:val="17"/>
          <w:b w:val="1"/>
          <w:bCs w:val="1"/>
          <w:color w:val="auto"/>
        </w:rPr>
        <w:t xml:space="preserve"> </w:t>
      </w:r>
      <w:r>
        <w:rPr>
          <w:rFonts w:ascii="Arial" w:cs="Arial" w:eastAsia="Arial" w:hAnsi="Arial"/>
          <w:sz w:val="17"/>
          <w:szCs w:val="17"/>
          <w:color w:val="auto"/>
        </w:rPr>
        <w:t>ended June 30, 2018 and 2017 and trailing twelve months ended June 30, 2018 and 2017.</w:t>
      </w:r>
    </w:p>
    <w:p>
      <w:pPr>
        <w:spacing w:after="0" w:line="120"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Financial Condition/Liquidity and Capital Resources </w:t>
      </w:r>
      <w:r>
        <w:rPr>
          <w:rFonts w:ascii="Arial" w:cs="Arial" w:eastAsia="Arial" w:hAnsi="Arial"/>
          <w:sz w:val="17"/>
          <w:szCs w:val="17"/>
          <w:color w:val="auto"/>
        </w:rPr>
        <w:t>— a discussion of our major sources and uses of cash and an analysis of our cash flows and</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contractual obligations and commercial commitments.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“second quarter” and “first half” of the years discussed below refer to the three and six months ended June 30,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YRC Worldwide is a holding company that, through its operating subsidiaries, offers our customers a wide range of transportation services. YRC Worldwide has one of the largest, most comprehensive LTL networks in North America with local, regional, national and international capabilities. Through its team of experienced service professionals, YRC Worldwide offers industry-leading expertise in LTL shipments and flexible supply chain solutions, ensuring customers can ship industrial, commercial and retail goods with confidence.</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measure the performance of our business on both a consolidated and reporting segment basis and using several metrics, but rely primarily upon (without limitation) operating revenue, operating income (loss), and operating ratio. We also use certain non-GAAP financial measures as secondary measures to assess our operating performance.</w:t>
      </w:r>
    </w:p>
    <w:p>
      <w:pPr>
        <w:spacing w:after="0" w:line="133" w:lineRule="exact"/>
        <w:rPr>
          <w:sz w:val="20"/>
          <w:szCs w:val="20"/>
          <w:color w:val="auto"/>
        </w:rPr>
      </w:pPr>
    </w:p>
    <w:p>
      <w:pPr>
        <w:jc w:val="both"/>
        <w:ind w:left="600" w:hanging="297"/>
        <w:spacing w:after="0" w:line="267" w:lineRule="auto"/>
        <w:tabs>
          <w:tab w:leader="none" w:pos="60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Operating Revenue: </w:t>
      </w:r>
      <w:r>
        <w:rPr>
          <w:rFonts w:ascii="Arial" w:cs="Arial" w:eastAsia="Arial" w:hAnsi="Arial"/>
          <w:sz w:val="16"/>
          <w:szCs w:val="16"/>
          <w:color w:val="auto"/>
        </w:rPr>
        <w:t>Our operating revenue has two primary components: volume (commonly evaluated using tonnage, tonnage per day, number of shipments,</w:t>
      </w:r>
      <w:r>
        <w:rPr>
          <w:rFonts w:ascii="Arial" w:cs="Arial" w:eastAsia="Arial" w:hAnsi="Arial"/>
          <w:sz w:val="16"/>
          <w:szCs w:val="16"/>
          <w:b w:val="1"/>
          <w:bCs w:val="1"/>
          <w:color w:val="auto"/>
        </w:rPr>
        <w:t xml:space="preserve"> </w:t>
      </w:r>
      <w:r>
        <w:rPr>
          <w:rFonts w:ascii="Arial" w:cs="Arial" w:eastAsia="Arial" w:hAnsi="Arial"/>
          <w:sz w:val="16"/>
          <w:szCs w:val="16"/>
          <w:color w:val="auto"/>
        </w:rPr>
        <w:t>shipments per day or weight per shipment) and yield or price (commonly evaluated using picked up revenue, revenue per hundredweight or revenue per shipment). Yield includes fuel surcharge revenue, which is common in the trucking industry and represents an amount charged to customers that adjusts with changing fuel prices. We base our fuel surcharges on the U.S. Department of Energy fuel index and adjust them weekly. Rapid material changes in the index or our cost of fuel can positively or negatively impact our revenue and operating income as a result of changes in our fuel surcharge. We believe that fuel surcharge is an accepted and important component of the overall pricing of our services to our customers. Without an industry accepted fuel surcharge program, our base pricing for our transportation services would require changes. We believe the distinction between base rates and fuel surcharge has blurred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 in the short term, the effects of which are mitigated over time.</w:t>
      </w:r>
    </w:p>
    <w:p>
      <w:pPr>
        <w:spacing w:after="0" w:line="168" w:lineRule="exact"/>
        <w:rPr>
          <w:rFonts w:ascii="Arial" w:cs="Arial" w:eastAsia="Arial" w:hAnsi="Arial"/>
          <w:sz w:val="16"/>
          <w:szCs w:val="16"/>
          <w:b w:val="1"/>
          <w:bCs w:val="1"/>
          <w:color w:val="auto"/>
        </w:rPr>
      </w:pPr>
    </w:p>
    <w:p>
      <w:pPr>
        <w:ind w:left="600" w:hanging="297"/>
        <w:spacing w:after="0" w:line="274" w:lineRule="auto"/>
        <w:tabs>
          <w:tab w:leader="none" w:pos="60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Operating Income (Loss): </w:t>
      </w:r>
      <w:r>
        <w:rPr>
          <w:rFonts w:ascii="Arial" w:cs="Arial" w:eastAsia="Arial" w:hAnsi="Arial"/>
          <w:sz w:val="17"/>
          <w:szCs w:val="17"/>
          <w:color w:val="auto"/>
        </w:rPr>
        <w:t>Operating income (loss) is operating revenue less operating expenses. Consolidated operating income (loss) includes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charges that are not allocated to our reporting segments.</w:t>
      </w:r>
    </w:p>
    <w:p>
      <w:pPr>
        <w:spacing w:after="0" w:line="157" w:lineRule="exact"/>
        <w:rPr>
          <w:rFonts w:ascii="Arial" w:cs="Arial" w:eastAsia="Arial" w:hAnsi="Arial"/>
          <w:sz w:val="17"/>
          <w:szCs w:val="17"/>
          <w:b w:val="1"/>
          <w:bCs w:val="1"/>
          <w:color w:val="auto"/>
        </w:rPr>
      </w:pPr>
    </w:p>
    <w:p>
      <w:pPr>
        <w:jc w:val="both"/>
        <w:ind w:left="600" w:hanging="297"/>
        <w:spacing w:after="0" w:line="342" w:lineRule="auto"/>
        <w:tabs>
          <w:tab w:leader="none" w:pos="600"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Operating Ratio: </w:t>
      </w:r>
      <w:r>
        <w:rPr>
          <w:rFonts w:ascii="Arial" w:cs="Arial" w:eastAsia="Arial" w:hAnsi="Arial"/>
          <w:sz w:val="15"/>
          <w:szCs w:val="15"/>
          <w:color w:val="auto"/>
        </w:rPr>
        <w:t>Operating ratio is a common operating performance measure used in the trucking industry. It is calculated as (i) 100 percent (ii) minus the</w:t>
      </w:r>
      <w:r>
        <w:rPr>
          <w:rFonts w:ascii="Arial" w:cs="Arial" w:eastAsia="Arial" w:hAnsi="Arial"/>
          <w:sz w:val="15"/>
          <w:szCs w:val="15"/>
          <w:b w:val="1"/>
          <w:bCs w:val="1"/>
          <w:color w:val="auto"/>
        </w:rPr>
        <w:t xml:space="preserve"> </w:t>
      </w:r>
      <w:r>
        <w:rPr>
          <w:rFonts w:ascii="Arial" w:cs="Arial" w:eastAsia="Arial" w:hAnsi="Arial"/>
          <w:sz w:val="15"/>
          <w:szCs w:val="15"/>
          <w:color w:val="auto"/>
        </w:rPr>
        <w:t>result of dividing operating income by operating revenue or (iii) plus the result of dividing operating loss by operating revenue, and is expressed as a percentage.</w:t>
      </w:r>
    </w:p>
    <w:p>
      <w:pPr>
        <w:spacing w:after="0" w:line="112" w:lineRule="exact"/>
        <w:rPr>
          <w:rFonts w:ascii="Arial" w:cs="Arial" w:eastAsia="Arial" w:hAnsi="Arial"/>
          <w:sz w:val="15"/>
          <w:szCs w:val="15"/>
          <w:b w:val="1"/>
          <w:bCs w:val="1"/>
          <w:color w:val="auto"/>
        </w:rPr>
      </w:pPr>
    </w:p>
    <w:p>
      <w:pPr>
        <w:ind w:left="600" w:hanging="297"/>
        <w:spacing w:after="0"/>
        <w:tabs>
          <w:tab w:leader="none" w:pos="60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Non-GAAP Financial Measures: </w:t>
      </w:r>
      <w:r>
        <w:rPr>
          <w:rFonts w:ascii="Arial" w:cs="Arial" w:eastAsia="Arial" w:hAnsi="Arial"/>
          <w:sz w:val="17"/>
          <w:szCs w:val="17"/>
          <w:color w:val="auto"/>
        </w:rPr>
        <w:t>We use EBITDA and Adjusted EBITDA, which are non-GAAP financial measures, to assess the following:</w:t>
      </w:r>
    </w:p>
    <w:p>
      <w:pPr>
        <w:spacing w:after="0" w:line="211" w:lineRule="exact"/>
        <w:rPr>
          <w:rFonts w:ascii="Arial" w:cs="Arial" w:eastAsia="Arial" w:hAnsi="Arial"/>
          <w:sz w:val="17"/>
          <w:szCs w:val="17"/>
          <w:b w:val="1"/>
          <w:bCs w:val="1"/>
          <w:color w:val="auto"/>
        </w:rPr>
      </w:pPr>
    </w:p>
    <w:p>
      <w:pPr>
        <w:ind w:left="1200" w:hanging="293"/>
        <w:spacing w:after="0" w:line="269" w:lineRule="auto"/>
        <w:tabs>
          <w:tab w:leader="none" w:pos="1200" w:val="left"/>
        </w:tabs>
        <w:numPr>
          <w:ilvl w:val="1"/>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EBITDA: </w:t>
      </w:r>
      <w:r>
        <w:rPr>
          <w:rFonts w:ascii="Arial" w:cs="Arial" w:eastAsia="Arial" w:hAnsi="Arial"/>
          <w:sz w:val="17"/>
          <w:szCs w:val="17"/>
          <w:color w:val="auto"/>
        </w:rPr>
        <w:t>a non-GAAP measure that reflects our earnings before interest, taxes, depreciation, and amortization expense. EBITDA is used for internal</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purposes as a financial measure that reflects our core operating performance.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ind w:left="1200" w:hanging="293"/>
        <w:spacing w:after="0" w:line="251" w:lineRule="auto"/>
        <w:tabs>
          <w:tab w:leader="none" w:pos="120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a non-GAAP measure that reflects EBITDA, and further adjusts for net gains or losses on property disposals, letter of credit</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restructuring charges, transaction costs related to issuances of debt, nonrecurring consulting fees, permitted dispositions and discontinued operations, equity-based compensation expense, non-union pension settlement charges, and expenses associated with certain lump sum payments to our union employees, among other items, as defined in our credit facilities. Adjusted EBITDA is used for internal management purposes as a financial measure that reflects our core operating performance, to measure compliance with financial covenants in our term loan credit agreement and to determine certain executive bonus compensation.</w:t>
      </w:r>
    </w:p>
    <w:p>
      <w:pPr>
        <w:spacing w:after="0" w:line="195" w:lineRule="exact"/>
        <w:rPr>
          <w:sz w:val="20"/>
          <w:szCs w:val="20"/>
          <w:color w:val="auto"/>
        </w:rPr>
      </w:pPr>
    </w:p>
    <w:p>
      <w:pPr>
        <w:jc w:val="both"/>
        <w:ind w:left="600"/>
        <w:spacing w:after="0" w:line="270" w:lineRule="auto"/>
        <w:rPr>
          <w:sz w:val="20"/>
          <w:szCs w:val="20"/>
          <w:color w:val="auto"/>
        </w:rPr>
      </w:pPr>
      <w:r>
        <w:rPr>
          <w:rFonts w:ascii="Arial" w:cs="Arial" w:eastAsia="Arial" w:hAnsi="Arial"/>
          <w:sz w:val="16"/>
          <w:szCs w:val="16"/>
          <w:color w:val="auto"/>
        </w:rPr>
        <w:t>We believe our presentation of EBITDA and Adjusted EBITDA is useful to investors and other users as these measures represent key supplemental information our management uses to compare and evaluate our core underlying business results both on a consolidated basis and across our business segments, particularly in light of our leverage position and the capital-intensive nature of our business. Further, EBITDA is a measure that is commonly used by other companies in our industry and provides a comparison for investors to evaluate the performance of the companies in the industry. Additionally, Adjusted EBITDA helps investors to understand how the company is tracking against our financial covenants in our term loan credit agreement as this measure is calculated as prescribed in our term loan credit agreement and serves as a driving component of key financial covenants.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non-GAAP financial measures have the following limitations:</w:t>
      </w:r>
    </w:p>
    <w:p>
      <w:pPr>
        <w:spacing w:after="0" w:line="169" w:lineRule="exact"/>
        <w:rPr>
          <w:sz w:val="20"/>
          <w:szCs w:val="20"/>
          <w:color w:val="auto"/>
        </w:rPr>
      </w:pPr>
    </w:p>
    <w:p>
      <w:pPr>
        <w:ind w:left="1200" w:hanging="293"/>
        <w:spacing w:after="0"/>
        <w:tabs>
          <w:tab w:leader="none" w:pos="12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EBITDA does not reflect the interest expense or the cash requirements necessary to service interest or fund principal payments on our outstanding debt;</w:t>
      </w:r>
    </w:p>
    <w:p>
      <w:pPr>
        <w:spacing w:after="0" w:line="40" w:lineRule="exact"/>
        <w:rPr>
          <w:rFonts w:ascii="Arial" w:cs="Arial" w:eastAsia="Arial" w:hAnsi="Arial"/>
          <w:sz w:val="15"/>
          <w:szCs w:val="15"/>
          <w:color w:val="auto"/>
        </w:rPr>
      </w:pPr>
    </w:p>
    <w:p>
      <w:pPr>
        <w:ind w:left="1200" w:hanging="293"/>
        <w:spacing w:after="0" w:line="280" w:lineRule="auto"/>
        <w:tabs>
          <w:tab w:leader="none" w:pos="12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Adjusted EBITDA does not reflect the interest expense or the cash requirements necessary to service interest or fund principal payments on our outstanding debt, letter of credit expenses, restructuring charges, transaction costs related to debt, or nonrecurring consulting fees, among other items;</w:t>
      </w:r>
    </w:p>
    <w:p>
      <w:pPr>
        <w:ind w:left="1200" w:hanging="293"/>
        <w:spacing w:after="0" w:line="247" w:lineRule="auto"/>
        <w:tabs>
          <w:tab w:leader="none" w:pos="12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will generally need to be replaced in the future and EBITDA and Adjusted EBITDA do not reflect any cash requirements for such replacements;</w:t>
      </w:r>
    </w:p>
    <w:p>
      <w:pPr>
        <w:ind w:left="1200" w:hanging="293"/>
        <w:spacing w:after="0" w:line="247" w:lineRule="auto"/>
        <w:tabs>
          <w:tab w:leader="none" w:pos="12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Equity-based compensation is an element of our long-term incentive compensation package, although Adjusted EBITDA excludes employee equity-based compensation expense when presenting our ongoing operating performance for a particular period; and</w:t>
      </w:r>
    </w:p>
    <w:p>
      <w:pPr>
        <w:ind w:left="1200" w:hanging="293"/>
        <w:spacing w:after="0"/>
        <w:tabs>
          <w:tab w:leader="none" w:pos="12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Other companies in our industry may calculate Adjusted EBITDA differently than we do, potentially limiting its usefulness as a comparative measure.</w:t>
      </w:r>
    </w:p>
    <w:p>
      <w:pPr>
        <w:spacing w:after="0" w:line="218" w:lineRule="exact"/>
        <w:rPr>
          <w:sz w:val="20"/>
          <w:szCs w:val="20"/>
          <w:color w:val="auto"/>
        </w:rPr>
      </w:pPr>
    </w:p>
    <w:p>
      <w:pPr>
        <w:ind w:left="600"/>
        <w:spacing w:after="0" w:line="301" w:lineRule="auto"/>
        <w:rPr>
          <w:sz w:val="20"/>
          <w:szCs w:val="20"/>
          <w:color w:val="auto"/>
        </w:rPr>
      </w:pPr>
      <w:r>
        <w:rPr>
          <w:rFonts w:ascii="Arial" w:cs="Arial" w:eastAsia="Arial" w:hAnsi="Arial"/>
          <w:sz w:val="16"/>
          <w:szCs w:val="16"/>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consolidated results include the consolidated results of our reporting segments and unallocated corporate charges. A more detailed discussion of the operating results of our reporting segments is presented in the “Reporting Segment Results of Operations” section below.</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provides summary consolidated financial information for the second quarter and first half of 2018 and 2017:</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3"/>
                <w:szCs w:val="13"/>
                <w:b w:val="1"/>
                <w:bCs w:val="1"/>
                <w:color w:val="auto"/>
              </w:rPr>
              <w:t>Second Quarter</w:t>
            </w:r>
          </w:p>
        </w:tc>
        <w:tc>
          <w:tcPr>
            <w:tcW w:w="1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First Half</w:t>
            </w:r>
          </w:p>
        </w:tc>
        <w:tc>
          <w:tcPr>
            <w:tcW w:w="1460" w:type="dxa"/>
            <w:vAlign w:val="bottom"/>
            <w:tcBorders>
              <w:bottom w:val="single" w:sz="8" w:color="auto"/>
            </w:tcBorders>
          </w:tcPr>
          <w:p>
            <w:pPr>
              <w:spacing w:after="0"/>
              <w:rPr>
                <w:sz w:val="15"/>
                <w:szCs w:val="15"/>
                <w:color w:val="auto"/>
              </w:rPr>
            </w:pPr>
          </w:p>
        </w:tc>
      </w:tr>
      <w:tr>
        <w:trPr>
          <w:trHeight w:val="244"/>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2018</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642"/>
              <w:spacing w:after="0"/>
              <w:rPr>
                <w:sz w:val="20"/>
                <w:szCs w:val="20"/>
                <w:color w:val="auto"/>
              </w:rPr>
            </w:pPr>
            <w:r>
              <w:rPr>
                <w:rFonts w:ascii="Arial" w:cs="Arial" w:eastAsia="Arial" w:hAnsi="Arial"/>
                <w:sz w:val="13"/>
                <w:szCs w:val="13"/>
                <w:b w:val="1"/>
                <w:bCs w:val="1"/>
                <w:color w:val="auto"/>
              </w:rPr>
              <w:t>2017</w:t>
            </w:r>
          </w:p>
        </w:tc>
        <w:tc>
          <w:tcPr>
            <w:tcW w:w="156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Percent Change</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9"/>
              <w:spacing w:after="0"/>
              <w:rPr>
                <w:sz w:val="20"/>
                <w:szCs w:val="20"/>
                <w:color w:val="auto"/>
              </w:rPr>
            </w:pPr>
            <w:r>
              <w:rPr>
                <w:rFonts w:ascii="Arial" w:cs="Arial" w:eastAsia="Arial" w:hAnsi="Arial"/>
                <w:sz w:val="13"/>
                <w:szCs w:val="13"/>
                <w:b w:val="1"/>
                <w:bCs w:val="1"/>
                <w:color w:val="auto"/>
              </w:rPr>
              <w:t>2018</w:t>
            </w: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2017</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Percent Change</w:t>
            </w:r>
          </w:p>
        </w:tc>
      </w:tr>
      <w:tr>
        <w:trPr>
          <w:trHeight w:val="229"/>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revenue</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7"/>
                <w:szCs w:val="17"/>
                <w:color w:val="auto"/>
              </w:rPr>
              <w:t>1,326.5</w:t>
            </w:r>
          </w:p>
        </w:tc>
        <w:tc>
          <w:tcPr>
            <w:tcW w:w="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382"/>
              <w:spacing w:after="0"/>
              <w:rPr>
                <w:sz w:val="20"/>
                <w:szCs w:val="20"/>
                <w:color w:val="auto"/>
              </w:rPr>
            </w:pPr>
            <w:r>
              <w:rPr>
                <w:rFonts w:ascii="Arial" w:cs="Arial" w:eastAsia="Arial" w:hAnsi="Arial"/>
                <w:sz w:val="17"/>
                <w:szCs w:val="17"/>
                <w:color w:val="auto"/>
              </w:rPr>
              <w:t>1,260.6</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5.2 %</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7"/>
                <w:szCs w:val="17"/>
                <w:color w:val="auto"/>
              </w:rPr>
              <w:t>2,541.0</w:t>
            </w:r>
          </w:p>
        </w:tc>
        <w:tc>
          <w:tcPr>
            <w:tcW w:w="4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262"/>
              <w:spacing w:after="0"/>
              <w:rPr>
                <w:sz w:val="20"/>
                <w:szCs w:val="20"/>
                <w:color w:val="auto"/>
              </w:rPr>
            </w:pPr>
            <w:r>
              <w:rPr>
                <w:rFonts w:ascii="Arial" w:cs="Arial" w:eastAsia="Arial" w:hAnsi="Arial"/>
                <w:sz w:val="17"/>
                <w:szCs w:val="17"/>
                <w:color w:val="auto"/>
              </w:rPr>
              <w:t>2,431.2</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4.5 %</w:t>
            </w:r>
          </w:p>
        </w:tc>
      </w:tr>
      <w:tr>
        <w:trPr>
          <w:trHeight w:val="252"/>
        </w:trPr>
        <w:tc>
          <w:tcPr>
            <w:tcW w:w="3200" w:type="dxa"/>
            <w:vAlign w:val="bottom"/>
          </w:tcPr>
          <w:p>
            <w:pPr>
              <w:ind w:left="20"/>
              <w:spacing w:after="0" w:line="252" w:lineRule="exact"/>
              <w:rPr>
                <w:sz w:val="20"/>
                <w:szCs w:val="20"/>
                <w:color w:val="auto"/>
              </w:rPr>
            </w:pPr>
            <w:r>
              <w:rPr>
                <w:rFonts w:ascii="Arial" w:cs="Arial" w:eastAsia="Arial" w:hAnsi="Arial"/>
                <w:sz w:val="17"/>
                <w:szCs w:val="17"/>
                <w:color w:val="auto"/>
              </w:rPr>
              <w:t xml:space="preserve">Operating income </w:t>
            </w:r>
            <w:r>
              <w:rPr>
                <w:rFonts w:ascii="Arial" w:cs="Arial" w:eastAsia="Arial" w:hAnsi="Arial"/>
                <w:sz w:val="23"/>
                <w:szCs w:val="23"/>
                <w:color w:val="auto"/>
                <w:vertAlign w:val="superscript"/>
              </w:rPr>
              <w:t>(a)</w:t>
            </w:r>
          </w:p>
        </w:tc>
        <w:tc>
          <w:tcPr>
            <w:tcW w:w="240" w:type="dxa"/>
            <w:vAlign w:val="bottom"/>
          </w:tcPr>
          <w:p>
            <w:pPr>
              <w:spacing w:after="0"/>
              <w:rPr>
                <w:sz w:val="21"/>
                <w:szCs w:val="21"/>
                <w:color w:val="auto"/>
              </w:rPr>
            </w:pPr>
          </w:p>
        </w:tc>
        <w:tc>
          <w:tcPr>
            <w:tcW w:w="840" w:type="dxa"/>
            <w:vAlign w:val="bottom"/>
          </w:tcPr>
          <w:p>
            <w:pPr>
              <w:jc w:val="right"/>
              <w:ind w:right="99"/>
              <w:spacing w:after="0"/>
              <w:rPr>
                <w:sz w:val="20"/>
                <w:szCs w:val="20"/>
                <w:color w:val="auto"/>
              </w:rPr>
            </w:pPr>
            <w:r>
              <w:rPr>
                <w:rFonts w:ascii="Arial" w:cs="Arial" w:eastAsia="Arial" w:hAnsi="Arial"/>
                <w:sz w:val="17"/>
                <w:szCs w:val="17"/>
                <w:color w:val="auto"/>
              </w:rPr>
              <w:t>50.9</w:t>
            </w:r>
          </w:p>
        </w:tc>
        <w:tc>
          <w:tcPr>
            <w:tcW w:w="360" w:type="dxa"/>
            <w:vAlign w:val="bottom"/>
          </w:tcPr>
          <w:p>
            <w:pPr>
              <w:spacing w:after="0"/>
              <w:rPr>
                <w:sz w:val="21"/>
                <w:szCs w:val="21"/>
                <w:color w:val="auto"/>
              </w:rPr>
            </w:pPr>
          </w:p>
        </w:tc>
        <w:tc>
          <w:tcPr>
            <w:tcW w:w="1160" w:type="dxa"/>
            <w:vAlign w:val="bottom"/>
          </w:tcPr>
          <w:p>
            <w:pPr>
              <w:jc w:val="right"/>
              <w:ind w:right="382"/>
              <w:spacing w:after="0"/>
              <w:rPr>
                <w:sz w:val="20"/>
                <w:szCs w:val="20"/>
                <w:color w:val="auto"/>
              </w:rPr>
            </w:pPr>
            <w:r>
              <w:rPr>
                <w:rFonts w:ascii="Arial" w:cs="Arial" w:eastAsia="Arial" w:hAnsi="Arial"/>
                <w:sz w:val="17"/>
                <w:szCs w:val="17"/>
                <w:color w:val="auto"/>
              </w:rPr>
              <w:t>53.2</w:t>
            </w:r>
          </w:p>
        </w:tc>
        <w:tc>
          <w:tcPr>
            <w:tcW w:w="1340" w:type="dxa"/>
            <w:vAlign w:val="bottom"/>
          </w:tcPr>
          <w:p>
            <w:pPr>
              <w:jc w:val="right"/>
              <w:spacing w:after="0"/>
              <w:rPr>
                <w:sz w:val="20"/>
                <w:szCs w:val="20"/>
                <w:color w:val="auto"/>
              </w:rPr>
            </w:pPr>
            <w:r>
              <w:rPr>
                <w:rFonts w:ascii="Arial" w:cs="Arial" w:eastAsia="Arial" w:hAnsi="Arial"/>
                <w:sz w:val="17"/>
                <w:szCs w:val="17"/>
                <w:color w:val="auto"/>
              </w:rPr>
              <w:t>(4.3)%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39"/>
              <w:spacing w:after="0"/>
              <w:rPr>
                <w:sz w:val="20"/>
                <w:szCs w:val="20"/>
                <w:color w:val="auto"/>
              </w:rPr>
            </w:pPr>
            <w:r>
              <w:rPr>
                <w:rFonts w:ascii="Arial" w:cs="Arial" w:eastAsia="Arial" w:hAnsi="Arial"/>
                <w:sz w:val="17"/>
                <w:szCs w:val="17"/>
                <w:color w:val="auto"/>
              </w:rPr>
              <w:t>46.6</w:t>
            </w:r>
          </w:p>
        </w:tc>
        <w:tc>
          <w:tcPr>
            <w:tcW w:w="400" w:type="dxa"/>
            <w:vAlign w:val="bottom"/>
          </w:tcPr>
          <w:p>
            <w:pPr>
              <w:spacing w:after="0"/>
              <w:rPr>
                <w:sz w:val="21"/>
                <w:szCs w:val="21"/>
                <w:color w:val="auto"/>
              </w:rPr>
            </w:pPr>
          </w:p>
        </w:tc>
        <w:tc>
          <w:tcPr>
            <w:tcW w:w="1080" w:type="dxa"/>
            <w:vAlign w:val="bottom"/>
          </w:tcPr>
          <w:p>
            <w:pPr>
              <w:jc w:val="right"/>
              <w:ind w:right="262"/>
              <w:spacing w:after="0"/>
              <w:rPr>
                <w:sz w:val="20"/>
                <w:szCs w:val="20"/>
                <w:color w:val="auto"/>
              </w:rPr>
            </w:pPr>
            <w:r>
              <w:rPr>
                <w:rFonts w:ascii="Arial" w:cs="Arial" w:eastAsia="Arial" w:hAnsi="Arial"/>
                <w:sz w:val="17"/>
                <w:szCs w:val="17"/>
                <w:color w:val="auto"/>
              </w:rPr>
              <w:t>53.5</w:t>
            </w:r>
          </w:p>
        </w:tc>
        <w:tc>
          <w:tcPr>
            <w:tcW w:w="1460" w:type="dxa"/>
            <w:vAlign w:val="bottom"/>
          </w:tcPr>
          <w:p>
            <w:pPr>
              <w:jc w:val="right"/>
              <w:spacing w:after="0"/>
              <w:rPr>
                <w:sz w:val="20"/>
                <w:szCs w:val="20"/>
                <w:color w:val="auto"/>
              </w:rPr>
            </w:pPr>
            <w:r>
              <w:rPr>
                <w:rFonts w:ascii="Arial" w:cs="Arial" w:eastAsia="Arial" w:hAnsi="Arial"/>
                <w:sz w:val="17"/>
                <w:szCs w:val="17"/>
                <w:color w:val="auto"/>
              </w:rPr>
              <w:t>(12.9)%</w:t>
            </w:r>
          </w:p>
        </w:tc>
      </w:tr>
      <w:tr>
        <w:trPr>
          <w:trHeight w:val="232"/>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Nonoperating expenses, net</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7"/>
                <w:szCs w:val="17"/>
                <w:color w:val="auto"/>
              </w:rPr>
              <w:t>26.1</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82"/>
              <w:spacing w:after="0"/>
              <w:rPr>
                <w:sz w:val="20"/>
                <w:szCs w:val="20"/>
                <w:color w:val="auto"/>
              </w:rPr>
            </w:pPr>
            <w:r>
              <w:rPr>
                <w:rFonts w:ascii="Arial" w:cs="Arial" w:eastAsia="Arial" w:hAnsi="Arial"/>
                <w:sz w:val="17"/>
                <w:szCs w:val="17"/>
                <w:color w:val="auto"/>
              </w:rPr>
              <w:t>30.6</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7"/>
                <w:szCs w:val="17"/>
                <w:color w:val="auto"/>
              </w:rPr>
              <w:t>49.3</w:t>
            </w: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62"/>
              <w:spacing w:after="0"/>
              <w:rPr>
                <w:sz w:val="20"/>
                <w:szCs w:val="20"/>
                <w:color w:val="auto"/>
              </w:rPr>
            </w:pPr>
            <w:r>
              <w:rPr>
                <w:rFonts w:ascii="Arial" w:cs="Arial" w:eastAsia="Arial" w:hAnsi="Arial"/>
                <w:sz w:val="17"/>
                <w:szCs w:val="17"/>
                <w:color w:val="auto"/>
              </w:rPr>
              <w:t>60.3</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(18.2)%</w:t>
            </w:r>
          </w:p>
        </w:tc>
      </w:tr>
      <w:tr>
        <w:trPr>
          <w:trHeight w:val="226"/>
        </w:trPr>
        <w:tc>
          <w:tcPr>
            <w:tcW w:w="320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240" w:type="dxa"/>
            <w:vAlign w:val="bottom"/>
          </w:tcPr>
          <w:p>
            <w:pPr>
              <w:spacing w:after="0"/>
              <w:rPr>
                <w:sz w:val="19"/>
                <w:szCs w:val="19"/>
                <w:color w:val="auto"/>
              </w:rPr>
            </w:pPr>
          </w:p>
        </w:tc>
        <w:tc>
          <w:tcPr>
            <w:tcW w:w="840" w:type="dxa"/>
            <w:vAlign w:val="bottom"/>
          </w:tcPr>
          <w:p>
            <w:pPr>
              <w:jc w:val="right"/>
              <w:ind w:right="99"/>
              <w:spacing w:after="0"/>
              <w:rPr>
                <w:sz w:val="20"/>
                <w:szCs w:val="20"/>
                <w:color w:val="auto"/>
              </w:rPr>
            </w:pPr>
            <w:r>
              <w:rPr>
                <w:rFonts w:ascii="Arial" w:cs="Arial" w:eastAsia="Arial" w:hAnsi="Arial"/>
                <w:sz w:val="17"/>
                <w:szCs w:val="17"/>
                <w:color w:val="auto"/>
              </w:rPr>
              <w:t>14.4</w:t>
            </w:r>
          </w:p>
        </w:tc>
        <w:tc>
          <w:tcPr>
            <w:tcW w:w="360" w:type="dxa"/>
            <w:vAlign w:val="bottom"/>
          </w:tcPr>
          <w:p>
            <w:pPr>
              <w:spacing w:after="0"/>
              <w:rPr>
                <w:sz w:val="19"/>
                <w:szCs w:val="19"/>
                <w:color w:val="auto"/>
              </w:rPr>
            </w:pPr>
          </w:p>
        </w:tc>
        <w:tc>
          <w:tcPr>
            <w:tcW w:w="1160" w:type="dxa"/>
            <w:vAlign w:val="bottom"/>
          </w:tcPr>
          <w:p>
            <w:pPr>
              <w:jc w:val="right"/>
              <w:ind w:right="382"/>
              <w:spacing w:after="0"/>
              <w:rPr>
                <w:sz w:val="20"/>
                <w:szCs w:val="20"/>
                <w:color w:val="auto"/>
              </w:rPr>
            </w:pPr>
            <w:r>
              <w:rPr>
                <w:rFonts w:ascii="Arial" w:cs="Arial" w:eastAsia="Arial" w:hAnsi="Arial"/>
                <w:sz w:val="17"/>
                <w:szCs w:val="17"/>
                <w:color w:val="auto"/>
              </w:rPr>
              <w:t>19.0</w:t>
            </w:r>
          </w:p>
        </w:tc>
        <w:tc>
          <w:tcPr>
            <w:tcW w:w="1340" w:type="dxa"/>
            <w:vAlign w:val="bottom"/>
          </w:tcPr>
          <w:p>
            <w:pPr>
              <w:jc w:val="right"/>
              <w:spacing w:after="0"/>
              <w:rPr>
                <w:sz w:val="20"/>
                <w:szCs w:val="20"/>
                <w:color w:val="auto"/>
              </w:rPr>
            </w:pPr>
            <w:r>
              <w:rPr>
                <w:rFonts w:ascii="Arial" w:cs="Arial" w:eastAsia="Arial" w:hAnsi="Arial"/>
                <w:sz w:val="17"/>
                <w:szCs w:val="17"/>
                <w:color w:val="auto"/>
              </w:rPr>
              <w:t>(24.2)%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7"/>
                <w:szCs w:val="17"/>
                <w:color w:val="auto"/>
              </w:rPr>
              <w:t>(0.2)</w:t>
            </w:r>
          </w:p>
        </w:tc>
        <w:tc>
          <w:tcPr>
            <w:tcW w:w="400" w:type="dxa"/>
            <w:vAlign w:val="bottom"/>
          </w:tcPr>
          <w:p>
            <w:pPr>
              <w:spacing w:after="0"/>
              <w:rPr>
                <w:sz w:val="19"/>
                <w:szCs w:val="19"/>
                <w:color w:val="auto"/>
              </w:rPr>
            </w:pPr>
          </w:p>
        </w:tc>
        <w:tc>
          <w:tcPr>
            <w:tcW w:w="1080" w:type="dxa"/>
            <w:vAlign w:val="bottom"/>
          </w:tcPr>
          <w:p>
            <w:pPr>
              <w:jc w:val="right"/>
              <w:ind w:right="202"/>
              <w:spacing w:after="0"/>
              <w:rPr>
                <w:sz w:val="20"/>
                <w:szCs w:val="20"/>
                <w:color w:val="auto"/>
              </w:rPr>
            </w:pPr>
            <w:r>
              <w:rPr>
                <w:rFonts w:ascii="Arial" w:cs="Arial" w:eastAsia="Arial" w:hAnsi="Arial"/>
                <w:sz w:val="17"/>
                <w:szCs w:val="17"/>
                <w:color w:val="auto"/>
              </w:rPr>
              <w:t>(6.3)</w:t>
            </w:r>
          </w:p>
        </w:tc>
        <w:tc>
          <w:tcPr>
            <w:tcW w:w="1460" w:type="dxa"/>
            <w:vAlign w:val="bottom"/>
          </w:tcPr>
          <w:p>
            <w:pPr>
              <w:jc w:val="right"/>
              <w:spacing w:after="0"/>
              <w:rPr>
                <w:sz w:val="20"/>
                <w:szCs w:val="20"/>
                <w:color w:val="auto"/>
              </w:rPr>
            </w:pPr>
            <w:r>
              <w:rPr>
                <w:rFonts w:ascii="Arial" w:cs="Arial" w:eastAsia="Arial" w:hAnsi="Arial"/>
                <w:sz w:val="17"/>
                <w:szCs w:val="17"/>
                <w:color w:val="auto"/>
              </w:rPr>
              <w:t>96.8 %</w:t>
            </w:r>
          </w:p>
        </w:tc>
      </w:tr>
    </w:tbl>
    <w:p>
      <w:pPr>
        <w:spacing w:after="0" w:line="7" w:lineRule="exact"/>
        <w:rPr>
          <w:sz w:val="20"/>
          <w:szCs w:val="20"/>
          <w:color w:val="auto"/>
        </w:rPr>
      </w:pPr>
    </w:p>
    <w:p>
      <w:pPr>
        <w:ind w:left="300" w:hanging="299"/>
        <w:spacing w:after="0" w:line="277" w:lineRule="auto"/>
        <w:tabs>
          <w:tab w:leader="none" w:pos="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 xml:space="preserve">Due to the adoption of ASU 2017-07, </w:t>
      </w:r>
      <w:r>
        <w:rPr>
          <w:rFonts w:ascii="Arial" w:cs="Arial" w:eastAsia="Arial" w:hAnsi="Arial"/>
          <w:sz w:val="13"/>
          <w:szCs w:val="13"/>
          <w:i w:val="1"/>
          <w:iCs w:val="1"/>
          <w:color w:val="auto"/>
        </w:rPr>
        <w:t>Improving the Presentation of Net Periodic Pension Cost and Net Periodic Postretirement Benefit Cost</w:t>
      </w:r>
      <w:r>
        <w:rPr>
          <w:rFonts w:ascii="Arial" w:cs="Arial" w:eastAsia="Arial" w:hAnsi="Arial"/>
          <w:sz w:val="13"/>
          <w:szCs w:val="13"/>
          <w:color w:val="auto"/>
        </w:rPr>
        <w:t>, “Operating income” for prior year has been updated to reflect the reclassification of pension expense.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Second Quarter of 2018 Compared to the Second Quarter of 2017</w:t>
      </w:r>
    </w:p>
    <w:p>
      <w:pPr>
        <w:spacing w:after="0" w:line="2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consolidated operating revenue increased $65.9 million, or 5.2%, during the second quarter of 2018 compared to the same period in 2017. The increase in revenue is primarily attributed to an increase in base yield excluding fuel surcharge and fuel surcharge revenue, while partially offset by a decrease in tonnage.</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Total operating expenses increased $68.2 million, or 5.6%, for the second quarter of 2018 compared to the second quarter of 2017, and consisted primarily of higher fuel costs, higher contractual employee benefit costs, and an increase in purchased transportation expense.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Salaries, wages and employee benefits</w:t>
      </w:r>
      <w:r>
        <w:rPr>
          <w:rFonts w:ascii="Arial" w:cs="Arial" w:eastAsia="Arial" w:hAnsi="Arial"/>
          <w:sz w:val="17"/>
          <w:szCs w:val="17"/>
          <w:color w:val="auto"/>
        </w:rPr>
        <w:t>. Salaries, wages and employee benefits increased $19.6 million, or 2.7%, primarily due to a $19.4 million increase in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costs, which are primarily related to contractual rate increases for union employees.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Fuel, operating expenses and supplies. </w:t>
      </w:r>
      <w:r>
        <w:rPr>
          <w:rFonts w:ascii="Arial" w:cs="Arial" w:eastAsia="Arial" w:hAnsi="Arial"/>
          <w:sz w:val="17"/>
          <w:szCs w:val="17"/>
          <w:color w:val="auto"/>
        </w:rPr>
        <w:t>Fuel, operating expenses and supplies increased $32.3 million, or 15.4%, primarily due to a $22.0 million increase in fuel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largely driven by higher fuel prices on a per gallon basis, partially offset by fewer miles driven and improved miles per gallon. Additionally, there was a $2.8 million increase in vehicle maintenance expense and a $2.6 million increase in professional fees.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Purchased transportation</w:t>
      </w:r>
      <w:r>
        <w:rPr>
          <w:rFonts w:ascii="Arial" w:cs="Arial" w:eastAsia="Arial" w:hAnsi="Arial"/>
          <w:sz w:val="17"/>
          <w:szCs w:val="17"/>
          <w:color w:val="auto"/>
        </w:rPr>
        <w:t>. Purchased transportation increased $17.6 million, or 11.0%, primarily due to a $10.2 million increase in equipment lease expense of which</w:t>
      </w:r>
      <w:r>
        <w:rPr>
          <w:rFonts w:ascii="Arial" w:cs="Arial" w:eastAsia="Arial" w:hAnsi="Arial"/>
          <w:sz w:val="17"/>
          <w:szCs w:val="17"/>
          <w:i w:val="1"/>
          <w:iCs w:val="1"/>
          <w:color w:val="auto"/>
        </w:rPr>
        <w:t xml:space="preserve"> </w:t>
      </w:r>
      <w:r>
        <w:rPr>
          <w:rFonts w:ascii="Arial" w:cs="Arial" w:eastAsia="Arial" w:hAnsi="Arial"/>
          <w:sz w:val="17"/>
          <w:szCs w:val="17"/>
          <w:color w:val="auto"/>
        </w:rPr>
        <w:t>$8.4 million was attributable to long-term rentals in conjunction with the Company’s strategy to reinvest in its fleet. Purchased transportation expense also includes a $9.1 million increase in third-party costs for customer specific logistics solutions. These increases were partially offset by a $2.7 million decrease from reduced usage of local purchased transportation.</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Other operating expense. </w:t>
      </w:r>
      <w:r>
        <w:rPr>
          <w:rFonts w:ascii="Arial" w:cs="Arial" w:eastAsia="Arial" w:hAnsi="Arial"/>
          <w:sz w:val="17"/>
          <w:szCs w:val="17"/>
          <w:color w:val="auto"/>
        </w:rPr>
        <w:t>Other operating expense decreased $4.9 million, or 7.5%, primarily due to a $4.3 million decrease in third-party liability claims expense due to</w:t>
      </w:r>
      <w:r>
        <w:rPr>
          <w:rFonts w:ascii="Arial" w:cs="Arial" w:eastAsia="Arial" w:hAnsi="Arial"/>
          <w:sz w:val="17"/>
          <w:szCs w:val="17"/>
          <w:i w:val="1"/>
          <w:iCs w:val="1"/>
          <w:color w:val="auto"/>
        </w:rPr>
        <w:t xml:space="preserve"> </w:t>
      </w:r>
      <w:r>
        <w:rPr>
          <w:rFonts w:ascii="Arial" w:cs="Arial" w:eastAsia="Arial" w:hAnsi="Arial"/>
          <w:sz w:val="17"/>
          <w:szCs w:val="17"/>
          <w:color w:val="auto"/>
        </w:rPr>
        <w:t>favorable development of prior year claims.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Losses on property disposals</w:t>
      </w:r>
      <w:r>
        <w:rPr>
          <w:rFonts w:ascii="Arial" w:cs="Arial" w:eastAsia="Arial" w:hAnsi="Arial"/>
          <w:sz w:val="17"/>
          <w:szCs w:val="17"/>
          <w:color w:val="auto"/>
        </w:rPr>
        <w:t>. Net losses on disposals of property were $2.2 million in the second quarter of 2018 primarily reflecting losses on the disposal of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as compared to a $1.0 million net gain in the second quarter of 2017 due to the sale of real property, partially offset by losses on the disposal of revenue equipment.</w:t>
      </w:r>
    </w:p>
    <w:p>
      <w:pPr>
        <w:spacing w:after="0" w:line="175" w:lineRule="exact"/>
        <w:rPr>
          <w:sz w:val="20"/>
          <w:szCs w:val="20"/>
          <w:color w:val="auto"/>
        </w:rPr>
      </w:pPr>
    </w:p>
    <w:p>
      <w:pPr>
        <w:jc w:val="both"/>
        <w:spacing w:after="0" w:line="337" w:lineRule="auto"/>
        <w:rPr>
          <w:sz w:val="20"/>
          <w:szCs w:val="20"/>
          <w:color w:val="auto"/>
        </w:rPr>
      </w:pPr>
      <w:r>
        <w:rPr>
          <w:rFonts w:ascii="Arial" w:cs="Arial" w:eastAsia="Arial" w:hAnsi="Arial"/>
          <w:sz w:val="15"/>
          <w:szCs w:val="15"/>
          <w:i w:val="1"/>
          <w:iCs w:val="1"/>
          <w:color w:val="auto"/>
        </w:rPr>
        <w:t xml:space="preserve">Nonoperating expenses, net. </w:t>
      </w:r>
      <w:r>
        <w:rPr>
          <w:rFonts w:ascii="Arial" w:cs="Arial" w:eastAsia="Arial" w:hAnsi="Arial"/>
          <w:sz w:val="15"/>
          <w:szCs w:val="15"/>
          <w:color w:val="auto"/>
        </w:rPr>
        <w:t>Nonoperating expenses, net, decreased $4.5 million in the second quarter of 2018 compared to the second quarter of 2017 primarily driven</w:t>
      </w:r>
      <w:r>
        <w:rPr>
          <w:rFonts w:ascii="Arial" w:cs="Arial" w:eastAsia="Arial" w:hAnsi="Arial"/>
          <w:sz w:val="15"/>
          <w:szCs w:val="15"/>
          <w:i w:val="1"/>
          <w:iCs w:val="1"/>
          <w:color w:val="auto"/>
        </w:rPr>
        <w:t xml:space="preserve"> </w:t>
      </w:r>
      <w:r>
        <w:rPr>
          <w:rFonts w:ascii="Arial" w:cs="Arial" w:eastAsia="Arial" w:hAnsi="Arial"/>
          <w:sz w:val="15"/>
          <w:szCs w:val="15"/>
          <w:color w:val="auto"/>
        </w:rPr>
        <w:t>by a $3.6 million decrease in non-union pension and postretirement benefits expense and a $0.7 million decrease in non-cash foreign exchange expense.</w:t>
      </w:r>
    </w:p>
    <w:p>
      <w:pPr>
        <w:spacing w:after="0" w:line="12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effective tax rate for the second quarter of 2018 and 2017 was 41.9% and 15.9%, respectively. The significant items impacting the 2018 rate include provision for a net state and foreign taxes, certain permanent items, and a change in the valuation allowance established for the net deferred tax asset balance projected for December 31, 2018. The significant items impacting the 2017 rate include a provision for federal alternative minimum tax, a net state and foreign tax provision, certain permanent items, and a change in the valuation allowance established for the net deferred tax asset balance that had been projected for December 31, 2017. We recognize valuation allowances on deferred tax assets if, based on the weight of the evidence, we determine it is more likely than not that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June 30, 2018 and December 31, 2017, substantially all of our net deferred tax assets were subject to a valuation allowance.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First Half of 2018 Compared to the First Half of 2017</w:t>
      </w:r>
    </w:p>
    <w:p>
      <w:pPr>
        <w:spacing w:after="0" w:line="2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consolidated operating revenue increased $109.8 million, or 4.5%, for the first half of 2018 compared to the same period in 2017. The increase in revenue is primarily attributed to an increase in base yield excluding fuel surcharge and fuel surcharge revenue, partially offset by a decrease in tonnage.</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Total operating expenses increased $116.7 million, or 4.9%, for the first half of 2018 compared to the same period in 2017, and consisted primarily of an increase in purchased transportation expense, higher fuel costs, and higher contractual employee benefit costs.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Salaries, wages and employee benefits</w:t>
      </w:r>
      <w:r>
        <w:rPr>
          <w:rFonts w:ascii="Arial" w:cs="Arial" w:eastAsia="Arial" w:hAnsi="Arial"/>
          <w:sz w:val="17"/>
          <w:szCs w:val="17"/>
          <w:color w:val="auto"/>
        </w:rPr>
        <w:t>. Salaries, wages and employee benefits increased $30.9 million, or 2.1%, primarily due to a $27.7 million increase in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costs, which are primarily related to contractual rate increases for union employees.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Fuel, operating expenses and supplies. </w:t>
      </w:r>
      <w:r>
        <w:rPr>
          <w:rFonts w:ascii="Arial" w:cs="Arial" w:eastAsia="Arial" w:hAnsi="Arial"/>
          <w:sz w:val="17"/>
          <w:szCs w:val="17"/>
          <w:color w:val="auto"/>
        </w:rPr>
        <w:t>Fuel, operating expenses and supplies increased $46.2 million, or 10.8%, primarily due to a $32.3 million increase in fuel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largely driven by higher fuel prices on a per gallon basis, partially offset by fewer miles driven and improved miles per gallon, and an $8.3 million increase in vehicle and facility maintenance expense.</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Purchased transportation</w:t>
      </w:r>
      <w:r>
        <w:rPr>
          <w:rFonts w:ascii="Arial" w:cs="Arial" w:eastAsia="Arial" w:hAnsi="Arial"/>
          <w:sz w:val="17"/>
          <w:szCs w:val="17"/>
          <w:color w:val="auto"/>
        </w:rPr>
        <w:t>. Purchased transportation increased $38.5 million, or 13.1%, primarily due to a $20.0 million increase in equipment lease expense of which</w:t>
      </w:r>
      <w:r>
        <w:rPr>
          <w:rFonts w:ascii="Arial" w:cs="Arial" w:eastAsia="Arial" w:hAnsi="Arial"/>
          <w:sz w:val="17"/>
          <w:szCs w:val="17"/>
          <w:i w:val="1"/>
          <w:iCs w:val="1"/>
          <w:color w:val="auto"/>
        </w:rPr>
        <w:t xml:space="preserve"> </w:t>
      </w:r>
      <w:r>
        <w:rPr>
          <w:rFonts w:ascii="Arial" w:cs="Arial" w:eastAsia="Arial" w:hAnsi="Arial"/>
          <w:sz w:val="17"/>
          <w:szCs w:val="17"/>
          <w:color w:val="auto"/>
        </w:rPr>
        <w:t>$13.9 million was attributable to long-term rentals in conjunction with the Company’s strategy to reinvest in its fleet. Purchased transportation expense also includes an $18.2 million increase in third-party costs for customer specific logistics solutions. These increases were partially offset by a $5.2 million decrease from reduced usage of local purchased transportation.</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Other operating expense. </w:t>
      </w:r>
      <w:r>
        <w:rPr>
          <w:rFonts w:ascii="Arial" w:cs="Arial" w:eastAsia="Arial" w:hAnsi="Arial"/>
          <w:sz w:val="17"/>
          <w:szCs w:val="17"/>
          <w:color w:val="auto"/>
        </w:rPr>
        <w:t>Other operating expense decreased $3.6 million, or 2.8%, primarily due to a $3.7 million decrease in third-party liability claims expense due to</w:t>
      </w:r>
      <w:r>
        <w:rPr>
          <w:rFonts w:ascii="Arial" w:cs="Arial" w:eastAsia="Arial" w:hAnsi="Arial"/>
          <w:sz w:val="17"/>
          <w:szCs w:val="17"/>
          <w:i w:val="1"/>
          <w:iCs w:val="1"/>
          <w:color w:val="auto"/>
        </w:rPr>
        <w:t xml:space="preserve"> </w:t>
      </w:r>
      <w:r>
        <w:rPr>
          <w:rFonts w:ascii="Arial" w:cs="Arial" w:eastAsia="Arial" w:hAnsi="Arial"/>
          <w:sz w:val="17"/>
          <w:szCs w:val="17"/>
          <w:color w:val="auto"/>
        </w:rPr>
        <w:t>favorable development of prior year claims.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Losses on property disposals</w:t>
      </w:r>
      <w:r>
        <w:rPr>
          <w:rFonts w:ascii="Arial" w:cs="Arial" w:eastAsia="Arial" w:hAnsi="Arial"/>
          <w:sz w:val="17"/>
          <w:szCs w:val="17"/>
          <w:color w:val="auto"/>
        </w:rPr>
        <w:t>. Net losses on disposals were $5.4 million in the first half of 2018 primarily reflecting losses on the disposal of revenue equipment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a $1.7 million loss in the first half of 2017, comprised of losses on the disposal of revenue equipment, which were partially offset by gains on the sale of real property.</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Nonoperating expenses, net. </w:t>
      </w:r>
      <w:r>
        <w:rPr>
          <w:rFonts w:ascii="Arial" w:cs="Arial" w:eastAsia="Arial" w:hAnsi="Arial"/>
          <w:sz w:val="16"/>
          <w:szCs w:val="16"/>
          <w:color w:val="auto"/>
        </w:rPr>
        <w:t>Nonoperating expenses, net, decreased $11.0 million in the first half of 2018 compared to the first half of 2017 primarily driven by a $7.4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decrease in non-union pension and postretirement benefits expense and a $3.7 million decrease in non-cash foreign exchange expense.</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effective tax rate for the first half of 2018 and 2017 was 92.6% and 7.4%, respectively. The significant items impacting the 2018 rate include a provision for net state and foreign taxes, foreign withholding taxes related to dividends from a foreign subsidiary, certain permanent items, and a change in the valuation allowance established for the net deferred tax asset balance projected for</w:t>
      </w:r>
    </w:p>
    <w:p>
      <w:pPr>
        <w:jc w:val="both"/>
        <w:spacing w:after="0" w:line="320" w:lineRule="auto"/>
        <w:rPr>
          <w:sz w:val="20"/>
          <w:szCs w:val="20"/>
          <w:color w:val="auto"/>
        </w:rPr>
      </w:pPr>
      <w:r>
        <w:rPr>
          <w:rFonts w:ascii="Arial" w:cs="Arial" w:eastAsia="Arial" w:hAnsi="Arial"/>
          <w:sz w:val="15"/>
          <w:szCs w:val="15"/>
          <w:color w:val="auto"/>
        </w:rPr>
        <w:t>December 31, 2018. The significant items impacting the 2017 rate include a provision for federal alternative minimum tax, a net state and foreign tax provision, certain permanent items, and a change in the valuation allowance established for the net deferred tax asset balance that had been projected for December 31,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Segment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evaluate our operating performance using our YRC Freight and Regional Transportation reporting segments:</w:t>
      </w:r>
    </w:p>
    <w:p>
      <w:pPr>
        <w:spacing w:after="0" w:line="203" w:lineRule="exact"/>
        <w:rPr>
          <w:sz w:val="20"/>
          <w:szCs w:val="20"/>
          <w:color w:val="auto"/>
        </w:rPr>
      </w:pPr>
    </w:p>
    <w:p>
      <w:pPr>
        <w:jc w:val="both"/>
        <w:ind w:left="600" w:hanging="297"/>
        <w:spacing w:after="0" w:line="256" w:lineRule="auto"/>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YRC Freight </w:t>
      </w:r>
      <w:r>
        <w:rPr>
          <w:rFonts w:ascii="Arial" w:cs="Arial" w:eastAsia="Arial" w:hAnsi="Arial"/>
          <w:sz w:val="17"/>
          <w:szCs w:val="17"/>
          <w:color w:val="auto"/>
        </w:rPr>
        <w:t>is the reporting segment that focuses on longer haul business opportunities with national, regional and international services. YRC Freight</w:t>
      </w:r>
      <w:r>
        <w:rPr>
          <w:rFonts w:ascii="Arial" w:cs="Arial" w:eastAsia="Arial" w:hAnsi="Arial"/>
          <w:sz w:val="17"/>
          <w:szCs w:val="17"/>
          <w:b w:val="1"/>
          <w:bCs w:val="1"/>
          <w:color w:val="auto"/>
        </w:rPr>
        <w:t xml:space="preserve"> </w:t>
      </w:r>
      <w:r>
        <w:rPr>
          <w:rFonts w:ascii="Arial" w:cs="Arial" w:eastAsia="Arial" w:hAnsi="Arial"/>
          <w:sz w:val="17"/>
          <w:szCs w:val="17"/>
          <w:color w:val="auto"/>
        </w:rPr>
        <w:t>provides for the movement of industrial, commercial and retail goods, primarily through centralized management. This reporting segment includes YRC Freight, our LTL subsidiary, and YRC Reimer, a subsidiary located in Canada that specializes in shipments into, across and out of Canada. In addition to the United States and Canada, YRC Freight also serves parts of Mexico and Puerto Rico.</w:t>
      </w:r>
    </w:p>
    <w:p>
      <w:pPr>
        <w:spacing w:after="0" w:line="172" w:lineRule="exact"/>
        <w:rPr>
          <w:rFonts w:ascii="Arial" w:cs="Arial" w:eastAsia="Arial" w:hAnsi="Arial"/>
          <w:sz w:val="17"/>
          <w:szCs w:val="17"/>
          <w:color w:val="auto"/>
        </w:rPr>
      </w:pPr>
    </w:p>
    <w:p>
      <w:pPr>
        <w:jc w:val="both"/>
        <w:ind w:left="600" w:hanging="297"/>
        <w:spacing w:after="0" w:line="284" w:lineRule="auto"/>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Regional Transportation </w:t>
      </w:r>
      <w:r>
        <w:rPr>
          <w:rFonts w:ascii="Arial" w:cs="Arial" w:eastAsia="Arial" w:hAnsi="Arial"/>
          <w:sz w:val="16"/>
          <w:szCs w:val="16"/>
          <w:color w:val="auto"/>
        </w:rPr>
        <w:t>is the reporting segment for our transportation service providers focused on business opportunities in the regional and next-day</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markets. Regional Transportation is comprised of Holland, New Penn and Reddaway. These companies each provide regional, next-day ground services in their respective regions through a network of facilities located across the United States, Canada, and Puerto Rico.</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YRC Freight Results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YRC Freight represented 62.4% of consolidated operating revenue for the second quarter of 2018, as compared to 62.6% for the second quarter of 2017. YRC Freight represented 62.1% of consolidated operating revenue for the first half of 2018, as compared to 62.5% for the first half of 2017. The table below provides summary financial information for YRC Freight for the second quarter and first half of 2018 and 2017:</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8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w w:val="96"/>
              </w:rPr>
              <w:t>Second Quarter</w:t>
            </w:r>
          </w:p>
        </w:tc>
        <w:tc>
          <w:tcPr>
            <w:tcW w:w="13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First Half</w:t>
            </w:r>
          </w:p>
        </w:tc>
        <w:tc>
          <w:tcPr>
            <w:tcW w:w="1340" w:type="dxa"/>
            <w:vAlign w:val="bottom"/>
            <w:tcBorders>
              <w:bottom w:val="single" w:sz="8" w:color="auto"/>
            </w:tcBorders>
          </w:tcPr>
          <w:p>
            <w:pPr>
              <w:spacing w:after="0"/>
              <w:rPr>
                <w:sz w:val="15"/>
                <w:szCs w:val="15"/>
                <w:color w:val="auto"/>
              </w:rPr>
            </w:pPr>
          </w:p>
        </w:tc>
      </w:tr>
      <w:tr>
        <w:trPr>
          <w:trHeight w:val="244"/>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2018</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2017</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Percent Change</w:t>
            </w: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2018</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2017</w:t>
            </w:r>
          </w:p>
        </w:tc>
        <w:tc>
          <w:tcPr>
            <w:tcW w:w="24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Percent Change</w:t>
            </w:r>
          </w:p>
        </w:tc>
      </w:tr>
      <w:tr>
        <w:trPr>
          <w:trHeight w:val="229"/>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revenue</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7"/>
                <w:szCs w:val="17"/>
                <w:color w:val="auto"/>
              </w:rPr>
              <w:t>827.6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303"/>
              <w:spacing w:after="0"/>
              <w:rPr>
                <w:sz w:val="20"/>
                <w:szCs w:val="20"/>
                <w:color w:val="auto"/>
              </w:rPr>
            </w:pPr>
            <w:r>
              <w:rPr>
                <w:rFonts w:ascii="Arial" w:cs="Arial" w:eastAsia="Arial" w:hAnsi="Arial"/>
                <w:sz w:val="17"/>
                <w:szCs w:val="17"/>
                <w:color w:val="auto"/>
              </w:rPr>
              <w:t>789.5</w:t>
            </w:r>
          </w:p>
        </w:tc>
        <w:tc>
          <w:tcPr>
            <w:tcW w:w="1380" w:type="dxa"/>
            <w:vAlign w:val="bottom"/>
            <w:tcBorders>
              <w:bottom w:val="single" w:sz="8" w:color="CCEEFF"/>
            </w:tcBorders>
            <w:shd w:val="clear" w:color="auto" w:fill="CCEEFF"/>
          </w:tcPr>
          <w:p>
            <w:pPr>
              <w:jc w:val="right"/>
              <w:ind w:right="440"/>
              <w:spacing w:after="0"/>
              <w:rPr>
                <w:sz w:val="20"/>
                <w:szCs w:val="20"/>
                <w:color w:val="auto"/>
              </w:rPr>
            </w:pPr>
            <w:r>
              <w:rPr>
                <w:rFonts w:ascii="Arial" w:cs="Arial" w:eastAsia="Arial" w:hAnsi="Arial"/>
                <w:sz w:val="17"/>
                <w:szCs w:val="17"/>
                <w:color w:val="auto"/>
              </w:rPr>
              <w:t>4.8%</w:t>
            </w:r>
          </w:p>
        </w:tc>
        <w:tc>
          <w:tcPr>
            <w:tcW w:w="4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1,578.9</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7"/>
                <w:szCs w:val="17"/>
                <w:color w:val="auto"/>
              </w:rPr>
              <w:t>1,518.4</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420"/>
              <w:spacing w:after="0"/>
              <w:rPr>
                <w:sz w:val="20"/>
                <w:szCs w:val="20"/>
                <w:color w:val="auto"/>
              </w:rPr>
            </w:pPr>
            <w:r>
              <w:rPr>
                <w:rFonts w:ascii="Arial" w:cs="Arial" w:eastAsia="Arial" w:hAnsi="Arial"/>
                <w:sz w:val="17"/>
                <w:szCs w:val="17"/>
                <w:color w:val="auto"/>
              </w:rPr>
              <w:t>4.0%</w:t>
            </w:r>
          </w:p>
        </w:tc>
      </w:tr>
      <w:tr>
        <w:trPr>
          <w:trHeight w:val="226"/>
        </w:trPr>
        <w:tc>
          <w:tcPr>
            <w:tcW w:w="286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280" w:type="dxa"/>
            <w:vAlign w:val="bottom"/>
          </w:tcPr>
          <w:p>
            <w:pPr>
              <w:spacing w:after="0"/>
              <w:rPr>
                <w:sz w:val="19"/>
                <w:szCs w:val="19"/>
                <w:color w:val="auto"/>
              </w:rPr>
            </w:pPr>
          </w:p>
        </w:tc>
        <w:tc>
          <w:tcPr>
            <w:tcW w:w="1000" w:type="dxa"/>
            <w:vAlign w:val="bottom"/>
          </w:tcPr>
          <w:p>
            <w:pPr>
              <w:jc w:val="right"/>
              <w:ind w:right="200"/>
              <w:spacing w:after="0"/>
              <w:rPr>
                <w:sz w:val="20"/>
                <w:szCs w:val="20"/>
                <w:color w:val="auto"/>
              </w:rPr>
            </w:pPr>
            <w:r>
              <w:rPr>
                <w:rFonts w:ascii="Arial" w:cs="Arial" w:eastAsia="Arial" w:hAnsi="Arial"/>
                <w:sz w:val="17"/>
                <w:szCs w:val="17"/>
                <w:color w:val="auto"/>
              </w:rPr>
              <w:t>26.8</w:t>
            </w:r>
          </w:p>
        </w:tc>
        <w:tc>
          <w:tcPr>
            <w:tcW w:w="300" w:type="dxa"/>
            <w:vAlign w:val="bottom"/>
          </w:tcPr>
          <w:p>
            <w:pPr>
              <w:spacing w:after="0"/>
              <w:rPr>
                <w:sz w:val="19"/>
                <w:szCs w:val="19"/>
                <w:color w:val="auto"/>
              </w:rPr>
            </w:pPr>
          </w:p>
        </w:tc>
        <w:tc>
          <w:tcPr>
            <w:tcW w:w="1220" w:type="dxa"/>
            <w:vAlign w:val="bottom"/>
          </w:tcPr>
          <w:p>
            <w:pPr>
              <w:jc w:val="right"/>
              <w:ind w:right="303"/>
              <w:spacing w:after="0"/>
              <w:rPr>
                <w:sz w:val="20"/>
                <w:szCs w:val="20"/>
                <w:color w:val="auto"/>
              </w:rPr>
            </w:pPr>
            <w:r>
              <w:rPr>
                <w:rFonts w:ascii="Arial" w:cs="Arial" w:eastAsia="Arial" w:hAnsi="Arial"/>
                <w:sz w:val="17"/>
                <w:szCs w:val="17"/>
                <w:color w:val="auto"/>
              </w:rPr>
              <w:t>30.9</w:t>
            </w:r>
          </w:p>
        </w:tc>
        <w:tc>
          <w:tcPr>
            <w:tcW w:w="1380" w:type="dxa"/>
            <w:vAlign w:val="bottom"/>
          </w:tcPr>
          <w:p>
            <w:pPr>
              <w:jc w:val="right"/>
              <w:ind w:right="340"/>
              <w:spacing w:after="0"/>
              <w:rPr>
                <w:sz w:val="20"/>
                <w:szCs w:val="20"/>
                <w:color w:val="auto"/>
              </w:rPr>
            </w:pPr>
            <w:r>
              <w:rPr>
                <w:rFonts w:ascii="Arial" w:cs="Arial" w:eastAsia="Arial" w:hAnsi="Arial"/>
                <w:sz w:val="17"/>
                <w:szCs w:val="17"/>
                <w:color w:val="auto"/>
              </w:rPr>
              <w:t>(13.3)%</w:t>
            </w:r>
          </w:p>
        </w:tc>
        <w:tc>
          <w:tcPr>
            <w:tcW w:w="48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7"/>
                <w:szCs w:val="17"/>
                <w:color w:val="auto"/>
              </w:rPr>
              <w:t>19.9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83"/>
              <w:spacing w:after="0"/>
              <w:rPr>
                <w:sz w:val="20"/>
                <w:szCs w:val="20"/>
                <w:color w:val="auto"/>
              </w:rPr>
            </w:pPr>
            <w:r>
              <w:rPr>
                <w:rFonts w:ascii="Arial" w:cs="Arial" w:eastAsia="Arial" w:hAnsi="Arial"/>
                <w:sz w:val="17"/>
                <w:szCs w:val="17"/>
                <w:color w:val="auto"/>
              </w:rPr>
              <w:t>23.4</w:t>
            </w:r>
          </w:p>
        </w:tc>
        <w:tc>
          <w:tcPr>
            <w:tcW w:w="240" w:type="dxa"/>
            <w:vAlign w:val="bottom"/>
          </w:tcPr>
          <w:p>
            <w:pPr>
              <w:spacing w:after="0"/>
              <w:rPr>
                <w:sz w:val="19"/>
                <w:szCs w:val="19"/>
                <w:color w:val="auto"/>
              </w:rPr>
            </w:pPr>
          </w:p>
        </w:tc>
        <w:tc>
          <w:tcPr>
            <w:tcW w:w="1340" w:type="dxa"/>
            <w:vAlign w:val="bottom"/>
          </w:tcPr>
          <w:p>
            <w:pPr>
              <w:jc w:val="right"/>
              <w:ind w:right="320"/>
              <w:spacing w:after="0"/>
              <w:rPr>
                <w:sz w:val="20"/>
                <w:szCs w:val="20"/>
                <w:color w:val="auto"/>
              </w:rPr>
            </w:pPr>
            <w:r>
              <w:rPr>
                <w:rFonts w:ascii="Arial" w:cs="Arial" w:eastAsia="Arial" w:hAnsi="Arial"/>
                <w:sz w:val="17"/>
                <w:szCs w:val="17"/>
                <w:color w:val="auto"/>
              </w:rPr>
              <w:t>(15.0)%</w:t>
            </w:r>
          </w:p>
        </w:tc>
      </w:tr>
      <w:tr>
        <w:trPr>
          <w:trHeight w:val="271"/>
        </w:trPr>
        <w:tc>
          <w:tcPr>
            <w:tcW w:w="2860" w:type="dxa"/>
            <w:vAlign w:val="bottom"/>
          </w:tcPr>
          <w:p>
            <w:pPr>
              <w:ind w:left="20"/>
              <w:spacing w:after="0"/>
              <w:rPr>
                <w:sz w:val="20"/>
                <w:szCs w:val="20"/>
                <w:color w:val="auto"/>
              </w:rPr>
            </w:pPr>
            <w:r>
              <w:rPr>
                <w:rFonts w:ascii="Arial" w:cs="Arial" w:eastAsia="Arial" w:hAnsi="Arial"/>
                <w:sz w:val="17"/>
                <w:szCs w:val="17"/>
                <w:color w:val="auto"/>
              </w:rPr>
              <w:t>Operating ratio</w:t>
            </w:r>
            <w:r>
              <w:rPr>
                <w:rFonts w:ascii="Arial" w:cs="Arial" w:eastAsia="Arial" w:hAnsi="Arial"/>
                <w:sz w:val="23"/>
                <w:szCs w:val="23"/>
                <w:color w:val="auto"/>
                <w:vertAlign w:val="superscript"/>
              </w:rPr>
              <w:t>(a)</w:t>
            </w:r>
          </w:p>
        </w:tc>
        <w:tc>
          <w:tcPr>
            <w:tcW w:w="28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7"/>
                <w:szCs w:val="17"/>
                <w:color w:val="auto"/>
              </w:rPr>
              <w:t>96.8%</w:t>
            </w:r>
          </w:p>
        </w:tc>
        <w:tc>
          <w:tcPr>
            <w:tcW w:w="300" w:type="dxa"/>
            <w:vAlign w:val="bottom"/>
          </w:tcPr>
          <w:p>
            <w:pPr>
              <w:spacing w:after="0"/>
              <w:rPr>
                <w:sz w:val="23"/>
                <w:szCs w:val="23"/>
                <w:color w:val="auto"/>
              </w:rPr>
            </w:pPr>
          </w:p>
        </w:tc>
        <w:tc>
          <w:tcPr>
            <w:tcW w:w="1220" w:type="dxa"/>
            <w:vAlign w:val="bottom"/>
          </w:tcPr>
          <w:p>
            <w:pPr>
              <w:jc w:val="right"/>
              <w:ind w:right="163"/>
              <w:spacing w:after="0"/>
              <w:rPr>
                <w:sz w:val="20"/>
                <w:szCs w:val="20"/>
                <w:color w:val="auto"/>
              </w:rPr>
            </w:pPr>
            <w:r>
              <w:rPr>
                <w:rFonts w:ascii="Arial" w:cs="Arial" w:eastAsia="Arial" w:hAnsi="Arial"/>
                <w:sz w:val="17"/>
                <w:szCs w:val="17"/>
                <w:color w:val="auto"/>
              </w:rPr>
              <w:t>96.1%</w:t>
            </w:r>
          </w:p>
        </w:tc>
        <w:tc>
          <w:tcPr>
            <w:tcW w:w="1380" w:type="dxa"/>
            <w:vAlign w:val="bottom"/>
          </w:tcPr>
          <w:p>
            <w:pPr>
              <w:jc w:val="center"/>
              <w:spacing w:after="0"/>
              <w:rPr>
                <w:sz w:val="20"/>
                <w:szCs w:val="20"/>
                <w:color w:val="auto"/>
              </w:rPr>
            </w:pPr>
            <w:r>
              <w:rPr>
                <w:rFonts w:ascii="Arial" w:cs="Arial" w:eastAsia="Arial" w:hAnsi="Arial"/>
                <w:sz w:val="17"/>
                <w:szCs w:val="17"/>
                <w:color w:val="auto"/>
                <w:w w:val="88"/>
              </w:rPr>
              <w:t>(0.7) pp</w:t>
            </w:r>
          </w:p>
        </w:tc>
        <w:tc>
          <w:tcPr>
            <w:tcW w:w="4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98.7%</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98.5%</w:t>
            </w:r>
          </w:p>
        </w:tc>
        <w:tc>
          <w:tcPr>
            <w:tcW w:w="24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(0.2) pp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239635" cy="160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9635" cy="160020"/>
                    </a:xfrm>
                    <a:prstGeom prst="rect">
                      <a:avLst/>
                    </a:prstGeom>
                    <a:noFill/>
                  </pic:spPr>
                </pic:pic>
              </a:graphicData>
            </a:graphic>
          </wp:anchor>
        </w:drawing>
      </w:r>
    </w:p>
    <w:p>
      <w:pPr>
        <w:ind w:left="300" w:hanging="299"/>
        <w:spacing w:after="0"/>
        <w:tabs>
          <w:tab w:leader="none" w:pos="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pp represents the change in percentage points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Second Quarter of 2018 Compared to the Second Quarter of 2017</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YRC Freight reported operating revenue of $827.6 million in the second quarter of 2018, an increase of $38.1 million, or 4.8%, compared to the same period in 2017. The increase in revenue is primarily attributed to an improvement in base yield, excluding fuel surcharge, and an increase in fuel surcharge revenue, partially offset by a decrease in tonnage. The table below summarizes the key revenue metrics for the YRC Freight reporting segment for the second quarter of 2018 compared to the second quarter of 2017:</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47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3"/>
                <w:szCs w:val="13"/>
                <w:b w:val="1"/>
                <w:bCs w:val="1"/>
                <w:color w:val="auto"/>
                <w:w w:val="94"/>
              </w:rPr>
              <w:t>Second Quarter</w:t>
            </w: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244"/>
        </w:trPr>
        <w:tc>
          <w:tcPr>
            <w:tcW w:w="47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2018</w:t>
            </w:r>
          </w:p>
        </w:tc>
        <w:tc>
          <w:tcPr>
            <w:tcW w:w="4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Percent Change</w:t>
            </w:r>
            <w:r>
              <w:rPr>
                <w:rFonts w:ascii="Arial" w:cs="Arial" w:eastAsia="Arial" w:hAnsi="Arial"/>
                <w:sz w:val="8"/>
                <w:szCs w:val="8"/>
                <w:b w:val="1"/>
                <w:bCs w:val="1"/>
                <w:color w:val="auto"/>
              </w:rPr>
              <w:t>(b)</w:t>
            </w:r>
          </w:p>
        </w:tc>
      </w:tr>
      <w:tr>
        <w:trPr>
          <w:trHeight w:val="22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r>
      <w:tr>
        <w:trPr>
          <w:trHeight w:val="302"/>
        </w:trPr>
        <w:tc>
          <w:tcPr>
            <w:tcW w:w="4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2"/>
        </w:trPr>
        <w:tc>
          <w:tcPr>
            <w:tcW w:w="4760" w:type="dxa"/>
            <w:vAlign w:val="bottom"/>
            <w:shd w:val="clear" w:color="auto" w:fill="CCEEFF"/>
          </w:tcPr>
          <w:p>
            <w:pPr>
              <w:ind w:left="20"/>
              <w:spacing w:after="0" w:line="252" w:lineRule="exact"/>
              <w:rPr>
                <w:sz w:val="20"/>
                <w:szCs w:val="20"/>
                <w:color w:val="auto"/>
              </w:rPr>
            </w:pPr>
            <w:r>
              <w:rPr>
                <w:rFonts w:ascii="Arial" w:cs="Arial" w:eastAsia="Arial" w:hAnsi="Arial"/>
                <w:sz w:val="17"/>
                <w:szCs w:val="17"/>
                <w:color w:val="auto"/>
              </w:rPr>
              <w:t>Total picked up revenue (in millions)</w:t>
            </w:r>
            <w:r>
              <w:rPr>
                <w:rFonts w:ascii="Arial" w:cs="Arial" w:eastAsia="Arial" w:hAnsi="Arial"/>
                <w:sz w:val="23"/>
                <w:szCs w:val="23"/>
                <w:color w:val="auto"/>
                <w:vertAlign w:val="superscript"/>
              </w:rPr>
              <w:t>(a)</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821.0</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21"/>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780.8</w:t>
            </w:r>
          </w:p>
        </w:tc>
        <w:tc>
          <w:tcPr>
            <w:tcW w:w="146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5.2 %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tonnage (in thousands)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1,623</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1,627</w:t>
            </w:r>
          </w:p>
        </w:tc>
        <w:tc>
          <w:tcPr>
            <w:tcW w:w="1460" w:type="dxa"/>
            <w:vAlign w:val="bottom"/>
            <w:gridSpan w:val="4"/>
          </w:tcPr>
          <w:p>
            <w:pPr>
              <w:jc w:val="right"/>
              <w:ind w:right="160"/>
              <w:spacing w:after="0"/>
              <w:rPr>
                <w:sz w:val="20"/>
                <w:szCs w:val="20"/>
                <w:color w:val="auto"/>
              </w:rPr>
            </w:pPr>
            <w:r>
              <w:rPr>
                <w:rFonts w:ascii="Arial" w:cs="Arial" w:eastAsia="Arial" w:hAnsi="Arial"/>
                <w:sz w:val="17"/>
                <w:szCs w:val="17"/>
                <w:color w:val="auto"/>
              </w:rPr>
              <w:t>(0.2)%</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tonnage per day (in thousands)</w:t>
            </w: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25.36</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25.62</w:t>
            </w:r>
          </w:p>
        </w:tc>
        <w:tc>
          <w:tcPr>
            <w:tcW w:w="14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shipments (in thousands)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2,667</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2,767</w:t>
            </w:r>
          </w:p>
        </w:tc>
        <w:tc>
          <w:tcPr>
            <w:tcW w:w="1460" w:type="dxa"/>
            <w:vAlign w:val="bottom"/>
            <w:gridSpan w:val="4"/>
          </w:tcPr>
          <w:p>
            <w:pPr>
              <w:jc w:val="right"/>
              <w:ind w:right="160"/>
              <w:spacing w:after="0"/>
              <w:rPr>
                <w:sz w:val="20"/>
                <w:szCs w:val="20"/>
                <w:color w:val="auto"/>
              </w:rPr>
            </w:pPr>
            <w:r>
              <w:rPr>
                <w:rFonts w:ascii="Arial" w:cs="Arial" w:eastAsia="Arial" w:hAnsi="Arial"/>
                <w:sz w:val="17"/>
                <w:szCs w:val="17"/>
                <w:color w:val="auto"/>
              </w:rPr>
              <w:t>(3.6)%</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shipments per day (in thousands)</w:t>
            </w: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41.67</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43.58</w:t>
            </w:r>
          </w:p>
        </w:tc>
        <w:tc>
          <w:tcPr>
            <w:tcW w:w="14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(4.4)%</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600" w:type="dxa"/>
            <w:vAlign w:val="bottom"/>
          </w:tcPr>
          <w:p>
            <w:pPr>
              <w:jc w:val="right"/>
              <w:ind w:right="419"/>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25.29</w:t>
            </w:r>
          </w:p>
        </w:tc>
        <w:tc>
          <w:tcPr>
            <w:tcW w:w="120" w:type="dxa"/>
            <w:vAlign w:val="bottom"/>
          </w:tcPr>
          <w:p>
            <w:pPr>
              <w:spacing w:after="0"/>
              <w:rPr>
                <w:sz w:val="19"/>
                <w:szCs w:val="19"/>
                <w:color w:val="auto"/>
              </w:rPr>
            </w:pPr>
          </w:p>
        </w:tc>
        <w:tc>
          <w:tcPr>
            <w:tcW w:w="700" w:type="dxa"/>
            <w:vAlign w:val="bottom"/>
          </w:tcPr>
          <w:p>
            <w:pPr>
              <w:jc w:val="right"/>
              <w:ind w:right="521"/>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24.00</w:t>
            </w:r>
          </w:p>
        </w:tc>
        <w:tc>
          <w:tcPr>
            <w:tcW w:w="1460" w:type="dxa"/>
            <w:vAlign w:val="bottom"/>
            <w:gridSpan w:val="4"/>
          </w:tcPr>
          <w:p>
            <w:pPr>
              <w:jc w:val="right"/>
              <w:ind w:right="180"/>
              <w:spacing w:after="0"/>
              <w:rPr>
                <w:sz w:val="20"/>
                <w:szCs w:val="20"/>
                <w:color w:val="auto"/>
              </w:rPr>
            </w:pPr>
            <w:r>
              <w:rPr>
                <w:rFonts w:ascii="Arial" w:cs="Arial" w:eastAsia="Arial" w:hAnsi="Arial"/>
                <w:sz w:val="17"/>
                <w:szCs w:val="17"/>
                <w:color w:val="auto"/>
              </w:rPr>
              <w:t>5.4 %</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4"/>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surcharge)</w:t>
            </w: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22.17</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521"/>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21.53</w:t>
            </w:r>
          </w:p>
        </w:tc>
        <w:tc>
          <w:tcPr>
            <w:tcW w:w="14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2.9 %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picked up revenue per shipment</w:t>
            </w:r>
          </w:p>
        </w:tc>
        <w:tc>
          <w:tcPr>
            <w:tcW w:w="600" w:type="dxa"/>
            <w:vAlign w:val="bottom"/>
          </w:tcPr>
          <w:p>
            <w:pPr>
              <w:jc w:val="right"/>
              <w:ind w:right="419"/>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308</w:t>
            </w:r>
          </w:p>
        </w:tc>
        <w:tc>
          <w:tcPr>
            <w:tcW w:w="120" w:type="dxa"/>
            <w:vAlign w:val="bottom"/>
          </w:tcPr>
          <w:p>
            <w:pPr>
              <w:spacing w:after="0"/>
              <w:rPr>
                <w:sz w:val="19"/>
                <w:szCs w:val="19"/>
                <w:color w:val="auto"/>
              </w:rPr>
            </w:pPr>
          </w:p>
        </w:tc>
        <w:tc>
          <w:tcPr>
            <w:tcW w:w="700" w:type="dxa"/>
            <w:vAlign w:val="bottom"/>
          </w:tcPr>
          <w:p>
            <w:pPr>
              <w:jc w:val="right"/>
              <w:ind w:right="521"/>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282</w:t>
            </w:r>
          </w:p>
        </w:tc>
        <w:tc>
          <w:tcPr>
            <w:tcW w:w="1460" w:type="dxa"/>
            <w:vAlign w:val="bottom"/>
            <w:gridSpan w:val="4"/>
          </w:tcPr>
          <w:p>
            <w:pPr>
              <w:jc w:val="right"/>
              <w:ind w:right="180"/>
              <w:spacing w:after="0"/>
              <w:rPr>
                <w:sz w:val="20"/>
                <w:szCs w:val="20"/>
                <w:color w:val="auto"/>
              </w:rPr>
            </w:pPr>
            <w:r>
              <w:rPr>
                <w:rFonts w:ascii="Arial" w:cs="Arial" w:eastAsia="Arial" w:hAnsi="Arial"/>
                <w:sz w:val="17"/>
                <w:szCs w:val="17"/>
                <w:color w:val="auto"/>
              </w:rPr>
              <w:t>9.1 %</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7"/>
              </w:rPr>
              <w:t>Total picked up revenue per shipment (excluding fuel surcharge)</w:t>
            </w: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21"/>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4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6.6 %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weight per shipment (in pounds)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1,217</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1,176</w:t>
            </w:r>
          </w:p>
        </w:tc>
        <w:tc>
          <w:tcPr>
            <w:tcW w:w="1460" w:type="dxa"/>
            <w:vAlign w:val="bottom"/>
            <w:gridSpan w:val="4"/>
          </w:tcPr>
          <w:p>
            <w:pPr>
              <w:jc w:val="right"/>
              <w:ind w:right="180"/>
              <w:spacing w:after="0"/>
              <w:rPr>
                <w:sz w:val="20"/>
                <w:szCs w:val="20"/>
                <w:color w:val="auto"/>
              </w:rPr>
            </w:pPr>
            <w:r>
              <w:rPr>
                <w:rFonts w:ascii="Arial" w:cs="Arial" w:eastAsia="Arial" w:hAnsi="Arial"/>
                <w:sz w:val="17"/>
                <w:szCs w:val="17"/>
                <w:color w:val="auto"/>
              </w:rPr>
              <w:t>3.5 %</w:t>
            </w:r>
          </w:p>
        </w:tc>
      </w:tr>
      <w:tr>
        <w:trPr>
          <w:trHeight w:val="599"/>
        </w:trPr>
        <w:tc>
          <w:tcPr>
            <w:tcW w:w="4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Second Quarter</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r>
      <w:tr>
        <w:trPr>
          <w:trHeight w:val="239"/>
        </w:trPr>
        <w:tc>
          <w:tcPr>
            <w:tcW w:w="4760" w:type="dxa"/>
            <w:vAlign w:val="bottom"/>
          </w:tcPr>
          <w:p>
            <w:pPr>
              <w:ind w:left="740"/>
              <w:spacing w:after="0"/>
              <w:rPr>
                <w:sz w:val="20"/>
                <w:szCs w:val="20"/>
                <w:color w:val="auto"/>
              </w:rPr>
            </w:pPr>
            <w:r>
              <w:rPr>
                <w:rFonts w:ascii="Arial" w:cs="Arial" w:eastAsia="Arial" w:hAnsi="Arial"/>
                <w:sz w:val="13"/>
                <w:szCs w:val="13"/>
                <w:b w:val="1"/>
                <w:bCs w:val="1"/>
                <w:color w:val="auto"/>
              </w:rPr>
              <w:t>(in millions)</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561"/>
              <w:spacing w:after="0"/>
              <w:rPr>
                <w:sz w:val="20"/>
                <w:szCs w:val="20"/>
                <w:color w:val="auto"/>
              </w:rPr>
            </w:pPr>
            <w:r>
              <w:rPr>
                <w:rFonts w:ascii="Arial" w:cs="Arial" w:eastAsia="Arial" w:hAnsi="Arial"/>
                <w:sz w:val="13"/>
                <w:szCs w:val="13"/>
                <w:b w:val="1"/>
                <w:bCs w:val="1"/>
                <w:color w:val="auto"/>
              </w:rPr>
              <w:t>2018</w:t>
            </w:r>
          </w:p>
        </w:tc>
        <w:tc>
          <w:tcPr>
            <w:tcW w:w="380" w:type="dxa"/>
            <w:vAlign w:val="bottom"/>
          </w:tcPr>
          <w:p>
            <w:pPr>
              <w:spacing w:after="0"/>
              <w:rPr>
                <w:sz w:val="20"/>
                <w:szCs w:val="20"/>
                <w:color w:val="auto"/>
              </w:rPr>
            </w:pPr>
          </w:p>
        </w:tc>
        <w:tc>
          <w:tcPr>
            <w:tcW w:w="740" w:type="dxa"/>
            <w:vAlign w:val="bottom"/>
            <w:gridSpan w:val="3"/>
          </w:tcPr>
          <w:p>
            <w:pPr>
              <w:jc w:val="right"/>
              <w:ind w:right="393"/>
              <w:spacing w:after="0"/>
              <w:rPr>
                <w:sz w:val="20"/>
                <w:szCs w:val="20"/>
                <w:color w:val="auto"/>
              </w:rPr>
            </w:pPr>
            <w:r>
              <w:rPr>
                <w:rFonts w:ascii="Arial" w:cs="Arial" w:eastAsia="Arial" w:hAnsi="Arial"/>
                <w:sz w:val="13"/>
                <w:szCs w:val="13"/>
                <w:b w:val="1"/>
                <w:bCs w:val="1"/>
                <w:color w:val="auto"/>
                <w:w w:val="89"/>
              </w:rPr>
              <w:t>2017</w:t>
            </w:r>
          </w:p>
        </w:tc>
        <w:tc>
          <w:tcPr>
            <w:tcW w:w="7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6350</wp:posOffset>
            </wp:positionV>
            <wp:extent cx="4530725" cy="167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30725" cy="167640"/>
                    </a:xfrm>
                    <a:prstGeom prst="rect">
                      <a:avLst/>
                    </a:prstGeom>
                    <a:noFill/>
                  </pic:spPr>
                </pic:pic>
              </a:graphicData>
            </a:graphic>
          </wp:anchor>
        </w:drawing>
      </w:r>
    </w:p>
    <w:p>
      <w:pPr>
        <w:ind w:left="2340" w:hanging="169"/>
        <w:spacing w:after="0"/>
        <w:tabs>
          <w:tab w:leader="none" w:pos="2340" w:val="left"/>
        </w:tabs>
        <w:numPr>
          <w:ilvl w:val="0"/>
          <w:numId w:val="16"/>
        </w:numPr>
        <w:rPr>
          <w:rFonts w:ascii="Arial" w:cs="Arial" w:eastAsia="Arial" w:hAnsi="Arial"/>
          <w:sz w:val="20"/>
          <w:szCs w:val="20"/>
          <w:color w:val="auto"/>
          <w:vertAlign w:val="superscript"/>
        </w:rPr>
      </w:pPr>
      <w:r>
        <w:rPr>
          <w:rFonts w:ascii="Arial" w:cs="Arial" w:eastAsia="Arial" w:hAnsi="Arial"/>
          <w:sz w:val="15"/>
          <w:szCs w:val="15"/>
          <w:color w:val="auto"/>
        </w:rPr>
        <w:t>Reconciliation of operating revenue to total picked up revenue:</w:t>
      </w:r>
    </w:p>
    <w:p>
      <w:pPr>
        <w:spacing w:after="0" w:line="52" w:lineRule="exact"/>
        <w:rPr>
          <w:sz w:val="20"/>
          <w:szCs w:val="20"/>
          <w:color w:val="auto"/>
        </w:rPr>
      </w:pPr>
    </w:p>
    <w:tbl>
      <w:tblPr>
        <w:tblLayout w:type="fixed"/>
        <w:tblInd w:w="2160" w:type="dxa"/>
        <w:tblCellMar>
          <w:top w:w="0" w:type="dxa"/>
          <w:left w:w="0" w:type="dxa"/>
          <w:bottom w:w="0" w:type="dxa"/>
          <w:right w:w="0" w:type="dxa"/>
        </w:tblCellMar>
      </w:tblPr>
      <w:tr>
        <w:trPr>
          <w:trHeight w:val="219"/>
        </w:trPr>
        <w:tc>
          <w:tcPr>
            <w:tcW w:w="464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827.6</w:t>
            </w:r>
          </w:p>
        </w:tc>
        <w:tc>
          <w:tcPr>
            <w:tcW w:w="100" w:type="dxa"/>
            <w:vAlign w:val="bottom"/>
          </w:tcPr>
          <w:p>
            <w:pPr>
              <w:spacing w:after="0"/>
              <w:rPr>
                <w:sz w:val="19"/>
                <w:szCs w:val="19"/>
                <w:color w:val="auto"/>
              </w:rPr>
            </w:pP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789.5</w:t>
            </w:r>
          </w:p>
        </w:tc>
      </w:tr>
      <w:tr>
        <w:trPr>
          <w:trHeight w:val="257"/>
        </w:trPr>
        <w:tc>
          <w:tcPr>
            <w:tcW w:w="4640" w:type="dxa"/>
            <w:vAlign w:val="bottom"/>
            <w:tcBorders>
              <w:bottom w:val="single" w:sz="8" w:color="BFE4FF"/>
            </w:tcBorders>
            <w:shd w:val="clear" w:color="auto" w:fill="BFE4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420" w:type="dxa"/>
            <w:vAlign w:val="bottom"/>
            <w:tcBorders>
              <w:bottom w:val="single" w:sz="8" w:color="BFE4FF"/>
            </w:tcBorders>
            <w:shd w:val="clear" w:color="auto" w:fill="BFE4FF"/>
          </w:tcPr>
          <w:p>
            <w:pPr>
              <w:spacing w:after="0"/>
              <w:rPr>
                <w:sz w:val="22"/>
                <w:szCs w:val="22"/>
                <w:color w:val="auto"/>
              </w:rPr>
            </w:pPr>
          </w:p>
        </w:tc>
        <w:tc>
          <w:tcPr>
            <w:tcW w:w="7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(6.6)</w:t>
            </w:r>
          </w:p>
        </w:tc>
        <w:tc>
          <w:tcPr>
            <w:tcW w:w="100" w:type="dxa"/>
            <w:vAlign w:val="bottom"/>
            <w:tcBorders>
              <w:bottom w:val="single" w:sz="8" w:color="BFE4FF"/>
            </w:tcBorders>
            <w:shd w:val="clear" w:color="auto" w:fill="BFE4FF"/>
          </w:tcPr>
          <w:p>
            <w:pPr>
              <w:spacing w:after="0"/>
              <w:rPr>
                <w:sz w:val="22"/>
                <w:szCs w:val="22"/>
                <w:color w:val="auto"/>
              </w:rPr>
            </w:pPr>
          </w:p>
        </w:tc>
        <w:tc>
          <w:tcPr>
            <w:tcW w:w="400" w:type="dxa"/>
            <w:vAlign w:val="bottom"/>
            <w:tcBorders>
              <w:bottom w:val="single" w:sz="8" w:color="BFE4FF"/>
            </w:tcBorders>
            <w:shd w:val="clear" w:color="auto" w:fill="BFE4FF"/>
          </w:tcPr>
          <w:p>
            <w:pPr>
              <w:spacing w:after="0"/>
              <w:rPr>
                <w:sz w:val="22"/>
                <w:szCs w:val="22"/>
                <w:color w:val="auto"/>
              </w:rPr>
            </w:pPr>
          </w:p>
        </w:tc>
        <w:tc>
          <w:tcPr>
            <w:tcW w:w="7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(8.7)</w:t>
            </w:r>
          </w:p>
        </w:tc>
      </w:tr>
      <w:tr>
        <w:trPr>
          <w:trHeight w:val="231"/>
        </w:trPr>
        <w:tc>
          <w:tcPr>
            <w:tcW w:w="464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420" w:type="dxa"/>
            <w:vAlign w:val="bottom"/>
            <w:tcBorders>
              <w:top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821.0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6"/>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780.8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4323715</wp:posOffset>
            </wp:positionH>
            <wp:positionV relativeFrom="paragraph">
              <wp:posOffset>8255</wp:posOffset>
            </wp:positionV>
            <wp:extent cx="15741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12" w:lineRule="exact"/>
        <w:rPr>
          <w:sz w:val="20"/>
          <w:szCs w:val="20"/>
          <w:color w:val="auto"/>
        </w:rPr>
      </w:pPr>
    </w:p>
    <w:p>
      <w:pPr>
        <w:ind w:left="2120" w:right="3560" w:hanging="1364"/>
        <w:spacing w:after="0" w:line="252" w:lineRule="auto"/>
        <w:tabs>
          <w:tab w:leader="none" w:pos="1063" w:val="left"/>
        </w:tabs>
        <w:numPr>
          <w:ilvl w:val="0"/>
          <w:numId w:val="17"/>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 and the impact of other revenue</w:t>
      </w:r>
    </w:p>
    <w:p>
      <w:pPr>
        <w:ind w:left="1060" w:hanging="304"/>
        <w:spacing w:after="0"/>
        <w:tabs>
          <w:tab w:leader="none" w:pos="10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4323715</wp:posOffset>
            </wp:positionH>
            <wp:positionV relativeFrom="paragraph">
              <wp:posOffset>-290195</wp:posOffset>
            </wp:positionV>
            <wp:extent cx="15741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Operating income for YRC Freight was $26.8 million in the second quarter of 2018 compared to operating income of $30.9 million in the second quarter of 2017. Operating expenses increased $42.2 million, or 5.6%, primarily due to an increase in purchased transportation expense, higher contractual employee benefit costs, and higher fuel costs.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increased $9.4 million, or 2.1%, primarily due to a $13.2 million increase in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costs, which are primarily related to contractual benefit rate increases for union employees, partially offset by a $3.8 million decrease in wages largely due to a decrease in tonnage that reduced the amount of hours needed to process freight.</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Fuel, operating expenses and supplies</w:t>
      </w:r>
      <w:r>
        <w:rPr>
          <w:rFonts w:ascii="Arial" w:cs="Arial" w:eastAsia="Arial" w:hAnsi="Arial"/>
          <w:sz w:val="17"/>
          <w:szCs w:val="17"/>
          <w:color w:val="auto"/>
        </w:rPr>
        <w:t>. Fuel, operating expenses and supplies increased $15.9 million, or 11.7%, primarily due to an $11.6 million increase in fuel</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which was driven by higher fuel prices on a per gallon basis, partially offset by fewer miles driven and improved miles per gallon. Professional fees also increased $2.4 million.</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Purchased transportation</w:t>
      </w:r>
      <w:r>
        <w:rPr>
          <w:rFonts w:ascii="Arial" w:cs="Arial" w:eastAsia="Arial" w:hAnsi="Arial"/>
          <w:sz w:val="17"/>
          <w:szCs w:val="17"/>
          <w:color w:val="auto"/>
        </w:rPr>
        <w:t>. Purchased transportation increased $16.6 million, or 13.7%, primarily due to a $9.2 million increase in equipment lease expense of which $7.6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was attributable to long-term rentals in conjunction with the Company’s strategy to reinvest in its fleet. Purchased transportation expense also includes a $9.1 million increase in third-party costs for customer specific logistics solutions. These increases were partially offset by a $2.3 million decrease from reduced usage of local purchased transportation.</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Other operating expense. </w:t>
      </w:r>
      <w:r>
        <w:rPr>
          <w:rFonts w:ascii="Arial" w:cs="Arial" w:eastAsia="Arial" w:hAnsi="Arial"/>
          <w:sz w:val="17"/>
          <w:szCs w:val="17"/>
          <w:color w:val="auto"/>
        </w:rPr>
        <w:t>Other operating expense decreased $3.1 million, or 8.1%, primarily due to a $1.7 million decrease in cargo claims expense and a $1.4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in third-party liability claims expense due to favorable development of prior year claims.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Losses on property disposals</w:t>
      </w:r>
      <w:r>
        <w:rPr>
          <w:rFonts w:ascii="Arial" w:cs="Arial" w:eastAsia="Arial" w:hAnsi="Arial"/>
          <w:sz w:val="17"/>
          <w:szCs w:val="17"/>
          <w:color w:val="auto"/>
        </w:rPr>
        <w:t>. Net losses on disposals of property were $1.8 million in the second quarter of 2018 primarily reflecting losses on the disposal of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compared to a $1.4 million gain in the second quarter of 2017 due to the sale of real property, which was partially offset by losses on the disposal of revenue equipment.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First Half of 2018 Compared to the First Half of 2017</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YRC Freight reported operating revenue of $1,578.9 million in the first half of 2018, an increase of $60.5 million, or 4.0%, compared to the same period in 2017. The increase in revenue is primarily attributed to an improvement in base yield, excluding fuel surcharge, and an increase in fuel surcharge revenue, partially offset by a decrease in tonnage. The table below summarizes the key revenue metrics for the YRC Freight reporting segment for the first half of 2018 compared to the first half of 2017:</w:t>
      </w:r>
    </w:p>
    <w:p>
      <w:pPr>
        <w:spacing w:after="0" w:line="184" w:lineRule="exact"/>
        <w:rPr>
          <w:sz w:val="20"/>
          <w:szCs w:val="20"/>
          <w:color w:val="auto"/>
        </w:rPr>
      </w:pPr>
    </w:p>
    <w:tbl>
      <w:tblPr>
        <w:tblLayout w:type="fixed"/>
        <w:tblInd w:w="1420" w:type="dxa"/>
        <w:tblCellMar>
          <w:top w:w="0" w:type="dxa"/>
          <w:left w:w="0" w:type="dxa"/>
          <w:bottom w:w="0" w:type="dxa"/>
          <w:right w:w="0" w:type="dxa"/>
        </w:tblCellMar>
      </w:tblPr>
      <w:tr>
        <w:trPr>
          <w:trHeight w:val="179"/>
        </w:trPr>
        <w:tc>
          <w:tcPr>
            <w:tcW w:w="49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First Half</w:t>
            </w: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244"/>
        </w:trPr>
        <w:tc>
          <w:tcPr>
            <w:tcW w:w="49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39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w w:val="98"/>
              </w:rPr>
              <w:t>Percent Change</w:t>
            </w:r>
            <w:r>
              <w:rPr>
                <w:rFonts w:ascii="Arial" w:cs="Arial" w:eastAsia="Arial" w:hAnsi="Arial"/>
                <w:sz w:val="8"/>
                <w:szCs w:val="8"/>
                <w:b w:val="1"/>
                <w:bCs w:val="1"/>
                <w:color w:val="auto"/>
                <w:w w:val="98"/>
              </w:rPr>
              <w:t>(b)</w:t>
            </w:r>
          </w:p>
        </w:tc>
      </w:tr>
      <w:tr>
        <w:trPr>
          <w:trHeight w:val="229"/>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Workdays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127.5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127.5</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r>
      <w:tr>
        <w:trPr>
          <w:trHeight w:val="302"/>
        </w:trPr>
        <w:tc>
          <w:tcPr>
            <w:tcW w:w="4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2"/>
        </w:trPr>
        <w:tc>
          <w:tcPr>
            <w:tcW w:w="4900" w:type="dxa"/>
            <w:vAlign w:val="bottom"/>
            <w:shd w:val="clear" w:color="auto" w:fill="CCEEFF"/>
          </w:tcPr>
          <w:p>
            <w:pPr>
              <w:spacing w:after="0" w:line="252" w:lineRule="exact"/>
              <w:rPr>
                <w:sz w:val="20"/>
                <w:szCs w:val="20"/>
                <w:color w:val="auto"/>
              </w:rPr>
            </w:pPr>
            <w:r>
              <w:rPr>
                <w:rFonts w:ascii="Arial" w:cs="Arial" w:eastAsia="Arial" w:hAnsi="Arial"/>
                <w:sz w:val="17"/>
                <w:szCs w:val="17"/>
                <w:color w:val="auto"/>
              </w:rPr>
              <w:t>Total picked up revenue (in millions)</w:t>
            </w:r>
            <w:r>
              <w:rPr>
                <w:rFonts w:ascii="Arial" w:cs="Arial" w:eastAsia="Arial" w:hAnsi="Arial"/>
                <w:sz w:val="23"/>
                <w:szCs w:val="23"/>
                <w:color w:val="auto"/>
                <w:vertAlign w:val="superscript"/>
              </w:rPr>
              <w:t>(a)</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1,568.6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1,509.0</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3.9 %</w:t>
            </w:r>
          </w:p>
        </w:tc>
      </w:tr>
      <w:tr>
        <w:trPr>
          <w:trHeight w:val="226"/>
        </w:trPr>
        <w:tc>
          <w:tcPr>
            <w:tcW w:w="4900" w:type="dxa"/>
            <w:vAlign w:val="bottom"/>
          </w:tcPr>
          <w:p>
            <w:pPr>
              <w:spacing w:after="0"/>
              <w:rPr>
                <w:sz w:val="20"/>
                <w:szCs w:val="20"/>
                <w:color w:val="auto"/>
              </w:rPr>
            </w:pPr>
            <w:r>
              <w:rPr>
                <w:rFonts w:ascii="Arial" w:cs="Arial" w:eastAsia="Arial" w:hAnsi="Arial"/>
                <w:sz w:val="17"/>
                <w:szCs w:val="17"/>
                <w:color w:val="auto"/>
              </w:rPr>
              <w:t>Total tonnage (in thousands)</w:t>
            </w: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3,122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3,174</w:t>
            </w:r>
          </w:p>
        </w:tc>
        <w:tc>
          <w:tcPr>
            <w:tcW w:w="1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6"/>
        </w:trPr>
        <w:tc>
          <w:tcPr>
            <w:tcW w:w="4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tonnage per day (in thousands)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24.48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24.89</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w:t>
            </w:r>
          </w:p>
        </w:tc>
      </w:tr>
      <w:tr>
        <w:trPr>
          <w:trHeight w:val="226"/>
        </w:trPr>
        <w:tc>
          <w:tcPr>
            <w:tcW w:w="4900" w:type="dxa"/>
            <w:vAlign w:val="bottom"/>
          </w:tcPr>
          <w:p>
            <w:pPr>
              <w:spacing w:after="0"/>
              <w:rPr>
                <w:sz w:val="20"/>
                <w:szCs w:val="20"/>
                <w:color w:val="auto"/>
              </w:rPr>
            </w:pPr>
            <w:r>
              <w:rPr>
                <w:rFonts w:ascii="Arial" w:cs="Arial" w:eastAsia="Arial" w:hAnsi="Arial"/>
                <w:sz w:val="17"/>
                <w:szCs w:val="17"/>
                <w:color w:val="auto"/>
              </w:rPr>
              <w:t>Total shipments (in thousands)</w:t>
            </w: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5,118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5,353</w:t>
            </w:r>
          </w:p>
        </w:tc>
        <w:tc>
          <w:tcPr>
            <w:tcW w:w="1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(4.4)%</w:t>
            </w:r>
          </w:p>
        </w:tc>
      </w:tr>
      <w:tr>
        <w:trPr>
          <w:trHeight w:val="26"/>
        </w:trPr>
        <w:tc>
          <w:tcPr>
            <w:tcW w:w="4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shipments per day (in thousands)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40.14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41.98</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w:t>
            </w:r>
          </w:p>
        </w:tc>
      </w:tr>
      <w:tr>
        <w:trPr>
          <w:trHeight w:val="226"/>
        </w:trPr>
        <w:tc>
          <w:tcPr>
            <w:tcW w:w="4900" w:type="dxa"/>
            <w:vAlign w:val="bottom"/>
          </w:tcPr>
          <w:p>
            <w:pPr>
              <w:spacing w:after="0"/>
              <w:rPr>
                <w:sz w:val="20"/>
                <w:szCs w:val="20"/>
                <w:color w:val="auto"/>
              </w:rPr>
            </w:pPr>
            <w:r>
              <w:rPr>
                <w:rFonts w:ascii="Arial" w:cs="Arial" w:eastAsia="Arial" w:hAnsi="Arial"/>
                <w:sz w:val="17"/>
                <w:szCs w:val="17"/>
                <w:color w:val="auto"/>
              </w:rPr>
              <w:t>Total picked up revenue per hundred weight</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25.12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23.77</w:t>
            </w:r>
          </w:p>
        </w:tc>
        <w:tc>
          <w:tcPr>
            <w:tcW w:w="1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5.7 %</w:t>
            </w:r>
          </w:p>
        </w:tc>
      </w:tr>
      <w:tr>
        <w:trPr>
          <w:trHeight w:val="26"/>
        </w:trPr>
        <w:tc>
          <w:tcPr>
            <w:tcW w:w="4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w w:val="91"/>
              </w:rPr>
              <w:t>Total picked up revenue per hundred weight (excluding fuel surcharge)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22.08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21.30</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3.6 %</w:t>
            </w:r>
          </w:p>
        </w:tc>
      </w:tr>
      <w:tr>
        <w:trPr>
          <w:trHeight w:val="226"/>
        </w:trPr>
        <w:tc>
          <w:tcPr>
            <w:tcW w:w="4900" w:type="dxa"/>
            <w:vAlign w:val="bottom"/>
          </w:tcPr>
          <w:p>
            <w:pPr>
              <w:spacing w:after="0"/>
              <w:rPr>
                <w:sz w:val="20"/>
                <w:szCs w:val="20"/>
                <w:color w:val="auto"/>
              </w:rPr>
            </w:pPr>
            <w:r>
              <w:rPr>
                <w:rFonts w:ascii="Arial" w:cs="Arial" w:eastAsia="Arial" w:hAnsi="Arial"/>
                <w:sz w:val="17"/>
                <w:szCs w:val="17"/>
                <w:color w:val="auto"/>
              </w:rPr>
              <w:t>Total picked up revenue per shipment</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282</w:t>
            </w:r>
          </w:p>
        </w:tc>
        <w:tc>
          <w:tcPr>
            <w:tcW w:w="1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8.7 %</w:t>
            </w:r>
          </w:p>
        </w:tc>
      </w:tr>
      <w:tr>
        <w:trPr>
          <w:trHeight w:val="26"/>
        </w:trPr>
        <w:tc>
          <w:tcPr>
            <w:tcW w:w="4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picked up revenue per shipment (excluding fuel surcharge)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6.6 %</w:t>
            </w:r>
          </w:p>
        </w:tc>
      </w:tr>
      <w:tr>
        <w:trPr>
          <w:trHeight w:val="226"/>
        </w:trPr>
        <w:tc>
          <w:tcPr>
            <w:tcW w:w="4900" w:type="dxa"/>
            <w:vAlign w:val="bottom"/>
          </w:tcPr>
          <w:p>
            <w:pPr>
              <w:spacing w:after="0"/>
              <w:rPr>
                <w:sz w:val="20"/>
                <w:szCs w:val="20"/>
                <w:color w:val="auto"/>
              </w:rPr>
            </w:pPr>
            <w:r>
              <w:rPr>
                <w:rFonts w:ascii="Arial" w:cs="Arial" w:eastAsia="Arial" w:hAnsi="Arial"/>
                <w:sz w:val="17"/>
                <w:szCs w:val="17"/>
                <w:color w:val="auto"/>
              </w:rPr>
              <w:t>Total weight per shipment (in pounds)</w:t>
            </w: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1,220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1,186</w:t>
            </w:r>
          </w:p>
        </w:tc>
        <w:tc>
          <w:tcPr>
            <w:tcW w:w="1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2.9 %</w:t>
            </w:r>
          </w:p>
        </w:tc>
      </w:tr>
      <w:tr>
        <w:trPr>
          <w:trHeight w:val="599"/>
        </w:trPr>
        <w:tc>
          <w:tcPr>
            <w:tcW w:w="4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3"/>
                <w:szCs w:val="13"/>
                <w:b w:val="1"/>
                <w:bCs w:val="1"/>
                <w:color w:val="auto"/>
              </w:rPr>
              <w:t>First Half</w:t>
            </w:r>
          </w:p>
        </w:tc>
        <w:tc>
          <w:tcPr>
            <w:tcW w:w="44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39"/>
        </w:trPr>
        <w:tc>
          <w:tcPr>
            <w:tcW w:w="4900" w:type="dxa"/>
            <w:vAlign w:val="bottom"/>
          </w:tcPr>
          <w:p>
            <w:pPr>
              <w:ind w:left="760"/>
              <w:spacing w:after="0"/>
              <w:rPr>
                <w:sz w:val="20"/>
                <w:szCs w:val="20"/>
                <w:color w:val="auto"/>
              </w:rPr>
            </w:pPr>
            <w:r>
              <w:rPr>
                <w:rFonts w:ascii="Arial" w:cs="Arial" w:eastAsia="Arial" w:hAnsi="Arial"/>
                <w:sz w:val="13"/>
                <w:szCs w:val="13"/>
                <w:b w:val="1"/>
                <w:bCs w:val="1"/>
                <w:color w:val="auto"/>
              </w:rPr>
              <w:t>(in millions)</w:t>
            </w:r>
          </w:p>
        </w:tc>
        <w:tc>
          <w:tcPr>
            <w:tcW w:w="260" w:type="dxa"/>
            <w:vAlign w:val="bottom"/>
          </w:tcPr>
          <w:p>
            <w:pPr>
              <w:spacing w:after="0"/>
              <w:rPr>
                <w:sz w:val="20"/>
                <w:szCs w:val="20"/>
                <w:color w:val="auto"/>
              </w:rPr>
            </w:pPr>
          </w:p>
        </w:tc>
        <w:tc>
          <w:tcPr>
            <w:tcW w:w="1000" w:type="dxa"/>
            <w:vAlign w:val="bottom"/>
            <w:gridSpan w:val="3"/>
          </w:tcPr>
          <w:p>
            <w:pPr>
              <w:ind w:left="680"/>
              <w:spacing w:after="0"/>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2017</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6350</wp:posOffset>
            </wp:positionV>
            <wp:extent cx="4530725" cy="167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30725" cy="167640"/>
                    </a:xfrm>
                    <a:prstGeom prst="rect">
                      <a:avLst/>
                    </a:prstGeom>
                    <a:noFill/>
                  </pic:spPr>
                </pic:pic>
              </a:graphicData>
            </a:graphic>
          </wp:anchor>
        </w:drawing>
      </w:r>
    </w:p>
    <w:p>
      <w:pPr>
        <w:ind w:left="2340" w:hanging="169"/>
        <w:spacing w:after="0"/>
        <w:tabs>
          <w:tab w:leader="none" w:pos="2340" w:val="left"/>
        </w:tabs>
        <w:numPr>
          <w:ilvl w:val="0"/>
          <w:numId w:val="18"/>
        </w:numPr>
        <w:rPr>
          <w:rFonts w:ascii="Arial" w:cs="Arial" w:eastAsia="Arial" w:hAnsi="Arial"/>
          <w:sz w:val="20"/>
          <w:szCs w:val="20"/>
          <w:color w:val="auto"/>
          <w:vertAlign w:val="superscript"/>
        </w:rPr>
      </w:pPr>
      <w:r>
        <w:rPr>
          <w:rFonts w:ascii="Arial" w:cs="Arial" w:eastAsia="Arial" w:hAnsi="Arial"/>
          <w:sz w:val="15"/>
          <w:szCs w:val="15"/>
          <w:color w:val="auto"/>
        </w:rPr>
        <w:t>Reconciliation of operating revenue to total picked up revenue:</w:t>
      </w:r>
    </w:p>
    <w:p>
      <w:pPr>
        <w:spacing w:after="0" w:line="52" w:lineRule="exact"/>
        <w:rPr>
          <w:sz w:val="20"/>
          <w:szCs w:val="20"/>
          <w:color w:val="auto"/>
        </w:rPr>
      </w:pPr>
    </w:p>
    <w:tbl>
      <w:tblPr>
        <w:tblLayout w:type="fixed"/>
        <w:tblInd w:w="2160" w:type="dxa"/>
        <w:tblCellMar>
          <w:top w:w="0" w:type="dxa"/>
          <w:left w:w="0" w:type="dxa"/>
          <w:bottom w:w="0" w:type="dxa"/>
          <w:right w:w="0" w:type="dxa"/>
        </w:tblCellMar>
      </w:tblPr>
      <w:tr>
        <w:trPr>
          <w:trHeight w:val="219"/>
        </w:trPr>
        <w:tc>
          <w:tcPr>
            <w:tcW w:w="464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1,578.9</w:t>
            </w:r>
          </w:p>
        </w:tc>
        <w:tc>
          <w:tcPr>
            <w:tcW w:w="100" w:type="dxa"/>
            <w:vAlign w:val="bottom"/>
          </w:tcPr>
          <w:p>
            <w:pPr>
              <w:spacing w:after="0"/>
              <w:rPr>
                <w:sz w:val="19"/>
                <w:szCs w:val="19"/>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1,518.4</w:t>
            </w:r>
          </w:p>
        </w:tc>
      </w:tr>
      <w:tr>
        <w:trPr>
          <w:trHeight w:val="257"/>
        </w:trPr>
        <w:tc>
          <w:tcPr>
            <w:tcW w:w="4640" w:type="dxa"/>
            <w:vAlign w:val="bottom"/>
            <w:tcBorders>
              <w:bottom w:val="single" w:sz="8" w:color="BFE4FF"/>
            </w:tcBorders>
            <w:shd w:val="clear" w:color="auto" w:fill="BFE4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340" w:type="dxa"/>
            <w:vAlign w:val="bottom"/>
            <w:tcBorders>
              <w:bottom w:val="single" w:sz="8" w:color="BFE4FF"/>
            </w:tcBorders>
            <w:shd w:val="clear" w:color="auto" w:fill="BFE4FF"/>
          </w:tcPr>
          <w:p>
            <w:pPr>
              <w:spacing w:after="0"/>
              <w:rPr>
                <w:sz w:val="22"/>
                <w:szCs w:val="22"/>
                <w:color w:val="auto"/>
              </w:rPr>
            </w:pPr>
          </w:p>
        </w:tc>
        <w:tc>
          <w:tcPr>
            <w:tcW w:w="8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spacing w:after="0"/>
              <w:rPr>
                <w:sz w:val="22"/>
                <w:szCs w:val="22"/>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(9.4)</w:t>
            </w:r>
          </w:p>
        </w:tc>
      </w:tr>
      <w:tr>
        <w:trPr>
          <w:trHeight w:val="231"/>
        </w:trPr>
        <w:tc>
          <w:tcPr>
            <w:tcW w:w="464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34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1,568.6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1,509.0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4315460</wp:posOffset>
            </wp:positionH>
            <wp:positionV relativeFrom="paragraph">
              <wp:posOffset>8255</wp:posOffset>
            </wp:positionV>
            <wp:extent cx="15824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82420" cy="8255"/>
                    </a:xfrm>
                    <a:prstGeom prst="rect">
                      <a:avLst/>
                    </a:prstGeom>
                    <a:noFill/>
                  </pic:spPr>
                </pic:pic>
              </a:graphicData>
            </a:graphic>
          </wp:anchor>
        </w:drawing>
      </w:r>
    </w:p>
    <w:p>
      <w:pPr>
        <w:spacing w:after="0" w:line="12" w:lineRule="exact"/>
        <w:rPr>
          <w:sz w:val="20"/>
          <w:szCs w:val="20"/>
          <w:color w:val="auto"/>
        </w:rPr>
      </w:pPr>
    </w:p>
    <w:p>
      <w:pPr>
        <w:ind w:left="2120" w:right="3560" w:hanging="1364"/>
        <w:spacing w:after="0" w:line="252" w:lineRule="auto"/>
        <w:tabs>
          <w:tab w:leader="none" w:pos="1063" w:val="left"/>
        </w:tabs>
        <w:numPr>
          <w:ilvl w:val="0"/>
          <w:numId w:val="19"/>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 and the impact of other revenue</w:t>
      </w:r>
    </w:p>
    <w:p>
      <w:pPr>
        <w:ind w:left="1060" w:hanging="304"/>
        <w:spacing w:after="0"/>
        <w:tabs>
          <w:tab w:leader="none" w:pos="10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4315460</wp:posOffset>
            </wp:positionH>
            <wp:positionV relativeFrom="paragraph">
              <wp:posOffset>-290195</wp:posOffset>
            </wp:positionV>
            <wp:extent cx="15824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82420"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385"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Operating income for YRC Freight was $19.9 million in the first half of 2018 compared to operating income of $23.4 million in the first half of 2017. Operating expenses increased $64.0 million, or 4.3%, primarily due to an increase in purchased transportation expense, higher fuel costs, and higher contractual employee benefit costs.</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increased $8.8 million, or 1.0%, primarily due to a $15.4 million increase in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costs, which are primarily related to contractual benefit rate increases for union employees, partially offset by a $5.1 million decrease in wages due largely to a decrease in tonnage that reduced the amount of hours needed to process freight.</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Fuel, operating expenses and supplies</w:t>
      </w:r>
      <w:r>
        <w:rPr>
          <w:rFonts w:ascii="Arial" w:cs="Arial" w:eastAsia="Arial" w:hAnsi="Arial"/>
          <w:sz w:val="17"/>
          <w:szCs w:val="17"/>
          <w:color w:val="auto"/>
        </w:rPr>
        <w:t>. Fuel, operating expenses and supplies increased $22.9 million, or 8.4%, primarily due to a $15.6 million increase in fuel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driven by higher fuel prices on a per gallon basis, partially offset by fewer miles driven and improved miles per gallon. Professional fees also increased $3.6 million.</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Purchased transportation</w:t>
      </w:r>
      <w:r>
        <w:rPr>
          <w:rFonts w:ascii="Arial" w:cs="Arial" w:eastAsia="Arial" w:hAnsi="Arial"/>
          <w:sz w:val="17"/>
          <w:szCs w:val="17"/>
          <w:color w:val="auto"/>
        </w:rPr>
        <w:t>. Purchased transportation increased $34.7 million, or 15.7%, primarily due to a $17.4 million increase in equipment lease expense of which</w:t>
      </w:r>
      <w:r>
        <w:rPr>
          <w:rFonts w:ascii="Arial" w:cs="Arial" w:eastAsia="Arial" w:hAnsi="Arial"/>
          <w:sz w:val="17"/>
          <w:szCs w:val="17"/>
          <w:i w:val="1"/>
          <w:iCs w:val="1"/>
          <w:color w:val="auto"/>
        </w:rPr>
        <w:t xml:space="preserve"> </w:t>
      </w:r>
      <w:r>
        <w:rPr>
          <w:rFonts w:ascii="Arial" w:cs="Arial" w:eastAsia="Arial" w:hAnsi="Arial"/>
          <w:sz w:val="17"/>
          <w:szCs w:val="17"/>
          <w:color w:val="auto"/>
        </w:rPr>
        <w:t>$12.1 million was attributable to long-term rentals in conjunction with the Company’s strategy to reinvest in its fleet. Purchased transportation expense also includes an $18.2 million increase in third-party costs for customer specific logistics solutions. These increases were partially offset by a $5.6 million decrease from reduced usage of local purchased transportation.</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Other operating expense. </w:t>
      </w:r>
      <w:r>
        <w:rPr>
          <w:rFonts w:ascii="Arial" w:cs="Arial" w:eastAsia="Arial" w:hAnsi="Arial"/>
          <w:sz w:val="17"/>
          <w:szCs w:val="17"/>
          <w:color w:val="auto"/>
        </w:rPr>
        <w:t>Other operating expense decreased $6.8 million, or 8.7%, primarily due to a $4.0 million decrease in third-party liability claims expense due to</w:t>
      </w:r>
      <w:r>
        <w:rPr>
          <w:rFonts w:ascii="Arial" w:cs="Arial" w:eastAsia="Arial" w:hAnsi="Arial"/>
          <w:sz w:val="17"/>
          <w:szCs w:val="17"/>
          <w:i w:val="1"/>
          <w:iCs w:val="1"/>
          <w:color w:val="auto"/>
        </w:rPr>
        <w:t xml:space="preserve"> </w:t>
      </w:r>
      <w:r>
        <w:rPr>
          <w:rFonts w:ascii="Arial" w:cs="Arial" w:eastAsia="Arial" w:hAnsi="Arial"/>
          <w:sz w:val="17"/>
          <w:szCs w:val="17"/>
          <w:color w:val="auto"/>
        </w:rPr>
        <w:t>favorable development of prior year claims and a $3.2 million decrease in cargo claims expense.</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Losses on property disposals</w:t>
      </w:r>
      <w:r>
        <w:rPr>
          <w:rFonts w:ascii="Arial" w:cs="Arial" w:eastAsia="Arial" w:hAnsi="Arial"/>
          <w:sz w:val="17"/>
          <w:szCs w:val="17"/>
          <w:color w:val="auto"/>
        </w:rPr>
        <w:t>. Net losses on disposals of property were $4.5 million in the first half of 2018 primarily reflecting losses on the disposal of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compared to a $0.7 million loss in the first half of 2017, comprised of losses on the disposal of revenue equipment, which were partially offset by gains on the sale of real property.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Regional Transportation Results</w:t>
      </w:r>
    </w:p>
    <w:p>
      <w:pPr>
        <w:spacing w:after="0" w:line="207"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Regional Transportation represented 37.6% of consolidated operating revenue for the second quarter of 2018, as compared to 37.4% for the second quarter of 2017. Regional Transportation represented 37.9% of consolidated operating revenue for the first half of 2018, as compared to 37.5% for the first half of 2017. The table below provides summary financial information for Regional Transportation for the second quarter and first half of 2018 and 2017: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Second Quarter</w:t>
            </w:r>
          </w:p>
        </w:tc>
        <w:tc>
          <w:tcPr>
            <w:tcW w:w="1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First Half</w:t>
            </w:r>
          </w:p>
        </w:tc>
        <w:tc>
          <w:tcPr>
            <w:tcW w:w="1340" w:type="dxa"/>
            <w:vAlign w:val="bottom"/>
            <w:tcBorders>
              <w:bottom w:val="single" w:sz="8" w:color="auto"/>
            </w:tcBorders>
          </w:tcPr>
          <w:p>
            <w:pPr>
              <w:spacing w:after="0"/>
              <w:rPr>
                <w:sz w:val="15"/>
                <w:szCs w:val="15"/>
                <w:color w:val="auto"/>
              </w:rPr>
            </w:pPr>
          </w:p>
        </w:tc>
      </w:tr>
      <w:tr>
        <w:trPr>
          <w:trHeight w:val="244"/>
        </w:trPr>
        <w:tc>
          <w:tcPr>
            <w:tcW w:w="294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21"/>
                <w:szCs w:val="21"/>
                <w:color w:val="auto"/>
              </w:rPr>
            </w:pPr>
          </w:p>
        </w:tc>
        <w:tc>
          <w:tcPr>
            <w:tcW w:w="900" w:type="dxa"/>
            <w:vAlign w:val="bottom"/>
          </w:tcPr>
          <w:p>
            <w:pPr>
              <w:jc w:val="right"/>
              <w:ind w:right="380"/>
              <w:spacing w:after="0"/>
              <w:rPr>
                <w:sz w:val="20"/>
                <w:szCs w:val="20"/>
                <w:color w:val="auto"/>
              </w:rPr>
            </w:pPr>
            <w:r>
              <w:rPr>
                <w:rFonts w:ascii="Arial" w:cs="Arial" w:eastAsia="Arial" w:hAnsi="Arial"/>
                <w:sz w:val="13"/>
                <w:szCs w:val="13"/>
                <w:b w:val="1"/>
                <w:bCs w:val="1"/>
                <w:color w:val="auto"/>
              </w:rPr>
              <w:t>2018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383"/>
              <w:spacing w:after="0"/>
              <w:rPr>
                <w:sz w:val="20"/>
                <w:szCs w:val="20"/>
                <w:color w:val="auto"/>
              </w:rPr>
            </w:pPr>
            <w:r>
              <w:rPr>
                <w:rFonts w:ascii="Arial" w:cs="Arial" w:eastAsia="Arial" w:hAnsi="Arial"/>
                <w:sz w:val="13"/>
                <w:szCs w:val="13"/>
                <w:b w:val="1"/>
                <w:bCs w:val="1"/>
                <w:color w:val="auto"/>
              </w:rPr>
              <w:t>2017</w:t>
            </w:r>
          </w:p>
        </w:tc>
        <w:tc>
          <w:tcPr>
            <w:tcW w:w="240" w:type="dxa"/>
            <w:vAlign w:val="bottom"/>
          </w:tcPr>
          <w:p>
            <w:pPr>
              <w:spacing w:after="0"/>
              <w:rPr>
                <w:sz w:val="21"/>
                <w:szCs w:val="21"/>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Percent Change</w:t>
            </w:r>
          </w:p>
        </w:tc>
        <w:tc>
          <w:tcPr>
            <w:tcW w:w="280" w:type="dxa"/>
            <w:vAlign w:val="bottom"/>
          </w:tcPr>
          <w:p>
            <w:pPr>
              <w:spacing w:after="0"/>
              <w:rPr>
                <w:sz w:val="21"/>
                <w:szCs w:val="21"/>
                <w:color w:val="auto"/>
              </w:rPr>
            </w:pPr>
          </w:p>
        </w:tc>
        <w:tc>
          <w:tcPr>
            <w:tcW w:w="900" w:type="dxa"/>
            <w:vAlign w:val="bottom"/>
          </w:tcPr>
          <w:p>
            <w:pPr>
              <w:jc w:val="right"/>
              <w:ind w:right="380"/>
              <w:spacing w:after="0"/>
              <w:rPr>
                <w:sz w:val="20"/>
                <w:szCs w:val="20"/>
                <w:color w:val="auto"/>
              </w:rPr>
            </w:pPr>
            <w:r>
              <w:rPr>
                <w:rFonts w:ascii="Arial" w:cs="Arial" w:eastAsia="Arial" w:hAnsi="Arial"/>
                <w:sz w:val="13"/>
                <w:szCs w:val="13"/>
                <w:b w:val="1"/>
                <w:bCs w:val="1"/>
                <w:color w:val="auto"/>
              </w:rPr>
              <w:t>2018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83"/>
              <w:spacing w:after="0"/>
              <w:rPr>
                <w:sz w:val="20"/>
                <w:szCs w:val="20"/>
                <w:color w:val="auto"/>
              </w:rPr>
            </w:pPr>
            <w:r>
              <w:rPr>
                <w:rFonts w:ascii="Arial" w:cs="Arial" w:eastAsia="Arial" w:hAnsi="Arial"/>
                <w:sz w:val="13"/>
                <w:szCs w:val="13"/>
                <w:b w:val="1"/>
                <w:bCs w:val="1"/>
                <w:color w:val="auto"/>
              </w:rPr>
              <w:t>2017</w:t>
            </w:r>
          </w:p>
        </w:tc>
        <w:tc>
          <w:tcPr>
            <w:tcW w:w="220" w:type="dxa"/>
            <w:vAlign w:val="bottom"/>
          </w:tcPr>
          <w:p>
            <w:pPr>
              <w:spacing w:after="0"/>
              <w:rPr>
                <w:sz w:val="21"/>
                <w:szCs w:val="21"/>
                <w:color w:val="auto"/>
              </w:rPr>
            </w:pPr>
          </w:p>
        </w:tc>
        <w:tc>
          <w:tcPr>
            <w:tcW w:w="1340" w:type="dxa"/>
            <w:vAlign w:val="bottom"/>
          </w:tcPr>
          <w:p>
            <w:pPr>
              <w:jc w:val="right"/>
              <w:ind w:right="140"/>
              <w:spacing w:after="0"/>
              <w:rPr>
                <w:sz w:val="20"/>
                <w:szCs w:val="20"/>
                <w:color w:val="auto"/>
              </w:rPr>
            </w:pPr>
            <w:r>
              <w:rPr>
                <w:rFonts w:ascii="Arial" w:cs="Arial" w:eastAsia="Arial" w:hAnsi="Arial"/>
                <w:sz w:val="13"/>
                <w:szCs w:val="13"/>
                <w:b w:val="1"/>
                <w:bCs w:val="1"/>
                <w:color w:val="auto"/>
              </w:rPr>
              <w:t>Percent Change</w:t>
            </w:r>
          </w:p>
        </w:tc>
      </w:tr>
      <w:tr>
        <w:trPr>
          <w:trHeight w:val="229"/>
        </w:trPr>
        <w:tc>
          <w:tcPr>
            <w:tcW w:w="29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revenue</w:t>
            </w: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499.0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CCEEFF"/>
            </w:tcBorders>
            <w:shd w:val="clear" w:color="auto" w:fill="CCEEFF"/>
          </w:tcPr>
          <w:p>
            <w:pPr>
              <w:jc w:val="right"/>
              <w:ind w:right="103"/>
              <w:spacing w:after="0"/>
              <w:rPr>
                <w:sz w:val="20"/>
                <w:szCs w:val="20"/>
                <w:color w:val="auto"/>
              </w:rPr>
            </w:pPr>
            <w:r>
              <w:rPr>
                <w:rFonts w:ascii="Arial" w:cs="Arial" w:eastAsia="Arial" w:hAnsi="Arial"/>
                <w:sz w:val="17"/>
                <w:szCs w:val="17"/>
                <w:color w:val="auto"/>
              </w:rPr>
              <w:t>471.2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CCEEFF"/>
            </w:tcBorders>
            <w:shd w:val="clear" w:color="auto" w:fill="CCEEFF"/>
          </w:tcPr>
          <w:p>
            <w:pPr>
              <w:jc w:val="right"/>
              <w:ind w:right="380"/>
              <w:spacing w:after="0"/>
              <w:rPr>
                <w:sz w:val="20"/>
                <w:szCs w:val="20"/>
                <w:color w:val="auto"/>
              </w:rPr>
            </w:pPr>
            <w:r>
              <w:rPr>
                <w:rFonts w:ascii="Arial" w:cs="Arial" w:eastAsia="Arial" w:hAnsi="Arial"/>
                <w:sz w:val="17"/>
                <w:szCs w:val="17"/>
                <w:color w:val="auto"/>
              </w:rPr>
              <w:t>5.9 %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962.3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CCEEFF"/>
            </w:tcBorders>
            <w:shd w:val="clear" w:color="auto" w:fill="CCEEFF"/>
          </w:tcPr>
          <w:p>
            <w:pPr>
              <w:jc w:val="right"/>
              <w:ind w:right="103"/>
              <w:spacing w:after="0"/>
              <w:rPr>
                <w:sz w:val="20"/>
                <w:szCs w:val="20"/>
                <w:color w:val="auto"/>
              </w:rPr>
            </w:pPr>
            <w:r>
              <w:rPr>
                <w:rFonts w:ascii="Arial" w:cs="Arial" w:eastAsia="Arial" w:hAnsi="Arial"/>
                <w:sz w:val="17"/>
                <w:szCs w:val="17"/>
                <w:color w:val="auto"/>
              </w:rPr>
              <w:t>913.0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CCEEFF"/>
            </w:tcBorders>
            <w:shd w:val="clear" w:color="auto" w:fill="CCEEFF"/>
          </w:tcPr>
          <w:p>
            <w:pPr>
              <w:jc w:val="right"/>
              <w:ind w:right="420"/>
              <w:spacing w:after="0"/>
              <w:rPr>
                <w:sz w:val="20"/>
                <w:szCs w:val="20"/>
                <w:color w:val="auto"/>
              </w:rPr>
            </w:pPr>
            <w:r>
              <w:rPr>
                <w:rFonts w:ascii="Arial" w:cs="Arial" w:eastAsia="Arial" w:hAnsi="Arial"/>
                <w:sz w:val="17"/>
                <w:szCs w:val="17"/>
                <w:color w:val="auto"/>
              </w:rPr>
              <w:t>5.4%</w:t>
            </w:r>
          </w:p>
        </w:tc>
      </w:tr>
      <w:tr>
        <w:trPr>
          <w:trHeight w:val="226"/>
        </w:trPr>
        <w:tc>
          <w:tcPr>
            <w:tcW w:w="294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28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7"/>
                <w:szCs w:val="17"/>
                <w:color w:val="auto"/>
              </w:rPr>
              <w:t>29.2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103"/>
              <w:spacing w:after="0"/>
              <w:rPr>
                <w:sz w:val="20"/>
                <w:szCs w:val="20"/>
                <w:color w:val="auto"/>
              </w:rPr>
            </w:pPr>
            <w:r>
              <w:rPr>
                <w:rFonts w:ascii="Arial" w:cs="Arial" w:eastAsia="Arial" w:hAnsi="Arial"/>
                <w:sz w:val="17"/>
                <w:szCs w:val="17"/>
                <w:color w:val="auto"/>
              </w:rPr>
              <w:t>25.3</w:t>
            </w:r>
          </w:p>
        </w:tc>
        <w:tc>
          <w:tcPr>
            <w:tcW w:w="240" w:type="dxa"/>
            <w:vAlign w:val="bottom"/>
          </w:tcPr>
          <w:p>
            <w:pPr>
              <w:spacing w:after="0"/>
              <w:rPr>
                <w:sz w:val="19"/>
                <w:szCs w:val="19"/>
                <w:color w:val="auto"/>
              </w:rPr>
            </w:pPr>
          </w:p>
        </w:tc>
        <w:tc>
          <w:tcPr>
            <w:tcW w:w="1320" w:type="dxa"/>
            <w:vAlign w:val="bottom"/>
          </w:tcPr>
          <w:p>
            <w:pPr>
              <w:jc w:val="right"/>
              <w:ind w:right="360"/>
              <w:spacing w:after="0"/>
              <w:rPr>
                <w:sz w:val="20"/>
                <w:szCs w:val="20"/>
                <w:color w:val="auto"/>
              </w:rPr>
            </w:pPr>
            <w:r>
              <w:rPr>
                <w:rFonts w:ascii="Arial" w:cs="Arial" w:eastAsia="Arial" w:hAnsi="Arial"/>
                <w:sz w:val="17"/>
                <w:szCs w:val="17"/>
                <w:color w:val="auto"/>
              </w:rPr>
              <w:t>15.4%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7"/>
                <w:szCs w:val="17"/>
                <w:color w:val="auto"/>
              </w:rPr>
              <w:t>34.4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03"/>
              <w:spacing w:after="0"/>
              <w:rPr>
                <w:sz w:val="20"/>
                <w:szCs w:val="20"/>
                <w:color w:val="auto"/>
              </w:rPr>
            </w:pPr>
            <w:r>
              <w:rPr>
                <w:rFonts w:ascii="Arial" w:cs="Arial" w:eastAsia="Arial" w:hAnsi="Arial"/>
                <w:sz w:val="17"/>
                <w:szCs w:val="17"/>
                <w:color w:val="auto"/>
              </w:rPr>
              <w:t>37.5</w:t>
            </w:r>
          </w:p>
        </w:tc>
        <w:tc>
          <w:tcPr>
            <w:tcW w:w="220" w:type="dxa"/>
            <w:vAlign w:val="bottom"/>
          </w:tcPr>
          <w:p>
            <w:pPr>
              <w:spacing w:after="0"/>
              <w:rPr>
                <w:sz w:val="19"/>
                <w:szCs w:val="19"/>
                <w:color w:val="auto"/>
              </w:rPr>
            </w:pPr>
          </w:p>
        </w:tc>
        <w:tc>
          <w:tcPr>
            <w:tcW w:w="1340" w:type="dxa"/>
            <w:vAlign w:val="bottom"/>
          </w:tcPr>
          <w:p>
            <w:pPr>
              <w:jc w:val="right"/>
              <w:ind w:right="360"/>
              <w:spacing w:after="0"/>
              <w:rPr>
                <w:sz w:val="20"/>
                <w:szCs w:val="20"/>
                <w:color w:val="auto"/>
              </w:rPr>
            </w:pPr>
            <w:r>
              <w:rPr>
                <w:rFonts w:ascii="Arial" w:cs="Arial" w:eastAsia="Arial" w:hAnsi="Arial"/>
                <w:sz w:val="17"/>
                <w:szCs w:val="17"/>
                <w:color w:val="auto"/>
              </w:rPr>
              <w:t>(8.3)%</w:t>
            </w:r>
          </w:p>
        </w:tc>
      </w:tr>
      <w:tr>
        <w:trPr>
          <w:trHeight w:val="271"/>
        </w:trPr>
        <w:tc>
          <w:tcPr>
            <w:tcW w:w="2940" w:type="dxa"/>
            <w:vAlign w:val="bottom"/>
          </w:tcPr>
          <w:p>
            <w:pPr>
              <w:ind w:left="20"/>
              <w:spacing w:after="0"/>
              <w:rPr>
                <w:sz w:val="20"/>
                <w:szCs w:val="20"/>
                <w:color w:val="auto"/>
              </w:rPr>
            </w:pPr>
            <w:r>
              <w:rPr>
                <w:rFonts w:ascii="Arial" w:cs="Arial" w:eastAsia="Arial" w:hAnsi="Arial"/>
                <w:sz w:val="17"/>
                <w:szCs w:val="17"/>
                <w:color w:val="auto"/>
              </w:rPr>
              <w:t>Operating ratio</w:t>
            </w:r>
            <w:r>
              <w:rPr>
                <w:rFonts w:ascii="Arial" w:cs="Arial" w:eastAsia="Arial" w:hAnsi="Arial"/>
                <w:sz w:val="23"/>
                <w:szCs w:val="23"/>
                <w:color w:val="auto"/>
                <w:vertAlign w:val="superscript"/>
              </w:rPr>
              <w:t>(a)</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94.1%</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94.6%</w:t>
            </w:r>
          </w:p>
        </w:tc>
        <w:tc>
          <w:tcPr>
            <w:tcW w:w="240" w:type="dxa"/>
            <w:vAlign w:val="bottom"/>
          </w:tcPr>
          <w:p>
            <w:pPr>
              <w:spacing w:after="0"/>
              <w:rPr>
                <w:sz w:val="23"/>
                <w:szCs w:val="23"/>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7"/>
                <w:szCs w:val="17"/>
                <w:color w:val="auto"/>
                <w:w w:val="88"/>
              </w:rPr>
              <w:t>0.5 pp</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96.4%</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95.9%</w:t>
            </w:r>
          </w:p>
        </w:tc>
        <w:tc>
          <w:tcPr>
            <w:tcW w:w="220" w:type="dxa"/>
            <w:vAlign w:val="bottom"/>
          </w:tcPr>
          <w:p>
            <w:pPr>
              <w:spacing w:after="0"/>
              <w:rPr>
                <w:sz w:val="23"/>
                <w:szCs w:val="23"/>
                <w:color w:val="auto"/>
              </w:rPr>
            </w:pPr>
          </w:p>
        </w:tc>
        <w:tc>
          <w:tcPr>
            <w:tcW w:w="1340" w:type="dxa"/>
            <w:vAlign w:val="bottom"/>
          </w:tcPr>
          <w:p>
            <w:pPr>
              <w:jc w:val="right"/>
              <w:ind w:right="320"/>
              <w:spacing w:after="0"/>
              <w:rPr>
                <w:sz w:val="20"/>
                <w:szCs w:val="20"/>
                <w:color w:val="auto"/>
              </w:rPr>
            </w:pPr>
            <w:r>
              <w:rPr>
                <w:rFonts w:ascii="Arial" w:cs="Arial" w:eastAsia="Arial" w:hAnsi="Arial"/>
                <w:sz w:val="17"/>
                <w:szCs w:val="17"/>
                <w:color w:val="auto"/>
              </w:rPr>
              <w:t>(0.5) pp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207885" cy="160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7885" cy="160020"/>
                    </a:xfrm>
                    <a:prstGeom prst="rect">
                      <a:avLst/>
                    </a:prstGeom>
                    <a:noFill/>
                  </pic:spPr>
                </pic:pic>
              </a:graphicData>
            </a:graphic>
          </wp:anchor>
        </w:drawing>
      </w:r>
    </w:p>
    <w:p>
      <w:pPr>
        <w:ind w:left="300" w:hanging="299"/>
        <w:spacing w:after="0"/>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pp represents the change in percentage points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122" w:right="239" w:bottom="1440" w:gutter="0" w:footer="0" w:header="0"/>
        </w:sectPr>
      </w:pPr>
    </w:p>
    <w:bookmarkStart w:id="21" w:name="page22"/>
    <w:bookmarkEnd w:id="2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Second Quarter of 2018 Compared to the Second Quarter of 2017</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Regional Transportation reported operating revenue of $499.0 million for the second quarter of 2018, an increase of $27.8 million, or 5.9%, from the second quarter of 2017. The increase in revenue is primarily attributed to an increase in base yield, excluding fuel surcharge, and increased fuel surcharge revenue, partially offset by a decrease in tonnage. The table below summarizes the key revenue metrics for the Regional Transportation reporting segment for the second quarter of 2018 compared to the second quarter of 2017:</w:t>
      </w:r>
    </w:p>
    <w:p>
      <w:pPr>
        <w:spacing w:after="0" w:line="385"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25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3"/>
                <w:szCs w:val="13"/>
                <w:b w:val="1"/>
                <w:bCs w:val="1"/>
                <w:color w:val="auto"/>
                <w:w w:val="96"/>
              </w:rPr>
              <w:t>Second Quarter</w:t>
            </w: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5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2018</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Percent Change</w:t>
            </w:r>
            <w:r>
              <w:rPr>
                <w:rFonts w:ascii="Arial" w:cs="Arial" w:eastAsia="Arial" w:hAnsi="Arial"/>
                <w:sz w:val="8"/>
                <w:szCs w:val="8"/>
                <w:b w:val="1"/>
                <w:bCs w:val="1"/>
                <w:color w:val="auto"/>
              </w:rPr>
              <w:t>(b)</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6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2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50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90"/>
                <w:shd w:val="clear" w:color="auto" w:fill="CCEEFF"/>
              </w:rPr>
              <w:t>Total picked up revenue (in millions)</w:t>
            </w:r>
          </w:p>
        </w:tc>
        <w:tc>
          <w:tcPr>
            <w:tcW w:w="2240" w:type="dxa"/>
            <w:vAlign w:val="bottom"/>
            <w:shd w:val="clear" w:color="auto" w:fill="CCEEFF"/>
          </w:tcPr>
          <w:p>
            <w:pPr>
              <w:spacing w:after="0"/>
              <w:rPr>
                <w:sz w:val="20"/>
                <w:szCs w:val="20"/>
                <w:color w:val="auto"/>
              </w:rPr>
            </w:pPr>
            <w:r>
              <w:rPr>
                <w:rFonts w:ascii="Arial" w:cs="Arial" w:eastAsia="Arial" w:hAnsi="Arial"/>
                <w:sz w:val="12"/>
                <w:szCs w:val="12"/>
                <w:color w:val="auto"/>
                <w:shd w:val="clear" w:color="auto" w:fill="CCEEFF"/>
              </w:rPr>
              <w:t>(a)</w:t>
            </w:r>
          </w:p>
        </w:tc>
        <w:tc>
          <w:tcPr>
            <w:tcW w:w="640" w:type="dxa"/>
            <w:vAlign w:val="bottom"/>
            <w:vMerge w:val="restart"/>
            <w:shd w:val="clear" w:color="auto" w:fill="CCEEFF"/>
          </w:tcPr>
          <w:p>
            <w:pPr>
              <w:jc w:val="right"/>
              <w:ind w:right="459"/>
              <w:spacing w:after="0"/>
              <w:rPr>
                <w:sz w:val="20"/>
                <w:szCs w:val="20"/>
                <w:color w:val="auto"/>
              </w:rPr>
            </w:pPr>
            <w:r>
              <w:rPr>
                <w:rFonts w:ascii="Arial" w:cs="Arial" w:eastAsia="Arial" w:hAnsi="Arial"/>
                <w:sz w:val="17"/>
                <w:szCs w:val="17"/>
                <w:color w:val="auto"/>
                <w:w w:val="84"/>
              </w:rPr>
              <w:t>$</w:t>
            </w:r>
          </w:p>
        </w:tc>
        <w:tc>
          <w:tcPr>
            <w:tcW w:w="6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499.8</w:t>
            </w:r>
          </w:p>
        </w:tc>
        <w:tc>
          <w:tcPr>
            <w:tcW w:w="1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472.2</w:t>
            </w:r>
          </w:p>
        </w:tc>
        <w:tc>
          <w:tcPr>
            <w:tcW w:w="148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5.8 %</w:t>
            </w:r>
          </w:p>
        </w:tc>
        <w:tc>
          <w:tcPr>
            <w:tcW w:w="0" w:type="dxa"/>
            <w:vAlign w:val="bottom"/>
          </w:tcPr>
          <w:p>
            <w:pPr>
              <w:spacing w:after="0"/>
              <w:rPr>
                <w:sz w:val="1"/>
                <w:szCs w:val="1"/>
                <w:color w:val="auto"/>
              </w:rPr>
            </w:pPr>
          </w:p>
        </w:tc>
      </w:tr>
      <w:tr>
        <w:trPr>
          <w:trHeight w:val="72"/>
        </w:trPr>
        <w:tc>
          <w:tcPr>
            <w:tcW w:w="2500" w:type="dxa"/>
            <w:vAlign w:val="bottom"/>
            <w:tcBorders>
              <w:bottom w:val="single" w:sz="8" w:color="CCEEFF"/>
            </w:tcBorders>
            <w:vMerge w:val="continue"/>
            <w:shd w:val="clear" w:color="auto" w:fill="CCEEFF"/>
          </w:tcPr>
          <w:p>
            <w:pPr>
              <w:spacing w:after="0"/>
              <w:rPr>
                <w:sz w:val="6"/>
                <w:szCs w:val="6"/>
                <w:color w:val="auto"/>
              </w:rPr>
            </w:pPr>
          </w:p>
        </w:tc>
        <w:tc>
          <w:tcPr>
            <w:tcW w:w="224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vMerge w:val="continue"/>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4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CCEEFF"/>
            </w:tcBorders>
            <w:vMerge w:val="continue"/>
            <w:shd w:val="clear" w:color="auto" w:fill="CCEEFF"/>
          </w:tcPr>
          <w:p>
            <w:pPr>
              <w:spacing w:after="0"/>
              <w:rPr>
                <w:sz w:val="6"/>
                <w:szCs w:val="6"/>
                <w:color w:val="auto"/>
              </w:rPr>
            </w:pPr>
          </w:p>
        </w:tc>
        <w:tc>
          <w:tcPr>
            <w:tcW w:w="380" w:type="dxa"/>
            <w:vAlign w:val="bottom"/>
            <w:tcBorders>
              <w:bottom w:val="single" w:sz="8" w:color="CCEEFF"/>
            </w:tcBorders>
            <w:vMerge w:val="continue"/>
            <w:shd w:val="clear" w:color="auto" w:fill="CCEEFF"/>
          </w:tcPr>
          <w:p>
            <w:pPr>
              <w:spacing w:after="0"/>
              <w:rPr>
                <w:sz w:val="6"/>
                <w:szCs w:val="6"/>
                <w:color w:val="auto"/>
              </w:rPr>
            </w:pPr>
          </w:p>
        </w:tc>
        <w:tc>
          <w:tcPr>
            <w:tcW w:w="1480" w:type="dxa"/>
            <w:vAlign w:val="bottom"/>
            <w:tcBorders>
              <w:bottom w:val="single" w:sz="8" w:color="CCEEFF"/>
            </w:tcBorders>
            <w:gridSpan w:val="4"/>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tonnage (in thousands)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2,002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2,036</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tonnage per day (in thousands)</w:t>
            </w:r>
          </w:p>
        </w:tc>
        <w:tc>
          <w:tcPr>
            <w:tcW w:w="6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31.28</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32.06</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shipments (in thousands)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2,590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2,725</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shipments per day (in thousands)</w:t>
            </w:r>
          </w:p>
        </w:tc>
        <w:tc>
          <w:tcPr>
            <w:tcW w:w="6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40.47</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42.92</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640" w:type="dxa"/>
            <w:vAlign w:val="bottom"/>
          </w:tcPr>
          <w:p>
            <w:pPr>
              <w:jc w:val="right"/>
              <w:ind w:right="459"/>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12.48</w:t>
            </w:r>
          </w:p>
        </w:tc>
        <w:tc>
          <w:tcPr>
            <w:tcW w:w="100" w:type="dxa"/>
            <w:vAlign w:val="bottom"/>
          </w:tcPr>
          <w:p>
            <w:pPr>
              <w:spacing w:after="0"/>
              <w:rPr>
                <w:sz w:val="19"/>
                <w:szCs w:val="19"/>
                <w:color w:val="auto"/>
              </w:rPr>
            </w:pPr>
          </w:p>
        </w:tc>
        <w:tc>
          <w:tcPr>
            <w:tcW w:w="720" w:type="dxa"/>
            <w:vAlign w:val="bottom"/>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11.60</w:t>
            </w:r>
          </w:p>
        </w:tc>
        <w:tc>
          <w:tcPr>
            <w:tcW w:w="1480" w:type="dxa"/>
            <w:vAlign w:val="bottom"/>
            <w:gridSpan w:val="4"/>
          </w:tcPr>
          <w:p>
            <w:pPr>
              <w:jc w:val="right"/>
              <w:ind w:right="180"/>
              <w:spacing w:after="0"/>
              <w:rPr>
                <w:sz w:val="20"/>
                <w:szCs w:val="20"/>
                <w:color w:val="auto"/>
              </w:rPr>
            </w:pPr>
            <w:r>
              <w:rPr>
                <w:rFonts w:ascii="Arial" w:cs="Arial" w:eastAsia="Arial" w:hAnsi="Arial"/>
                <w:sz w:val="17"/>
                <w:szCs w:val="17"/>
                <w:color w:val="auto"/>
              </w:rPr>
              <w:t>7.6 %</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surcharge)</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7"/>
                <w:szCs w:val="17"/>
                <w:color w:val="auto"/>
                <w:w w:val="84"/>
              </w:rPr>
              <w:t>$</w:t>
            </w: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10.97</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10.43</w:t>
            </w:r>
          </w:p>
        </w:tc>
        <w:tc>
          <w:tcPr>
            <w:tcW w:w="14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5.2 %</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picked up revenue per shipment</w:t>
            </w:r>
          </w:p>
        </w:tc>
        <w:tc>
          <w:tcPr>
            <w:tcW w:w="640" w:type="dxa"/>
            <w:vAlign w:val="bottom"/>
          </w:tcPr>
          <w:p>
            <w:pPr>
              <w:jc w:val="right"/>
              <w:ind w:right="459"/>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193</w:t>
            </w:r>
          </w:p>
        </w:tc>
        <w:tc>
          <w:tcPr>
            <w:tcW w:w="100" w:type="dxa"/>
            <w:vAlign w:val="bottom"/>
          </w:tcPr>
          <w:p>
            <w:pPr>
              <w:spacing w:after="0"/>
              <w:rPr>
                <w:sz w:val="19"/>
                <w:szCs w:val="19"/>
                <w:color w:val="auto"/>
              </w:rPr>
            </w:pPr>
          </w:p>
        </w:tc>
        <w:tc>
          <w:tcPr>
            <w:tcW w:w="720" w:type="dxa"/>
            <w:vAlign w:val="bottom"/>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173</w:t>
            </w:r>
          </w:p>
        </w:tc>
        <w:tc>
          <w:tcPr>
            <w:tcW w:w="1480" w:type="dxa"/>
            <w:vAlign w:val="bottom"/>
            <w:gridSpan w:val="4"/>
          </w:tcPr>
          <w:p>
            <w:pPr>
              <w:jc w:val="right"/>
              <w:ind w:right="180"/>
              <w:spacing w:after="0"/>
              <w:rPr>
                <w:sz w:val="20"/>
                <w:szCs w:val="20"/>
                <w:color w:val="auto"/>
              </w:rPr>
            </w:pPr>
            <w:r>
              <w:rPr>
                <w:rFonts w:ascii="Arial" w:cs="Arial" w:eastAsia="Arial" w:hAnsi="Arial"/>
                <w:sz w:val="17"/>
                <w:szCs w:val="17"/>
                <w:color w:val="auto"/>
              </w:rPr>
              <w:t>11.4 %</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6"/>
              </w:rPr>
              <w:t>Total picked up revenue per shipment (excluding fuel surcharge)</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7"/>
                <w:szCs w:val="17"/>
                <w:color w:val="auto"/>
                <w:w w:val="84"/>
              </w:rPr>
              <w:t>$</w:t>
            </w: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4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8.9 %</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weight per shipment (in pounds)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1,546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1,494</w:t>
            </w:r>
          </w:p>
        </w:tc>
        <w:tc>
          <w:tcPr>
            <w:tcW w:w="1480" w:type="dxa"/>
            <w:vAlign w:val="bottom"/>
            <w:gridSpan w:val="4"/>
          </w:tcPr>
          <w:p>
            <w:pPr>
              <w:jc w:val="right"/>
              <w:ind w:right="180"/>
              <w:spacing w:after="0"/>
              <w:rPr>
                <w:sz w:val="20"/>
                <w:szCs w:val="20"/>
                <w:color w:val="auto"/>
              </w:rPr>
            </w:pPr>
            <w:r>
              <w:rPr>
                <w:rFonts w:ascii="Arial" w:cs="Arial" w:eastAsia="Arial" w:hAnsi="Arial"/>
                <w:sz w:val="17"/>
                <w:szCs w:val="17"/>
                <w:color w:val="auto"/>
              </w:rPr>
              <w:t>3.5 %</w:t>
            </w:r>
          </w:p>
        </w:tc>
        <w:tc>
          <w:tcPr>
            <w:tcW w:w="0" w:type="dxa"/>
            <w:vAlign w:val="bottom"/>
          </w:tcPr>
          <w:p>
            <w:pPr>
              <w:spacing w:after="0"/>
              <w:rPr>
                <w:sz w:val="1"/>
                <w:szCs w:val="1"/>
                <w:color w:val="auto"/>
              </w:rPr>
            </w:pPr>
          </w:p>
        </w:tc>
      </w:tr>
      <w:tr>
        <w:trPr>
          <w:trHeight w:val="599"/>
        </w:trPr>
        <w:tc>
          <w:tcPr>
            <w:tcW w:w="2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Second Quarter</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740" w:type="dxa"/>
            <w:vAlign w:val="bottom"/>
            <w:gridSpan w:val="2"/>
          </w:tcPr>
          <w:p>
            <w:pPr>
              <w:ind w:left="780"/>
              <w:spacing w:after="0"/>
              <w:rPr>
                <w:sz w:val="20"/>
                <w:szCs w:val="20"/>
                <w:color w:val="auto"/>
              </w:rPr>
            </w:pPr>
            <w:r>
              <w:rPr>
                <w:rFonts w:ascii="Arial" w:cs="Arial" w:eastAsia="Arial" w:hAnsi="Arial"/>
                <w:sz w:val="13"/>
                <w:szCs w:val="13"/>
                <w:b w:val="1"/>
                <w:bCs w:val="1"/>
                <w:color w:val="auto"/>
              </w:rPr>
              <w:t>(in millions)</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gridSpan w:val="3"/>
          </w:tcPr>
          <w:p>
            <w:pPr>
              <w:jc w:val="right"/>
              <w:ind w:right="541"/>
              <w:spacing w:after="0"/>
              <w:rPr>
                <w:sz w:val="20"/>
                <w:szCs w:val="20"/>
                <w:color w:val="auto"/>
              </w:rPr>
            </w:pPr>
            <w:r>
              <w:rPr>
                <w:rFonts w:ascii="Arial" w:cs="Arial" w:eastAsia="Arial" w:hAnsi="Arial"/>
                <w:sz w:val="13"/>
                <w:szCs w:val="13"/>
                <w:b w:val="1"/>
                <w:bCs w:val="1"/>
                <w:color w:val="auto"/>
              </w:rPr>
              <w:t>2018</w:t>
            </w:r>
          </w:p>
        </w:tc>
        <w:tc>
          <w:tcPr>
            <w:tcW w:w="380" w:type="dxa"/>
            <w:vAlign w:val="bottom"/>
          </w:tcPr>
          <w:p>
            <w:pPr>
              <w:spacing w:after="0"/>
              <w:rPr>
                <w:sz w:val="20"/>
                <w:szCs w:val="20"/>
                <w:color w:val="auto"/>
              </w:rPr>
            </w:pPr>
          </w:p>
        </w:tc>
        <w:tc>
          <w:tcPr>
            <w:tcW w:w="720" w:type="dxa"/>
            <w:vAlign w:val="bottom"/>
            <w:gridSpan w:val="3"/>
          </w:tcPr>
          <w:p>
            <w:pPr>
              <w:jc w:val="right"/>
              <w:ind w:right="393"/>
              <w:spacing w:after="0"/>
              <w:rPr>
                <w:sz w:val="20"/>
                <w:szCs w:val="20"/>
                <w:color w:val="auto"/>
              </w:rPr>
            </w:pPr>
            <w:r>
              <w:rPr>
                <w:rFonts w:ascii="Arial" w:cs="Arial" w:eastAsia="Arial" w:hAnsi="Arial"/>
                <w:sz w:val="13"/>
                <w:szCs w:val="13"/>
                <w:b w:val="1"/>
                <w:bCs w:val="1"/>
                <w:color w:val="auto"/>
                <w:w w:val="82"/>
              </w:rPr>
              <w:t>2017</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6350</wp:posOffset>
            </wp:positionV>
            <wp:extent cx="4467225" cy="167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467225" cy="167640"/>
                    </a:xfrm>
                    <a:prstGeom prst="rect">
                      <a:avLst/>
                    </a:prstGeom>
                    <a:noFill/>
                  </pic:spPr>
                </pic:pic>
              </a:graphicData>
            </a:graphic>
          </wp:anchor>
        </w:drawing>
      </w:r>
    </w:p>
    <w:p>
      <w:pPr>
        <w:spacing w:after="0" w:line="11" w:lineRule="exact"/>
        <w:rPr>
          <w:sz w:val="20"/>
          <w:szCs w:val="20"/>
          <w:color w:val="auto"/>
        </w:rPr>
      </w:pPr>
    </w:p>
    <w:p>
      <w:pPr>
        <w:ind w:left="2380" w:hanging="158"/>
        <w:spacing w:after="0"/>
        <w:tabs>
          <w:tab w:leader="none" w:pos="238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Reconciliation of operating revenue to total picked up revenue:</w:t>
      </w:r>
    </w:p>
    <w:p>
      <w:pPr>
        <w:spacing w:after="0" w:line="52" w:lineRule="exact"/>
        <w:rPr>
          <w:sz w:val="20"/>
          <w:szCs w:val="20"/>
          <w:color w:val="auto"/>
        </w:rPr>
      </w:pPr>
    </w:p>
    <w:tbl>
      <w:tblPr>
        <w:tblLayout w:type="fixed"/>
        <w:tblInd w:w="2200" w:type="dxa"/>
        <w:tblCellMar>
          <w:top w:w="0" w:type="dxa"/>
          <w:left w:w="0" w:type="dxa"/>
          <w:bottom w:w="0" w:type="dxa"/>
          <w:right w:w="0" w:type="dxa"/>
        </w:tblCellMar>
      </w:tblPr>
      <w:tr>
        <w:trPr>
          <w:trHeight w:val="219"/>
        </w:trPr>
        <w:tc>
          <w:tcPr>
            <w:tcW w:w="462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499.0</w:t>
            </w:r>
          </w:p>
        </w:tc>
        <w:tc>
          <w:tcPr>
            <w:tcW w:w="100" w:type="dxa"/>
            <w:vAlign w:val="bottom"/>
          </w:tcPr>
          <w:p>
            <w:pPr>
              <w:spacing w:after="0"/>
              <w:rPr>
                <w:sz w:val="19"/>
                <w:szCs w:val="19"/>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471.2</w:t>
            </w:r>
          </w:p>
        </w:tc>
      </w:tr>
      <w:tr>
        <w:trPr>
          <w:trHeight w:val="257"/>
        </w:trPr>
        <w:tc>
          <w:tcPr>
            <w:tcW w:w="4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31"/>
        </w:trPr>
        <w:tc>
          <w:tcPr>
            <w:tcW w:w="462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420" w:type="dxa"/>
            <w:vAlign w:val="bottom"/>
            <w:tcBorders>
              <w:top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499.8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8255</wp:posOffset>
            </wp:positionV>
            <wp:extent cx="1534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2" w:lineRule="exact"/>
        <w:rPr>
          <w:sz w:val="20"/>
          <w:szCs w:val="20"/>
          <w:color w:val="auto"/>
        </w:rPr>
      </w:pPr>
    </w:p>
    <w:p>
      <w:pPr>
        <w:ind w:left="1060" w:hanging="304"/>
        <w:spacing w:after="0"/>
        <w:tabs>
          <w:tab w:leader="none" w:pos="10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w:t>
      </w:r>
    </w:p>
    <w:p>
      <w:pPr>
        <w:spacing w:after="0" w:line="13" w:lineRule="exact"/>
        <w:rPr>
          <w:rFonts w:ascii="Arial" w:cs="Arial" w:eastAsia="Arial" w:hAnsi="Arial"/>
          <w:sz w:val="13"/>
          <w:szCs w:val="13"/>
          <w:color w:val="auto"/>
        </w:rPr>
      </w:pPr>
    </w:p>
    <w:p>
      <w:pPr>
        <w:ind w:left="1060" w:hanging="304"/>
        <w:spacing w:after="0"/>
        <w:tabs>
          <w:tab w:leader="none" w:pos="10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-194310</wp:posOffset>
            </wp:positionV>
            <wp:extent cx="1534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7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Operating income for Regional Transportation was $29.2 million for the second quarter of 2018 compared to $25.3 million for the second quarter of 2017. Operating expenses increased $23.9 million, or 5.4%, primarily due to higher fuel costs and an increase in contractual wages and employee benefit costs.</w:t>
      </w:r>
    </w:p>
    <w:p>
      <w:pPr>
        <w:spacing w:after="0" w:line="143"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increased $6.7 million, or 2.4%, primarily due to a $5.7 million increase in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and wage costs, which are primarily related to contractual rate increases for union employees.</w:t>
      </w:r>
    </w:p>
    <w:p>
      <w:pPr>
        <w:spacing w:after="0" w:line="166" w:lineRule="exact"/>
        <w:rPr>
          <w:sz w:val="20"/>
          <w:szCs w:val="20"/>
          <w:color w:val="auto"/>
        </w:rPr>
      </w:pPr>
    </w:p>
    <w:p>
      <w:pPr>
        <w:spacing w:after="0" w:line="337" w:lineRule="auto"/>
        <w:rPr>
          <w:sz w:val="20"/>
          <w:szCs w:val="20"/>
          <w:color w:val="auto"/>
        </w:rPr>
      </w:pPr>
      <w:r>
        <w:rPr>
          <w:rFonts w:ascii="Arial" w:cs="Arial" w:eastAsia="Arial" w:hAnsi="Arial"/>
          <w:sz w:val="15"/>
          <w:szCs w:val="15"/>
          <w:i w:val="1"/>
          <w:iCs w:val="1"/>
          <w:color w:val="auto"/>
        </w:rPr>
        <w:t xml:space="preserve">Fuel, operating expenses and supplies. </w:t>
      </w:r>
      <w:r>
        <w:rPr>
          <w:rFonts w:ascii="Arial" w:cs="Arial" w:eastAsia="Arial" w:hAnsi="Arial"/>
          <w:sz w:val="15"/>
          <w:szCs w:val="15"/>
          <w:color w:val="auto"/>
        </w:rPr>
        <w:t>Fuel, operating expenses and supplies increased $17.8 million, or 20.8%, primarily due to a $10.4 million increase in fuel expense,</w:t>
      </w:r>
      <w:r>
        <w:rPr>
          <w:rFonts w:ascii="Arial" w:cs="Arial" w:eastAsia="Arial" w:hAnsi="Arial"/>
          <w:sz w:val="15"/>
          <w:szCs w:val="15"/>
          <w:i w:val="1"/>
          <w:iCs w:val="1"/>
          <w:color w:val="auto"/>
        </w:rPr>
        <w:t xml:space="preserve"> </w:t>
      </w:r>
      <w:r>
        <w:rPr>
          <w:rFonts w:ascii="Arial" w:cs="Arial" w:eastAsia="Arial" w:hAnsi="Arial"/>
          <w:sz w:val="15"/>
          <w:szCs w:val="15"/>
          <w:color w:val="auto"/>
        </w:rPr>
        <w:t>which was largely driven by higher fuel prices on a per gallon basis, partially offset by fewer miles driven. Vehicle maintenance expense also increased $3.4 million.</w:t>
      </w:r>
    </w:p>
    <w:p>
      <w:pPr>
        <w:spacing w:after="0" w:line="120"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Purchased transportation</w:t>
      </w:r>
      <w:r>
        <w:rPr>
          <w:rFonts w:ascii="Arial" w:cs="Arial" w:eastAsia="Arial" w:hAnsi="Arial"/>
          <w:sz w:val="17"/>
          <w:szCs w:val="17"/>
          <w:color w:val="auto"/>
        </w:rPr>
        <w:t>. Purchased transportation increased $0.9 million, or 2.4%, primarily due to a $0.8 million increase in long-term rentals in conjunction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strategy to reinvest in its fleet.</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Other operating expenses</w:t>
      </w:r>
      <w:r>
        <w:rPr>
          <w:rFonts w:ascii="Arial" w:cs="Arial" w:eastAsia="Arial" w:hAnsi="Arial"/>
          <w:sz w:val="17"/>
          <w:szCs w:val="17"/>
          <w:color w:val="auto"/>
        </w:rPr>
        <w:t>. Other operating expenses decreased $1.7 million, or 6.4%, primarily due to a $2.8 million decrease in third-party liability claims expense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more favorable development on prior year claims.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First Half of 2018 Compared to the First Half of 2017</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Regional Transportation reported operating revenue of $962.3 million for the first half of 2018, an increase of $49.3 million, or 5.4%, from the first half of 2017. The increase in revenue is primarily attributed to an increase in base yield, excluding fuel surcharge, and increased fuel surcharge revenue, partially offset by a decrease in tonnage. The table below summarizes the key revenue metrics for the Regional Transportation reporting segment for the first half of 2018 compared to the first half of 2017:</w:t>
      </w:r>
    </w:p>
    <w:p>
      <w:pPr>
        <w:spacing w:after="0" w:line="385"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25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401"/>
              <w:spacing w:after="0"/>
              <w:rPr>
                <w:sz w:val="20"/>
                <w:szCs w:val="20"/>
                <w:color w:val="auto"/>
              </w:rPr>
            </w:pPr>
            <w:r>
              <w:rPr>
                <w:rFonts w:ascii="Arial" w:cs="Arial" w:eastAsia="Arial" w:hAnsi="Arial"/>
                <w:sz w:val="13"/>
                <w:szCs w:val="13"/>
                <w:b w:val="1"/>
                <w:bCs w:val="1"/>
                <w:color w:val="auto"/>
              </w:rPr>
              <w:t>First Half</w:t>
            </w: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5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2018</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Percent Change</w:t>
            </w:r>
            <w:r>
              <w:rPr>
                <w:rFonts w:ascii="Arial" w:cs="Arial" w:eastAsia="Arial" w:hAnsi="Arial"/>
                <w:sz w:val="8"/>
                <w:szCs w:val="8"/>
                <w:b w:val="1"/>
                <w:bCs w:val="1"/>
                <w:color w:val="auto"/>
              </w:rPr>
              <w:t>(b)</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6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127.5</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127.5</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2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50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90"/>
                <w:shd w:val="clear" w:color="auto" w:fill="CCEEFF"/>
              </w:rPr>
              <w:t>Total picked up revenue (in millions)</w:t>
            </w:r>
          </w:p>
        </w:tc>
        <w:tc>
          <w:tcPr>
            <w:tcW w:w="2240" w:type="dxa"/>
            <w:vAlign w:val="bottom"/>
            <w:shd w:val="clear" w:color="auto" w:fill="CCEEFF"/>
          </w:tcPr>
          <w:p>
            <w:pPr>
              <w:spacing w:after="0"/>
              <w:rPr>
                <w:sz w:val="20"/>
                <w:szCs w:val="20"/>
                <w:color w:val="auto"/>
              </w:rPr>
            </w:pPr>
            <w:r>
              <w:rPr>
                <w:rFonts w:ascii="Arial" w:cs="Arial" w:eastAsia="Arial" w:hAnsi="Arial"/>
                <w:sz w:val="12"/>
                <w:szCs w:val="12"/>
                <w:color w:val="auto"/>
                <w:shd w:val="clear" w:color="auto" w:fill="CCEEFF"/>
              </w:rPr>
              <w:t>(a)</w:t>
            </w:r>
          </w:p>
        </w:tc>
        <w:tc>
          <w:tcPr>
            <w:tcW w:w="640" w:type="dxa"/>
            <w:vAlign w:val="bottom"/>
            <w:vMerge w:val="restart"/>
            <w:shd w:val="clear" w:color="auto" w:fill="CCEEFF"/>
          </w:tcPr>
          <w:p>
            <w:pPr>
              <w:jc w:val="right"/>
              <w:ind w:right="459"/>
              <w:spacing w:after="0"/>
              <w:rPr>
                <w:sz w:val="20"/>
                <w:szCs w:val="20"/>
                <w:color w:val="auto"/>
              </w:rPr>
            </w:pPr>
            <w:r>
              <w:rPr>
                <w:rFonts w:ascii="Arial" w:cs="Arial" w:eastAsia="Arial" w:hAnsi="Arial"/>
                <w:sz w:val="17"/>
                <w:szCs w:val="17"/>
                <w:color w:val="auto"/>
                <w:w w:val="84"/>
              </w:rPr>
              <w:t>$</w:t>
            </w:r>
          </w:p>
        </w:tc>
        <w:tc>
          <w:tcPr>
            <w:tcW w:w="6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963.8</w:t>
            </w:r>
          </w:p>
        </w:tc>
        <w:tc>
          <w:tcPr>
            <w:tcW w:w="1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915.4</w:t>
            </w:r>
          </w:p>
        </w:tc>
        <w:tc>
          <w:tcPr>
            <w:tcW w:w="148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5.3 %</w:t>
            </w:r>
          </w:p>
        </w:tc>
        <w:tc>
          <w:tcPr>
            <w:tcW w:w="0" w:type="dxa"/>
            <w:vAlign w:val="bottom"/>
          </w:tcPr>
          <w:p>
            <w:pPr>
              <w:spacing w:after="0"/>
              <w:rPr>
                <w:sz w:val="1"/>
                <w:szCs w:val="1"/>
                <w:color w:val="auto"/>
              </w:rPr>
            </w:pPr>
          </w:p>
        </w:tc>
      </w:tr>
      <w:tr>
        <w:trPr>
          <w:trHeight w:val="72"/>
        </w:trPr>
        <w:tc>
          <w:tcPr>
            <w:tcW w:w="2500" w:type="dxa"/>
            <w:vAlign w:val="bottom"/>
            <w:tcBorders>
              <w:bottom w:val="single" w:sz="8" w:color="CCEEFF"/>
            </w:tcBorders>
            <w:vMerge w:val="continue"/>
            <w:shd w:val="clear" w:color="auto" w:fill="CCEEFF"/>
          </w:tcPr>
          <w:p>
            <w:pPr>
              <w:spacing w:after="0"/>
              <w:rPr>
                <w:sz w:val="6"/>
                <w:szCs w:val="6"/>
                <w:color w:val="auto"/>
              </w:rPr>
            </w:pPr>
          </w:p>
        </w:tc>
        <w:tc>
          <w:tcPr>
            <w:tcW w:w="224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vMerge w:val="continue"/>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4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CCEEFF"/>
            </w:tcBorders>
            <w:vMerge w:val="continue"/>
            <w:shd w:val="clear" w:color="auto" w:fill="CCEEFF"/>
          </w:tcPr>
          <w:p>
            <w:pPr>
              <w:spacing w:after="0"/>
              <w:rPr>
                <w:sz w:val="6"/>
                <w:szCs w:val="6"/>
                <w:color w:val="auto"/>
              </w:rPr>
            </w:pPr>
          </w:p>
        </w:tc>
        <w:tc>
          <w:tcPr>
            <w:tcW w:w="380" w:type="dxa"/>
            <w:vAlign w:val="bottom"/>
            <w:tcBorders>
              <w:bottom w:val="single" w:sz="8" w:color="CCEEFF"/>
            </w:tcBorders>
            <w:vMerge w:val="continue"/>
            <w:shd w:val="clear" w:color="auto" w:fill="CCEEFF"/>
          </w:tcPr>
          <w:p>
            <w:pPr>
              <w:spacing w:after="0"/>
              <w:rPr>
                <w:sz w:val="6"/>
                <w:szCs w:val="6"/>
                <w:color w:val="auto"/>
              </w:rPr>
            </w:pPr>
          </w:p>
        </w:tc>
        <w:tc>
          <w:tcPr>
            <w:tcW w:w="1480" w:type="dxa"/>
            <w:vAlign w:val="bottom"/>
            <w:tcBorders>
              <w:bottom w:val="single" w:sz="8" w:color="CCEEFF"/>
            </w:tcBorders>
            <w:gridSpan w:val="4"/>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tonnage (in thousands)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3,916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3,960</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tonnage per day (in thousands)</w:t>
            </w:r>
          </w:p>
        </w:tc>
        <w:tc>
          <w:tcPr>
            <w:tcW w:w="6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30.71</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31.06</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shipments (in thousands)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5,034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5,270</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shipments per day (in thousands)</w:t>
            </w:r>
          </w:p>
        </w:tc>
        <w:tc>
          <w:tcPr>
            <w:tcW w:w="6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39.48</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41.34</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640" w:type="dxa"/>
            <w:vAlign w:val="bottom"/>
          </w:tcPr>
          <w:p>
            <w:pPr>
              <w:jc w:val="right"/>
              <w:ind w:right="459"/>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12.31</w:t>
            </w:r>
          </w:p>
        </w:tc>
        <w:tc>
          <w:tcPr>
            <w:tcW w:w="100" w:type="dxa"/>
            <w:vAlign w:val="bottom"/>
          </w:tcPr>
          <w:p>
            <w:pPr>
              <w:spacing w:after="0"/>
              <w:rPr>
                <w:sz w:val="19"/>
                <w:szCs w:val="19"/>
                <w:color w:val="auto"/>
              </w:rPr>
            </w:pPr>
          </w:p>
        </w:tc>
        <w:tc>
          <w:tcPr>
            <w:tcW w:w="720" w:type="dxa"/>
            <w:vAlign w:val="bottom"/>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11.56</w:t>
            </w:r>
          </w:p>
        </w:tc>
        <w:tc>
          <w:tcPr>
            <w:tcW w:w="1480" w:type="dxa"/>
            <w:vAlign w:val="bottom"/>
            <w:gridSpan w:val="4"/>
          </w:tcPr>
          <w:p>
            <w:pPr>
              <w:jc w:val="right"/>
              <w:ind w:right="180"/>
              <w:spacing w:after="0"/>
              <w:rPr>
                <w:sz w:val="20"/>
                <w:szCs w:val="20"/>
                <w:color w:val="auto"/>
              </w:rPr>
            </w:pPr>
            <w:r>
              <w:rPr>
                <w:rFonts w:ascii="Arial" w:cs="Arial" w:eastAsia="Arial" w:hAnsi="Arial"/>
                <w:sz w:val="17"/>
                <w:szCs w:val="17"/>
                <w:color w:val="auto"/>
              </w:rPr>
              <w:t>6.5 %</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surcharge)</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7"/>
                <w:szCs w:val="17"/>
                <w:color w:val="auto"/>
                <w:w w:val="84"/>
              </w:rPr>
              <w:t>$</w:t>
            </w: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10.84</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10.38</w:t>
            </w:r>
          </w:p>
        </w:tc>
        <w:tc>
          <w:tcPr>
            <w:tcW w:w="14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4.5 %</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picked up revenue per shipment</w:t>
            </w:r>
          </w:p>
        </w:tc>
        <w:tc>
          <w:tcPr>
            <w:tcW w:w="640" w:type="dxa"/>
            <w:vAlign w:val="bottom"/>
          </w:tcPr>
          <w:p>
            <w:pPr>
              <w:jc w:val="right"/>
              <w:ind w:right="459"/>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191</w:t>
            </w:r>
          </w:p>
        </w:tc>
        <w:tc>
          <w:tcPr>
            <w:tcW w:w="100" w:type="dxa"/>
            <w:vAlign w:val="bottom"/>
          </w:tcPr>
          <w:p>
            <w:pPr>
              <w:spacing w:after="0"/>
              <w:rPr>
                <w:sz w:val="19"/>
                <w:szCs w:val="19"/>
                <w:color w:val="auto"/>
              </w:rPr>
            </w:pPr>
          </w:p>
        </w:tc>
        <w:tc>
          <w:tcPr>
            <w:tcW w:w="720" w:type="dxa"/>
            <w:vAlign w:val="bottom"/>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174</w:t>
            </w:r>
          </w:p>
        </w:tc>
        <w:tc>
          <w:tcPr>
            <w:tcW w:w="1480" w:type="dxa"/>
            <w:vAlign w:val="bottom"/>
            <w:gridSpan w:val="4"/>
          </w:tcPr>
          <w:p>
            <w:pPr>
              <w:jc w:val="right"/>
              <w:ind w:right="180"/>
              <w:spacing w:after="0"/>
              <w:rPr>
                <w:sz w:val="20"/>
                <w:szCs w:val="20"/>
                <w:color w:val="auto"/>
              </w:rPr>
            </w:pPr>
            <w:r>
              <w:rPr>
                <w:rFonts w:ascii="Arial" w:cs="Arial" w:eastAsia="Arial" w:hAnsi="Arial"/>
                <w:sz w:val="17"/>
                <w:szCs w:val="17"/>
                <w:color w:val="auto"/>
              </w:rPr>
              <w:t>10.2 %</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6"/>
              </w:rPr>
              <w:t>Total picked up revenue per shipment (excluding fuel surcharge)</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7"/>
                <w:szCs w:val="17"/>
                <w:color w:val="auto"/>
                <w:w w:val="84"/>
              </w:rPr>
              <w:t>$</w:t>
            </w: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4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8.1 %</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weight per shipment (in pounds)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1,556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1,503</w:t>
            </w:r>
          </w:p>
        </w:tc>
        <w:tc>
          <w:tcPr>
            <w:tcW w:w="1480" w:type="dxa"/>
            <w:vAlign w:val="bottom"/>
            <w:gridSpan w:val="4"/>
          </w:tcPr>
          <w:p>
            <w:pPr>
              <w:jc w:val="right"/>
              <w:ind w:right="180"/>
              <w:spacing w:after="0"/>
              <w:rPr>
                <w:sz w:val="20"/>
                <w:szCs w:val="20"/>
                <w:color w:val="auto"/>
              </w:rPr>
            </w:pPr>
            <w:r>
              <w:rPr>
                <w:rFonts w:ascii="Arial" w:cs="Arial" w:eastAsia="Arial" w:hAnsi="Arial"/>
                <w:sz w:val="17"/>
                <w:szCs w:val="17"/>
                <w:color w:val="auto"/>
              </w:rPr>
              <w:t>3.5 %</w:t>
            </w:r>
          </w:p>
        </w:tc>
        <w:tc>
          <w:tcPr>
            <w:tcW w:w="0" w:type="dxa"/>
            <w:vAlign w:val="bottom"/>
          </w:tcPr>
          <w:p>
            <w:pPr>
              <w:spacing w:after="0"/>
              <w:rPr>
                <w:sz w:val="1"/>
                <w:szCs w:val="1"/>
                <w:color w:val="auto"/>
              </w:rPr>
            </w:pPr>
          </w:p>
        </w:tc>
      </w:tr>
      <w:tr>
        <w:trPr>
          <w:trHeight w:val="561"/>
        </w:trPr>
        <w:tc>
          <w:tcPr>
            <w:tcW w:w="2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116"/>
              <w:spacing w:after="0"/>
              <w:rPr>
                <w:sz w:val="20"/>
                <w:szCs w:val="20"/>
                <w:color w:val="auto"/>
              </w:rPr>
            </w:pPr>
            <w:r>
              <w:rPr>
                <w:rFonts w:ascii="Arial" w:cs="Arial" w:eastAsia="Arial" w:hAnsi="Arial"/>
                <w:sz w:val="13"/>
                <w:szCs w:val="13"/>
                <w:b w:val="1"/>
                <w:bCs w:val="1"/>
                <w:color w:val="auto"/>
              </w:rPr>
              <w:t>First Half</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740" w:type="dxa"/>
            <w:vAlign w:val="bottom"/>
            <w:gridSpan w:val="2"/>
          </w:tcPr>
          <w:p>
            <w:pPr>
              <w:ind w:left="780"/>
              <w:spacing w:after="0"/>
              <w:rPr>
                <w:sz w:val="20"/>
                <w:szCs w:val="20"/>
                <w:color w:val="auto"/>
              </w:rPr>
            </w:pPr>
            <w:r>
              <w:rPr>
                <w:rFonts w:ascii="Arial" w:cs="Arial" w:eastAsia="Arial" w:hAnsi="Arial"/>
                <w:sz w:val="13"/>
                <w:szCs w:val="13"/>
                <w:b w:val="1"/>
                <w:bCs w:val="1"/>
                <w:color w:val="auto"/>
              </w:rPr>
              <w:t>(in millions)</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gridSpan w:val="3"/>
          </w:tcPr>
          <w:p>
            <w:pPr>
              <w:jc w:val="right"/>
              <w:ind w:right="541"/>
              <w:spacing w:after="0"/>
              <w:rPr>
                <w:sz w:val="20"/>
                <w:szCs w:val="20"/>
                <w:color w:val="auto"/>
              </w:rPr>
            </w:pPr>
            <w:r>
              <w:rPr>
                <w:rFonts w:ascii="Arial" w:cs="Arial" w:eastAsia="Arial" w:hAnsi="Arial"/>
                <w:sz w:val="13"/>
                <w:szCs w:val="13"/>
                <w:b w:val="1"/>
                <w:bCs w:val="1"/>
                <w:color w:val="auto"/>
              </w:rPr>
              <w:t>2018</w:t>
            </w:r>
          </w:p>
        </w:tc>
        <w:tc>
          <w:tcPr>
            <w:tcW w:w="380" w:type="dxa"/>
            <w:vAlign w:val="bottom"/>
          </w:tcPr>
          <w:p>
            <w:pPr>
              <w:spacing w:after="0"/>
              <w:rPr>
                <w:sz w:val="20"/>
                <w:szCs w:val="20"/>
                <w:color w:val="auto"/>
              </w:rPr>
            </w:pPr>
          </w:p>
        </w:tc>
        <w:tc>
          <w:tcPr>
            <w:tcW w:w="720" w:type="dxa"/>
            <w:vAlign w:val="bottom"/>
            <w:gridSpan w:val="3"/>
          </w:tcPr>
          <w:p>
            <w:pPr>
              <w:jc w:val="right"/>
              <w:ind w:right="393"/>
              <w:spacing w:after="0"/>
              <w:rPr>
                <w:sz w:val="20"/>
                <w:szCs w:val="20"/>
                <w:color w:val="auto"/>
              </w:rPr>
            </w:pPr>
            <w:r>
              <w:rPr>
                <w:rFonts w:ascii="Arial" w:cs="Arial" w:eastAsia="Arial" w:hAnsi="Arial"/>
                <w:sz w:val="13"/>
                <w:szCs w:val="13"/>
                <w:b w:val="1"/>
                <w:bCs w:val="1"/>
                <w:color w:val="auto"/>
                <w:w w:val="82"/>
              </w:rPr>
              <w:t>2017</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6350</wp:posOffset>
            </wp:positionV>
            <wp:extent cx="4467225" cy="167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467225" cy="167640"/>
                    </a:xfrm>
                    <a:prstGeom prst="rect">
                      <a:avLst/>
                    </a:prstGeom>
                    <a:noFill/>
                  </pic:spPr>
                </pic:pic>
              </a:graphicData>
            </a:graphic>
          </wp:anchor>
        </w:drawing>
      </w:r>
    </w:p>
    <w:p>
      <w:pPr>
        <w:spacing w:after="0" w:line="11" w:lineRule="exact"/>
        <w:rPr>
          <w:sz w:val="20"/>
          <w:szCs w:val="20"/>
          <w:color w:val="auto"/>
        </w:rPr>
      </w:pPr>
    </w:p>
    <w:p>
      <w:pPr>
        <w:ind w:left="2380" w:hanging="158"/>
        <w:spacing w:after="0"/>
        <w:tabs>
          <w:tab w:leader="none" w:pos="238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Reconciliation of operating revenue to total picked up revenue:</w:t>
      </w:r>
    </w:p>
    <w:p>
      <w:pPr>
        <w:spacing w:after="0" w:line="52" w:lineRule="exact"/>
        <w:rPr>
          <w:sz w:val="20"/>
          <w:szCs w:val="20"/>
          <w:color w:val="auto"/>
        </w:rPr>
      </w:pPr>
    </w:p>
    <w:tbl>
      <w:tblPr>
        <w:tblLayout w:type="fixed"/>
        <w:tblInd w:w="2200" w:type="dxa"/>
        <w:tblCellMar>
          <w:top w:w="0" w:type="dxa"/>
          <w:left w:w="0" w:type="dxa"/>
          <w:bottom w:w="0" w:type="dxa"/>
          <w:right w:w="0" w:type="dxa"/>
        </w:tblCellMar>
      </w:tblPr>
      <w:tr>
        <w:trPr>
          <w:trHeight w:val="219"/>
        </w:trPr>
        <w:tc>
          <w:tcPr>
            <w:tcW w:w="462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962.3</w:t>
            </w:r>
          </w:p>
        </w:tc>
        <w:tc>
          <w:tcPr>
            <w:tcW w:w="100" w:type="dxa"/>
            <w:vAlign w:val="bottom"/>
          </w:tcPr>
          <w:p>
            <w:pPr>
              <w:spacing w:after="0"/>
              <w:rPr>
                <w:sz w:val="19"/>
                <w:szCs w:val="19"/>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913.0</w:t>
            </w:r>
          </w:p>
        </w:tc>
      </w:tr>
      <w:tr>
        <w:trPr>
          <w:trHeight w:val="257"/>
        </w:trPr>
        <w:tc>
          <w:tcPr>
            <w:tcW w:w="4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31"/>
        </w:trPr>
        <w:tc>
          <w:tcPr>
            <w:tcW w:w="462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420" w:type="dxa"/>
            <w:vAlign w:val="bottom"/>
            <w:tcBorders>
              <w:top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963.8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8255</wp:posOffset>
            </wp:positionV>
            <wp:extent cx="1534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2" w:lineRule="exact"/>
        <w:rPr>
          <w:sz w:val="20"/>
          <w:szCs w:val="20"/>
          <w:color w:val="auto"/>
        </w:rPr>
      </w:pPr>
    </w:p>
    <w:p>
      <w:pPr>
        <w:ind w:left="1060" w:hanging="304"/>
        <w:spacing w:after="0"/>
        <w:tabs>
          <w:tab w:leader="none" w:pos="10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w:t>
      </w:r>
    </w:p>
    <w:p>
      <w:pPr>
        <w:spacing w:after="0" w:line="13" w:lineRule="exact"/>
        <w:rPr>
          <w:rFonts w:ascii="Arial" w:cs="Arial" w:eastAsia="Arial" w:hAnsi="Arial"/>
          <w:sz w:val="13"/>
          <w:szCs w:val="13"/>
          <w:color w:val="auto"/>
        </w:rPr>
      </w:pPr>
    </w:p>
    <w:p>
      <w:pPr>
        <w:ind w:left="1060" w:hanging="304"/>
        <w:spacing w:after="0"/>
        <w:tabs>
          <w:tab w:leader="none" w:pos="10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-194310</wp:posOffset>
            </wp:positionV>
            <wp:extent cx="1534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Operating income for Regional Transportation was $34.4 million for the first half of 2018 compared to $37.5 million for the first half of 2017. Operating expenses increased $52.4 million, or 6.0%, primarily due to higher fuel costs, and an increase in contractual wages and employee benefit costs.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increased $16.4 million, or 3.0%, primarily due to an $11.1 million increase in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costs and a $7.6 million increase in wages, which are primarily related to contractual rate increases for union employees.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 xml:space="preserve">Fuel, operating expenses and supplies. </w:t>
      </w:r>
      <w:r>
        <w:rPr>
          <w:rFonts w:ascii="Arial" w:cs="Arial" w:eastAsia="Arial" w:hAnsi="Arial"/>
          <w:sz w:val="17"/>
          <w:szCs w:val="17"/>
          <w:color w:val="auto"/>
        </w:rPr>
        <w:t>Fuel, operating expenses and supplies increased $29.0 million, or 16.9%, primarily due to a $16.7 million increase in fuel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largely driven by higher fuel prices on a per gallon basis, partially offset by fewer miles driven. Additionally, we had a $4.9 million increase in vehicle maintenance expense, and a $4.0 million increase in other operating expenses which was largely impacted by higher costs associated with hardware and software maintenance expense.</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Purchased transportation</w:t>
      </w:r>
      <w:r>
        <w:rPr>
          <w:rFonts w:ascii="Arial" w:cs="Arial" w:eastAsia="Arial" w:hAnsi="Arial"/>
          <w:sz w:val="17"/>
          <w:szCs w:val="17"/>
          <w:color w:val="auto"/>
        </w:rPr>
        <w:t>. Purchased transportation increased $3.8 million, or 5.2%, primarily due to a $2.6 million increase in equipment lease expense of which $1.8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was attributable to long-term rentals in conjunction with the Company’s strategy to reinvest in its fleet.</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Other operating expenses</w:t>
      </w:r>
      <w:r>
        <w:rPr>
          <w:rFonts w:ascii="Arial" w:cs="Arial" w:eastAsia="Arial" w:hAnsi="Arial"/>
          <w:sz w:val="17"/>
          <w:szCs w:val="17"/>
          <w:color w:val="auto"/>
        </w:rPr>
        <w:t>. Other operating expenses increased $3.1 million, or 6.4%, primarily due to a $1.8 million increase in cargo claims expense due to higher claim</w:t>
      </w:r>
      <w:r>
        <w:rPr>
          <w:rFonts w:ascii="Arial" w:cs="Arial" w:eastAsia="Arial" w:hAnsi="Arial"/>
          <w:sz w:val="17"/>
          <w:szCs w:val="17"/>
          <w:i w:val="1"/>
          <w:iCs w:val="1"/>
          <w:color w:val="auto"/>
        </w:rPr>
        <w:t xml:space="preserve"> </w:t>
      </w:r>
      <w:r>
        <w:rPr>
          <w:rFonts w:ascii="Arial" w:cs="Arial" w:eastAsia="Arial" w:hAnsi="Arial"/>
          <w:sz w:val="17"/>
          <w:szCs w:val="17"/>
          <w:color w:val="auto"/>
        </w:rPr>
        <w:t>count and a $1.2 million increase in operating taxes.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Non-GAAP Financial Measures</w:t>
      </w:r>
    </w:p>
    <w:p>
      <w:pPr>
        <w:spacing w:after="0" w:line="21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As discussed in the “Our Business” section, we use certain non-GAAP financial measures to assess performance. These measures should be considered in addition to the results prepared in accordance with GAAP, but should not be considered a substitute for, or superior to, our GAAP financial measures. For segment Adjusted EBITDA, we present the reconciliation from operating income (loss) to Adjusted EBITDA as it is consistent with how we measure performance.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Adjusted EBITDA</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reconciliation of net income (loss) to EBITDA and EBITDA to Adjusted EBITDA (defined in our Term Loan Agreement as “Consolidated EBITDA”) for the second quarter and first half of 2018 and 2017, and the trailing twelve months ended June 30, 2018 and 2017, is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Second Quarter</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b w:val="1"/>
                <w:bCs w:val="1"/>
                <w:color w:val="auto"/>
              </w:rPr>
              <w:t>First Half</w:t>
            </w:r>
          </w:p>
        </w:tc>
        <w:tc>
          <w:tcPr>
            <w:tcW w:w="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197"/>
              <w:spacing w:after="0"/>
              <w:rPr>
                <w:sz w:val="20"/>
                <w:szCs w:val="20"/>
                <w:color w:val="auto"/>
              </w:rPr>
            </w:pPr>
            <w:r>
              <w:rPr>
                <w:rFonts w:ascii="Arial" w:cs="Arial" w:eastAsia="Arial" w:hAnsi="Arial"/>
                <w:sz w:val="13"/>
                <w:szCs w:val="13"/>
                <w:b w:val="1"/>
                <w:bCs w:val="1"/>
                <w:color w:val="auto"/>
              </w:rPr>
              <w:t>Trailing Twelve Months Ended</w:t>
            </w:r>
          </w:p>
        </w:tc>
      </w:tr>
      <w:tr>
        <w:trPr>
          <w:trHeight w:val="244"/>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18"/>
              <w:spacing w:after="0"/>
              <w:rPr>
                <w:sz w:val="20"/>
                <w:szCs w:val="20"/>
                <w:color w:val="auto"/>
              </w:rPr>
            </w:pPr>
            <w:r>
              <w:rPr>
                <w:rFonts w:ascii="Arial" w:cs="Arial" w:eastAsia="Arial" w:hAnsi="Arial"/>
                <w:sz w:val="13"/>
                <w:szCs w:val="13"/>
                <w:b w:val="1"/>
                <w:bCs w:val="1"/>
                <w:color w:val="auto"/>
              </w:rPr>
              <w:t>2018</w:t>
            </w:r>
          </w:p>
        </w:tc>
        <w:tc>
          <w:tcPr>
            <w:tcW w:w="3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2017</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8"/>
              <w:spacing w:after="0"/>
              <w:rPr>
                <w:sz w:val="20"/>
                <w:szCs w:val="20"/>
                <w:color w:val="auto"/>
              </w:rPr>
            </w:pPr>
            <w:r>
              <w:rPr>
                <w:rFonts w:ascii="Arial" w:cs="Arial" w:eastAsia="Arial" w:hAnsi="Arial"/>
                <w:sz w:val="13"/>
                <w:szCs w:val="13"/>
                <w:b w:val="1"/>
                <w:bCs w:val="1"/>
                <w:color w:val="auto"/>
              </w:rPr>
              <w:t>2018</w:t>
            </w:r>
          </w:p>
        </w:tc>
        <w:tc>
          <w:tcPr>
            <w:tcW w:w="3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2017</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June 30, 2018</w:t>
            </w: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9"/>
              </w:rPr>
              <w:t>June 30, 2017</w:t>
            </w:r>
          </w:p>
        </w:tc>
      </w:tr>
      <w:tr>
        <w:trPr>
          <w:trHeight w:val="210"/>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Reconciliation of net income (loss) to Adjusted</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40"/>
        </w:trPr>
        <w:tc>
          <w:tcPr>
            <w:tcW w:w="3780" w:type="dxa"/>
            <w:vAlign w:val="bottom"/>
            <w:shd w:val="clear" w:color="auto" w:fill="CCEEFF"/>
          </w:tcPr>
          <w:p>
            <w:pPr>
              <w:ind w:left="20"/>
              <w:spacing w:after="0" w:line="241" w:lineRule="exact"/>
              <w:rPr>
                <w:sz w:val="20"/>
                <w:szCs w:val="20"/>
                <w:color w:val="auto"/>
              </w:rPr>
            </w:pPr>
            <w:r>
              <w:rPr>
                <w:rFonts w:ascii="Arial" w:cs="Arial" w:eastAsia="Arial" w:hAnsi="Arial"/>
                <w:sz w:val="17"/>
                <w:szCs w:val="17"/>
                <w:color w:val="auto"/>
              </w:rPr>
              <w:t>EBITDA</w:t>
            </w:r>
            <w:r>
              <w:rPr>
                <w:rFonts w:ascii="Arial" w:cs="Arial" w:eastAsia="Arial" w:hAnsi="Arial"/>
                <w:sz w:val="23"/>
                <w:szCs w:val="23"/>
                <w:color w:val="auto"/>
                <w:vertAlign w:val="superscript"/>
              </w:rPr>
              <w:t>(a)</w:t>
            </w: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6"/>
        </w:trPr>
        <w:tc>
          <w:tcPr>
            <w:tcW w:w="378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58"/>
              <w:spacing w:after="0"/>
              <w:rPr>
                <w:sz w:val="20"/>
                <w:szCs w:val="20"/>
                <w:color w:val="auto"/>
              </w:rPr>
            </w:pPr>
            <w:r>
              <w:rPr>
                <w:rFonts w:ascii="Arial" w:cs="Arial" w:eastAsia="Arial" w:hAnsi="Arial"/>
                <w:sz w:val="17"/>
                <w:szCs w:val="17"/>
                <w:color w:val="auto"/>
              </w:rPr>
              <w:t>14.4</w:t>
            </w:r>
          </w:p>
        </w:tc>
        <w:tc>
          <w:tcPr>
            <w:tcW w:w="340" w:type="dxa"/>
            <w:vAlign w:val="bottom"/>
          </w:tcPr>
          <w:p>
            <w:pPr>
              <w:spacing w:after="0"/>
              <w:rPr>
                <w:sz w:val="19"/>
                <w:szCs w:val="19"/>
                <w:color w:val="auto"/>
              </w:rPr>
            </w:pP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7"/>
              <w:spacing w:after="0"/>
              <w:rPr>
                <w:sz w:val="20"/>
                <w:szCs w:val="20"/>
                <w:color w:val="auto"/>
              </w:rPr>
            </w:pPr>
            <w:r>
              <w:rPr>
                <w:rFonts w:ascii="Arial" w:cs="Arial" w:eastAsia="Arial" w:hAnsi="Arial"/>
                <w:sz w:val="17"/>
                <w:szCs w:val="17"/>
                <w:color w:val="auto"/>
              </w:rPr>
              <w:t>19.0</w:t>
            </w:r>
          </w:p>
        </w:tc>
        <w:tc>
          <w:tcPr>
            <w:tcW w:w="220" w:type="dxa"/>
            <w:vAlign w:val="bottom"/>
          </w:tcPr>
          <w:p>
            <w:pPr>
              <w:spacing w:after="0"/>
              <w:rPr>
                <w:sz w:val="19"/>
                <w:szCs w:val="19"/>
                <w:color w:val="auto"/>
              </w:rPr>
            </w:pP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(0.2)</w:t>
            </w:r>
          </w:p>
        </w:tc>
        <w:tc>
          <w:tcPr>
            <w:tcW w:w="34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(6.3)</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(4.7)</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0.1</w:t>
            </w:r>
          </w:p>
        </w:tc>
      </w:tr>
      <w:tr>
        <w:trPr>
          <w:trHeight w:val="26"/>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2"/>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Interest expense, net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7"/>
                <w:szCs w:val="17"/>
                <w:color w:val="auto"/>
              </w:rPr>
              <w:t>25.5</w:t>
            </w:r>
          </w:p>
        </w:tc>
        <w:tc>
          <w:tcPr>
            <w:tcW w:w="3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25.6</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51.0</w:t>
            </w:r>
          </w:p>
        </w:tc>
        <w:tc>
          <w:tcPr>
            <w:tcW w:w="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50.8</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102.6</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101.7</w:t>
            </w:r>
          </w:p>
        </w:tc>
      </w:tr>
      <w:tr>
        <w:trPr>
          <w:trHeight w:val="226"/>
        </w:trPr>
        <w:tc>
          <w:tcPr>
            <w:tcW w:w="3780" w:type="dxa"/>
            <w:vAlign w:val="bottom"/>
          </w:tcPr>
          <w:p>
            <w:pPr>
              <w:ind w:left="360"/>
              <w:spacing w:after="0"/>
              <w:rPr>
                <w:sz w:val="20"/>
                <w:szCs w:val="20"/>
                <w:color w:val="auto"/>
              </w:rPr>
            </w:pPr>
            <w:r>
              <w:rPr>
                <w:rFonts w:ascii="Arial" w:cs="Arial" w:eastAsia="Arial" w:hAnsi="Arial"/>
                <w:sz w:val="17"/>
                <w:szCs w:val="17"/>
                <w:color w:val="auto"/>
              </w:rPr>
              <w:t>Income tax expense (benefit)</w:t>
            </w:r>
          </w:p>
        </w:tc>
        <w:tc>
          <w:tcPr>
            <w:tcW w:w="24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7"/>
                <w:szCs w:val="17"/>
                <w:color w:val="auto"/>
              </w:rPr>
              <w:t>10.4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37"/>
              <w:spacing w:after="0"/>
              <w:rPr>
                <w:sz w:val="20"/>
                <w:szCs w:val="20"/>
                <w:color w:val="auto"/>
              </w:rPr>
            </w:pPr>
            <w:r>
              <w:rPr>
                <w:rFonts w:ascii="Arial" w:cs="Arial" w:eastAsia="Arial" w:hAnsi="Arial"/>
                <w:sz w:val="17"/>
                <w:szCs w:val="17"/>
                <w:color w:val="auto"/>
              </w:rPr>
              <w:t>3.6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(0.5)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6"/>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2"/>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7"/>
                <w:szCs w:val="17"/>
                <w:color w:val="auto"/>
              </w:rPr>
              <w:t>37.6</w:t>
            </w: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37.2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75.3</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74.3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148.7</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154.9</w:t>
            </w:r>
          </w:p>
        </w:tc>
      </w:tr>
      <w:tr>
        <w:trPr>
          <w:trHeight w:val="219"/>
        </w:trPr>
        <w:tc>
          <w:tcPr>
            <w:tcW w:w="3780" w:type="dxa"/>
            <w:vAlign w:val="bottom"/>
          </w:tcPr>
          <w:p>
            <w:pPr>
              <w:ind w:left="20"/>
              <w:spacing w:after="0"/>
              <w:rPr>
                <w:sz w:val="20"/>
                <w:szCs w:val="20"/>
                <w:color w:val="auto"/>
              </w:rPr>
            </w:pPr>
            <w:r>
              <w:rPr>
                <w:rFonts w:ascii="Arial" w:cs="Arial" w:eastAsia="Arial" w:hAnsi="Arial"/>
                <w:sz w:val="17"/>
                <w:szCs w:val="17"/>
                <w:color w:val="auto"/>
              </w:rPr>
              <w:t>EBITDA</w:t>
            </w: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58"/>
              <w:spacing w:after="0"/>
              <w:rPr>
                <w:sz w:val="20"/>
                <w:szCs w:val="20"/>
                <w:color w:val="auto"/>
              </w:rPr>
            </w:pPr>
            <w:r>
              <w:rPr>
                <w:rFonts w:ascii="Arial" w:cs="Arial" w:eastAsia="Arial" w:hAnsi="Arial"/>
                <w:sz w:val="17"/>
                <w:szCs w:val="17"/>
                <w:color w:val="auto"/>
              </w:rPr>
              <w:t>87.9</w:t>
            </w:r>
          </w:p>
        </w:tc>
        <w:tc>
          <w:tcPr>
            <w:tcW w:w="3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85.4</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123.6</w:t>
            </w:r>
          </w:p>
        </w:tc>
        <w:tc>
          <w:tcPr>
            <w:tcW w:w="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118.3</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237.3</w:t>
            </w:r>
          </w:p>
        </w:tc>
        <w:tc>
          <w:tcPr>
            <w:tcW w:w="3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256.4</w:t>
            </w:r>
          </w:p>
        </w:tc>
      </w:tr>
      <w:tr>
        <w:trPr>
          <w:trHeight w:val="26"/>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2"/>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Adjustments for Term Loan Agreement: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26"/>
        </w:trPr>
        <w:tc>
          <w:tcPr>
            <w:tcW w:w="3780" w:type="dxa"/>
            <w:vAlign w:val="bottom"/>
          </w:tcPr>
          <w:p>
            <w:pPr>
              <w:ind w:left="360"/>
              <w:spacing w:after="0"/>
              <w:rPr>
                <w:sz w:val="20"/>
                <w:szCs w:val="20"/>
                <w:color w:val="auto"/>
              </w:rPr>
            </w:pPr>
            <w:r>
              <w:rPr>
                <w:rFonts w:ascii="Arial" w:cs="Arial" w:eastAsia="Arial" w:hAnsi="Arial"/>
                <w:sz w:val="17"/>
                <w:szCs w:val="17"/>
                <w:color w:val="auto"/>
              </w:rPr>
              <w:t>Losses (gains) on property disposals, net</w:t>
            </w:r>
          </w:p>
        </w:tc>
        <w:tc>
          <w:tcPr>
            <w:tcW w:w="24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7"/>
                <w:szCs w:val="17"/>
                <w:color w:val="auto"/>
              </w:rPr>
              <w:t>2.6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8"/>
              <w:spacing w:after="0"/>
              <w:rPr>
                <w:sz w:val="20"/>
                <w:szCs w:val="20"/>
                <w:color w:val="auto"/>
              </w:rPr>
            </w:pPr>
            <w:r>
              <w:rPr>
                <w:rFonts w:ascii="Arial" w:cs="Arial" w:eastAsia="Arial" w:hAnsi="Arial"/>
                <w:sz w:val="17"/>
                <w:szCs w:val="17"/>
                <w:color w:val="auto"/>
              </w:rPr>
              <w:t>5.8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37"/>
              <w:spacing w:after="0"/>
              <w:rPr>
                <w:sz w:val="20"/>
                <w:szCs w:val="20"/>
                <w:color w:val="auto"/>
              </w:rPr>
            </w:pPr>
            <w:r>
              <w:rPr>
                <w:rFonts w:ascii="Arial" w:cs="Arial" w:eastAsia="Arial" w:hAnsi="Arial"/>
                <w:sz w:val="17"/>
                <w:szCs w:val="17"/>
                <w:color w:val="auto"/>
              </w:rPr>
              <w:t>1.7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3.5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6"/>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2"/>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7"/>
                <w:szCs w:val="17"/>
                <w:color w:val="auto"/>
              </w:rPr>
              <w:t>1.7</w:t>
            </w:r>
          </w:p>
        </w:tc>
        <w:tc>
          <w:tcPr>
            <w:tcW w:w="3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3.4</w:t>
            </w:r>
          </w:p>
        </w:tc>
        <w:tc>
          <w:tcPr>
            <w:tcW w:w="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3.4</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6.8</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6.8</w:t>
            </w:r>
          </w:p>
        </w:tc>
      </w:tr>
      <w:tr>
        <w:trPr>
          <w:trHeight w:val="226"/>
        </w:trPr>
        <w:tc>
          <w:tcPr>
            <w:tcW w:w="3780" w:type="dxa"/>
            <w:vAlign w:val="bottom"/>
          </w:tcPr>
          <w:p>
            <w:pPr>
              <w:ind w:left="360"/>
              <w:spacing w:after="0"/>
              <w:rPr>
                <w:sz w:val="20"/>
                <w:szCs w:val="20"/>
                <w:color w:val="auto"/>
              </w:rPr>
            </w:pPr>
            <w:r>
              <w:rPr>
                <w:rFonts w:ascii="Arial" w:cs="Arial" w:eastAsia="Arial" w:hAnsi="Arial"/>
                <w:sz w:val="17"/>
                <w:szCs w:val="17"/>
                <w:color w:val="auto"/>
              </w:rPr>
              <w:t>Restructuring charges</w:t>
            </w:r>
          </w:p>
        </w:tc>
        <w:tc>
          <w:tcPr>
            <w:tcW w:w="24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7"/>
                <w:szCs w:val="17"/>
                <w:color w:val="auto"/>
              </w:rPr>
              <w:t>0.6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780" w:type="dxa"/>
            <w:vAlign w:val="bottom"/>
          </w:tcPr>
          <w:p>
            <w:pPr>
              <w:jc w:val="right"/>
              <w:ind w:right="18"/>
              <w:spacing w:after="0"/>
              <w:rPr>
                <w:sz w:val="20"/>
                <w:szCs w:val="20"/>
                <w:color w:val="auto"/>
              </w:rPr>
            </w:pPr>
            <w:r>
              <w:rPr>
                <w:rFonts w:ascii="Arial" w:cs="Arial" w:eastAsia="Arial" w:hAnsi="Arial"/>
                <w:sz w:val="17"/>
                <w:szCs w:val="17"/>
                <w:color w:val="auto"/>
              </w:rPr>
              <w:t>1.2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2.1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6"/>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2"/>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w w:val="98"/>
              </w:rPr>
              <w:t>Transaction costs related to issuances of debt</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2.2</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8.1</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2.2</w:t>
            </w:r>
          </w:p>
        </w:tc>
      </w:tr>
      <w:tr>
        <w:trPr>
          <w:trHeight w:val="226"/>
        </w:trPr>
        <w:tc>
          <w:tcPr>
            <w:tcW w:w="3780" w:type="dxa"/>
            <w:vAlign w:val="bottom"/>
          </w:tcPr>
          <w:p>
            <w:pPr>
              <w:ind w:left="360"/>
              <w:spacing w:after="0"/>
              <w:rPr>
                <w:sz w:val="20"/>
                <w:szCs w:val="20"/>
                <w:color w:val="auto"/>
              </w:rPr>
            </w:pPr>
            <w:r>
              <w:rPr>
                <w:rFonts w:ascii="Arial" w:cs="Arial" w:eastAsia="Arial" w:hAnsi="Arial"/>
                <w:sz w:val="17"/>
                <w:szCs w:val="17"/>
                <w:color w:val="auto"/>
              </w:rPr>
              <w:t>Nonrecurring consulting fees</w:t>
            </w:r>
          </w:p>
        </w:tc>
        <w:tc>
          <w:tcPr>
            <w:tcW w:w="24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7"/>
                <w:szCs w:val="17"/>
                <w:color w:val="auto"/>
              </w:rPr>
              <w:t>1.7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780" w:type="dxa"/>
            <w:vAlign w:val="bottom"/>
          </w:tcPr>
          <w:p>
            <w:pPr>
              <w:jc w:val="right"/>
              <w:ind w:right="18"/>
              <w:spacing w:after="0"/>
              <w:rPr>
                <w:sz w:val="20"/>
                <w:szCs w:val="20"/>
                <w:color w:val="auto"/>
              </w:rPr>
            </w:pPr>
            <w:r>
              <w:rPr>
                <w:rFonts w:ascii="Arial" w:cs="Arial" w:eastAsia="Arial" w:hAnsi="Arial"/>
                <w:sz w:val="17"/>
                <w:szCs w:val="17"/>
                <w:color w:val="auto"/>
              </w:rPr>
              <w:t>3.2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3.2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6"/>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2"/>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Permitted dispositions and other</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7"/>
                <w:szCs w:val="17"/>
                <w:color w:val="auto"/>
              </w:rPr>
              <w:t>0.2</w:t>
            </w:r>
          </w:p>
        </w:tc>
        <w:tc>
          <w:tcPr>
            <w:tcW w:w="3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0.7</w:t>
            </w:r>
          </w:p>
        </w:tc>
        <w:tc>
          <w:tcPr>
            <w:tcW w:w="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0.8</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1.1</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4.2</w:t>
            </w:r>
          </w:p>
        </w:tc>
      </w:tr>
      <w:tr>
        <w:trPr>
          <w:trHeight w:val="226"/>
        </w:trPr>
        <w:tc>
          <w:tcPr>
            <w:tcW w:w="3780" w:type="dxa"/>
            <w:vAlign w:val="bottom"/>
          </w:tcPr>
          <w:p>
            <w:pPr>
              <w:ind w:left="360"/>
              <w:spacing w:after="0"/>
              <w:rPr>
                <w:sz w:val="20"/>
                <w:szCs w:val="20"/>
                <w:color w:val="auto"/>
              </w:rPr>
            </w:pPr>
            <w:r>
              <w:rPr>
                <w:rFonts w:ascii="Arial" w:cs="Arial" w:eastAsia="Arial" w:hAnsi="Arial"/>
                <w:sz w:val="17"/>
                <w:szCs w:val="17"/>
                <w:color w:val="auto"/>
              </w:rPr>
              <w:t>Equity-based compensation expense</w:t>
            </w:r>
          </w:p>
        </w:tc>
        <w:tc>
          <w:tcPr>
            <w:tcW w:w="24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7"/>
                <w:szCs w:val="17"/>
                <w:color w:val="auto"/>
              </w:rPr>
              <w:t>3.2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37"/>
              <w:spacing w:after="0"/>
              <w:rPr>
                <w:sz w:val="20"/>
                <w:szCs w:val="20"/>
                <w:color w:val="auto"/>
              </w:rPr>
            </w:pPr>
            <w:r>
              <w:rPr>
                <w:rFonts w:ascii="Arial" w:cs="Arial" w:eastAsia="Arial" w:hAnsi="Arial"/>
                <w:sz w:val="17"/>
                <w:szCs w:val="17"/>
                <w:color w:val="auto"/>
              </w:rPr>
              <w:t>2.6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8"/>
              <w:spacing w:after="0"/>
              <w:rPr>
                <w:sz w:val="20"/>
                <w:szCs w:val="20"/>
                <w:color w:val="auto"/>
              </w:rPr>
            </w:pPr>
            <w:r>
              <w:rPr>
                <w:rFonts w:ascii="Arial" w:cs="Arial" w:eastAsia="Arial" w:hAnsi="Arial"/>
                <w:sz w:val="17"/>
                <w:szCs w:val="17"/>
                <w:color w:val="auto"/>
              </w:rPr>
              <w:t>4.8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37"/>
              <w:spacing w:after="0"/>
              <w:rPr>
                <w:sz w:val="20"/>
                <w:szCs w:val="20"/>
                <w:color w:val="auto"/>
              </w:rPr>
            </w:pPr>
            <w:r>
              <w:rPr>
                <w:rFonts w:ascii="Arial" w:cs="Arial" w:eastAsia="Arial" w:hAnsi="Arial"/>
                <w:sz w:val="17"/>
                <w:szCs w:val="17"/>
                <w:color w:val="auto"/>
              </w:rPr>
              <w:t>4.0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7.3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6.8</w:t>
            </w:r>
          </w:p>
        </w:tc>
      </w:tr>
      <w:tr>
        <w:trPr>
          <w:trHeight w:val="26"/>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2"/>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Non-union pension settlement charge</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7.6</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52"/>
        </w:trPr>
        <w:tc>
          <w:tcPr>
            <w:tcW w:w="3780" w:type="dxa"/>
            <w:vAlign w:val="bottom"/>
            <w:tcBorders>
              <w:bottom w:val="single" w:sz="8" w:color="CCEEFF"/>
            </w:tcBorders>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(b)</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2.9</w:t>
            </w:r>
          </w:p>
        </w:tc>
        <w:tc>
          <w:tcPr>
            <w:tcW w:w="3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1.7</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3.8</w:t>
            </w:r>
          </w:p>
        </w:tc>
        <w:tc>
          <w:tcPr>
            <w:tcW w:w="3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3.9</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9.4</w:t>
            </w:r>
          </w:p>
        </w:tc>
        <w:tc>
          <w:tcPr>
            <w:tcW w:w="3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2.6</w:t>
            </w:r>
          </w:p>
        </w:tc>
      </w:tr>
      <w:tr>
        <w:trPr>
          <w:trHeight w:val="249"/>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7"/>
                <w:szCs w:val="17"/>
                <w:color w:val="auto"/>
              </w:rPr>
              <w:t>100.8</w:t>
            </w: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91.1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146.5</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134.3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286.4</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277.5</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300" w:hanging="299"/>
        <w:spacing w:after="0"/>
        <w:tabs>
          <w:tab w:leader="none" w:pos="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Certain immaterial reclassifications have been made to prior year to conform to current year presentation.</w:t>
      </w:r>
    </w:p>
    <w:p>
      <w:pPr>
        <w:spacing w:after="0" w:line="13" w:lineRule="exact"/>
        <w:rPr>
          <w:rFonts w:ascii="Arial" w:cs="Arial" w:eastAsia="Arial" w:hAnsi="Arial"/>
          <w:sz w:val="13"/>
          <w:szCs w:val="13"/>
          <w:color w:val="auto"/>
        </w:rPr>
      </w:pPr>
    </w:p>
    <w:p>
      <w:pPr>
        <w:ind w:left="300" w:hanging="299"/>
        <w:spacing w:after="0"/>
        <w:tabs>
          <w:tab w:leader="none" w:pos="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As required under our Term Loan Agreement, Other, net shown above consists of the impact of certain items to be included in Adjusted EBITDA.</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Adjusted EBITDA</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represents Adjusted EBITDA by segment for the second quarter and first half of 2018 and 2017:</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8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5"/>
          </w:tcPr>
          <w:p>
            <w:pPr>
              <w:ind w:left="400"/>
              <w:spacing w:after="0"/>
              <w:rPr>
                <w:sz w:val="20"/>
                <w:szCs w:val="20"/>
                <w:color w:val="auto"/>
              </w:rPr>
            </w:pPr>
            <w:r>
              <w:rPr>
                <w:rFonts w:ascii="Arial" w:cs="Arial" w:eastAsia="Arial" w:hAnsi="Arial"/>
                <w:sz w:val="13"/>
                <w:szCs w:val="13"/>
                <w:b w:val="1"/>
                <w:bCs w:val="1"/>
                <w:color w:val="auto"/>
              </w:rPr>
              <w:t>Second Quarter</w:t>
            </w:r>
          </w:p>
        </w:tc>
        <w:tc>
          <w:tcPr>
            <w:tcW w:w="24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b w:val="1"/>
                <w:bCs w:val="1"/>
                <w:color w:val="auto"/>
              </w:rPr>
              <w:t>First Half</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96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 by segment:</w:t>
            </w:r>
          </w:p>
        </w:tc>
        <w:tc>
          <w:tcPr>
            <w:tcW w:w="2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Pr>
          <w:p>
            <w:pPr>
              <w:ind w:left="360"/>
              <w:spacing w:after="0"/>
              <w:rPr>
                <w:sz w:val="20"/>
                <w:szCs w:val="20"/>
                <w:color w:val="auto"/>
              </w:rPr>
            </w:pPr>
            <w:r>
              <w:rPr>
                <w:rFonts w:ascii="Arial" w:cs="Arial" w:eastAsia="Arial" w:hAnsi="Arial"/>
                <w:sz w:val="17"/>
                <w:szCs w:val="17"/>
                <w:color w:val="auto"/>
              </w:rPr>
              <w:t>YRC Freight</w:t>
            </w:r>
          </w:p>
        </w:tc>
        <w:tc>
          <w:tcPr>
            <w:tcW w:w="3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2"/>
              <w:spacing w:after="0"/>
              <w:rPr>
                <w:sz w:val="20"/>
                <w:szCs w:val="20"/>
                <w:color w:val="auto"/>
              </w:rPr>
            </w:pPr>
            <w:r>
              <w:rPr>
                <w:rFonts w:ascii="Arial" w:cs="Arial" w:eastAsia="Arial" w:hAnsi="Arial"/>
                <w:sz w:val="17"/>
                <w:szCs w:val="17"/>
                <w:color w:val="auto"/>
              </w:rPr>
              <w:t>54.5</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39"/>
              <w:spacing w:after="0"/>
              <w:rPr>
                <w:sz w:val="20"/>
                <w:szCs w:val="20"/>
                <w:color w:val="auto"/>
              </w:rPr>
            </w:pPr>
            <w:r>
              <w:rPr>
                <w:rFonts w:ascii="Arial" w:cs="Arial" w:eastAsia="Arial" w:hAnsi="Arial"/>
                <w:sz w:val="17"/>
                <w:szCs w:val="17"/>
                <w:color w:val="auto"/>
              </w:rPr>
              <w:t>48.3</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42"/>
              <w:spacing w:after="0"/>
              <w:rPr>
                <w:sz w:val="20"/>
                <w:szCs w:val="20"/>
                <w:color w:val="auto"/>
              </w:rPr>
            </w:pPr>
            <w:r>
              <w:rPr>
                <w:rFonts w:ascii="Arial" w:cs="Arial" w:eastAsia="Arial" w:hAnsi="Arial"/>
                <w:sz w:val="17"/>
                <w:szCs w:val="17"/>
                <w:color w:val="auto"/>
              </w:rPr>
              <w:t>76.6</w:t>
            </w:r>
          </w:p>
        </w:tc>
        <w:tc>
          <w:tcPr>
            <w:tcW w:w="100" w:type="dxa"/>
            <w:vAlign w:val="bottom"/>
          </w:tcPr>
          <w:p>
            <w:pPr>
              <w:spacing w:after="0"/>
              <w:rPr>
                <w:sz w:val="19"/>
                <w:szCs w:val="19"/>
                <w:color w:val="auto"/>
              </w:rPr>
            </w:pP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9"/>
              <w:spacing w:after="0"/>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Regional Transportation</w:t>
            </w:r>
          </w:p>
        </w:tc>
        <w:tc>
          <w:tcPr>
            <w:tcW w:w="29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46.8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42.2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69.4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71.6</w:t>
            </w:r>
          </w:p>
        </w:tc>
        <w:tc>
          <w:tcPr>
            <w:tcW w:w="0" w:type="dxa"/>
            <w:vAlign w:val="bottom"/>
          </w:tcPr>
          <w:p>
            <w:pPr>
              <w:spacing w:after="0"/>
              <w:rPr>
                <w:sz w:val="1"/>
                <w:szCs w:val="1"/>
                <w:color w:val="auto"/>
              </w:rPr>
            </w:pPr>
          </w:p>
        </w:tc>
      </w:tr>
      <w:tr>
        <w:trPr>
          <w:trHeight w:val="226"/>
        </w:trPr>
        <w:tc>
          <w:tcPr>
            <w:tcW w:w="3880" w:type="dxa"/>
            <w:vAlign w:val="bottom"/>
          </w:tcPr>
          <w:p>
            <w:pPr>
              <w:ind w:left="360"/>
              <w:spacing w:after="0"/>
              <w:rPr>
                <w:sz w:val="20"/>
                <w:szCs w:val="20"/>
                <w:color w:val="auto"/>
              </w:rPr>
            </w:pPr>
            <w:r>
              <w:rPr>
                <w:rFonts w:ascii="Arial" w:cs="Arial" w:eastAsia="Arial" w:hAnsi="Arial"/>
                <w:sz w:val="17"/>
                <w:szCs w:val="17"/>
                <w:color w:val="auto"/>
              </w:rPr>
              <w:t>Corporate and other</w:t>
            </w:r>
          </w:p>
        </w:tc>
        <w:tc>
          <w:tcPr>
            <w:tcW w:w="2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42"/>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6"/>
        </w:trPr>
        <w:tc>
          <w:tcPr>
            <w:tcW w:w="38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3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100.8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91.1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146.5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134.3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bottom w:val="single" w:sz="8" w:color="CCEEFF"/>
            </w:tcBorders>
            <w:vMerge w:val="restart"/>
          </w:tcPr>
          <w:p>
            <w:pPr>
              <w:jc w:val="right"/>
              <w:ind w:right="956"/>
              <w:spacing w:after="0"/>
              <w:rPr>
                <w:sz w:val="20"/>
                <w:szCs w:val="20"/>
                <w:color w:val="auto"/>
              </w:rPr>
            </w:pPr>
            <w:r>
              <w:rPr>
                <w:rFonts w:ascii="Arial" w:cs="Arial" w:eastAsia="Arial" w:hAnsi="Arial"/>
                <w:sz w:val="17"/>
                <w:szCs w:val="17"/>
                <w:color w:val="auto"/>
              </w:rPr>
              <w:t>24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7"/>
        </w:trPr>
        <w:tc>
          <w:tcPr>
            <w:tcW w:w="388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operating income (loss), by segment, to Adjusted EBITDA for the second quarter and first half of 2018 and 2017,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Second Quarter</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First Half</w:t>
            </w:r>
          </w:p>
        </w:tc>
        <w:tc>
          <w:tcPr>
            <w:tcW w:w="800" w:type="dxa"/>
            <w:vAlign w:val="bottom"/>
            <w:tcBorders>
              <w:bottom w:val="single" w:sz="8" w:color="auto"/>
            </w:tcBorders>
          </w:tcPr>
          <w:p>
            <w:pPr>
              <w:spacing w:after="0"/>
              <w:rPr>
                <w:sz w:val="15"/>
                <w:szCs w:val="15"/>
                <w:color w:val="auto"/>
              </w:rPr>
            </w:pPr>
          </w:p>
        </w:tc>
      </w:tr>
      <w:tr>
        <w:trPr>
          <w:trHeight w:val="244"/>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YRC Freight segment (in millions)</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b w:val="1"/>
                <w:bCs w:val="1"/>
                <w:color w:val="auto"/>
              </w:rPr>
              <w:t>2017</w:t>
            </w:r>
          </w:p>
        </w:tc>
      </w:tr>
      <w:tr>
        <w:trPr>
          <w:trHeight w:val="249"/>
        </w:trPr>
        <w:tc>
          <w:tcPr>
            <w:tcW w:w="652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Reconciliation of operating income to Adjusted EBITDA</w:t>
            </w:r>
            <w:r>
              <w:rPr>
                <w:rFonts w:ascii="Arial" w:cs="Arial" w:eastAsia="Arial" w:hAnsi="Arial"/>
                <w:sz w:val="23"/>
                <w:szCs w:val="23"/>
                <w:color w:val="auto"/>
                <w:vertAlign w:val="superscript"/>
              </w:rPr>
              <w:t>(a)</w:t>
            </w: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26"/>
        </w:trPr>
        <w:tc>
          <w:tcPr>
            <w:tcW w:w="652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26.8</w:t>
            </w:r>
          </w:p>
        </w:tc>
        <w:tc>
          <w:tcPr>
            <w:tcW w:w="120" w:type="dxa"/>
            <w:vAlign w:val="bottom"/>
          </w:tcPr>
          <w:p>
            <w:pPr>
              <w:spacing w:after="0"/>
              <w:rPr>
                <w:sz w:val="19"/>
                <w:szCs w:val="19"/>
                <w:color w:val="auto"/>
              </w:rPr>
            </w:pP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30.9</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19.9</w:t>
            </w:r>
          </w:p>
        </w:tc>
        <w:tc>
          <w:tcPr>
            <w:tcW w:w="12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8"/>
              <w:spacing w:after="0"/>
              <w:rPr>
                <w:sz w:val="20"/>
                <w:szCs w:val="20"/>
                <w:color w:val="auto"/>
              </w:rPr>
            </w:pPr>
            <w:r>
              <w:rPr>
                <w:rFonts w:ascii="Arial" w:cs="Arial" w:eastAsia="Arial" w:hAnsi="Arial"/>
                <w:sz w:val="17"/>
                <w:szCs w:val="17"/>
                <w:color w:val="auto"/>
              </w:rPr>
              <w:t>23.4</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21.5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21.2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43.1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42.5</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Losses (gains) on property disposals, net</w:t>
            </w:r>
          </w:p>
        </w:tc>
        <w:tc>
          <w:tcPr>
            <w:tcW w:w="28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18"/>
              <w:spacing w:after="0"/>
              <w:rPr>
                <w:sz w:val="20"/>
                <w:szCs w:val="20"/>
                <w:color w:val="auto"/>
              </w:rPr>
            </w:pPr>
            <w:r>
              <w:rPr>
                <w:rFonts w:ascii="Arial" w:cs="Arial" w:eastAsia="Arial" w:hAnsi="Arial"/>
                <w:sz w:val="17"/>
                <w:szCs w:val="17"/>
                <w:color w:val="auto"/>
              </w:rPr>
              <w:t>0.7</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2.2</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Restructuring charges</w:t>
            </w:r>
          </w:p>
        </w:tc>
        <w:tc>
          <w:tcPr>
            <w:tcW w:w="2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2"/>
        </w:trPr>
        <w:tc>
          <w:tcPr>
            <w:tcW w:w="6520" w:type="dxa"/>
            <w:vAlign w:val="bottom"/>
            <w:shd w:val="clear" w:color="auto" w:fill="CCEEFF"/>
          </w:tcPr>
          <w:p>
            <w:pPr>
              <w:ind w:left="360"/>
              <w:spacing w:after="0" w:line="252" w:lineRule="exact"/>
              <w:rPr>
                <w:sz w:val="20"/>
                <w:szCs w:val="20"/>
                <w:color w:val="auto"/>
              </w:rPr>
            </w:pPr>
            <w:r>
              <w:rPr>
                <w:rFonts w:ascii="Arial" w:cs="Arial" w:eastAsia="Arial" w:hAnsi="Arial"/>
                <w:sz w:val="17"/>
                <w:szCs w:val="17"/>
                <w:color w:val="auto"/>
              </w:rPr>
              <w:t>Non-union pension and postretirement benefits</w:t>
            </w:r>
            <w:r>
              <w:rPr>
                <w:rFonts w:ascii="Arial" w:cs="Arial" w:eastAsia="Arial" w:hAnsi="Arial"/>
                <w:sz w:val="23"/>
                <w:szCs w:val="23"/>
                <w:color w:val="auto"/>
                <w:vertAlign w:val="superscript"/>
              </w:rPr>
              <w:t>(b)</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0.6</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Nonrecurring consulting fees</w:t>
            </w:r>
          </w:p>
        </w:tc>
        <w:tc>
          <w:tcPr>
            <w:tcW w:w="28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2"/>
        </w:trPr>
        <w:tc>
          <w:tcPr>
            <w:tcW w:w="6520" w:type="dxa"/>
            <w:vAlign w:val="bottom"/>
            <w:shd w:val="clear" w:color="auto" w:fill="CCEEFF"/>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(c)</w:t>
            </w: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0.8</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0.3</w:t>
            </w:r>
          </w:p>
        </w:tc>
      </w:tr>
      <w:tr>
        <w:trPr>
          <w:trHeight w:val="219"/>
        </w:trPr>
        <w:tc>
          <w:tcPr>
            <w:tcW w:w="652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54.5</w:t>
            </w:r>
          </w:p>
        </w:tc>
        <w:tc>
          <w:tcPr>
            <w:tcW w:w="120" w:type="dxa"/>
            <w:vAlign w:val="bottom"/>
          </w:tcPr>
          <w:p>
            <w:pPr>
              <w:spacing w:after="0"/>
              <w:rPr>
                <w:sz w:val="19"/>
                <w:szCs w:val="19"/>
                <w:color w:val="auto"/>
              </w:rPr>
            </w:pP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48.3</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76.6</w:t>
            </w:r>
          </w:p>
        </w:tc>
        <w:tc>
          <w:tcPr>
            <w:tcW w:w="12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8"/>
              <w:spacing w:after="0"/>
              <w:rPr>
                <w:sz w:val="20"/>
                <w:szCs w:val="20"/>
                <w:color w:val="auto"/>
              </w:rPr>
            </w:pPr>
            <w:r>
              <w:rPr>
                <w:rFonts w:ascii="Arial" w:cs="Arial" w:eastAsia="Arial" w:hAnsi="Arial"/>
                <w:sz w:val="17"/>
                <w:szCs w:val="17"/>
                <w:color w:val="auto"/>
              </w:rPr>
              <w:t>63.2</w:t>
            </w:r>
          </w:p>
        </w:tc>
      </w:tr>
      <w:tr>
        <w:trPr>
          <w:trHeight w:val="26"/>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51"/>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Second Quarter</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First Half</w:t>
            </w:r>
          </w:p>
        </w:tc>
        <w:tc>
          <w:tcPr>
            <w:tcW w:w="800" w:type="dxa"/>
            <w:vAlign w:val="bottom"/>
            <w:tcBorders>
              <w:bottom w:val="single" w:sz="8" w:color="auto"/>
            </w:tcBorders>
          </w:tcPr>
          <w:p>
            <w:pPr>
              <w:spacing w:after="0"/>
              <w:rPr>
                <w:sz w:val="24"/>
                <w:szCs w:val="24"/>
                <w:color w:val="auto"/>
              </w:rPr>
            </w:pPr>
          </w:p>
        </w:tc>
      </w:tr>
      <w:tr>
        <w:trPr>
          <w:trHeight w:val="244"/>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Regional Transportation segment (in millions)</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b w:val="1"/>
                <w:bCs w:val="1"/>
                <w:color w:val="auto"/>
              </w:rPr>
              <w:t>2017</w:t>
            </w:r>
          </w:p>
        </w:tc>
      </w:tr>
      <w:tr>
        <w:trPr>
          <w:trHeight w:val="22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Reconciliation of operating income to Adjusted EBITDA:</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26"/>
        </w:trPr>
        <w:tc>
          <w:tcPr>
            <w:tcW w:w="652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29.2</w:t>
            </w:r>
          </w:p>
        </w:tc>
        <w:tc>
          <w:tcPr>
            <w:tcW w:w="120" w:type="dxa"/>
            <w:vAlign w:val="bottom"/>
          </w:tcPr>
          <w:p>
            <w:pPr>
              <w:spacing w:after="0"/>
              <w:rPr>
                <w:sz w:val="19"/>
                <w:szCs w:val="19"/>
                <w:color w:val="auto"/>
              </w:rPr>
            </w:pP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25.3</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34.4</w:t>
            </w:r>
          </w:p>
        </w:tc>
        <w:tc>
          <w:tcPr>
            <w:tcW w:w="12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8"/>
              <w:spacing w:after="0"/>
              <w:rPr>
                <w:sz w:val="20"/>
                <w:szCs w:val="20"/>
                <w:color w:val="auto"/>
              </w:rPr>
            </w:pPr>
            <w:r>
              <w:rPr>
                <w:rFonts w:ascii="Arial" w:cs="Arial" w:eastAsia="Arial" w:hAnsi="Arial"/>
                <w:sz w:val="17"/>
                <w:szCs w:val="17"/>
                <w:color w:val="auto"/>
              </w:rPr>
              <w:t>37.5</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16.0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32.2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31.8</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Losses on property disposals, net</w:t>
            </w:r>
          </w:p>
        </w:tc>
        <w:tc>
          <w:tcPr>
            <w:tcW w:w="28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18"/>
              <w:spacing w:after="0"/>
              <w:rPr>
                <w:sz w:val="20"/>
                <w:szCs w:val="20"/>
                <w:color w:val="auto"/>
              </w:rPr>
            </w:pPr>
            <w:r>
              <w:rPr>
                <w:rFonts w:ascii="Arial" w:cs="Arial" w:eastAsia="Arial" w:hAnsi="Arial"/>
                <w:sz w:val="17"/>
                <w:szCs w:val="17"/>
                <w:color w:val="auto"/>
              </w:rPr>
              <w:t>1.0</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1.1</w:t>
            </w:r>
          </w:p>
        </w:tc>
      </w:tr>
      <w:tr>
        <w:trPr>
          <w:trHeight w:val="252"/>
        </w:trPr>
        <w:tc>
          <w:tcPr>
            <w:tcW w:w="6520" w:type="dxa"/>
            <w:vAlign w:val="bottom"/>
            <w:tcBorders>
              <w:bottom w:val="single" w:sz="8" w:color="CCEEFF"/>
            </w:tcBorders>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(c)</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0.6</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0.9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0.2</w:t>
            </w:r>
          </w:p>
        </w:tc>
      </w:tr>
      <w:tr>
        <w:trPr>
          <w:trHeight w:val="24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69.4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71.6</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551"/>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Second Quarter</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First Half</w:t>
            </w:r>
          </w:p>
        </w:tc>
        <w:tc>
          <w:tcPr>
            <w:tcW w:w="800" w:type="dxa"/>
            <w:vAlign w:val="bottom"/>
            <w:tcBorders>
              <w:bottom w:val="single" w:sz="8" w:color="auto"/>
            </w:tcBorders>
          </w:tcPr>
          <w:p>
            <w:pPr>
              <w:spacing w:after="0"/>
              <w:rPr>
                <w:sz w:val="24"/>
                <w:szCs w:val="24"/>
                <w:color w:val="auto"/>
              </w:rPr>
            </w:pPr>
          </w:p>
        </w:tc>
      </w:tr>
      <w:tr>
        <w:trPr>
          <w:trHeight w:val="244"/>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Corporate and other (in millions)</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b w:val="1"/>
                <w:bCs w:val="1"/>
                <w:color w:val="auto"/>
              </w:rPr>
              <w:t>2017</w:t>
            </w:r>
          </w:p>
        </w:tc>
      </w:tr>
      <w:tr>
        <w:trPr>
          <w:trHeight w:val="249"/>
        </w:trPr>
        <w:tc>
          <w:tcPr>
            <w:tcW w:w="652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Reconciliation of operating loss to Adjusted EBITDA</w:t>
            </w:r>
            <w:r>
              <w:rPr>
                <w:rFonts w:ascii="Arial" w:cs="Arial" w:eastAsia="Arial" w:hAnsi="Arial"/>
                <w:sz w:val="23"/>
                <w:szCs w:val="23"/>
                <w:color w:val="auto"/>
                <w:vertAlign w:val="superscript"/>
              </w:rPr>
              <w:t>(a)</w:t>
            </w: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26"/>
        </w:trPr>
        <w:tc>
          <w:tcPr>
            <w:tcW w:w="6520" w:type="dxa"/>
            <w:vAlign w:val="bottom"/>
          </w:tcPr>
          <w:p>
            <w:pPr>
              <w:ind w:left="20"/>
              <w:spacing w:after="0"/>
              <w:rPr>
                <w:sz w:val="20"/>
                <w:szCs w:val="20"/>
                <w:color w:val="auto"/>
              </w:rPr>
            </w:pPr>
            <w:r>
              <w:rPr>
                <w:rFonts w:ascii="Arial" w:cs="Arial" w:eastAsia="Arial" w:hAnsi="Arial"/>
                <w:sz w:val="17"/>
                <w:szCs w:val="17"/>
                <w:color w:val="auto"/>
              </w:rPr>
              <w:t>Operating loss</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19"/>
                <w:szCs w:val="19"/>
                <w:color w:val="auto"/>
              </w:rPr>
            </w:pP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(7.7)</w:t>
            </w:r>
          </w:p>
        </w:tc>
        <w:tc>
          <w:tcPr>
            <w:tcW w:w="12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Losses on property disposals, net</w:t>
            </w:r>
          </w:p>
        </w:tc>
        <w:tc>
          <w:tcPr>
            <w:tcW w:w="28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0.1</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Restructuring charges</w:t>
            </w:r>
          </w:p>
        </w:tc>
        <w:tc>
          <w:tcPr>
            <w:tcW w:w="28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Transaction costs related to issuances of debt</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2.2</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Permitted dispositions and other</w:t>
            </w:r>
          </w:p>
        </w:tc>
        <w:tc>
          <w:tcPr>
            <w:tcW w:w="28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18"/>
              <w:spacing w:after="0"/>
              <w:rPr>
                <w:sz w:val="20"/>
                <w:szCs w:val="20"/>
                <w:color w:val="auto"/>
              </w:rPr>
            </w:pPr>
            <w:r>
              <w:rPr>
                <w:rFonts w:ascii="Arial" w:cs="Arial" w:eastAsia="Arial" w:hAnsi="Arial"/>
                <w:sz w:val="17"/>
                <w:szCs w:val="17"/>
                <w:color w:val="auto"/>
              </w:rPr>
              <w:t>0.8</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2"/>
        </w:trPr>
        <w:tc>
          <w:tcPr>
            <w:tcW w:w="6520" w:type="dxa"/>
            <w:vAlign w:val="bottom"/>
            <w:shd w:val="clear" w:color="auto" w:fill="CCEEFF"/>
          </w:tcPr>
          <w:p>
            <w:pPr>
              <w:ind w:left="360"/>
              <w:spacing w:after="0" w:line="252" w:lineRule="exact"/>
              <w:rPr>
                <w:sz w:val="20"/>
                <w:szCs w:val="20"/>
                <w:color w:val="auto"/>
              </w:rPr>
            </w:pPr>
            <w:r>
              <w:rPr>
                <w:rFonts w:ascii="Arial" w:cs="Arial" w:eastAsia="Arial" w:hAnsi="Arial"/>
                <w:sz w:val="17"/>
                <w:szCs w:val="17"/>
                <w:color w:val="auto"/>
              </w:rPr>
              <w:t>Non-union pension and postretirement benefits</w:t>
            </w:r>
            <w:r>
              <w:rPr>
                <w:rFonts w:ascii="Arial" w:cs="Arial" w:eastAsia="Arial" w:hAnsi="Arial"/>
                <w:sz w:val="23"/>
                <w:szCs w:val="23"/>
                <w:color w:val="auto"/>
                <w:vertAlign w:val="superscript"/>
              </w:rPr>
              <w:t>(b)</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Equity-based compensation expense</w:t>
            </w:r>
          </w:p>
        </w:tc>
        <w:tc>
          <w:tcPr>
            <w:tcW w:w="28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18"/>
              <w:spacing w:after="0"/>
              <w:rPr>
                <w:sz w:val="20"/>
                <w:szCs w:val="20"/>
                <w:color w:val="auto"/>
              </w:rPr>
            </w:pPr>
            <w:r>
              <w:rPr>
                <w:rFonts w:ascii="Arial" w:cs="Arial" w:eastAsia="Arial" w:hAnsi="Arial"/>
                <w:sz w:val="17"/>
                <w:szCs w:val="17"/>
                <w:color w:val="auto"/>
              </w:rPr>
              <w:t>4.0</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2"/>
        </w:trPr>
        <w:tc>
          <w:tcPr>
            <w:tcW w:w="6520" w:type="dxa"/>
            <w:vAlign w:val="bottom"/>
            <w:shd w:val="clear" w:color="auto" w:fill="CCEEFF"/>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(c)</w:t>
            </w: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0.6</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0.4</w:t>
            </w:r>
          </w:p>
        </w:tc>
      </w:tr>
      <w:tr>
        <w:trPr>
          <w:trHeight w:val="219"/>
        </w:trPr>
        <w:tc>
          <w:tcPr>
            <w:tcW w:w="652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9"/>
                <w:szCs w:val="19"/>
                <w:color w:val="auto"/>
              </w:rPr>
            </w:pP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16510</wp:posOffset>
            </wp:positionV>
            <wp:extent cx="3116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6580" cy="8255"/>
                    </a:xfrm>
                    <a:prstGeom prst="rect">
                      <a:avLst/>
                    </a:prstGeom>
                    <a:noFill/>
                  </pic:spPr>
                </pic:pic>
              </a:graphicData>
            </a:graphic>
          </wp:anchor>
        </w:drawing>
      </w:r>
    </w:p>
    <w:p>
      <w:pPr>
        <w:spacing w:after="0" w:line="25" w:lineRule="exact"/>
        <w:rPr>
          <w:sz w:val="20"/>
          <w:szCs w:val="20"/>
          <w:color w:val="auto"/>
        </w:rPr>
      </w:pPr>
    </w:p>
    <w:p>
      <w:pPr>
        <w:ind w:left="300" w:hanging="299"/>
        <w:spacing w:after="0"/>
        <w:tabs>
          <w:tab w:leader="none" w:pos="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Certain immaterial reclassifications have been made to prior year to conform to current year presentation.</w:t>
      </w:r>
    </w:p>
    <w:p>
      <w:pPr>
        <w:spacing w:after="0" w:line="13" w:lineRule="exact"/>
        <w:rPr>
          <w:rFonts w:ascii="Arial" w:cs="Arial" w:eastAsia="Arial" w:hAnsi="Arial"/>
          <w:sz w:val="13"/>
          <w:szCs w:val="13"/>
          <w:color w:val="auto"/>
        </w:rPr>
      </w:pPr>
    </w:p>
    <w:p>
      <w:pPr>
        <w:ind w:left="300" w:right="220" w:hanging="299"/>
        <w:spacing w:after="0" w:line="242" w:lineRule="auto"/>
        <w:tabs>
          <w:tab w:leader="none" w:pos="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 xml:space="preserve">Due to the adoption of ASU 2017-07, </w:t>
      </w:r>
      <w:r>
        <w:rPr>
          <w:rFonts w:ascii="Arial" w:cs="Arial" w:eastAsia="Arial" w:hAnsi="Arial"/>
          <w:sz w:val="13"/>
          <w:szCs w:val="13"/>
          <w:i w:val="1"/>
          <w:iCs w:val="1"/>
          <w:color w:val="auto"/>
        </w:rPr>
        <w:t>Improving the Presentation of Net Periodic Pension Cost and Net Periodic Postretirement Benefit Cost</w:t>
      </w:r>
      <w:r>
        <w:rPr>
          <w:rFonts w:ascii="Arial" w:cs="Arial" w:eastAsia="Arial" w:hAnsi="Arial"/>
          <w:sz w:val="13"/>
          <w:szCs w:val="13"/>
          <w:color w:val="auto"/>
        </w:rPr>
        <w:t>, “Operating income (loss)” for prior year has been updated to reflect the reclassification of pension expense.</w:t>
      </w:r>
    </w:p>
    <w:p>
      <w:pPr>
        <w:ind w:left="180" w:hanging="179"/>
        <w:spacing w:after="0"/>
        <w:tabs>
          <w:tab w:leader="none" w:pos="1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As required under our Term Loan Agreement, Other, net shown above consists of the impact of certain items to be included in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-386080</wp:posOffset>
            </wp:positionV>
            <wp:extent cx="3116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6580"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principal sources of liquidity are cash and cash equivalents, available borrowings under our ABL Facility and any prospective cash flow from operations. As of June 30, 2018, our availability under our ABL Facility was $74.7 million, which is derived by reducing the amount that may be advanced against eligible receivables plus eligible borrowing base cash by certain reserves imposed by the ABL Agent and our $351.5 million of outstanding letters of credit. Our Managed Accessibility was $32.1 million, which is the measure of availability management uses based on the ABL requirement to maintain availability in an amount at least equal to or above 10% of the collateral line cap. Our cash and cash equivalents and Managed Accessibility was $190.8 million as of June 30, 2018.</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Outside of funding normal operations, our principal uses of cash include making contributions to various multi-employer pension funds and our single-employer pension plans, and meeting our other cash obligations including, but not limited to, paying principal and interest on our funded debt, making payments on our equipment leases, and funding capital expenditures.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As of June 30, 2018, we had $910.7 million in aggregate par value of outstanding indebtedness, the majority of which matures in 3-5 years. We also have future funding obligations for our single-employer pension plans and various multi-employer pension funds. We expect our funding obligations for the remainder of 2018 for our multi-employer pension funds and single-employer pension plans will be $56.3 million and $13.1 million, respectively. In addition, we have, and will continue to have, operating lease obligations. As of June 30, 2018, our operating lease payment obligations through 2030 totaled $411.5 million and are expected to increase as we lease additional revenue equipment. For the first half of 2018, we entered into new operating leases for revenue equipment totaling $108.9 million in future lease payments, payable over an average lease term of four years.</w:t>
      </w:r>
    </w:p>
    <w:p>
      <w:pPr>
        <w:spacing w:after="0" w:line="18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capital expenditures for the first half of 2018 and 2017 were $46.5 million and $39.0 million, respectively. These amounts were principally used to fund the purchase of used tractors and trailers, to refurbish engines for our revenue fleet, and for capitalized costs to improve our technology infrastructure.</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June 30, 2018, our Standard &amp; Poor’s Corporate Family Rating was “B-” with a stable outlook and Moody’s Investor Service Corporate Family Rating was “B3” with a positive outlook.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Facility Covenants</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Term Loan Agreement has certain financial covenants that, among other things, restrict certain capital expenditures and require us to not exceed a maximum total leverage ratio (defined as Consolidated Total Debt divided by Consolidated Adjusted EBITDA). These covenants are more fully described in the “Debt and Financing” footnote to the consolidated financial statements. At June 30, 2018, we were in compliance with all such covenants.</w:t>
      </w:r>
    </w:p>
    <w:p>
      <w:pPr>
        <w:spacing w:after="0" w:line="159"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We believe that our results of operations will be sufficient to allow us to comply with the covenants in the Term Loan Agreement, fund our operations, increase working capital as necessary to support our planned revenue growth and fund capital expenditures for at least the next twelve months. Our ability to satisfy our liquidity needs and meet future stepped-up covenants beyond the next twelve months is dependent upon our ability to achieve operating results that reflect improvement over our 2017 results. Means for improving our profitability may include streamlining our support structure and networks, as well as ongoing successful implementation and realization of pricing, productivity and efficiency initiatives, in addition to increased volume and increasing capital expenditures, some of which are outside of our control.</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Cash Flow</w:t>
      </w:r>
    </w:p>
    <w:p>
      <w:pPr>
        <w:spacing w:after="0" w:line="2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Cash flows provided by operating activities were $71.5 million during the first half of 2018, compared to $40.7 million during the first half of 2017. The increase in operating cash flows was primarily attributable to a $22.8 million improvement due to changes in working capital, and a $6.1 million decrease in net loss.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Cash Flow</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Cash flows used in investing activities were $42.3 million during the first half of 2018 compared to $32.3 million during the first half of 2017, an increase of $10.0 million largely driven by higher property and equipment acquisitions of $7.5 million, and lower cash proceeds from the sale of real property.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Cash Flow</w:t>
      </w:r>
    </w:p>
    <w:p>
      <w:pPr>
        <w:spacing w:after="0" w:line="20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Cash flows used in financing activities for the first half of 2018 and 2017 were $16.2 million and $14.9 million, respectively, which consist primarily of repayments on our long-term debt. Cash flows used in financing activities for the first half of 2017 also included $3.2 million in debt issuance costs incurred during the quarter.</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 and Other Commercial Commitments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sections provide aggregated information regarding our contractual cash obligations and other commercial commitments as of June 30, 2018.</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Cash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our cash outflows that we are contractually obligated to make as of June 30, 2018:</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Payments Due by Period</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244"/>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3"/>
                <w:szCs w:val="13"/>
                <w:b w:val="1"/>
                <w:bCs w:val="1"/>
                <w:color w:val="auto"/>
              </w:rPr>
              <w:t>Total</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Less than 1 year</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1-3 years</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3-5 years</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w w:val="94"/>
              </w:rPr>
              <w:t>More than 5 years</w:t>
            </w:r>
          </w:p>
        </w:tc>
      </w:tr>
      <w:tr>
        <w:trPr>
          <w:trHeight w:val="249"/>
        </w:trPr>
        <w:tc>
          <w:tcPr>
            <w:tcW w:w="4120" w:type="dxa"/>
            <w:vAlign w:val="bottom"/>
            <w:shd w:val="clear" w:color="auto" w:fill="BFE4FF"/>
          </w:tcPr>
          <w:p>
            <w:pPr>
              <w:ind w:left="260"/>
              <w:spacing w:after="0" w:line="250" w:lineRule="exact"/>
              <w:rPr>
                <w:sz w:val="20"/>
                <w:szCs w:val="20"/>
                <w:color w:val="auto"/>
              </w:rPr>
            </w:pPr>
            <w:r>
              <w:rPr>
                <w:rFonts w:ascii="Arial" w:cs="Arial" w:eastAsia="Arial" w:hAnsi="Arial"/>
                <w:sz w:val="17"/>
                <w:szCs w:val="17"/>
                <w:color w:val="auto"/>
              </w:rPr>
              <w:t>ABL Facility</w:t>
            </w:r>
            <w:r>
              <w:rPr>
                <w:rFonts w:ascii="Arial" w:cs="Arial" w:eastAsia="Arial" w:hAnsi="Arial"/>
                <w:sz w:val="23"/>
                <w:szCs w:val="23"/>
                <w:color w:val="auto"/>
                <w:vertAlign w:val="superscript"/>
              </w:rPr>
              <w:t>(a)</w:t>
            </w:r>
          </w:p>
        </w:tc>
        <w:tc>
          <w:tcPr>
            <w:tcW w:w="320" w:type="dxa"/>
            <w:vAlign w:val="bottom"/>
            <w:shd w:val="clear" w:color="auto" w:fill="BFE4FF"/>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BFE4FF"/>
          </w:tcPr>
          <w:p>
            <w:pPr>
              <w:jc w:val="right"/>
              <w:ind w:right="58"/>
              <w:spacing w:after="0"/>
              <w:rPr>
                <w:sz w:val="20"/>
                <w:szCs w:val="20"/>
                <w:color w:val="auto"/>
              </w:rPr>
            </w:pPr>
            <w:r>
              <w:rPr>
                <w:rFonts w:ascii="Arial" w:cs="Arial" w:eastAsia="Arial" w:hAnsi="Arial"/>
                <w:sz w:val="17"/>
                <w:szCs w:val="17"/>
                <w:color w:val="auto"/>
              </w:rPr>
              <w:t>22.8</w:t>
            </w:r>
          </w:p>
        </w:tc>
        <w:tc>
          <w:tcPr>
            <w:tcW w:w="280" w:type="dxa"/>
            <w:vAlign w:val="bottom"/>
            <w:shd w:val="clear" w:color="auto" w:fill="BFE4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7.0</w:t>
            </w:r>
          </w:p>
        </w:tc>
        <w:tc>
          <w:tcPr>
            <w:tcW w:w="100" w:type="dxa"/>
            <w:vAlign w:val="bottom"/>
            <w:shd w:val="clear" w:color="auto" w:fill="BFE4FF"/>
          </w:tcPr>
          <w:p>
            <w:pPr>
              <w:spacing w:after="0"/>
              <w:rPr>
                <w:sz w:val="21"/>
                <w:szCs w:val="21"/>
                <w:color w:val="auto"/>
              </w:rPr>
            </w:pPr>
          </w:p>
        </w:tc>
        <w:tc>
          <w:tcPr>
            <w:tcW w:w="260" w:type="dxa"/>
            <w:vAlign w:val="bottom"/>
            <w:shd w:val="clear" w:color="auto" w:fill="BFE4FF"/>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shd w:val="clear" w:color="auto" w:fill="BFE4FF"/>
          </w:tcPr>
          <w:p>
            <w:pPr>
              <w:jc w:val="right"/>
              <w:ind w:right="39"/>
              <w:spacing w:after="0"/>
              <w:rPr>
                <w:sz w:val="20"/>
                <w:szCs w:val="20"/>
                <w:color w:val="auto"/>
              </w:rPr>
            </w:pPr>
            <w:r>
              <w:rPr>
                <w:rFonts w:ascii="Arial" w:cs="Arial" w:eastAsia="Arial" w:hAnsi="Arial"/>
                <w:sz w:val="17"/>
                <w:szCs w:val="17"/>
                <w:color w:val="auto"/>
              </w:rPr>
              <w:t>15.8</w:t>
            </w:r>
          </w:p>
        </w:tc>
        <w:tc>
          <w:tcPr>
            <w:tcW w:w="120" w:type="dxa"/>
            <w:vAlign w:val="bottom"/>
            <w:shd w:val="clear" w:color="auto" w:fill="BFE4FF"/>
          </w:tcPr>
          <w:p>
            <w:pPr>
              <w:spacing w:after="0"/>
              <w:rPr>
                <w:sz w:val="21"/>
                <w:szCs w:val="21"/>
                <w:color w:val="auto"/>
              </w:rPr>
            </w:pPr>
          </w:p>
        </w:tc>
        <w:tc>
          <w:tcPr>
            <w:tcW w:w="260" w:type="dxa"/>
            <w:vAlign w:val="bottom"/>
            <w:shd w:val="clear" w:color="auto" w:fill="BFE4FF"/>
          </w:tcPr>
          <w:p>
            <w:pPr>
              <w:jc w:val="right"/>
              <w:ind w:right="76"/>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BFE4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BFE4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BFE4FF"/>
          </w:tcPr>
          <w:p>
            <w:pPr>
              <w:jc w:val="right"/>
              <w:ind w:right="18"/>
              <w:spacing w:after="0"/>
              <w:rPr>
                <w:sz w:val="20"/>
                <w:szCs w:val="20"/>
                <w:color w:val="auto"/>
              </w:rPr>
            </w:pPr>
            <w:r>
              <w:rPr>
                <w:rFonts w:ascii="Arial" w:cs="Arial" w:eastAsia="Arial" w:hAnsi="Arial"/>
                <w:sz w:val="17"/>
                <w:szCs w:val="17"/>
                <w:color w:val="auto"/>
              </w:rPr>
              <w:t>—</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Term Loan</w:t>
            </w:r>
            <w:r>
              <w:rPr>
                <w:rFonts w:ascii="Arial" w:cs="Arial" w:eastAsia="Arial" w:hAnsi="Arial"/>
                <w:sz w:val="23"/>
                <w:szCs w:val="23"/>
                <w:color w:val="auto"/>
                <w:vertAlign w:val="superscript"/>
              </w:rPr>
              <w:t>(b)</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828.7</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80.2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155.5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593.0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52"/>
        </w:trPr>
        <w:tc>
          <w:tcPr>
            <w:tcW w:w="4120" w:type="dxa"/>
            <w:vAlign w:val="bottom"/>
            <w:shd w:val="clear" w:color="auto" w:fill="BFE4FF"/>
          </w:tcPr>
          <w:p>
            <w:pPr>
              <w:ind w:left="260"/>
              <w:spacing w:after="0" w:line="252" w:lineRule="exact"/>
              <w:rPr>
                <w:sz w:val="20"/>
                <w:szCs w:val="20"/>
                <w:color w:val="auto"/>
              </w:rPr>
            </w:pPr>
            <w:r>
              <w:rPr>
                <w:rFonts w:ascii="Arial" w:cs="Arial" w:eastAsia="Arial" w:hAnsi="Arial"/>
                <w:sz w:val="17"/>
                <w:szCs w:val="17"/>
                <w:color w:val="auto"/>
              </w:rPr>
              <w:t>Lease financing obligations</w:t>
            </w:r>
            <w:r>
              <w:rPr>
                <w:rFonts w:ascii="Arial" w:cs="Arial" w:eastAsia="Arial" w:hAnsi="Arial"/>
                <w:sz w:val="23"/>
                <w:szCs w:val="23"/>
                <w:color w:val="auto"/>
                <w:vertAlign w:val="superscript"/>
              </w:rPr>
              <w:t>(c)</w:t>
            </w:r>
          </w:p>
        </w:tc>
        <w:tc>
          <w:tcPr>
            <w:tcW w:w="320" w:type="dxa"/>
            <w:vAlign w:val="bottom"/>
            <w:shd w:val="clear" w:color="auto" w:fill="BFE4FF"/>
          </w:tcPr>
          <w:p>
            <w:pPr>
              <w:spacing w:after="0"/>
              <w:rPr>
                <w:sz w:val="21"/>
                <w:szCs w:val="21"/>
                <w:color w:val="auto"/>
              </w:rPr>
            </w:pPr>
          </w:p>
        </w:tc>
        <w:tc>
          <w:tcPr>
            <w:tcW w:w="1080" w:type="dxa"/>
            <w:vAlign w:val="bottom"/>
            <w:shd w:val="clear" w:color="auto" w:fill="BFE4FF"/>
          </w:tcPr>
          <w:p>
            <w:pPr>
              <w:jc w:val="right"/>
              <w:ind w:right="58"/>
              <w:spacing w:after="0"/>
              <w:rPr>
                <w:sz w:val="20"/>
                <w:szCs w:val="20"/>
                <w:color w:val="auto"/>
              </w:rPr>
            </w:pPr>
            <w:r>
              <w:rPr>
                <w:rFonts w:ascii="Arial" w:cs="Arial" w:eastAsia="Arial" w:hAnsi="Arial"/>
                <w:sz w:val="17"/>
                <w:szCs w:val="17"/>
                <w:color w:val="auto"/>
              </w:rPr>
              <w:t>86.3</w:t>
            </w:r>
          </w:p>
        </w:tc>
        <w:tc>
          <w:tcPr>
            <w:tcW w:w="280" w:type="dxa"/>
            <w:vAlign w:val="bottom"/>
            <w:shd w:val="clear" w:color="auto" w:fill="BFE4FF"/>
          </w:tcPr>
          <w:p>
            <w:pPr>
              <w:spacing w:after="0"/>
              <w:rPr>
                <w:sz w:val="21"/>
                <w:szCs w:val="21"/>
                <w:color w:val="auto"/>
              </w:rPr>
            </w:pPr>
          </w:p>
        </w:tc>
        <w:tc>
          <w:tcPr>
            <w:tcW w:w="122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33.6</w:t>
            </w:r>
          </w:p>
        </w:tc>
        <w:tc>
          <w:tcPr>
            <w:tcW w:w="10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1100" w:type="dxa"/>
            <w:vAlign w:val="bottom"/>
            <w:shd w:val="clear" w:color="auto" w:fill="BFE4FF"/>
          </w:tcPr>
          <w:p>
            <w:pPr>
              <w:jc w:val="right"/>
              <w:ind w:right="39"/>
              <w:spacing w:after="0"/>
              <w:rPr>
                <w:sz w:val="20"/>
                <w:szCs w:val="20"/>
                <w:color w:val="auto"/>
              </w:rPr>
            </w:pPr>
            <w:r>
              <w:rPr>
                <w:rFonts w:ascii="Arial" w:cs="Arial" w:eastAsia="Arial" w:hAnsi="Arial"/>
                <w:sz w:val="17"/>
                <w:szCs w:val="17"/>
                <w:color w:val="auto"/>
              </w:rPr>
              <w:t>23.2</w:t>
            </w:r>
          </w:p>
        </w:tc>
        <w:tc>
          <w:tcPr>
            <w:tcW w:w="12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110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16.2</w:t>
            </w:r>
          </w:p>
        </w:tc>
        <w:tc>
          <w:tcPr>
            <w:tcW w:w="100" w:type="dxa"/>
            <w:vAlign w:val="bottom"/>
            <w:shd w:val="clear" w:color="auto" w:fill="BFE4FF"/>
          </w:tcPr>
          <w:p>
            <w:pPr>
              <w:spacing w:after="0"/>
              <w:rPr>
                <w:sz w:val="21"/>
                <w:szCs w:val="21"/>
                <w:color w:val="auto"/>
              </w:rPr>
            </w:pPr>
          </w:p>
        </w:tc>
        <w:tc>
          <w:tcPr>
            <w:tcW w:w="140" w:type="dxa"/>
            <w:vAlign w:val="bottom"/>
            <w:shd w:val="clear" w:color="auto" w:fill="BFE4FF"/>
          </w:tcPr>
          <w:p>
            <w:pPr>
              <w:spacing w:after="0"/>
              <w:rPr>
                <w:sz w:val="21"/>
                <w:szCs w:val="21"/>
                <w:color w:val="auto"/>
              </w:rPr>
            </w:pPr>
          </w:p>
        </w:tc>
        <w:tc>
          <w:tcPr>
            <w:tcW w:w="1220" w:type="dxa"/>
            <w:vAlign w:val="bottom"/>
            <w:shd w:val="clear" w:color="auto" w:fill="BFE4FF"/>
          </w:tcPr>
          <w:p>
            <w:pPr>
              <w:jc w:val="right"/>
              <w:ind w:right="18"/>
              <w:spacing w:after="0"/>
              <w:rPr>
                <w:sz w:val="20"/>
                <w:szCs w:val="20"/>
                <w:color w:val="auto"/>
              </w:rPr>
            </w:pPr>
            <w:r>
              <w:rPr>
                <w:rFonts w:ascii="Arial" w:cs="Arial" w:eastAsia="Arial" w:hAnsi="Arial"/>
                <w:sz w:val="17"/>
                <w:szCs w:val="17"/>
                <w:color w:val="auto"/>
              </w:rPr>
              <w:t>13.3</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Pension deferral obligations</w:t>
            </w:r>
            <w:r>
              <w:rPr>
                <w:rFonts w:ascii="Arial" w:cs="Arial" w:eastAsia="Arial" w:hAnsi="Arial"/>
                <w:sz w:val="23"/>
                <w:szCs w:val="23"/>
                <w:color w:val="auto"/>
                <w:vertAlign w:val="superscript"/>
              </w:rPr>
              <w:t>(d)</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100.9</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14.3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79.2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13"/>
        </w:trPr>
        <w:tc>
          <w:tcPr>
            <w:tcW w:w="4120" w:type="dxa"/>
            <w:vAlign w:val="bottom"/>
            <w:shd w:val="clear" w:color="auto" w:fill="BFE4FF"/>
          </w:tcPr>
          <w:p>
            <w:pPr>
              <w:ind w:left="260"/>
              <w:spacing w:after="0"/>
              <w:rPr>
                <w:sz w:val="20"/>
                <w:szCs w:val="20"/>
                <w:color w:val="auto"/>
              </w:rPr>
            </w:pPr>
            <w:r>
              <w:rPr>
                <w:rFonts w:ascii="Arial" w:cs="Arial" w:eastAsia="Arial" w:hAnsi="Arial"/>
                <w:sz w:val="17"/>
                <w:szCs w:val="17"/>
                <w:color w:val="auto"/>
                <w:w w:val="94"/>
              </w:rPr>
              <w:t>Workers’ compensation, property damage and liability</w:t>
            </w:r>
          </w:p>
        </w:tc>
        <w:tc>
          <w:tcPr>
            <w:tcW w:w="320" w:type="dxa"/>
            <w:vAlign w:val="bottom"/>
            <w:shd w:val="clear" w:color="auto" w:fill="BFE4FF"/>
          </w:tcPr>
          <w:p>
            <w:pPr>
              <w:spacing w:after="0"/>
              <w:rPr>
                <w:sz w:val="18"/>
                <w:szCs w:val="18"/>
                <w:color w:val="auto"/>
              </w:rPr>
            </w:pPr>
          </w:p>
        </w:tc>
        <w:tc>
          <w:tcPr>
            <w:tcW w:w="1080" w:type="dxa"/>
            <w:vAlign w:val="bottom"/>
            <w:shd w:val="clear" w:color="auto" w:fill="BFE4FF"/>
          </w:tcPr>
          <w:p>
            <w:pPr>
              <w:spacing w:after="0"/>
              <w:rPr>
                <w:sz w:val="18"/>
                <w:szCs w:val="18"/>
                <w:color w:val="auto"/>
              </w:rPr>
            </w:pPr>
          </w:p>
        </w:tc>
        <w:tc>
          <w:tcPr>
            <w:tcW w:w="280" w:type="dxa"/>
            <w:vAlign w:val="bottom"/>
            <w:shd w:val="clear" w:color="auto" w:fill="BFE4FF"/>
          </w:tcPr>
          <w:p>
            <w:pPr>
              <w:spacing w:after="0"/>
              <w:rPr>
                <w:sz w:val="18"/>
                <w:szCs w:val="18"/>
                <w:color w:val="auto"/>
              </w:rPr>
            </w:pPr>
          </w:p>
        </w:tc>
        <w:tc>
          <w:tcPr>
            <w:tcW w:w="12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60" w:type="dxa"/>
            <w:vAlign w:val="bottom"/>
            <w:shd w:val="clear" w:color="auto" w:fill="BFE4FF"/>
          </w:tcPr>
          <w:p>
            <w:pPr>
              <w:spacing w:after="0"/>
              <w:rPr>
                <w:sz w:val="18"/>
                <w:szCs w:val="18"/>
                <w:color w:val="auto"/>
              </w:rPr>
            </w:pPr>
          </w:p>
        </w:tc>
        <w:tc>
          <w:tcPr>
            <w:tcW w:w="11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260" w:type="dxa"/>
            <w:vAlign w:val="bottom"/>
            <w:shd w:val="clear" w:color="auto" w:fill="BFE4FF"/>
          </w:tcPr>
          <w:p>
            <w:pPr>
              <w:spacing w:after="0"/>
              <w:rPr>
                <w:sz w:val="18"/>
                <w:szCs w:val="18"/>
                <w:color w:val="auto"/>
              </w:rPr>
            </w:pPr>
          </w:p>
        </w:tc>
        <w:tc>
          <w:tcPr>
            <w:tcW w:w="110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1220" w:type="dxa"/>
            <w:vAlign w:val="bottom"/>
            <w:shd w:val="clear" w:color="auto" w:fill="BFE4FF"/>
          </w:tcPr>
          <w:p>
            <w:pPr>
              <w:spacing w:after="0"/>
              <w:rPr>
                <w:sz w:val="18"/>
                <w:szCs w:val="18"/>
                <w:color w:val="auto"/>
              </w:rPr>
            </w:pPr>
          </w:p>
        </w:tc>
      </w:tr>
      <w:tr>
        <w:trPr>
          <w:trHeight w:val="240"/>
        </w:trPr>
        <w:tc>
          <w:tcPr>
            <w:tcW w:w="4120" w:type="dxa"/>
            <w:vAlign w:val="bottom"/>
            <w:shd w:val="clear" w:color="auto" w:fill="BFE4FF"/>
          </w:tcPr>
          <w:p>
            <w:pPr>
              <w:ind w:left="260"/>
              <w:spacing w:after="0" w:line="241" w:lineRule="exact"/>
              <w:rPr>
                <w:sz w:val="20"/>
                <w:szCs w:val="20"/>
                <w:color w:val="auto"/>
              </w:rPr>
            </w:pPr>
            <w:r>
              <w:rPr>
                <w:rFonts w:ascii="Arial" w:cs="Arial" w:eastAsia="Arial" w:hAnsi="Arial"/>
                <w:sz w:val="17"/>
                <w:szCs w:val="17"/>
                <w:color w:val="auto"/>
              </w:rPr>
              <w:t>claims obligations</w:t>
            </w:r>
            <w:r>
              <w:rPr>
                <w:rFonts w:ascii="Arial" w:cs="Arial" w:eastAsia="Arial" w:hAnsi="Arial"/>
                <w:sz w:val="23"/>
                <w:szCs w:val="23"/>
                <w:color w:val="auto"/>
                <w:vertAlign w:val="superscript"/>
              </w:rPr>
              <w:t>(e)</w:t>
            </w:r>
          </w:p>
        </w:tc>
        <w:tc>
          <w:tcPr>
            <w:tcW w:w="320" w:type="dxa"/>
            <w:vAlign w:val="bottom"/>
            <w:shd w:val="clear" w:color="auto" w:fill="BFE4FF"/>
          </w:tcPr>
          <w:p>
            <w:pPr>
              <w:spacing w:after="0"/>
              <w:rPr>
                <w:sz w:val="20"/>
                <w:szCs w:val="20"/>
                <w:color w:val="auto"/>
              </w:rPr>
            </w:pPr>
          </w:p>
        </w:tc>
        <w:tc>
          <w:tcPr>
            <w:tcW w:w="1080" w:type="dxa"/>
            <w:vAlign w:val="bottom"/>
            <w:shd w:val="clear" w:color="auto" w:fill="BFE4FF"/>
          </w:tcPr>
          <w:p>
            <w:pPr>
              <w:jc w:val="right"/>
              <w:ind w:right="58"/>
              <w:spacing w:after="0"/>
              <w:rPr>
                <w:sz w:val="20"/>
                <w:szCs w:val="20"/>
                <w:color w:val="auto"/>
              </w:rPr>
            </w:pPr>
            <w:r>
              <w:rPr>
                <w:rFonts w:ascii="Arial" w:cs="Arial" w:eastAsia="Arial" w:hAnsi="Arial"/>
                <w:sz w:val="17"/>
                <w:szCs w:val="17"/>
                <w:color w:val="auto"/>
              </w:rPr>
              <w:t>369.4</w:t>
            </w:r>
          </w:p>
        </w:tc>
        <w:tc>
          <w:tcPr>
            <w:tcW w:w="280" w:type="dxa"/>
            <w:vAlign w:val="bottom"/>
            <w:shd w:val="clear" w:color="auto" w:fill="BFE4FF"/>
          </w:tcPr>
          <w:p>
            <w:pPr>
              <w:spacing w:after="0"/>
              <w:rPr>
                <w:sz w:val="20"/>
                <w:szCs w:val="20"/>
                <w:color w:val="auto"/>
              </w:rPr>
            </w:pPr>
          </w:p>
        </w:tc>
        <w:tc>
          <w:tcPr>
            <w:tcW w:w="122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104.8</w:t>
            </w:r>
          </w:p>
        </w:tc>
        <w:tc>
          <w:tcPr>
            <w:tcW w:w="100" w:type="dxa"/>
            <w:vAlign w:val="bottom"/>
            <w:shd w:val="clear" w:color="auto" w:fill="BFE4FF"/>
          </w:tcPr>
          <w:p>
            <w:pPr>
              <w:spacing w:after="0"/>
              <w:rPr>
                <w:sz w:val="20"/>
                <w:szCs w:val="20"/>
                <w:color w:val="auto"/>
              </w:rPr>
            </w:pPr>
          </w:p>
        </w:tc>
        <w:tc>
          <w:tcPr>
            <w:tcW w:w="260" w:type="dxa"/>
            <w:vAlign w:val="bottom"/>
            <w:shd w:val="clear" w:color="auto" w:fill="BFE4FF"/>
          </w:tcPr>
          <w:p>
            <w:pPr>
              <w:spacing w:after="0"/>
              <w:rPr>
                <w:sz w:val="20"/>
                <w:szCs w:val="20"/>
                <w:color w:val="auto"/>
              </w:rPr>
            </w:pPr>
          </w:p>
        </w:tc>
        <w:tc>
          <w:tcPr>
            <w:tcW w:w="1100" w:type="dxa"/>
            <w:vAlign w:val="bottom"/>
            <w:shd w:val="clear" w:color="auto" w:fill="BFE4FF"/>
          </w:tcPr>
          <w:p>
            <w:pPr>
              <w:jc w:val="right"/>
              <w:ind w:right="39"/>
              <w:spacing w:after="0"/>
              <w:rPr>
                <w:sz w:val="20"/>
                <w:szCs w:val="20"/>
                <w:color w:val="auto"/>
              </w:rPr>
            </w:pPr>
            <w:r>
              <w:rPr>
                <w:rFonts w:ascii="Arial" w:cs="Arial" w:eastAsia="Arial" w:hAnsi="Arial"/>
                <w:sz w:val="17"/>
                <w:szCs w:val="17"/>
                <w:color w:val="auto"/>
              </w:rPr>
              <w:t>116.3</w:t>
            </w:r>
          </w:p>
        </w:tc>
        <w:tc>
          <w:tcPr>
            <w:tcW w:w="120" w:type="dxa"/>
            <w:vAlign w:val="bottom"/>
            <w:shd w:val="clear" w:color="auto" w:fill="BFE4FF"/>
          </w:tcPr>
          <w:p>
            <w:pPr>
              <w:spacing w:after="0"/>
              <w:rPr>
                <w:sz w:val="20"/>
                <w:szCs w:val="20"/>
                <w:color w:val="auto"/>
              </w:rPr>
            </w:pPr>
          </w:p>
        </w:tc>
        <w:tc>
          <w:tcPr>
            <w:tcW w:w="260" w:type="dxa"/>
            <w:vAlign w:val="bottom"/>
            <w:shd w:val="clear" w:color="auto" w:fill="BFE4FF"/>
          </w:tcPr>
          <w:p>
            <w:pPr>
              <w:spacing w:after="0"/>
              <w:rPr>
                <w:sz w:val="20"/>
                <w:szCs w:val="20"/>
                <w:color w:val="auto"/>
              </w:rPr>
            </w:pPr>
          </w:p>
        </w:tc>
        <w:tc>
          <w:tcPr>
            <w:tcW w:w="110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51.9</w:t>
            </w:r>
          </w:p>
        </w:tc>
        <w:tc>
          <w:tcPr>
            <w:tcW w:w="100" w:type="dxa"/>
            <w:vAlign w:val="bottom"/>
            <w:shd w:val="clear" w:color="auto" w:fill="BFE4FF"/>
          </w:tcPr>
          <w:p>
            <w:pPr>
              <w:spacing w:after="0"/>
              <w:rPr>
                <w:sz w:val="20"/>
                <w:szCs w:val="20"/>
                <w:color w:val="auto"/>
              </w:rPr>
            </w:pPr>
          </w:p>
        </w:tc>
        <w:tc>
          <w:tcPr>
            <w:tcW w:w="140" w:type="dxa"/>
            <w:vAlign w:val="bottom"/>
            <w:shd w:val="clear" w:color="auto" w:fill="BFE4FF"/>
          </w:tcPr>
          <w:p>
            <w:pPr>
              <w:spacing w:after="0"/>
              <w:rPr>
                <w:sz w:val="20"/>
                <w:szCs w:val="20"/>
                <w:color w:val="auto"/>
              </w:rPr>
            </w:pPr>
          </w:p>
        </w:tc>
        <w:tc>
          <w:tcPr>
            <w:tcW w:w="1220" w:type="dxa"/>
            <w:vAlign w:val="bottom"/>
            <w:shd w:val="clear" w:color="auto" w:fill="BFE4FF"/>
          </w:tcPr>
          <w:p>
            <w:pPr>
              <w:jc w:val="right"/>
              <w:ind w:right="18"/>
              <w:spacing w:after="0"/>
              <w:rPr>
                <w:sz w:val="20"/>
                <w:szCs w:val="20"/>
                <w:color w:val="auto"/>
              </w:rPr>
            </w:pPr>
            <w:r>
              <w:rPr>
                <w:rFonts w:ascii="Arial" w:cs="Arial" w:eastAsia="Arial" w:hAnsi="Arial"/>
                <w:sz w:val="17"/>
                <w:szCs w:val="17"/>
                <w:color w:val="auto"/>
              </w:rPr>
              <w:t>96.4</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Operating leases</w:t>
            </w:r>
            <w:r>
              <w:rPr>
                <w:rFonts w:ascii="Arial" w:cs="Arial" w:eastAsia="Arial" w:hAnsi="Arial"/>
                <w:sz w:val="23"/>
                <w:szCs w:val="23"/>
                <w:color w:val="auto"/>
                <w:vertAlign w:val="superscript"/>
              </w:rPr>
              <w:t>(f)</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411.5</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130.1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189.3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73.7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18.4</w:t>
            </w:r>
          </w:p>
        </w:tc>
      </w:tr>
      <w:tr>
        <w:trPr>
          <w:trHeight w:val="252"/>
        </w:trPr>
        <w:tc>
          <w:tcPr>
            <w:tcW w:w="4120" w:type="dxa"/>
            <w:vAlign w:val="bottom"/>
            <w:shd w:val="clear" w:color="auto" w:fill="BFE4FF"/>
          </w:tcPr>
          <w:p>
            <w:pPr>
              <w:ind w:left="260"/>
              <w:spacing w:after="0" w:line="252" w:lineRule="exact"/>
              <w:rPr>
                <w:sz w:val="20"/>
                <w:szCs w:val="20"/>
                <w:color w:val="auto"/>
              </w:rPr>
            </w:pPr>
            <w:r>
              <w:rPr>
                <w:rFonts w:ascii="Arial" w:cs="Arial" w:eastAsia="Arial" w:hAnsi="Arial"/>
                <w:sz w:val="17"/>
                <w:szCs w:val="17"/>
                <w:color w:val="auto"/>
              </w:rPr>
              <w:t>Other contractual obligations</w:t>
            </w:r>
            <w:r>
              <w:rPr>
                <w:rFonts w:ascii="Arial" w:cs="Arial" w:eastAsia="Arial" w:hAnsi="Arial"/>
                <w:sz w:val="23"/>
                <w:szCs w:val="23"/>
                <w:color w:val="auto"/>
                <w:vertAlign w:val="superscript"/>
              </w:rPr>
              <w:t>(g)</w:t>
            </w:r>
          </w:p>
        </w:tc>
        <w:tc>
          <w:tcPr>
            <w:tcW w:w="320" w:type="dxa"/>
            <w:vAlign w:val="bottom"/>
            <w:shd w:val="clear" w:color="auto" w:fill="BFE4FF"/>
          </w:tcPr>
          <w:p>
            <w:pPr>
              <w:spacing w:after="0"/>
              <w:rPr>
                <w:sz w:val="21"/>
                <w:szCs w:val="21"/>
                <w:color w:val="auto"/>
              </w:rPr>
            </w:pPr>
          </w:p>
        </w:tc>
        <w:tc>
          <w:tcPr>
            <w:tcW w:w="1080" w:type="dxa"/>
            <w:vAlign w:val="bottom"/>
            <w:shd w:val="clear" w:color="auto" w:fill="BFE4FF"/>
          </w:tcPr>
          <w:p>
            <w:pPr>
              <w:jc w:val="right"/>
              <w:ind w:right="58"/>
              <w:spacing w:after="0"/>
              <w:rPr>
                <w:sz w:val="20"/>
                <w:szCs w:val="20"/>
                <w:color w:val="auto"/>
              </w:rPr>
            </w:pPr>
            <w:r>
              <w:rPr>
                <w:rFonts w:ascii="Arial" w:cs="Arial" w:eastAsia="Arial" w:hAnsi="Arial"/>
                <w:sz w:val="17"/>
                <w:szCs w:val="17"/>
                <w:color w:val="auto"/>
              </w:rPr>
              <w:t>25.5</w:t>
            </w:r>
          </w:p>
        </w:tc>
        <w:tc>
          <w:tcPr>
            <w:tcW w:w="280" w:type="dxa"/>
            <w:vAlign w:val="bottom"/>
            <w:shd w:val="clear" w:color="auto" w:fill="BFE4FF"/>
          </w:tcPr>
          <w:p>
            <w:pPr>
              <w:spacing w:after="0"/>
              <w:rPr>
                <w:sz w:val="21"/>
                <w:szCs w:val="21"/>
                <w:color w:val="auto"/>
              </w:rPr>
            </w:pPr>
          </w:p>
        </w:tc>
        <w:tc>
          <w:tcPr>
            <w:tcW w:w="122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20.5</w:t>
            </w:r>
          </w:p>
        </w:tc>
        <w:tc>
          <w:tcPr>
            <w:tcW w:w="10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1100" w:type="dxa"/>
            <w:vAlign w:val="bottom"/>
            <w:shd w:val="clear" w:color="auto" w:fill="BFE4FF"/>
          </w:tcPr>
          <w:p>
            <w:pPr>
              <w:jc w:val="right"/>
              <w:ind w:right="39"/>
              <w:spacing w:after="0"/>
              <w:rPr>
                <w:sz w:val="20"/>
                <w:szCs w:val="20"/>
                <w:color w:val="auto"/>
              </w:rPr>
            </w:pPr>
            <w:r>
              <w:rPr>
                <w:rFonts w:ascii="Arial" w:cs="Arial" w:eastAsia="Arial" w:hAnsi="Arial"/>
                <w:sz w:val="17"/>
                <w:szCs w:val="17"/>
                <w:color w:val="auto"/>
              </w:rPr>
              <w:t>3.4</w:t>
            </w:r>
          </w:p>
        </w:tc>
        <w:tc>
          <w:tcPr>
            <w:tcW w:w="12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110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1.6</w:t>
            </w:r>
          </w:p>
        </w:tc>
        <w:tc>
          <w:tcPr>
            <w:tcW w:w="100" w:type="dxa"/>
            <w:vAlign w:val="bottom"/>
            <w:shd w:val="clear" w:color="auto" w:fill="BFE4FF"/>
          </w:tcPr>
          <w:p>
            <w:pPr>
              <w:spacing w:after="0"/>
              <w:rPr>
                <w:sz w:val="21"/>
                <w:szCs w:val="21"/>
                <w:color w:val="auto"/>
              </w:rPr>
            </w:pPr>
          </w:p>
        </w:tc>
        <w:tc>
          <w:tcPr>
            <w:tcW w:w="140" w:type="dxa"/>
            <w:vAlign w:val="bottom"/>
            <w:shd w:val="clear" w:color="auto" w:fill="BFE4FF"/>
          </w:tcPr>
          <w:p>
            <w:pPr>
              <w:spacing w:after="0"/>
              <w:rPr>
                <w:sz w:val="21"/>
                <w:szCs w:val="21"/>
                <w:color w:val="auto"/>
              </w:rPr>
            </w:pPr>
          </w:p>
        </w:tc>
        <w:tc>
          <w:tcPr>
            <w:tcW w:w="1220" w:type="dxa"/>
            <w:vAlign w:val="bottom"/>
            <w:shd w:val="clear" w:color="auto" w:fill="BFE4FF"/>
          </w:tcPr>
          <w:p>
            <w:pPr>
              <w:jc w:val="right"/>
              <w:ind w:right="18"/>
              <w:spacing w:after="0"/>
              <w:rPr>
                <w:sz w:val="20"/>
                <w:szCs w:val="20"/>
                <w:color w:val="auto"/>
              </w:rPr>
            </w:pPr>
            <w:r>
              <w:rPr>
                <w:rFonts w:ascii="Arial" w:cs="Arial" w:eastAsia="Arial" w:hAnsi="Arial"/>
                <w:sz w:val="17"/>
                <w:szCs w:val="17"/>
                <w:color w:val="auto"/>
              </w:rPr>
              <w:t>—</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 xml:space="preserve">Capital expenditures and other </w:t>
            </w:r>
            <w:r>
              <w:rPr>
                <w:rFonts w:ascii="Arial" w:cs="Arial" w:eastAsia="Arial" w:hAnsi="Arial"/>
                <w:sz w:val="23"/>
                <w:szCs w:val="23"/>
                <w:color w:val="auto"/>
                <w:vertAlign w:val="superscript"/>
              </w:rPr>
              <w:t>(h)</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37.4</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37.4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24"/>
        </w:trPr>
        <w:tc>
          <w:tcPr>
            <w:tcW w:w="412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Total contractual obligations</w:t>
            </w:r>
          </w:p>
        </w:tc>
        <w:tc>
          <w:tcPr>
            <w:tcW w:w="320" w:type="dxa"/>
            <w:vAlign w:val="bottom"/>
            <w:tcBorders>
              <w:top w:val="single" w:sz="8" w:color="auto"/>
              <w:bottom w:val="single" w:sz="8" w:color="BFE4FF"/>
            </w:tcBorders>
            <w:shd w:val="clear" w:color="auto" w:fill="BFE4FF"/>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BFE4FF"/>
            </w:tcBorders>
            <w:shd w:val="clear" w:color="auto" w:fill="BFE4FF"/>
          </w:tcPr>
          <w:p>
            <w:pPr>
              <w:jc w:val="right"/>
              <w:ind w:right="58"/>
              <w:spacing w:after="0"/>
              <w:rPr>
                <w:sz w:val="20"/>
                <w:szCs w:val="20"/>
                <w:color w:val="auto"/>
              </w:rPr>
            </w:pPr>
            <w:r>
              <w:rPr>
                <w:rFonts w:ascii="Arial" w:cs="Arial" w:eastAsia="Arial" w:hAnsi="Arial"/>
                <w:sz w:val="17"/>
                <w:szCs w:val="17"/>
                <w:color w:val="auto"/>
              </w:rPr>
              <w:t>1,882.5</w:t>
            </w:r>
          </w:p>
        </w:tc>
        <w:tc>
          <w:tcPr>
            <w:tcW w:w="28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BFE4FF"/>
            </w:tcBorders>
            <w:shd w:val="clear" w:color="auto" w:fill="BFE4FF"/>
          </w:tcPr>
          <w:p>
            <w:pPr>
              <w:jc w:val="right"/>
              <w:ind w:right="38"/>
              <w:spacing w:after="0"/>
              <w:rPr>
                <w:sz w:val="20"/>
                <w:szCs w:val="20"/>
                <w:color w:val="auto"/>
              </w:rPr>
            </w:pPr>
            <w:r>
              <w:rPr>
                <w:rFonts w:ascii="Arial" w:cs="Arial" w:eastAsia="Arial" w:hAnsi="Arial"/>
                <w:sz w:val="17"/>
                <w:szCs w:val="17"/>
                <w:color w:val="auto"/>
              </w:rPr>
              <w:t>421.0</w:t>
            </w:r>
          </w:p>
        </w:tc>
        <w:tc>
          <w:tcPr>
            <w:tcW w:w="100" w:type="dxa"/>
            <w:vAlign w:val="bottom"/>
            <w:tcBorders>
              <w:top w:val="single" w:sz="8" w:color="BFE4FF"/>
              <w:bottom w:val="single" w:sz="8" w:color="BFE4FF"/>
            </w:tcBorders>
            <w:shd w:val="clear" w:color="auto" w:fill="BFE4FF"/>
          </w:tcPr>
          <w:p>
            <w:pPr>
              <w:spacing w:after="0"/>
              <w:rPr>
                <w:sz w:val="19"/>
                <w:szCs w:val="19"/>
                <w:color w:val="auto"/>
              </w:rPr>
            </w:pPr>
          </w:p>
        </w:tc>
        <w:tc>
          <w:tcPr>
            <w:tcW w:w="260" w:type="dxa"/>
            <w:vAlign w:val="bottom"/>
            <w:tcBorders>
              <w:top w:val="single" w:sz="8" w:color="auto"/>
              <w:bottom w:val="single" w:sz="8" w:color="BFE4FF"/>
            </w:tcBorders>
            <w:shd w:val="clear" w:color="auto" w:fill="BFE4FF"/>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BFE4FF"/>
            </w:tcBorders>
            <w:shd w:val="clear" w:color="auto" w:fill="BFE4FF"/>
          </w:tcPr>
          <w:p>
            <w:pPr>
              <w:jc w:val="right"/>
              <w:ind w:right="39"/>
              <w:spacing w:after="0"/>
              <w:rPr>
                <w:sz w:val="20"/>
                <w:szCs w:val="20"/>
                <w:color w:val="auto"/>
              </w:rPr>
            </w:pPr>
            <w:r>
              <w:rPr>
                <w:rFonts w:ascii="Arial" w:cs="Arial" w:eastAsia="Arial" w:hAnsi="Arial"/>
                <w:sz w:val="17"/>
                <w:szCs w:val="17"/>
                <w:color w:val="auto"/>
              </w:rPr>
              <w:t>517.8</w:t>
            </w:r>
          </w:p>
        </w:tc>
        <w:tc>
          <w:tcPr>
            <w:tcW w:w="120" w:type="dxa"/>
            <w:vAlign w:val="bottom"/>
            <w:tcBorders>
              <w:top w:val="single" w:sz="8" w:color="BFE4FF"/>
              <w:bottom w:val="single" w:sz="8" w:color="BFE4FF"/>
            </w:tcBorders>
            <w:shd w:val="clear" w:color="auto" w:fill="BFE4FF"/>
          </w:tcPr>
          <w:p>
            <w:pPr>
              <w:spacing w:after="0"/>
              <w:rPr>
                <w:sz w:val="19"/>
                <w:szCs w:val="19"/>
                <w:color w:val="auto"/>
              </w:rPr>
            </w:pPr>
          </w:p>
        </w:tc>
        <w:tc>
          <w:tcPr>
            <w:tcW w:w="260" w:type="dxa"/>
            <w:vAlign w:val="bottom"/>
            <w:tcBorders>
              <w:top w:val="single" w:sz="8" w:color="auto"/>
              <w:bottom w:val="single" w:sz="8" w:color="BFE4FF"/>
            </w:tcBorders>
            <w:shd w:val="clear" w:color="auto" w:fill="BFE4FF"/>
          </w:tcPr>
          <w:p>
            <w:pPr>
              <w:jc w:val="right"/>
              <w:ind w:right="76"/>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BFE4FF"/>
            </w:tcBorders>
            <w:shd w:val="clear" w:color="auto" w:fill="BFE4FF"/>
          </w:tcPr>
          <w:p>
            <w:pPr>
              <w:jc w:val="right"/>
              <w:ind w:right="38"/>
              <w:spacing w:after="0"/>
              <w:rPr>
                <w:sz w:val="20"/>
                <w:szCs w:val="20"/>
                <w:color w:val="auto"/>
              </w:rPr>
            </w:pPr>
            <w:r>
              <w:rPr>
                <w:rFonts w:ascii="Arial" w:cs="Arial" w:eastAsia="Arial" w:hAnsi="Arial"/>
                <w:sz w:val="17"/>
                <w:szCs w:val="17"/>
                <w:color w:val="auto"/>
              </w:rPr>
              <w:t>815.6</w:t>
            </w:r>
          </w:p>
        </w:tc>
        <w:tc>
          <w:tcPr>
            <w:tcW w:w="100" w:type="dxa"/>
            <w:vAlign w:val="bottom"/>
            <w:tcBorders>
              <w:top w:val="single" w:sz="8" w:color="BFE4FF"/>
              <w:bottom w:val="single" w:sz="8" w:color="BFE4FF"/>
            </w:tcBorders>
            <w:shd w:val="clear" w:color="auto" w:fill="BFE4FF"/>
          </w:tcPr>
          <w:p>
            <w:pPr>
              <w:spacing w:after="0"/>
              <w:rPr>
                <w:sz w:val="19"/>
                <w:szCs w:val="19"/>
                <w:color w:val="auto"/>
              </w:rPr>
            </w:pPr>
          </w:p>
        </w:tc>
        <w:tc>
          <w:tcPr>
            <w:tcW w:w="14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BFE4FF"/>
            </w:tcBorders>
            <w:shd w:val="clear" w:color="auto" w:fill="BFE4FF"/>
          </w:tcPr>
          <w:p>
            <w:pPr>
              <w:jc w:val="right"/>
              <w:ind w:right="18"/>
              <w:spacing w:after="0"/>
              <w:rPr>
                <w:sz w:val="20"/>
                <w:szCs w:val="20"/>
                <w:color w:val="auto"/>
              </w:rPr>
            </w:pPr>
            <w:r>
              <w:rPr>
                <w:rFonts w:ascii="Arial" w:cs="Arial" w:eastAsia="Arial" w:hAnsi="Arial"/>
                <w:sz w:val="17"/>
                <w:szCs w:val="17"/>
                <w:color w:val="auto"/>
              </w:rPr>
              <w:t>128.1</w:t>
            </w:r>
          </w:p>
        </w:tc>
      </w:tr>
      <w:tr>
        <w:trPr>
          <w:trHeight w:val="20"/>
        </w:trPr>
        <w:tc>
          <w:tcPr>
            <w:tcW w:w="4120" w:type="dxa"/>
            <w:vAlign w:val="bottom"/>
            <w:shd w:val="clear" w:color="auto" w:fill="BFE4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BFE4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BFE4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BFE4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7" w:lineRule="exact"/>
        <w:rPr>
          <w:sz w:val="20"/>
          <w:szCs w:val="20"/>
          <w:color w:val="auto"/>
        </w:rPr>
      </w:pPr>
    </w:p>
    <w:p>
      <w:pPr>
        <w:ind w:left="300" w:hanging="299"/>
        <w:spacing w:after="0"/>
        <w:tabs>
          <w:tab w:leader="none" w:pos="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ABL Facility includes future payments for the letter of credit and unused line fees and are not included on the Company’s consolidated balance sheets.</w:t>
      </w:r>
    </w:p>
    <w:p>
      <w:pPr>
        <w:spacing w:after="0" w:line="13" w:lineRule="exact"/>
        <w:rPr>
          <w:rFonts w:ascii="Arial" w:cs="Arial" w:eastAsia="Arial" w:hAnsi="Arial"/>
          <w:sz w:val="13"/>
          <w:szCs w:val="13"/>
          <w:color w:val="auto"/>
        </w:rPr>
      </w:pPr>
    </w:p>
    <w:p>
      <w:pPr>
        <w:ind w:left="300" w:hanging="299"/>
        <w:spacing w:after="0"/>
        <w:tabs>
          <w:tab w:leader="none" w:pos="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Term Loan includes principal and interest payments, but excludes unamortized discounts.</w:t>
      </w:r>
    </w:p>
    <w:p>
      <w:pPr>
        <w:spacing w:after="0" w:line="1" w:lineRule="exact"/>
        <w:rPr>
          <w:rFonts w:ascii="Arial" w:cs="Arial" w:eastAsia="Arial" w:hAnsi="Arial"/>
          <w:sz w:val="13"/>
          <w:szCs w:val="13"/>
          <w:color w:val="auto"/>
        </w:rPr>
      </w:pPr>
    </w:p>
    <w:p>
      <w:pPr>
        <w:ind w:left="300" w:hanging="299"/>
        <w:spacing w:after="0" w:line="242" w:lineRule="auto"/>
        <w:tabs>
          <w:tab w:leader="none" w:pos="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lease financing obligations include interest payments of $56.6 million and principal payments of $29.7 million. The remaining principal obligation is offset by the estimated book value of leased property at the expiration date of each lease agreement.</w:t>
      </w:r>
    </w:p>
    <w:p>
      <w:pPr>
        <w:ind w:left="300" w:hanging="299"/>
        <w:spacing w:after="0"/>
        <w:tabs>
          <w:tab w:leader="none" w:pos="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Pension deferral obligations includes principal and interest payments on the Second A&amp;R CDA.</w:t>
      </w:r>
    </w:p>
    <w:p>
      <w:pPr>
        <w:spacing w:after="0" w:line="1" w:lineRule="exact"/>
        <w:rPr>
          <w:rFonts w:ascii="Arial" w:cs="Arial" w:eastAsia="Arial" w:hAnsi="Arial"/>
          <w:sz w:val="13"/>
          <w:szCs w:val="13"/>
          <w:color w:val="auto"/>
        </w:rPr>
      </w:pPr>
    </w:p>
    <w:p>
      <w:pPr>
        <w:ind w:left="300" w:hanging="299"/>
        <w:spacing w:after="0"/>
        <w:tabs>
          <w:tab w:leader="none" w:pos="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workers’ compensation, property damage and liability claims obligations represent our estimate of future payments for these obligations, not all of which are contractually required.</w:t>
      </w:r>
    </w:p>
    <w:p>
      <w:pPr>
        <w:spacing w:after="0" w:line="1" w:lineRule="exact"/>
        <w:rPr>
          <w:rFonts w:ascii="Arial" w:cs="Arial" w:eastAsia="Arial" w:hAnsi="Arial"/>
          <w:sz w:val="13"/>
          <w:szCs w:val="13"/>
          <w:color w:val="auto"/>
        </w:rPr>
      </w:pPr>
    </w:p>
    <w:p>
      <w:pPr>
        <w:ind w:left="300" w:hanging="299"/>
        <w:spacing w:after="0"/>
        <w:tabs>
          <w:tab w:leader="none" w:pos="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Operating leases represent future payments under contractual lease arrangements primarily for revenue equipment and are not included on the Company’s consolidated balance sheets.</w:t>
      </w:r>
    </w:p>
    <w:p>
      <w:pPr>
        <w:spacing w:after="0" w:line="1" w:lineRule="exact"/>
        <w:rPr>
          <w:rFonts w:ascii="Arial" w:cs="Arial" w:eastAsia="Arial" w:hAnsi="Arial"/>
          <w:sz w:val="13"/>
          <w:szCs w:val="13"/>
          <w:color w:val="auto"/>
        </w:rPr>
      </w:pPr>
    </w:p>
    <w:p>
      <w:pPr>
        <w:ind w:left="300" w:hanging="299"/>
        <w:spacing w:after="0"/>
        <w:tabs>
          <w:tab w:leader="none" w:pos="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Other contractual obligations includes future service agreements and certain maintenance agreements and are not included on the Company’s consolidated balance sheets.</w:t>
      </w:r>
    </w:p>
    <w:p>
      <w:pPr>
        <w:spacing w:after="0" w:line="1" w:lineRule="exact"/>
        <w:rPr>
          <w:rFonts w:ascii="Arial" w:cs="Arial" w:eastAsia="Arial" w:hAnsi="Arial"/>
          <w:sz w:val="13"/>
          <w:szCs w:val="13"/>
          <w:color w:val="auto"/>
        </w:rPr>
      </w:pPr>
    </w:p>
    <w:p>
      <w:pPr>
        <w:ind w:left="300" w:hanging="299"/>
        <w:spacing w:after="0" w:line="258" w:lineRule="auto"/>
        <w:tabs>
          <w:tab w:leader="none" w:pos="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Capital expenditure and other obligations primarily includes noncancelable orders for revenue equipment the Company intends to lease and the equipment is not yet delivered, whereby the cash obligations will be scheduled over the multi-year term of the lease and are not included on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-974725</wp:posOffset>
            </wp:positionV>
            <wp:extent cx="46431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643120" cy="8255"/>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Other Commercial Commitments</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following table reflects other commercial commitments or potential cash outflows that may result from a contingent event, such as a need to borrow short-term funds due to insufficient free cash flow.</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5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Amount of Commitment Expiration Per Period</w:t>
            </w: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244"/>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Total</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w w:val="98"/>
              </w:rPr>
              <w:t>Less than 1 year</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1-3 years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3-5 years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More than 5 years</w:t>
            </w:r>
          </w:p>
        </w:tc>
      </w:tr>
      <w:tr>
        <w:trPr>
          <w:trHeight w:val="249"/>
        </w:trPr>
        <w:tc>
          <w:tcPr>
            <w:tcW w:w="354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 xml:space="preserve">ABL Facility availability </w:t>
            </w:r>
            <w:r>
              <w:rPr>
                <w:rFonts w:ascii="Arial" w:cs="Arial" w:eastAsia="Arial" w:hAnsi="Arial"/>
                <w:sz w:val="23"/>
                <w:szCs w:val="23"/>
                <w:color w:val="auto"/>
                <w:vertAlign w:val="superscript"/>
              </w:rPr>
              <w:t>(a)</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74.7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74.7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w:t>
            </w:r>
          </w:p>
        </w:tc>
      </w:tr>
      <w:tr>
        <w:trPr>
          <w:trHeight w:val="252"/>
        </w:trPr>
        <w:tc>
          <w:tcPr>
            <w:tcW w:w="3540" w:type="dxa"/>
            <w:vAlign w:val="bottom"/>
          </w:tcPr>
          <w:p>
            <w:pPr>
              <w:ind w:left="20"/>
              <w:spacing w:after="0" w:line="252" w:lineRule="exact"/>
              <w:rPr>
                <w:sz w:val="20"/>
                <w:szCs w:val="20"/>
                <w:color w:val="auto"/>
              </w:rPr>
            </w:pPr>
            <w:r>
              <w:rPr>
                <w:rFonts w:ascii="Arial" w:cs="Arial" w:eastAsia="Arial" w:hAnsi="Arial"/>
                <w:sz w:val="17"/>
                <w:szCs w:val="17"/>
                <w:color w:val="auto"/>
              </w:rPr>
              <w:t>Letters of credit</w:t>
            </w:r>
            <w:r>
              <w:rPr>
                <w:rFonts w:ascii="Arial" w:cs="Arial" w:eastAsia="Arial" w:hAnsi="Arial"/>
                <w:sz w:val="23"/>
                <w:szCs w:val="23"/>
                <w:color w:val="auto"/>
                <w:vertAlign w:val="superscript"/>
              </w:rPr>
              <w:t>(b)</w:t>
            </w:r>
          </w:p>
        </w:tc>
        <w:tc>
          <w:tcPr>
            <w:tcW w:w="36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7"/>
                <w:szCs w:val="17"/>
                <w:color w:val="auto"/>
              </w:rPr>
              <w:t>351.5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340" w:type="dxa"/>
            <w:vAlign w:val="bottom"/>
          </w:tcPr>
          <w:p>
            <w:pPr>
              <w:jc w:val="right"/>
              <w:ind w:right="42"/>
              <w:spacing w:after="0"/>
              <w:rPr>
                <w:sz w:val="20"/>
                <w:szCs w:val="20"/>
                <w:color w:val="auto"/>
              </w:rPr>
            </w:pPr>
            <w:r>
              <w:rPr>
                <w:rFonts w:ascii="Arial" w:cs="Arial" w:eastAsia="Arial" w:hAnsi="Arial"/>
                <w:sz w:val="17"/>
                <w:szCs w:val="17"/>
                <w:color w:val="auto"/>
              </w:rPr>
              <w:t>351.5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300" w:type="dxa"/>
            <w:vAlign w:val="bottom"/>
          </w:tcPr>
          <w:p>
            <w:pPr>
              <w:ind w:left="1020"/>
              <w:spacing w:after="0"/>
              <w:rPr>
                <w:sz w:val="20"/>
                <w:szCs w:val="20"/>
                <w:color w:val="auto"/>
              </w:rPr>
            </w:pPr>
            <w:r>
              <w:rPr>
                <w:rFonts w:ascii="Arial" w:cs="Arial" w:eastAsia="Arial" w:hAnsi="Arial"/>
                <w:sz w:val="17"/>
                <w:szCs w:val="17"/>
                <w:color w:val="auto"/>
              </w:rPr>
              <w:t>—</w:t>
            </w:r>
          </w:p>
        </w:tc>
      </w:tr>
      <w:tr>
        <w:trPr>
          <w:trHeight w:val="252"/>
        </w:trPr>
        <w:tc>
          <w:tcPr>
            <w:tcW w:w="3540" w:type="dxa"/>
            <w:vAlign w:val="bottom"/>
            <w:shd w:val="clear" w:color="auto" w:fill="CCEEFF"/>
          </w:tcPr>
          <w:p>
            <w:pPr>
              <w:ind w:left="20"/>
              <w:spacing w:after="0" w:line="252" w:lineRule="exact"/>
              <w:rPr>
                <w:sz w:val="20"/>
                <w:szCs w:val="20"/>
                <w:color w:val="auto"/>
              </w:rPr>
            </w:pPr>
            <w:r>
              <w:rPr>
                <w:rFonts w:ascii="Arial" w:cs="Arial" w:eastAsia="Arial" w:hAnsi="Arial"/>
                <w:sz w:val="17"/>
                <w:szCs w:val="17"/>
                <w:color w:val="auto"/>
              </w:rPr>
              <w:t>Surety bonds</w:t>
            </w:r>
            <w:r>
              <w:rPr>
                <w:rFonts w:ascii="Arial" w:cs="Arial" w:eastAsia="Arial" w:hAnsi="Arial"/>
                <w:sz w:val="23"/>
                <w:szCs w:val="23"/>
                <w:color w:val="auto"/>
                <w:vertAlign w:val="superscript"/>
              </w:rPr>
              <w:t>(c)</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122.6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122.6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rPr>
              <w:t>0.0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7"/>
                <w:szCs w:val="17"/>
                <w:color w:val="auto"/>
              </w:rPr>
              <w:t>—</w:t>
            </w:r>
          </w:p>
        </w:tc>
      </w:tr>
      <w:tr>
        <w:trPr>
          <w:trHeight w:val="219"/>
        </w:trPr>
        <w:tc>
          <w:tcPr>
            <w:tcW w:w="3540" w:type="dxa"/>
            <w:vAlign w:val="bottom"/>
          </w:tcPr>
          <w:p>
            <w:pPr>
              <w:ind w:left="20"/>
              <w:spacing w:after="0"/>
              <w:rPr>
                <w:sz w:val="20"/>
                <w:szCs w:val="20"/>
                <w:color w:val="auto"/>
              </w:rPr>
            </w:pPr>
            <w:r>
              <w:rPr>
                <w:rFonts w:ascii="Arial" w:cs="Arial" w:eastAsia="Arial" w:hAnsi="Arial"/>
                <w:sz w:val="17"/>
                <w:szCs w:val="17"/>
                <w:color w:val="auto"/>
              </w:rPr>
              <w:t>Total commercial commitments</w:t>
            </w: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9"/>
              <w:spacing w:after="0"/>
              <w:rPr>
                <w:sz w:val="20"/>
                <w:szCs w:val="20"/>
                <w:color w:val="auto"/>
              </w:rPr>
            </w:pPr>
            <w:r>
              <w:rPr>
                <w:rFonts w:ascii="Arial" w:cs="Arial" w:eastAsia="Arial" w:hAnsi="Arial"/>
                <w:sz w:val="17"/>
                <w:szCs w:val="17"/>
                <w:color w:val="auto"/>
              </w:rPr>
              <w:t>548.8</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9"/>
              <w:spacing w:after="0"/>
              <w:rPr>
                <w:sz w:val="20"/>
                <w:szCs w:val="20"/>
                <w:color w:val="auto"/>
              </w:rPr>
            </w:pPr>
            <w:r>
              <w:rPr>
                <w:rFonts w:ascii="Arial" w:cs="Arial" w:eastAsia="Arial" w:hAnsi="Arial"/>
                <w:sz w:val="17"/>
                <w:szCs w:val="17"/>
                <w:color w:val="auto"/>
              </w:rPr>
              <w:t>122.6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42"/>
              <w:spacing w:after="0"/>
              <w:rPr>
                <w:sz w:val="20"/>
                <w:szCs w:val="20"/>
                <w:color w:val="auto"/>
              </w:rPr>
            </w:pPr>
            <w:r>
              <w:rPr>
                <w:rFonts w:ascii="Arial" w:cs="Arial" w:eastAsia="Arial" w:hAnsi="Arial"/>
                <w:sz w:val="17"/>
                <w:szCs w:val="17"/>
                <w:color w:val="auto"/>
              </w:rPr>
              <w:t>426.2</w:t>
            </w:r>
          </w:p>
        </w:tc>
        <w:tc>
          <w:tcPr>
            <w:tcW w:w="100" w:type="dxa"/>
            <w:vAlign w:val="bottom"/>
          </w:tcPr>
          <w:p>
            <w:pPr>
              <w:spacing w:after="0"/>
              <w:rPr>
                <w:sz w:val="19"/>
                <w:szCs w:val="19"/>
                <w:color w:val="auto"/>
              </w:rPr>
            </w:pP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30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ind w:left="1020"/>
              <w:spacing w:after="0"/>
              <w:rPr>
                <w:sz w:val="20"/>
                <w:szCs w:val="20"/>
                <w:color w:val="auto"/>
              </w:rPr>
            </w:pPr>
            <w:r>
              <w:rPr>
                <w:rFonts w:ascii="Arial" w:cs="Arial" w:eastAsia="Arial" w:hAnsi="Arial"/>
                <w:sz w:val="17"/>
                <w:szCs w:val="17"/>
                <w:color w:val="auto"/>
              </w:rPr>
              <w:t>—</w:t>
            </w:r>
          </w:p>
        </w:tc>
      </w:tr>
      <w:tr>
        <w:trPr>
          <w:trHeight w:val="26"/>
        </w:trPr>
        <w:tc>
          <w:tcPr>
            <w:tcW w:w="3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300" w:hanging="299"/>
        <w:spacing w:after="0" w:line="252" w:lineRule="auto"/>
        <w:tabs>
          <w:tab w:leader="none" w:pos="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Availability under the ABL Facility is derived by reducing the amount that may be advanced against eligible receivables plus eligible borrowing base cash by certain reserves imposed by the ABL Agent and our outstanding letters of credit. Managed Accessibility was $32.1 million.</w:t>
      </w:r>
    </w:p>
    <w:p>
      <w:pPr>
        <w:ind w:left="300" w:hanging="299"/>
        <w:spacing w:after="0" w:line="242" w:lineRule="auto"/>
        <w:tabs>
          <w:tab w:leader="none" w:pos="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Letters of credit outstanding are generally required as collateral to support self-insurance programs and do not represent additional liabilities as the underlying self-insurance accruals are already included in our consolidated balance sheets.</w:t>
      </w:r>
    </w:p>
    <w:p>
      <w:pPr>
        <w:ind w:left="300" w:hanging="299"/>
        <w:spacing w:after="0" w:line="258" w:lineRule="auto"/>
        <w:tabs>
          <w:tab w:leader="none" w:pos="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Surety bonds are generally required for workers’ compensation to support self-insurance programs, which include certain bonds that do not have an expiration date but are redeemable on demand, and do not represent additional liabilities as the underlying self-insurance accruals are already included in our consolidated balance sheets.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Off-Balance Sheet Arrangements</w:t>
      </w:r>
    </w:p>
    <w:p>
      <w:pPr>
        <w:spacing w:after="0" w:line="207" w:lineRule="exact"/>
        <w:rPr>
          <w:sz w:val="20"/>
          <w:szCs w:val="20"/>
          <w:color w:val="auto"/>
        </w:rPr>
      </w:pPr>
    </w:p>
    <w:p>
      <w:pPr>
        <w:ind w:left="60"/>
        <w:spacing w:after="0" w:line="269" w:lineRule="auto"/>
        <w:rPr>
          <w:sz w:val="20"/>
          <w:szCs w:val="20"/>
          <w:color w:val="auto"/>
        </w:rPr>
      </w:pPr>
      <w:r>
        <w:rPr>
          <w:rFonts w:ascii="Arial" w:cs="Arial" w:eastAsia="Arial" w:hAnsi="Arial"/>
          <w:sz w:val="17"/>
          <w:szCs w:val="17"/>
          <w:color w:val="auto"/>
        </w:rPr>
        <w:t>We have no off-balance sheet arrangements other than operating leases, other contractual obligations for service agreements and capital purchases, letters of credit and surety bonds, which are reflected in the above tables.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Quantitative and Qualitative Disclosures About Market Risk</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are primarily exposed to the market risk associated with unfavorable movements in interest rates, foreign currencies, and fuel price volatility. The risk inherent in our market risk-sensitive instruments and positions is the potential loss or increased expense arising from adverse changes in those factors. There have been no material changes to our market risk policies or our market risk-sensitive instruments and positions as described in our annual report on Form 10-K for the year ended December 31, 2017.</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Controls and Procedures</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As required by the Exchange Act, we maintain disclosure controls and procedures designed to ensure that information we are required to disclose in reports that we file or submit under the Exchange Act is recorded, processed, summarized and reported 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June 30, 2018 and have concluded that our disclosure controls and procedures were effective as of June 30, 2018.</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Effective January 1, 2018, we implemented the human resources and payroll modules of the new comprehensive enterprise resource planning (ERP) system, at several of our companies, including our largest operating company. Although the processes that constitute our internal control over financial reporting were affected by the implementation, the Company performed procedures at each phase as part of its assessment of the effectiveness of internal control over financial reporting. We do not believe that the implementation had a material adverse effect on our internal controls over financial reporting.</w:t>
      </w:r>
    </w:p>
    <w:p>
      <w:pPr>
        <w:spacing w:after="0" w:line="1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implemented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on January 1, 2018 with no major changes in our internal controls over financial reporting related to our revenue recognition process.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was no change in our internal control over financial reporting that occurred during the fiscal quarter ended June 30, 2018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7"/>
          <w:szCs w:val="17"/>
          <w:u w:val="single" w:color="auto"/>
          <w:color w:val="auto"/>
        </w:rPr>
        <w:t>PART II—OTHER INFORMATION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 Legal Proceedings</w:t>
      </w:r>
    </w:p>
    <w:p>
      <w:pPr>
        <w:spacing w:after="0" w:line="19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discuss legal proceedings in the “Commitments, Contingencies and Uncertainties” note to our consolidated financial statements included with this quarterly report on Form 10-Q, and that discussion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Risk Factors</w:t>
      </w:r>
    </w:p>
    <w:p>
      <w:pPr>
        <w:spacing w:after="0" w:line="20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There were no material changes during the quarter to the Risk Factors disclosed in Part I, Item 1A - “Risk Factors” in our annual report on Form 10-K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Exhibits</w:t>
      </w:r>
    </w:p>
    <w:p>
      <w:pPr>
        <w:sectPr>
          <w:pgSz w:w="11900" w:h="16838" w:orient="portrait"/>
          <w:cols w:equalWidth="0" w:num="1">
            <w:col w:w="11380"/>
          </w:cols>
          <w:pgMar w:left="240" w:top="121" w:right="279" w:bottom="1440" w:gutter="0" w:footer="0" w:header="0"/>
        </w:sectPr>
      </w:pPr>
    </w:p>
    <w:p>
      <w:pPr>
        <w:spacing w:after="0" w:line="358" w:lineRule="exact"/>
        <w:rPr>
          <w:sz w:val="20"/>
          <w:szCs w:val="20"/>
          <w:color w:val="auto"/>
        </w:rPr>
      </w:pPr>
    </w:p>
    <w:p>
      <w:pPr>
        <w:ind w:left="20"/>
        <w:spacing w:after="0"/>
        <w:rPr>
          <w:rFonts w:ascii="Arial" w:cs="Arial" w:eastAsia="Arial" w:hAnsi="Arial"/>
          <w:sz w:val="16"/>
          <w:szCs w:val="16"/>
          <w:color w:val="0000FF"/>
        </w:rPr>
      </w:pPr>
      <w:hyperlink w:anchor="page32">
        <w:r>
          <w:rPr>
            <w:rFonts w:ascii="Arial" w:cs="Arial" w:eastAsia="Arial" w:hAnsi="Arial"/>
            <w:sz w:val="16"/>
            <w:szCs w:val="16"/>
            <w:u w:val="single" w:color="auto"/>
            <w:color w:val="0000FF"/>
          </w:rPr>
          <w:t>10.1</w:t>
        </w:r>
      </w:hyperlink>
      <w:r>
        <w:rPr>
          <w:rFonts w:ascii="Arial" w:cs="Arial" w:eastAsia="Arial" w:hAnsi="Arial"/>
          <w:sz w:val="16"/>
          <w:szCs w:val="16"/>
          <w:color w:val="000000"/>
        </w:rPr>
        <w:t>**</w:t>
      </w:r>
    </w:p>
    <w:p>
      <w:pPr>
        <w:spacing w:after="0" w:line="370" w:lineRule="exact"/>
        <w:rPr>
          <w:sz w:val="20"/>
          <w:szCs w:val="20"/>
          <w:color w:val="auto"/>
        </w:rPr>
      </w:pPr>
    </w:p>
    <w:p>
      <w:pPr>
        <w:ind w:left="20"/>
        <w:spacing w:after="0"/>
        <w:rPr>
          <w:rFonts w:ascii="Arial" w:cs="Arial" w:eastAsia="Arial" w:hAnsi="Arial"/>
          <w:sz w:val="17"/>
          <w:szCs w:val="17"/>
          <w:u w:val="single" w:color="auto"/>
          <w:color w:val="0000FF"/>
        </w:rPr>
      </w:pPr>
      <w:hyperlink w:anchor="page34">
        <w:r>
          <w:rPr>
            <w:rFonts w:ascii="Arial" w:cs="Arial" w:eastAsia="Arial" w:hAnsi="Arial"/>
            <w:sz w:val="17"/>
            <w:szCs w:val="17"/>
            <w:u w:val="single" w:color="auto"/>
            <w:color w:val="0000FF"/>
          </w:rPr>
          <w:t>31.1*</w:t>
        </w:r>
      </w:hyperlink>
    </w:p>
    <w:p>
      <w:pPr>
        <w:spacing w:after="0" w:line="200" w:lineRule="exact"/>
        <w:rPr>
          <w:sz w:val="20"/>
          <w:szCs w:val="20"/>
          <w:color w:val="auto"/>
        </w:rPr>
      </w:pPr>
    </w:p>
    <w:p>
      <w:pPr>
        <w:spacing w:after="0" w:line="372" w:lineRule="exact"/>
        <w:rPr>
          <w:sz w:val="20"/>
          <w:szCs w:val="20"/>
          <w:color w:val="auto"/>
        </w:rPr>
      </w:pPr>
    </w:p>
    <w:p>
      <w:pPr>
        <w:ind w:left="20"/>
        <w:spacing w:after="0"/>
        <w:rPr>
          <w:rFonts w:ascii="Arial" w:cs="Arial" w:eastAsia="Arial" w:hAnsi="Arial"/>
          <w:sz w:val="17"/>
          <w:szCs w:val="17"/>
          <w:u w:val="single" w:color="auto"/>
          <w:color w:val="0000FF"/>
        </w:rPr>
      </w:pPr>
      <w:hyperlink w:anchor="page35">
        <w:r>
          <w:rPr>
            <w:rFonts w:ascii="Arial" w:cs="Arial" w:eastAsia="Arial" w:hAnsi="Arial"/>
            <w:sz w:val="17"/>
            <w:szCs w:val="17"/>
            <w:u w:val="single" w:color="auto"/>
            <w:color w:val="0000FF"/>
          </w:rPr>
          <w:t>31.2*</w:t>
        </w:r>
      </w:hyperlink>
    </w:p>
    <w:p>
      <w:pPr>
        <w:spacing w:after="0" w:line="200" w:lineRule="exact"/>
        <w:rPr>
          <w:sz w:val="20"/>
          <w:szCs w:val="20"/>
          <w:color w:val="auto"/>
        </w:rPr>
      </w:pPr>
    </w:p>
    <w:p>
      <w:pPr>
        <w:spacing w:after="0" w:line="372" w:lineRule="exact"/>
        <w:rPr>
          <w:sz w:val="20"/>
          <w:szCs w:val="20"/>
          <w:color w:val="auto"/>
        </w:rPr>
      </w:pPr>
    </w:p>
    <w:p>
      <w:pPr>
        <w:ind w:left="20"/>
        <w:spacing w:after="0"/>
        <w:rPr>
          <w:rFonts w:ascii="Arial" w:cs="Arial" w:eastAsia="Arial" w:hAnsi="Arial"/>
          <w:sz w:val="17"/>
          <w:szCs w:val="17"/>
          <w:u w:val="single" w:color="auto"/>
          <w:color w:val="0000FF"/>
        </w:rPr>
      </w:pPr>
      <w:hyperlink w:anchor="page36">
        <w:r>
          <w:rPr>
            <w:rFonts w:ascii="Arial" w:cs="Arial" w:eastAsia="Arial" w:hAnsi="Arial"/>
            <w:sz w:val="17"/>
            <w:szCs w:val="17"/>
            <w:u w:val="single" w:color="auto"/>
            <w:color w:val="0000FF"/>
          </w:rPr>
          <w:t>32.1*</w:t>
        </w:r>
      </w:hyperlink>
    </w:p>
    <w:p>
      <w:pPr>
        <w:spacing w:after="0" w:line="200" w:lineRule="exact"/>
        <w:rPr>
          <w:sz w:val="20"/>
          <w:szCs w:val="20"/>
          <w:color w:val="auto"/>
        </w:rPr>
      </w:pPr>
    </w:p>
    <w:p>
      <w:pPr>
        <w:spacing w:after="0" w:line="372" w:lineRule="exact"/>
        <w:rPr>
          <w:sz w:val="20"/>
          <w:szCs w:val="20"/>
          <w:color w:val="auto"/>
        </w:rPr>
      </w:pPr>
    </w:p>
    <w:p>
      <w:pPr>
        <w:ind w:left="20"/>
        <w:spacing w:after="0"/>
        <w:rPr>
          <w:rFonts w:ascii="Arial" w:cs="Arial" w:eastAsia="Arial" w:hAnsi="Arial"/>
          <w:sz w:val="17"/>
          <w:szCs w:val="17"/>
          <w:u w:val="single" w:color="auto"/>
          <w:color w:val="0000FF"/>
        </w:rPr>
      </w:pPr>
      <w:hyperlink w:anchor="page37">
        <w:r>
          <w:rPr>
            <w:rFonts w:ascii="Arial" w:cs="Arial" w:eastAsia="Arial" w:hAnsi="Arial"/>
            <w:sz w:val="17"/>
            <w:szCs w:val="17"/>
            <w:u w:val="single" w:color="auto"/>
            <w:color w:val="0000FF"/>
          </w:rPr>
          <w:t>32.2*</w:t>
        </w:r>
      </w:hyperlink>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rFonts w:ascii="Arial" w:cs="Arial" w:eastAsia="Arial" w:hAnsi="Arial"/>
          <w:sz w:val="17"/>
          <w:szCs w:val="17"/>
          <w:u w:val="single" w:color="auto"/>
          <w:color w:val="0000FF"/>
        </w:rPr>
      </w:pPr>
      <w:hyperlink w:anchor="page32">
        <w:r>
          <w:rPr>
            <w:rFonts w:ascii="Arial" w:cs="Arial" w:eastAsia="Arial" w:hAnsi="Arial"/>
            <w:sz w:val="17"/>
            <w:szCs w:val="17"/>
            <w:u w:val="single" w:color="auto"/>
            <w:color w:val="0000FF"/>
          </w:rPr>
          <w:t>Consulting Agreement dated June 11, 2018, with James L. Welch</w:t>
        </w:r>
      </w:hyperlink>
    </w:p>
    <w:p>
      <w:pPr>
        <w:spacing w:after="0" w:line="258" w:lineRule="exact"/>
        <w:rPr>
          <w:sz w:val="20"/>
          <w:szCs w:val="20"/>
          <w:color w:val="auto"/>
        </w:rPr>
      </w:pPr>
    </w:p>
    <w:p>
      <w:pPr>
        <w:ind w:right="300"/>
        <w:spacing w:after="0" w:line="269" w:lineRule="auto"/>
        <w:rPr>
          <w:rFonts w:ascii="Arial" w:cs="Arial" w:eastAsia="Arial" w:hAnsi="Arial"/>
          <w:sz w:val="17"/>
          <w:szCs w:val="17"/>
          <w:u w:val="single" w:color="auto"/>
          <w:color w:val="0000FF"/>
        </w:rPr>
      </w:pPr>
      <w:hyperlink w:anchor="page34">
        <w:r>
          <w:rPr>
            <w:rFonts w:ascii="Arial" w:cs="Arial" w:eastAsia="Arial" w:hAnsi="Arial"/>
            <w:sz w:val="17"/>
            <w:szCs w:val="17"/>
            <w:u w:val="single" w:color="auto"/>
            <w:color w:val="0000FF"/>
          </w:rPr>
          <w:t>Certification of Darren D. Hawkins filed pursuant to Exchange Act Rules 13a-14 and 15d-14, as adopted pursuant to Section 302 of the Sarbanes-</w:t>
        </w:r>
      </w:hyperlink>
      <w:hyperlink w:anchor="page34">
        <w:r>
          <w:rPr>
            <w:rFonts w:ascii="Arial" w:cs="Arial" w:eastAsia="Arial" w:hAnsi="Arial"/>
            <w:sz w:val="17"/>
            <w:szCs w:val="17"/>
            <w:u w:val="single" w:color="auto"/>
            <w:color w:val="0000FF"/>
          </w:rPr>
          <w:t>Oxley Act of 2002.</w:t>
        </w:r>
      </w:hyperlink>
    </w:p>
    <w:p>
      <w:pPr>
        <w:spacing w:after="0" w:line="329" w:lineRule="exact"/>
        <w:rPr>
          <w:sz w:val="20"/>
          <w:szCs w:val="20"/>
          <w:color w:val="auto"/>
        </w:rPr>
      </w:pPr>
    </w:p>
    <w:p>
      <w:pPr>
        <w:ind w:right="280"/>
        <w:spacing w:after="0" w:line="269" w:lineRule="auto"/>
        <w:rPr>
          <w:rFonts w:ascii="Arial" w:cs="Arial" w:eastAsia="Arial" w:hAnsi="Arial"/>
          <w:sz w:val="17"/>
          <w:szCs w:val="17"/>
          <w:u w:val="single" w:color="auto"/>
          <w:color w:val="0000FF"/>
        </w:rPr>
      </w:pPr>
      <w:hyperlink w:anchor="page35">
        <w:r>
          <w:rPr>
            <w:rFonts w:ascii="Arial" w:cs="Arial" w:eastAsia="Arial" w:hAnsi="Arial"/>
            <w:sz w:val="17"/>
            <w:szCs w:val="17"/>
            <w:u w:val="single" w:color="auto"/>
            <w:color w:val="0000FF"/>
          </w:rPr>
          <w:t>Certification of Stephanie D. Fisher filed pursuant to Exchange Act Rules 13a-14 and 15d-14, as adopted pursuant to Section 302 of the Sarbanes-</w:t>
        </w:r>
      </w:hyperlink>
      <w:hyperlink w:anchor="page35">
        <w:r>
          <w:rPr>
            <w:rFonts w:ascii="Arial" w:cs="Arial" w:eastAsia="Arial" w:hAnsi="Arial"/>
            <w:sz w:val="17"/>
            <w:szCs w:val="17"/>
            <w:u w:val="single" w:color="auto"/>
            <w:color w:val="0000FF"/>
          </w:rPr>
          <w:t>Oxley Act of 2002.</w:t>
        </w:r>
      </w:hyperlink>
    </w:p>
    <w:p>
      <w:pPr>
        <w:spacing w:after="0" w:line="329" w:lineRule="exact"/>
        <w:rPr>
          <w:sz w:val="20"/>
          <w:szCs w:val="20"/>
          <w:color w:val="auto"/>
        </w:rPr>
      </w:pPr>
    </w:p>
    <w:p>
      <w:pPr>
        <w:ind w:right="180"/>
        <w:spacing w:after="0" w:line="269" w:lineRule="auto"/>
        <w:rPr>
          <w:rFonts w:ascii="Arial" w:cs="Arial" w:eastAsia="Arial" w:hAnsi="Arial"/>
          <w:sz w:val="17"/>
          <w:szCs w:val="17"/>
          <w:u w:val="single" w:color="auto"/>
          <w:color w:val="0000FF"/>
        </w:rPr>
      </w:pPr>
      <w:hyperlink w:anchor="page36">
        <w:r>
          <w:rPr>
            <w:rFonts w:ascii="Arial" w:cs="Arial" w:eastAsia="Arial" w:hAnsi="Arial"/>
            <w:sz w:val="17"/>
            <w:szCs w:val="17"/>
            <w:u w:val="single" w:color="auto"/>
            <w:color w:val="0000FF"/>
          </w:rPr>
          <w:t>Certification of Darren D. Hawkins furnished pursuant to 18 U.S.C. Section 1350, as adopted pursuant to Section 906 of the Sarbanes-Oxley Act of</w:t>
        </w:r>
      </w:hyperlink>
      <w:r>
        <w:rPr>
          <w:rFonts w:ascii="Arial" w:cs="Arial" w:eastAsia="Arial" w:hAnsi="Arial"/>
          <w:sz w:val="17"/>
          <w:szCs w:val="17"/>
          <w:u w:val="single" w:color="auto"/>
          <w:color w:val="0000FF"/>
        </w:rPr>
        <w:t xml:space="preserve"> </w:t>
      </w:r>
      <w:hyperlink w:anchor="page36">
        <w:r>
          <w:rPr>
            <w:rFonts w:ascii="Arial" w:cs="Arial" w:eastAsia="Arial" w:hAnsi="Arial"/>
            <w:sz w:val="17"/>
            <w:szCs w:val="17"/>
            <w:u w:val="single" w:color="auto"/>
            <w:color w:val="0000FF"/>
          </w:rPr>
          <w:t>2002.</w:t>
        </w:r>
      </w:hyperlink>
    </w:p>
    <w:p>
      <w:pPr>
        <w:spacing w:after="0" w:line="329" w:lineRule="exact"/>
        <w:rPr>
          <w:sz w:val="20"/>
          <w:szCs w:val="20"/>
          <w:color w:val="auto"/>
        </w:rPr>
      </w:pPr>
    </w:p>
    <w:p>
      <w:pPr>
        <w:ind w:right="160"/>
        <w:spacing w:after="0" w:line="269" w:lineRule="auto"/>
        <w:rPr>
          <w:rFonts w:ascii="Arial" w:cs="Arial" w:eastAsia="Arial" w:hAnsi="Arial"/>
          <w:sz w:val="17"/>
          <w:szCs w:val="17"/>
          <w:u w:val="single" w:color="auto"/>
          <w:color w:val="0000FF"/>
        </w:rPr>
      </w:pPr>
      <w:hyperlink w:anchor="page37">
        <w:r>
          <w:rPr>
            <w:rFonts w:ascii="Arial" w:cs="Arial" w:eastAsia="Arial" w:hAnsi="Arial"/>
            <w:sz w:val="17"/>
            <w:szCs w:val="17"/>
            <w:u w:val="single" w:color="auto"/>
            <w:color w:val="0000FF"/>
          </w:rPr>
          <w:t>Certification of Stephanie D. Fisher furnished pursuant to 18 U.S.C. Section 1350, as adopted pursuant to Section 906 of the Sarbanes-Oxley Act of</w:t>
        </w:r>
      </w:hyperlink>
      <w:r>
        <w:rPr>
          <w:rFonts w:ascii="Arial" w:cs="Arial" w:eastAsia="Arial" w:hAnsi="Arial"/>
          <w:sz w:val="17"/>
          <w:szCs w:val="17"/>
          <w:u w:val="single" w:color="auto"/>
          <w:color w:val="0000FF"/>
        </w:rPr>
        <w:t xml:space="preserve"> </w:t>
      </w:r>
      <w:hyperlink w:anchor="page37">
        <w:r>
          <w:rPr>
            <w:rFonts w:ascii="Arial" w:cs="Arial" w:eastAsia="Arial" w:hAnsi="Arial"/>
            <w:sz w:val="17"/>
            <w:szCs w:val="17"/>
            <w:u w:val="single" w:color="auto"/>
            <w:color w:val="0000FF"/>
          </w:rPr>
          <w:t>2002.</w:t>
        </w:r>
      </w:hyperlink>
    </w:p>
    <w:p>
      <w:pPr>
        <w:spacing w:after="0" w:line="200" w:lineRule="exact"/>
        <w:rPr>
          <w:sz w:val="20"/>
          <w:szCs w:val="20"/>
          <w:color w:val="auto"/>
        </w:rPr>
      </w:pPr>
    </w:p>
    <w:p>
      <w:pPr>
        <w:sectPr>
          <w:pgSz w:w="11900" w:h="16838" w:orient="portrait"/>
          <w:cols w:equalWidth="0" w:num="2">
            <w:col w:w="560" w:space="720"/>
            <w:col w:w="10100"/>
          </w:cols>
          <w:pgMar w:left="240" w:top="121" w:right="279" w:bottom="1440" w:gutter="0" w:footer="0" w:header="0"/>
          <w:type w:val="continuous"/>
        </w:sectPr>
      </w:pPr>
    </w:p>
    <w:p>
      <w:pPr>
        <w:spacing w:after="0" w:line="129"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7"/>
          <w:szCs w:val="17"/>
          <w:color w:val="auto"/>
        </w:rPr>
        <w:t>101.INS*</w:t>
      </w:r>
      <w:r>
        <w:rPr>
          <w:sz w:val="20"/>
          <w:szCs w:val="20"/>
          <w:color w:val="auto"/>
        </w:rPr>
        <w:tab/>
      </w:r>
      <w:r>
        <w:rPr>
          <w:rFonts w:ascii="Arial" w:cs="Arial" w:eastAsia="Arial" w:hAnsi="Arial"/>
          <w:sz w:val="15"/>
          <w:szCs w:val="15"/>
          <w:color w:val="auto"/>
        </w:rPr>
        <w:t>XBRL Instance Document</w:t>
      </w:r>
    </w:p>
    <w:p>
      <w:pPr>
        <w:spacing w:after="0" w:line="371"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7"/>
          <w:szCs w:val="17"/>
          <w:color w:val="auto"/>
        </w:rPr>
        <w:t>101.SCH*</w:t>
      </w:r>
      <w:r>
        <w:rPr>
          <w:sz w:val="20"/>
          <w:szCs w:val="20"/>
          <w:color w:val="auto"/>
        </w:rPr>
        <w:tab/>
      </w:r>
      <w:r>
        <w:rPr>
          <w:rFonts w:ascii="Arial" w:cs="Arial" w:eastAsia="Arial" w:hAnsi="Arial"/>
          <w:sz w:val="15"/>
          <w:szCs w:val="15"/>
          <w:color w:val="auto"/>
        </w:rPr>
        <w:t>XBRL Taxonomy Extension Schema</w:t>
      </w:r>
    </w:p>
    <w:p>
      <w:pPr>
        <w:spacing w:after="0" w:line="371"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7"/>
          <w:szCs w:val="17"/>
          <w:color w:val="auto"/>
        </w:rPr>
        <w:t>101.CAL*</w:t>
      </w:r>
      <w:r>
        <w:rPr>
          <w:sz w:val="20"/>
          <w:szCs w:val="20"/>
          <w:color w:val="auto"/>
        </w:rPr>
        <w:tab/>
      </w:r>
      <w:r>
        <w:rPr>
          <w:rFonts w:ascii="Arial" w:cs="Arial" w:eastAsia="Arial" w:hAnsi="Arial"/>
          <w:sz w:val="15"/>
          <w:szCs w:val="15"/>
          <w:color w:val="auto"/>
        </w:rPr>
        <w:t>XBRL Taxonomy Extension Calculation Linkbase</w:t>
      </w:r>
    </w:p>
    <w:p>
      <w:pPr>
        <w:spacing w:after="0" w:line="371"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7"/>
          <w:szCs w:val="17"/>
          <w:color w:val="auto"/>
        </w:rPr>
        <w:t>101.DEF*</w:t>
      </w:r>
      <w:r>
        <w:rPr>
          <w:sz w:val="20"/>
          <w:szCs w:val="20"/>
          <w:color w:val="auto"/>
        </w:rPr>
        <w:tab/>
      </w:r>
      <w:r>
        <w:rPr>
          <w:rFonts w:ascii="Arial" w:cs="Arial" w:eastAsia="Arial" w:hAnsi="Arial"/>
          <w:sz w:val="15"/>
          <w:szCs w:val="15"/>
          <w:color w:val="auto"/>
        </w:rPr>
        <w:t>XBRL Taxonomy Extension Definition Linkbase</w:t>
      </w:r>
    </w:p>
    <w:p>
      <w:pPr>
        <w:spacing w:after="0" w:line="371"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7"/>
          <w:szCs w:val="17"/>
          <w:color w:val="auto"/>
        </w:rPr>
        <w:t>101.LAB*</w:t>
      </w:r>
      <w:r>
        <w:rPr>
          <w:sz w:val="20"/>
          <w:szCs w:val="20"/>
          <w:color w:val="auto"/>
        </w:rPr>
        <w:tab/>
      </w:r>
      <w:r>
        <w:rPr>
          <w:rFonts w:ascii="Arial" w:cs="Arial" w:eastAsia="Arial" w:hAnsi="Arial"/>
          <w:sz w:val="15"/>
          <w:szCs w:val="15"/>
          <w:color w:val="auto"/>
        </w:rPr>
        <w:t>XBRL Taxonomy Extension Label Linkbase</w:t>
      </w:r>
    </w:p>
    <w:p>
      <w:pPr>
        <w:spacing w:after="0" w:line="371"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7"/>
          <w:szCs w:val="17"/>
          <w:color w:val="auto"/>
        </w:rPr>
        <w:t>101.PRE*</w:t>
      </w:r>
      <w:r>
        <w:rPr>
          <w:sz w:val="20"/>
          <w:szCs w:val="20"/>
          <w:color w:val="auto"/>
        </w:rPr>
        <w:tab/>
      </w:r>
      <w:r>
        <w:rPr>
          <w:rFonts w:ascii="Arial" w:cs="Arial" w:eastAsia="Arial" w:hAnsi="Arial"/>
          <w:sz w:val="15"/>
          <w:szCs w:val="15"/>
          <w:color w:val="auto"/>
        </w:rPr>
        <w:t>XBRL Taxonomy Extension Presentation Linkbase</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 Indicates documents filed herewith.</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 Indicates documents furnished herewith</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380"/>
          </w:cols>
          <w:pgMar w:left="240" w:top="121" w:right="279" w:bottom="1440" w:gutter="0" w:footer="0" w:header="0"/>
          <w:type w:val="continuous"/>
        </w:sectPr>
      </w:pPr>
    </w:p>
    <w:bookmarkStart w:id="30" w:name="page31"/>
    <w:bookmarkEnd w:id="3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SIGNATURES</w:t>
      </w:r>
    </w:p>
    <w:p>
      <w:pPr>
        <w:spacing w:after="0" w:line="15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580" w:type="dxa"/>
            <w:vAlign w:val="bottom"/>
          </w:tcPr>
          <w:p>
            <w:pPr>
              <w:spacing w:after="0"/>
              <w:rPr>
                <w:sz w:val="18"/>
                <w:szCs w:val="18"/>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YRC WORLDWIDE INC.</w:t>
            </w:r>
          </w:p>
        </w:tc>
      </w:tr>
      <w:tr>
        <w:trPr>
          <w:trHeight w:val="856"/>
        </w:trPr>
        <w:tc>
          <w:tcPr>
            <w:tcW w:w="5580" w:type="dxa"/>
            <w:vAlign w:val="bottom"/>
          </w:tcPr>
          <w:p>
            <w:pPr>
              <w:spacing w:after="0"/>
              <w:rPr>
                <w:sz w:val="20"/>
                <w:szCs w:val="20"/>
                <w:color w:val="auto"/>
              </w:rPr>
            </w:pPr>
            <w:r>
              <w:rPr>
                <w:rFonts w:ascii="Arial" w:cs="Arial" w:eastAsia="Arial" w:hAnsi="Arial"/>
                <w:sz w:val="17"/>
                <w:szCs w:val="17"/>
                <w:color w:val="auto"/>
              </w:rPr>
              <w:t>Date: August 2, 2018</w:t>
            </w:r>
          </w:p>
        </w:tc>
        <w:tc>
          <w:tcPr>
            <w:tcW w:w="5820" w:type="dxa"/>
            <w:vAlign w:val="bottom"/>
          </w:tcPr>
          <w:p>
            <w:pPr>
              <w:ind w:left="140"/>
              <w:spacing w:after="0"/>
              <w:rPr>
                <w:sz w:val="20"/>
                <w:szCs w:val="20"/>
                <w:color w:val="auto"/>
              </w:rPr>
            </w:pPr>
            <w:r>
              <w:rPr>
                <w:rFonts w:ascii="Arial" w:cs="Arial" w:eastAsia="Arial" w:hAnsi="Arial"/>
                <w:sz w:val="17"/>
                <w:szCs w:val="17"/>
                <w:color w:val="auto"/>
              </w:rPr>
              <w:t>/s/ Darren D. Hawkins</w:t>
            </w:r>
          </w:p>
        </w:tc>
      </w:tr>
      <w:tr>
        <w:trPr>
          <w:trHeight w:val="26"/>
        </w:trPr>
        <w:tc>
          <w:tcPr>
            <w:tcW w:w="558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19"/>
        </w:trPr>
        <w:tc>
          <w:tcPr>
            <w:tcW w:w="558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Darren D. Hawkins</w:t>
            </w:r>
          </w:p>
        </w:tc>
      </w:tr>
      <w:tr>
        <w:trPr>
          <w:trHeight w:val="252"/>
        </w:trPr>
        <w:tc>
          <w:tcPr>
            <w:tcW w:w="5580" w:type="dxa"/>
            <w:vAlign w:val="bottom"/>
          </w:tcPr>
          <w:p>
            <w:pPr>
              <w:spacing w:after="0"/>
              <w:rPr>
                <w:sz w:val="21"/>
                <w:szCs w:val="21"/>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Chief Executive Officer</w:t>
            </w:r>
          </w:p>
        </w:tc>
      </w:tr>
      <w:tr>
        <w:trPr>
          <w:trHeight w:val="554"/>
        </w:trPr>
        <w:tc>
          <w:tcPr>
            <w:tcW w:w="5580" w:type="dxa"/>
            <w:vAlign w:val="bottom"/>
          </w:tcPr>
          <w:p>
            <w:pPr>
              <w:spacing w:after="0"/>
              <w:rPr>
                <w:sz w:val="20"/>
                <w:szCs w:val="20"/>
                <w:color w:val="auto"/>
              </w:rPr>
            </w:pPr>
            <w:r>
              <w:rPr>
                <w:rFonts w:ascii="Arial" w:cs="Arial" w:eastAsia="Arial" w:hAnsi="Arial"/>
                <w:sz w:val="17"/>
                <w:szCs w:val="17"/>
                <w:color w:val="auto"/>
              </w:rPr>
              <w:t>Date: August 2, 2018</w:t>
            </w:r>
          </w:p>
        </w:tc>
        <w:tc>
          <w:tcPr>
            <w:tcW w:w="5820" w:type="dxa"/>
            <w:vAlign w:val="bottom"/>
          </w:tcPr>
          <w:p>
            <w:pPr>
              <w:ind w:left="140"/>
              <w:spacing w:after="0"/>
              <w:rPr>
                <w:sz w:val="20"/>
                <w:szCs w:val="20"/>
                <w:color w:val="auto"/>
              </w:rPr>
            </w:pPr>
            <w:r>
              <w:rPr>
                <w:rFonts w:ascii="Arial" w:cs="Arial" w:eastAsia="Arial" w:hAnsi="Arial"/>
                <w:sz w:val="17"/>
                <w:szCs w:val="17"/>
                <w:color w:val="auto"/>
              </w:rPr>
              <w:t>/s/ Stephanie D. Fisher</w:t>
            </w:r>
          </w:p>
        </w:tc>
      </w:tr>
      <w:tr>
        <w:trPr>
          <w:trHeight w:val="26"/>
        </w:trPr>
        <w:tc>
          <w:tcPr>
            <w:tcW w:w="558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19"/>
        </w:trPr>
        <w:tc>
          <w:tcPr>
            <w:tcW w:w="558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Stephanie D. Fisher</w:t>
            </w:r>
          </w:p>
        </w:tc>
      </w:tr>
      <w:tr>
        <w:trPr>
          <w:trHeight w:val="252"/>
        </w:trPr>
        <w:tc>
          <w:tcPr>
            <w:tcW w:w="5580" w:type="dxa"/>
            <w:vAlign w:val="bottom"/>
          </w:tcPr>
          <w:p>
            <w:pPr>
              <w:spacing w:after="0"/>
              <w:rPr>
                <w:sz w:val="21"/>
                <w:szCs w:val="21"/>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Chief Financial Officer</w:t>
            </w:r>
          </w:p>
        </w:tc>
      </w:tr>
      <w:tr>
        <w:trPr>
          <w:trHeight w:val="755"/>
        </w:trPr>
        <w:tc>
          <w:tcPr>
            <w:tcW w:w="5580" w:type="dxa"/>
            <w:vAlign w:val="bottom"/>
          </w:tcPr>
          <w:p>
            <w:pPr>
              <w:spacing w:after="0"/>
              <w:rPr>
                <w:sz w:val="24"/>
                <w:szCs w:val="24"/>
                <w:color w:val="auto"/>
              </w:rPr>
            </w:pPr>
          </w:p>
        </w:tc>
        <w:tc>
          <w:tcPr>
            <w:tcW w:w="5820" w:type="dxa"/>
            <w:vAlign w:val="bottom"/>
          </w:tcPr>
          <w:p>
            <w:pPr>
              <w:ind w:left="40"/>
              <w:spacing w:after="0"/>
              <w:rPr>
                <w:sz w:val="20"/>
                <w:szCs w:val="20"/>
                <w:color w:val="auto"/>
              </w:rPr>
            </w:pPr>
            <w:r>
              <w:rPr>
                <w:rFonts w:ascii="Arial" w:cs="Arial" w:eastAsia="Arial" w:hAnsi="Arial"/>
                <w:sz w:val="17"/>
                <w:szCs w:val="17"/>
                <w:color w:val="auto"/>
              </w:rPr>
              <w:t>31</w:t>
            </w:r>
          </w:p>
        </w:tc>
      </w:tr>
    </w:tbl>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James Welch</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Subject: Post-Retirement Consulting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Dear James,</w:t>
      </w:r>
    </w:p>
    <w:p>
      <w:pPr>
        <w:spacing w:after="0" w:line="158" w:lineRule="exact"/>
        <w:rPr>
          <w:sz w:val="20"/>
          <w:szCs w:val="20"/>
          <w:color w:val="auto"/>
        </w:rPr>
      </w:pPr>
    </w:p>
    <w:p>
      <w:pPr>
        <w:ind w:right="380" w:firstLine="604"/>
        <w:spacing w:after="0" w:line="310" w:lineRule="auto"/>
        <w:rPr>
          <w:sz w:val="20"/>
          <w:szCs w:val="20"/>
          <w:color w:val="auto"/>
        </w:rPr>
      </w:pPr>
      <w:r>
        <w:rPr>
          <w:rFonts w:ascii="Arial" w:cs="Arial" w:eastAsia="Arial" w:hAnsi="Arial"/>
          <w:sz w:val="17"/>
          <w:szCs w:val="17"/>
          <w:color w:val="auto"/>
        </w:rPr>
        <w:t>As previously discussed with you, YRC Worldwide Inc. (“YRCW”) desires to retain your services on a limited advisory basis following your retirement effective July 31, 2018 (your “Retirement Date”). This letter agreement (“Agreement”) sets forth the proposed terms of your services.</w:t>
      </w:r>
    </w:p>
    <w:p>
      <w:pPr>
        <w:spacing w:after="0" w:line="74" w:lineRule="exact"/>
        <w:rPr>
          <w:sz w:val="20"/>
          <w:szCs w:val="20"/>
          <w:color w:val="auto"/>
        </w:rPr>
      </w:pPr>
    </w:p>
    <w:p>
      <w:pPr>
        <w:ind w:right="240" w:firstLine="605"/>
        <w:spacing w:after="0" w:line="310" w:lineRule="auto"/>
        <w:tabs>
          <w:tab w:leader="none" w:pos="924" w:val="left"/>
        </w:tabs>
        <w:numPr>
          <w:ilvl w:val="0"/>
          <w:numId w:val="29"/>
        </w:numPr>
        <w:rPr>
          <w:rFonts w:ascii="Arial" w:cs="Arial" w:eastAsia="Arial" w:hAnsi="Arial"/>
          <w:sz w:val="17"/>
          <w:szCs w:val="17"/>
          <w:color w:val="auto"/>
        </w:rPr>
      </w:pPr>
      <w:r>
        <w:rPr>
          <w:rFonts w:ascii="Arial" w:cs="Arial" w:eastAsia="Arial" w:hAnsi="Arial"/>
          <w:sz w:val="17"/>
          <w:szCs w:val="17"/>
          <w:color w:val="auto"/>
        </w:rPr>
        <w:t>TERM. This Agreement will commence on your Retirement Date and will end one year later, unless terminated sooner as described below. Any extension of this Agreement beyond its original one-year term will be subject to a mutual written agreement between the parties.</w:t>
      </w:r>
    </w:p>
    <w:p>
      <w:pPr>
        <w:spacing w:after="0" w:line="73" w:lineRule="exact"/>
        <w:rPr>
          <w:rFonts w:ascii="Arial" w:cs="Arial" w:eastAsia="Arial" w:hAnsi="Arial"/>
          <w:sz w:val="17"/>
          <w:szCs w:val="17"/>
          <w:color w:val="auto"/>
        </w:rPr>
      </w:pPr>
    </w:p>
    <w:p>
      <w:pPr>
        <w:ind w:firstLine="605"/>
        <w:spacing w:after="0" w:line="256" w:lineRule="auto"/>
        <w:tabs>
          <w:tab w:leader="none" w:pos="927"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SERVICES. Immediately following your Retirement Date, you will provide such consulting and advisory services (“Services”) as may be reasonably requested by YRCW. Although YRCW will not in any way control or direct the manner or means by which you perform your Services, it is expected that you will be reasonably available to assist YRCW upon not less than two (2) days’ advanced notice, unless extenuating circumstances require your immediate attention. In no event will the level of your Services exceed more than twenty percent (20%) of the level of services you provided as an employee of YRCW prior to your Retirement Date.</w:t>
      </w:r>
    </w:p>
    <w:p>
      <w:pPr>
        <w:spacing w:after="0" w:line="116" w:lineRule="exact"/>
        <w:rPr>
          <w:rFonts w:ascii="Arial" w:cs="Arial" w:eastAsia="Arial" w:hAnsi="Arial"/>
          <w:sz w:val="18"/>
          <w:szCs w:val="18"/>
          <w:color w:val="auto"/>
        </w:rPr>
      </w:pPr>
    </w:p>
    <w:p>
      <w:pPr>
        <w:ind w:right="60" w:firstLine="605"/>
        <w:spacing w:after="0" w:line="263" w:lineRule="auto"/>
        <w:tabs>
          <w:tab w:leader="none" w:pos="927"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RETAINER. YRCW will pay you a retainer of $12,500 per month (your “Retainer”). YRCW will also reimburse you for reasonable business expenses incurred in connection with the delivery of your Services, subject to YRCW’s customary expense reimbursement policies and procedures for independent contractors.</w:t>
      </w:r>
    </w:p>
    <w:p>
      <w:pPr>
        <w:spacing w:after="0" w:line="112" w:lineRule="exact"/>
        <w:rPr>
          <w:rFonts w:ascii="Arial" w:cs="Arial" w:eastAsia="Arial" w:hAnsi="Arial"/>
          <w:sz w:val="18"/>
          <w:szCs w:val="18"/>
          <w:color w:val="auto"/>
        </w:rPr>
      </w:pPr>
    </w:p>
    <w:p>
      <w:pPr>
        <w:ind w:right="120" w:firstLine="605"/>
        <w:spacing w:after="0" w:line="256" w:lineRule="auto"/>
        <w:tabs>
          <w:tab w:leader="none" w:pos="927"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INDEPENDENT CONTRACTOR. Your Services will be provided as an independent contractor of YRCW and not as a common law employee. Accordingly, your Retainer will be reported to you on an IRS Form 1099, and you will be solely responsible for all applicable taxes. As an independent contractor you will not be eligible to participate in any health, retirement, or other employee benefit plans or fringe benefit programs offered to YRCW employees. This Agreement will not have any effect on any benefits you accrued or earned prior to your Retirement Date, unless required by applicable law.</w:t>
      </w:r>
    </w:p>
    <w:p>
      <w:pPr>
        <w:spacing w:after="0" w:line="116" w:lineRule="exact"/>
        <w:rPr>
          <w:rFonts w:ascii="Arial" w:cs="Arial" w:eastAsia="Arial" w:hAnsi="Arial"/>
          <w:sz w:val="18"/>
          <w:szCs w:val="18"/>
          <w:color w:val="auto"/>
        </w:rPr>
      </w:pPr>
    </w:p>
    <w:p>
      <w:pPr>
        <w:ind w:right="60" w:firstLine="605"/>
        <w:spacing w:after="0" w:line="263" w:lineRule="auto"/>
        <w:tabs>
          <w:tab w:leader="none" w:pos="9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TERMINATION OF CONSULTING RELATIONSHIP. This Agreement will automatically terminate upon your death. In addition, we may agree to terminate the Agreement before its scheduled termination date by mutual written agreement. Your monthly Retainer will end upon termination of this Agreement for any reason.</w:t>
      </w:r>
    </w:p>
    <w:p>
      <w:pPr>
        <w:spacing w:after="0" w:line="112" w:lineRule="exact"/>
        <w:rPr>
          <w:rFonts w:ascii="Arial" w:cs="Arial" w:eastAsia="Arial" w:hAnsi="Arial"/>
          <w:sz w:val="18"/>
          <w:szCs w:val="18"/>
          <w:color w:val="auto"/>
        </w:rPr>
      </w:pPr>
    </w:p>
    <w:p>
      <w:pPr>
        <w:ind w:right="400" w:firstLine="605"/>
        <w:spacing w:after="0" w:line="279" w:lineRule="auto"/>
        <w:tabs>
          <w:tab w:leader="none" w:pos="917"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ASSIGNMENT. You may not assign any rights, or delegate or subcontract any obligations, under this Agreement without YRCW’s prior written consent.</w:t>
      </w:r>
    </w:p>
    <w:p>
      <w:pPr>
        <w:spacing w:after="0" w:line="97" w:lineRule="exact"/>
        <w:rPr>
          <w:rFonts w:ascii="Arial" w:cs="Arial" w:eastAsia="Arial" w:hAnsi="Arial"/>
          <w:sz w:val="18"/>
          <w:szCs w:val="18"/>
          <w:color w:val="auto"/>
        </w:rPr>
      </w:pPr>
    </w:p>
    <w:p>
      <w:pPr>
        <w:ind w:right="280" w:firstLine="605"/>
        <w:spacing w:after="0" w:line="256" w:lineRule="auto"/>
        <w:tabs>
          <w:tab w:leader="none" w:pos="927" w:val="left"/>
        </w:tabs>
        <w:numPr>
          <w:ilvl w:val="0"/>
          <w:numId w:val="29"/>
        </w:numPr>
        <w:rPr>
          <w:rFonts w:ascii="Arial" w:cs="Arial" w:eastAsia="Arial" w:hAnsi="Arial"/>
          <w:sz w:val="18"/>
          <w:szCs w:val="18"/>
          <w:color w:val="auto"/>
        </w:rPr>
      </w:pPr>
      <w:r>
        <w:rPr>
          <w:rFonts w:ascii="Arial" w:cs="Arial" w:eastAsia="Arial" w:hAnsi="Arial"/>
          <w:sz w:val="18"/>
          <w:szCs w:val="18"/>
          <w:color w:val="auto"/>
        </w:rPr>
        <w:t>MISCELLANEOUS. This Agreement constitutes the sole and entire agreement between us with respect to the subject matter contained herein. This Agreement will be governed by, and construed in accordance with, the laws of the State of Kansas, without giving effect to the conflict of laws provisions. If any term or provision of this Agreement is invalid, illegal, or unenforceable in any jurisdiction, such invalidity, illegality, or unenforceability will not affect any other term or provision of this Agreement or invalidate or render unenforceable such term or provision in any other jurisdiction.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 you agree to the terms and conditions set forth above, please acknowledge below and return a copy to my attention.</w:t>
      </w:r>
    </w:p>
    <w:p>
      <w:pPr>
        <w:sectPr>
          <w:pgSz w:w="11900" w:h="16838" w:orient="portrait"/>
          <w:cols w:equalWidth="0" w:num="1">
            <w:col w:w="11420"/>
          </w:cols>
          <w:pgMar w:left="240" w:top="630" w:right="239" w:bottom="1440" w:gutter="0" w:footer="0" w:header="0"/>
        </w:sectPr>
      </w:pPr>
    </w:p>
    <w:bookmarkStart w:id="32" w:name="page33"/>
    <w:bookmarkEnd w:id="32"/>
    <w:p>
      <w:pPr>
        <w:ind w:left="3620"/>
        <w:spacing w:after="0"/>
        <w:rPr>
          <w:sz w:val="20"/>
          <w:szCs w:val="20"/>
          <w:color w:val="auto"/>
        </w:rPr>
      </w:pPr>
      <w:r>
        <w:rPr>
          <w:rFonts w:ascii="Arial" w:cs="Arial" w:eastAsia="Arial" w:hAnsi="Arial"/>
          <w:sz w:val="18"/>
          <w:szCs w:val="18"/>
          <w:b w:val="1"/>
          <w:bCs w:val="1"/>
          <w:color w:val="auto"/>
        </w:rPr>
        <w:t>YRC Worldwide Inc.</w:t>
      </w:r>
    </w:p>
    <w:p>
      <w:pPr>
        <w:spacing w:after="0" w:line="200" w:lineRule="exact"/>
        <w:rPr>
          <w:sz w:val="20"/>
          <w:szCs w:val="20"/>
          <w:color w:val="auto"/>
        </w:rPr>
      </w:pPr>
    </w:p>
    <w:p>
      <w:pPr>
        <w:spacing w:after="0" w:line="23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Darren D. Hawkins</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Darren D. Hawkins</w:t>
      </w:r>
    </w:p>
    <w:p>
      <w:pPr>
        <w:spacing w:after="0" w:line="7"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and Accepted: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L. Welch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L. Welch</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June 11,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219"/>
          </w:cols>
          <w:pgMar w:left="240" w:top="987" w:right="1440" w:bottom="1440" w:gutter="0" w:footer="0" w:header="0"/>
        </w:sectPr>
      </w:pPr>
    </w:p>
    <w:bookmarkStart w:id="33" w:name="page34"/>
    <w:bookmarkEnd w:id="33"/>
    <w:p>
      <w:pPr>
        <w:jc w:val="right"/>
        <w:spacing w:after="0"/>
        <w:rPr>
          <w:sz w:val="20"/>
          <w:szCs w:val="20"/>
          <w:color w:val="auto"/>
        </w:rPr>
      </w:pPr>
      <w:r>
        <w:rPr>
          <w:rFonts w:ascii="Arial" w:cs="Arial" w:eastAsia="Arial" w:hAnsi="Arial"/>
          <w:sz w:val="17"/>
          <w:szCs w:val="17"/>
          <w:b w:val="1"/>
          <w:bCs w:val="1"/>
          <w:color w:val="auto"/>
        </w:rPr>
        <w:t>EXHIBIT 31.1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EXCHANGE ACT RULES 13a-14 AND 15d-14,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OF THE SARBANES-OXLEY ACT OF 2002</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I, Darren D. Hawkins, certify that:</w:t>
      </w:r>
    </w:p>
    <w:p>
      <w:pPr>
        <w:spacing w:after="0" w:line="81" w:lineRule="exact"/>
        <w:rPr>
          <w:sz w:val="20"/>
          <w:szCs w:val="20"/>
          <w:color w:val="auto"/>
        </w:rPr>
      </w:pPr>
    </w:p>
    <w:p>
      <w:pPr>
        <w:ind w:left="600" w:hanging="599"/>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YRC Worldwide Inc.;</w:t>
      </w:r>
    </w:p>
    <w:p>
      <w:pPr>
        <w:spacing w:after="0" w:line="81" w:lineRule="exact"/>
        <w:rPr>
          <w:rFonts w:ascii="Arial" w:cs="Arial" w:eastAsia="Arial" w:hAnsi="Arial"/>
          <w:sz w:val="17"/>
          <w:szCs w:val="17"/>
          <w:color w:val="auto"/>
        </w:rPr>
      </w:pPr>
    </w:p>
    <w:p>
      <w:pPr>
        <w:ind w:left="600" w:right="300" w:hanging="599"/>
        <w:spacing w:after="0" w:line="332" w:lineRule="auto"/>
        <w:tabs>
          <w:tab w:leader="none" w:pos="6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600" w:right="400" w:hanging="599"/>
        <w:spacing w:after="0" w:line="269" w:lineRule="auto"/>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jc w:val="both"/>
        <w:ind w:left="600" w:right="200" w:hanging="599"/>
        <w:spacing w:after="0" w:line="258" w:lineRule="auto"/>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7"/>
          <w:szCs w:val="17"/>
          <w:color w:val="auto"/>
        </w:rPr>
      </w:pPr>
    </w:p>
    <w:p>
      <w:pPr>
        <w:ind w:left="1060" w:right="2940" w:hanging="418"/>
        <w:spacing w:after="0" w:line="254" w:lineRule="auto"/>
        <w:tabs>
          <w:tab w:leader="none" w:pos="10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7"/>
          <w:szCs w:val="17"/>
          <w:color w:val="auto"/>
        </w:rPr>
      </w:pPr>
    </w:p>
    <w:p>
      <w:pPr>
        <w:ind w:left="1060" w:right="2920" w:hanging="418"/>
        <w:spacing w:after="0" w:line="254" w:lineRule="auto"/>
        <w:tabs>
          <w:tab w:leader="none" w:pos="10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7"/>
          <w:szCs w:val="17"/>
          <w:color w:val="auto"/>
        </w:rPr>
      </w:pPr>
    </w:p>
    <w:p>
      <w:pPr>
        <w:jc w:val="both"/>
        <w:ind w:left="1060" w:right="3080" w:hanging="418"/>
        <w:spacing w:after="0" w:line="258" w:lineRule="auto"/>
        <w:tabs>
          <w:tab w:leader="none" w:pos="10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7"/>
          <w:szCs w:val="17"/>
          <w:color w:val="auto"/>
        </w:rPr>
      </w:pPr>
    </w:p>
    <w:p>
      <w:pPr>
        <w:ind w:left="1060" w:right="3020" w:hanging="418"/>
        <w:spacing w:after="0" w:line="254" w:lineRule="auto"/>
        <w:tabs>
          <w:tab w:leader="none" w:pos="10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17"/>
          <w:szCs w:val="17"/>
          <w:color w:val="auto"/>
        </w:rPr>
      </w:pPr>
    </w:p>
    <w:p>
      <w:pPr>
        <w:ind w:left="600" w:right="160" w:hanging="599"/>
        <w:spacing w:after="0" w:line="269" w:lineRule="auto"/>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7"/>
          <w:szCs w:val="17"/>
          <w:color w:val="auto"/>
        </w:rPr>
      </w:pPr>
    </w:p>
    <w:p>
      <w:pPr>
        <w:ind w:left="1060" w:right="2880" w:hanging="418"/>
        <w:spacing w:after="0" w:line="258" w:lineRule="auto"/>
        <w:tabs>
          <w:tab w:leader="none" w:pos="10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7"/>
          <w:szCs w:val="17"/>
          <w:color w:val="auto"/>
        </w:rPr>
      </w:pPr>
    </w:p>
    <w:p>
      <w:pPr>
        <w:ind w:left="1060" w:right="3000" w:hanging="418"/>
        <w:spacing w:after="0" w:line="269" w:lineRule="auto"/>
        <w:tabs>
          <w:tab w:leader="none" w:pos="10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August 2, 2018</w:t>
      </w:r>
      <w:r>
        <w:rPr>
          <w:sz w:val="20"/>
          <w:szCs w:val="20"/>
          <w:color w:val="auto"/>
        </w:rPr>
        <w:tab/>
      </w:r>
      <w:r>
        <w:rPr>
          <w:rFonts w:ascii="Arial" w:cs="Arial" w:eastAsia="Arial" w:hAnsi="Arial"/>
          <w:sz w:val="15"/>
          <w:szCs w:val="15"/>
          <w:color w:val="auto"/>
        </w:rPr>
        <w:t>/s/ Darren D.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Darren D. Hawkins</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55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7"/>
          <w:szCs w:val="17"/>
          <w:b w:val="1"/>
          <w:bCs w:val="1"/>
          <w:color w:val="auto"/>
        </w:rPr>
        <w:t>EXHIBIT 31.2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EXCHANGE ACT RULES 13a-14 AND 15d-14,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OF THE SARBANES-OXLEY ACT OF 2002</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I, Stephanie D. Fisher, certify that:</w:t>
      </w:r>
    </w:p>
    <w:p>
      <w:pPr>
        <w:spacing w:after="0" w:line="81" w:lineRule="exact"/>
        <w:rPr>
          <w:sz w:val="20"/>
          <w:szCs w:val="20"/>
          <w:color w:val="auto"/>
        </w:rPr>
      </w:pPr>
    </w:p>
    <w:p>
      <w:pPr>
        <w:ind w:left="600" w:hanging="599"/>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YRC Worldwide Inc.;</w:t>
      </w:r>
    </w:p>
    <w:p>
      <w:pPr>
        <w:spacing w:after="0" w:line="81" w:lineRule="exact"/>
        <w:rPr>
          <w:rFonts w:ascii="Arial" w:cs="Arial" w:eastAsia="Arial" w:hAnsi="Arial"/>
          <w:sz w:val="17"/>
          <w:szCs w:val="17"/>
          <w:color w:val="auto"/>
        </w:rPr>
      </w:pPr>
    </w:p>
    <w:p>
      <w:pPr>
        <w:ind w:left="600" w:right="300" w:hanging="599"/>
        <w:spacing w:after="0" w:line="332" w:lineRule="auto"/>
        <w:tabs>
          <w:tab w:leader="none" w:pos="6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600" w:right="400" w:hanging="599"/>
        <w:spacing w:after="0" w:line="269" w:lineRule="auto"/>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jc w:val="both"/>
        <w:ind w:left="600" w:right="200" w:hanging="599"/>
        <w:spacing w:after="0" w:line="258" w:lineRule="auto"/>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7"/>
          <w:szCs w:val="17"/>
          <w:color w:val="auto"/>
        </w:rPr>
      </w:pPr>
    </w:p>
    <w:p>
      <w:pPr>
        <w:ind w:left="1060" w:right="2940" w:hanging="418"/>
        <w:spacing w:after="0" w:line="254" w:lineRule="auto"/>
        <w:tabs>
          <w:tab w:leader="none" w:pos="10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7"/>
          <w:szCs w:val="17"/>
          <w:color w:val="auto"/>
        </w:rPr>
      </w:pPr>
    </w:p>
    <w:p>
      <w:pPr>
        <w:ind w:left="1060" w:right="2920" w:hanging="418"/>
        <w:spacing w:after="0" w:line="254" w:lineRule="auto"/>
        <w:tabs>
          <w:tab w:leader="none" w:pos="10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7"/>
          <w:szCs w:val="17"/>
          <w:color w:val="auto"/>
        </w:rPr>
      </w:pPr>
    </w:p>
    <w:p>
      <w:pPr>
        <w:jc w:val="both"/>
        <w:ind w:left="1060" w:right="3080" w:hanging="418"/>
        <w:spacing w:after="0" w:line="258" w:lineRule="auto"/>
        <w:tabs>
          <w:tab w:leader="none" w:pos="10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7"/>
          <w:szCs w:val="17"/>
          <w:color w:val="auto"/>
        </w:rPr>
      </w:pPr>
    </w:p>
    <w:p>
      <w:pPr>
        <w:ind w:left="1060" w:right="3020" w:hanging="418"/>
        <w:spacing w:after="0" w:line="254" w:lineRule="auto"/>
        <w:tabs>
          <w:tab w:leader="none" w:pos="10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17"/>
          <w:szCs w:val="17"/>
          <w:color w:val="auto"/>
        </w:rPr>
      </w:pPr>
    </w:p>
    <w:p>
      <w:pPr>
        <w:ind w:left="600" w:right="160" w:hanging="599"/>
        <w:spacing w:after="0" w:line="269" w:lineRule="auto"/>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7"/>
          <w:szCs w:val="17"/>
          <w:color w:val="auto"/>
        </w:rPr>
      </w:pPr>
    </w:p>
    <w:p>
      <w:pPr>
        <w:ind w:left="1060" w:right="2880" w:hanging="418"/>
        <w:spacing w:after="0" w:line="258" w:lineRule="auto"/>
        <w:tabs>
          <w:tab w:leader="none" w:pos="10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7"/>
          <w:szCs w:val="17"/>
          <w:color w:val="auto"/>
        </w:rPr>
      </w:pPr>
    </w:p>
    <w:p>
      <w:pPr>
        <w:ind w:left="1060" w:right="3000" w:hanging="418"/>
        <w:spacing w:after="0" w:line="269" w:lineRule="auto"/>
        <w:tabs>
          <w:tab w:leader="none" w:pos="10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August 2, 2018</w:t>
      </w:r>
      <w:r>
        <w:rPr>
          <w:sz w:val="20"/>
          <w:szCs w:val="20"/>
          <w:color w:val="auto"/>
        </w:rPr>
        <w:tab/>
      </w:r>
      <w:r>
        <w:rPr>
          <w:rFonts w:ascii="Arial" w:cs="Arial" w:eastAsia="Arial" w:hAnsi="Arial"/>
          <w:sz w:val="14"/>
          <w:szCs w:val="14"/>
          <w:color w:val="auto"/>
        </w:rPr>
        <w:t>/s/ Stephanie 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Stephanie D. Fisher</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55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7"/>
          <w:szCs w:val="17"/>
          <w:b w:val="1"/>
          <w:bCs w:val="1"/>
          <w:color w:val="auto"/>
        </w:rPr>
        <w:t>EXHIBIT 32.1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145"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In connection with the quarterly report of YRC Worldwide Inc. on Form 10-Q for the period ended June 30, 2018, as filed with the Securities and Exchange Commission on the date hereof (the “Report”), I, Darren D. Hawkins, Chief Executive Officer of YRC Worldwide Inc., certify, pursuant to 18 U.S.C. Section 1350, as adopted pursuant to Section 906 of the Sarbanes-Oxley Act of 2002, that:</w:t>
      </w:r>
    </w:p>
    <w:p>
      <w:pPr>
        <w:spacing w:after="0" w:line="49" w:lineRule="exact"/>
        <w:rPr>
          <w:sz w:val="20"/>
          <w:szCs w:val="20"/>
          <w:color w:val="auto"/>
        </w:rPr>
      </w:pPr>
    </w:p>
    <w:p>
      <w:pPr>
        <w:ind w:left="600" w:hanging="599"/>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81" w:lineRule="exact"/>
        <w:rPr>
          <w:rFonts w:ascii="Arial" w:cs="Arial" w:eastAsia="Arial" w:hAnsi="Arial"/>
          <w:sz w:val="17"/>
          <w:szCs w:val="17"/>
          <w:color w:val="auto"/>
        </w:rPr>
      </w:pPr>
    </w:p>
    <w:p>
      <w:pPr>
        <w:ind w:left="600" w:hanging="599"/>
        <w:spacing w:after="0"/>
        <w:tabs>
          <w:tab w:leader="none" w:pos="6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YRC Worldwide Inc.</w:t>
      </w:r>
    </w:p>
    <w:p>
      <w:pPr>
        <w:spacing w:after="0" w:line="244"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August 2, 2018</w:t>
      </w:r>
      <w:r>
        <w:rPr>
          <w:sz w:val="20"/>
          <w:szCs w:val="20"/>
          <w:color w:val="auto"/>
        </w:rPr>
        <w:tab/>
      </w:r>
      <w:r>
        <w:rPr>
          <w:rFonts w:ascii="Arial" w:cs="Arial" w:eastAsia="Arial" w:hAnsi="Arial"/>
          <w:sz w:val="15"/>
          <w:szCs w:val="15"/>
          <w:color w:val="auto"/>
        </w:rPr>
        <w:t>/s/ Darren D.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Darren D. Hawkins</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55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7"/>
          <w:szCs w:val="17"/>
          <w:b w:val="1"/>
          <w:bCs w:val="1"/>
          <w:color w:val="auto"/>
        </w:rPr>
        <w:t>EXHIBIT 32.2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145"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In connection with the quarterly report of YRC Worldwide Inc. on Form 10-Q for the period ended June 30, 2018, as filed with the Securities and Exchange Commission on the date hereof (the “Report”), I, Stephanie D. Fisher, Chief Financial Officer of YRC Worldwide Inc., certify, pursuant to 18 U.S.C. Section 1350, as adopted pursuant to Section 906 of the Sarbanes-Oxley Act of 2002, that:</w:t>
      </w:r>
    </w:p>
    <w:p>
      <w:pPr>
        <w:spacing w:after="0" w:line="49" w:lineRule="exact"/>
        <w:rPr>
          <w:sz w:val="20"/>
          <w:szCs w:val="20"/>
          <w:color w:val="auto"/>
        </w:rPr>
      </w:pPr>
    </w:p>
    <w:p>
      <w:pPr>
        <w:ind w:left="600" w:hanging="599"/>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81" w:lineRule="exact"/>
        <w:rPr>
          <w:rFonts w:ascii="Arial" w:cs="Arial" w:eastAsia="Arial" w:hAnsi="Arial"/>
          <w:sz w:val="17"/>
          <w:szCs w:val="17"/>
          <w:color w:val="auto"/>
        </w:rPr>
      </w:pPr>
    </w:p>
    <w:p>
      <w:pPr>
        <w:ind w:left="600" w:hanging="599"/>
        <w:spacing w:after="0"/>
        <w:tabs>
          <w:tab w:leader="none" w:pos="6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YRC Worldwide Inc.</w:t>
      </w:r>
    </w:p>
    <w:p>
      <w:pPr>
        <w:spacing w:after="0" w:line="244"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August 2, 2018</w:t>
      </w:r>
      <w:r>
        <w:rPr>
          <w:sz w:val="20"/>
          <w:szCs w:val="20"/>
          <w:color w:val="auto"/>
        </w:rPr>
        <w:tab/>
      </w:r>
      <w:r>
        <w:rPr>
          <w:rFonts w:ascii="Arial" w:cs="Arial" w:eastAsia="Arial" w:hAnsi="Arial"/>
          <w:sz w:val="14"/>
          <w:szCs w:val="14"/>
          <w:color w:val="auto"/>
        </w:rPr>
        <w:t>/s/ Stephanie 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Stephanie D. Fisher</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420"/>
      </w:cols>
      <w:pgMar w:left="240" w:top="5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2"/>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lowerLetter"/>
      <w:start w:val="1"/>
    </w:lvl>
  </w:abstractNum>
  <w:abstractNum w:abstractNumId="5">
    <w:nsid w:val="257130A3"/>
    <w:multiLevelType w:val="hybridMultilevel"/>
    <w:lvl w:ilvl="0">
      <w:lvlJc w:val="left"/>
      <w:lvlText w:val="(%1)"/>
      <w:numFmt w:val="lowerLetter"/>
      <w:start w:val="1"/>
    </w:lvl>
  </w:abstractNum>
  <w:abstractNum w:abstractNumId="6">
    <w:nsid w:val="62BBD95A"/>
    <w:multiLevelType w:val="hybridMultilevel"/>
    <w:lvl w:ilvl="0">
      <w:lvlJc w:val="left"/>
      <w:lvlText w:val="%1"/>
      <w:numFmt w:val="decimal"/>
      <w:start w:val="1"/>
    </w:lvl>
    <w:lvl w:ilvl="1">
      <w:lvlJc w:val="left"/>
      <w:lvlText w:val="(%2)"/>
      <w:numFmt w:val="lowerLetter"/>
      <w:start w:val="1"/>
    </w:lvl>
  </w:abstractNum>
  <w:abstractNum w:abstractNumId="7">
    <w:nsid w:val="436C6125"/>
    <w:multiLevelType w:val="hybridMultilevel"/>
    <w:lvl w:ilvl="0">
      <w:lvlJc w:val="left"/>
      <w:lvlText w:val="%1."/>
      <w:numFmt w:val="decimal"/>
      <w:start w:val="8"/>
    </w:lvl>
    <w:lvl w:ilvl="1">
      <w:lvlJc w:val="left"/>
      <w:lvlText w:val="%2"/>
      <w:numFmt w:val="lowerLetter"/>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lvl w:ilvl="1">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lowerLetter"/>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lowerLetter"/>
      <w:start w:val="1"/>
    </w:lvl>
  </w:abstractNum>
  <w:abstractNum w:abstractNumId="15">
    <w:nsid w:val="8EDBDAB"/>
    <w:multiLevelType w:val="hybridMultilevel"/>
    <w:lvl w:ilvl="0">
      <w:lvlJc w:val="left"/>
      <w:lvlText w:val="(%1)"/>
      <w:numFmt w:val="lowerLetter"/>
      <w:start w:val="1"/>
    </w:lvl>
  </w:abstractNum>
  <w:abstractNum w:abstractNumId="16">
    <w:nsid w:val="79838CB2"/>
    <w:multiLevelType w:val="hybridMultilevel"/>
    <w:lvl w:ilvl="0">
      <w:lvlJc w:val="left"/>
      <w:lvlText w:val="(%1)"/>
      <w:numFmt w:val="lowerLetter"/>
      <w:start w:val="1"/>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1)"/>
      <w:numFmt w:val="lowerLetter"/>
      <w:start w:val="1"/>
    </w:lvl>
  </w:abstractNum>
  <w:abstractNum w:abstractNumId="19">
    <w:nsid w:val="189A769B"/>
    <w:multiLevelType w:val="hybridMultilevel"/>
    <w:lvl w:ilvl="0">
      <w:lvlJc w:val="left"/>
      <w:lvlText w:val="(%1)"/>
      <w:numFmt w:val="lowerLetter"/>
      <w:start w:val="1"/>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2019-12-28T20:23:24Z</dcterms:created>
  <dcterms:modified xsi:type="dcterms:W3CDTF">2019-12-28T20:23:24Z</dcterms:modified>
</cp:coreProperties>
</file>