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690824d8k.htm"/>
      <w:bookmarkStart w:id="1" w:name="ksd69082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December 20,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Yellow Corporation</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000-12255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48-0948788</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11500 Outlook Street</w:t>
            </w:r>
          </w:p>
          <w:p>
            <w:pPr>
              <w:pStyle w:val="TableContents"/>
              <w:bidi w:val="0"/>
              <w:spacing w:before="0" w:after="20"/>
              <w:jc w:val="center"/>
              <w:rPr>
                <w:rFonts w:ascii="Times New Roman" w:hAnsi="Times New Roman"/>
                <w:b/>
                <w:sz w:val="20"/>
              </w:rPr>
            </w:pPr>
            <w:r>
              <w:rPr>
                <w:rFonts w:ascii="Times New Roman" w:hAnsi="Times New Roman"/>
                <w:b/>
                <w:sz w:val="20"/>
              </w:rPr>
              <w:t>Overland Park, Kansas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66211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(913) 696-6100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720" w:type="dxa"/>
        <w:jc w:val="left"/>
        <w:tblInd w:w="0" w:type="dxa"/>
        <w:tblLayout w:type="fixed"/>
        <w:tblCellMar>
          <w:top w:w="0" w:type="dxa"/>
          <w:left w:w="0" w:type="dxa"/>
          <w:bottom w:w="0" w:type="dxa"/>
          <w:right w:w="0" w:type="dxa"/>
        </w:tblCellMar>
      </w:tblPr>
      <w:tblGrid>
        <w:gridCol w:w="4025"/>
        <w:gridCol w:w="60"/>
        <w:gridCol w:w="830"/>
        <w:gridCol w:w="60"/>
        <w:gridCol w:w="174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center"/>
              <w:rPr/>
            </w:pPr>
            <w:r>
              <w:rPr/>
              <w:t>YELLQ</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bookmarkStart w:id="2" w:name="Fact_4"/>
            <w:bookmarkEnd w:id="2"/>
            <w:r>
              <w:rPr/>
              <w:t>OTC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505" w:type="dxa"/>
        <w:jc w:val="left"/>
        <w:tblInd w:w="0" w:type="dxa"/>
        <w:tblLayout w:type="fixed"/>
        <w:tblCellMar>
          <w:top w:w="0" w:type="dxa"/>
          <w:left w:w="0" w:type="dxa"/>
          <w:bottom w:w="0" w:type="dxa"/>
          <w:right w:w="0" w:type="dxa"/>
        </w:tblCellMar>
      </w:tblPr>
      <w:tblGrid>
        <w:gridCol w:w="1040"/>
        <w:gridCol w:w="2465"/>
      </w:tblGrid>
      <w:tr>
        <w:trPr/>
        <w:tc>
          <w:tcPr>
            <w:tcW w:w="1040" w:type="dxa"/>
            <w:tcBorders/>
            <w:vAlign w:val="center"/>
          </w:tcPr>
          <w:p>
            <w:pPr>
              <w:pStyle w:val="TableContents"/>
              <w:bidi w:val="0"/>
              <w:spacing w:before="0" w:after="283"/>
              <w:jc w:val="left"/>
              <w:rPr>
                <w:b/>
              </w:rPr>
            </w:pPr>
            <w:r>
              <w:rPr>
                <w:b/>
              </w:rPr>
              <w:t>Item 1.03.</w:t>
            </w:r>
          </w:p>
        </w:tc>
        <w:tc>
          <w:tcPr>
            <w:tcW w:w="24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Bankruptcy or Receivership.</w:t>
            </w:r>
          </w:p>
        </w:tc>
      </w:tr>
    </w:tbl>
    <w:p>
      <w:pPr>
        <w:pStyle w:val="TextBody"/>
        <w:bidi w:val="0"/>
        <w:spacing w:before="120" w:after="0"/>
        <w:jc w:val="left"/>
        <w:rPr>
          <w:rFonts w:ascii="Times New Roman" w:hAnsi="Times New Roman"/>
          <w:sz w:val="20"/>
        </w:rPr>
      </w:pPr>
      <w:r>
        <w:rPr>
          <w:rFonts w:ascii="Times New Roman" w:hAnsi="Times New Roman"/>
          <w:sz w:val="20"/>
        </w:rPr>
        <w:t>The information set forth under Item 2.01 of this Current Report on Form 8-K regarding the Purchase Agreement is incorporated herein by reference.</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1040"/>
        <w:gridCol w:w="4235"/>
      </w:tblGrid>
      <w:tr>
        <w:trPr/>
        <w:tc>
          <w:tcPr>
            <w:tcW w:w="1040" w:type="dxa"/>
            <w:tcBorders/>
            <w:vAlign w:val="center"/>
          </w:tcPr>
          <w:p>
            <w:pPr>
              <w:pStyle w:val="TableContents"/>
              <w:bidi w:val="0"/>
              <w:spacing w:before="0" w:after="283"/>
              <w:jc w:val="left"/>
              <w:rPr>
                <w:b/>
              </w:rPr>
            </w:pPr>
            <w:r>
              <w:rPr>
                <w:b/>
              </w:rPr>
              <w:t>Item 2.01.</w:t>
            </w:r>
          </w:p>
        </w:tc>
        <w:tc>
          <w:tcPr>
            <w:tcW w:w="4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Completion of Acquisition or Disposition of Assets</w:t>
            </w:r>
          </w:p>
        </w:tc>
      </w:tr>
    </w:tbl>
    <w:p>
      <w:pPr>
        <w:pStyle w:val="TextBody"/>
        <w:bidi w:val="0"/>
        <w:spacing w:before="120" w:after="0"/>
        <w:jc w:val="left"/>
        <w:rPr>
          <w:rFonts w:ascii="Times New Roman" w:hAnsi="Times New Roman"/>
          <w:sz w:val="20"/>
        </w:rPr>
      </w:pPr>
      <w:r>
        <w:rPr>
          <w:rFonts w:ascii="Times New Roman" w:hAnsi="Times New Roman"/>
          <w:sz w:val="20"/>
        </w:rPr>
        <w:t>As previously disclosed, on August 6, 2023 (the “</w:t>
      </w:r>
      <w:r>
        <w:rPr>
          <w:rFonts w:ascii="Times New Roman" w:hAnsi="Times New Roman"/>
          <w:b/>
          <w:i/>
          <w:sz w:val="20"/>
        </w:rPr>
        <w:t>Petition Date</w:t>
      </w:r>
      <w:r>
        <w:rPr>
          <w:rFonts w:ascii="Times New Roman" w:hAnsi="Times New Roman"/>
          <w:sz w:val="20"/>
        </w:rPr>
        <w:t>”), Yellow Corporation (the “</w:t>
      </w:r>
      <w:r>
        <w:rPr>
          <w:rFonts w:ascii="Times New Roman" w:hAnsi="Times New Roman"/>
          <w:b/>
          <w:i/>
          <w:sz w:val="20"/>
        </w:rPr>
        <w:t>Company</w:t>
      </w:r>
      <w:r>
        <w:rPr>
          <w:rFonts w:ascii="Times New Roman" w:hAnsi="Times New Roman"/>
          <w:sz w:val="20"/>
        </w:rPr>
        <w:t>”) and certain of its direct and indirect subsidiaries (collectively, the “</w:t>
      </w:r>
      <w:r>
        <w:rPr>
          <w:rFonts w:ascii="Times New Roman" w:hAnsi="Times New Roman"/>
          <w:b/>
          <w:i/>
          <w:sz w:val="20"/>
        </w:rPr>
        <w:t>Company Parties</w:t>
      </w:r>
      <w:r>
        <w:rPr>
          <w:rFonts w:ascii="Times New Roman" w:hAnsi="Times New Roman"/>
          <w:sz w:val="20"/>
        </w:rPr>
        <w:t>”), filed voluntary petitions for relief (the “</w:t>
      </w:r>
      <w:r>
        <w:rPr>
          <w:rFonts w:ascii="Times New Roman" w:hAnsi="Times New Roman"/>
          <w:b/>
          <w:i/>
          <w:sz w:val="20"/>
        </w:rPr>
        <w:t>Chapter 11 Cases</w:t>
      </w:r>
      <w:r>
        <w:rPr>
          <w:rFonts w:ascii="Times New Roman" w:hAnsi="Times New Roman"/>
          <w:sz w:val="20"/>
        </w:rPr>
        <w:t>”) under Chapter 11 of the U.S. Bankruptcy Code in the U.S. Bankruptcy Court for the District of Delaware (the “</w:t>
      </w:r>
      <w:r>
        <w:rPr>
          <w:rFonts w:ascii="Times New Roman" w:hAnsi="Times New Roman"/>
          <w:b/>
          <w:i/>
          <w:sz w:val="20"/>
        </w:rPr>
        <w:t>Bankruptcy Court</w:t>
      </w:r>
      <w:r>
        <w:rPr>
          <w:rFonts w:ascii="Times New Roman" w:hAnsi="Times New Roman"/>
          <w:sz w:val="20"/>
        </w:rPr>
        <w:t>”). The Chapter 11 Cases are being jointly administered under the caption In re: Yellow Corporation, et al., Case No. 23-11069.</w:t>
      </w:r>
    </w:p>
    <w:p>
      <w:pPr>
        <w:pStyle w:val="TextBody"/>
        <w:bidi w:val="0"/>
        <w:spacing w:before="240" w:after="0"/>
        <w:jc w:val="left"/>
        <w:rPr>
          <w:rFonts w:ascii="Times New Roman" w:hAnsi="Times New Roman"/>
          <w:sz w:val="20"/>
        </w:rPr>
      </w:pPr>
      <w:r>
        <w:rPr>
          <w:rFonts w:ascii="Times New Roman" w:hAnsi="Times New Roman"/>
          <w:sz w:val="20"/>
        </w:rPr>
        <w:t>On December 20, 2023, the Company consummated the sale of certain of the Company’s real estate holdings (the “</w:t>
      </w:r>
      <w:r>
        <w:rPr>
          <w:rFonts w:ascii="Times New Roman" w:hAnsi="Times New Roman"/>
          <w:b/>
          <w:i/>
          <w:sz w:val="20"/>
        </w:rPr>
        <w:t>Sold Real Estate</w:t>
      </w:r>
      <w:r>
        <w:rPr>
          <w:rFonts w:ascii="Times New Roman" w:hAnsi="Times New Roman"/>
          <w:sz w:val="20"/>
        </w:rPr>
        <w:t>”) to XPO, Inc. (“</w:t>
      </w:r>
      <w:r>
        <w:rPr>
          <w:rFonts w:ascii="Times New Roman" w:hAnsi="Times New Roman"/>
          <w:b/>
          <w:i/>
          <w:sz w:val="20"/>
        </w:rPr>
        <w:t>XPO</w:t>
      </w:r>
      <w:r>
        <w:rPr>
          <w:rFonts w:ascii="Times New Roman" w:hAnsi="Times New Roman"/>
          <w:sz w:val="20"/>
        </w:rPr>
        <w:t>”) for an aggregate purchase price of approximately $870 million in cash (the “</w:t>
      </w:r>
      <w:r>
        <w:rPr>
          <w:rFonts w:ascii="Times New Roman" w:hAnsi="Times New Roman"/>
          <w:b/>
          <w:i/>
          <w:sz w:val="20"/>
        </w:rPr>
        <w:t>Yellow Asset Sale</w:t>
      </w:r>
      <w:r>
        <w:rPr>
          <w:rFonts w:ascii="Times New Roman" w:hAnsi="Times New Roman"/>
          <w:sz w:val="20"/>
        </w:rPr>
        <w:t>”). The Yellow Asset Sale was consummated pursuant to the Asset Purchase Agreement, dated as of December 4, 2023, by and among the Company Parties and XPO (the “</w:t>
      </w:r>
      <w:r>
        <w:rPr>
          <w:rFonts w:ascii="Times New Roman" w:hAnsi="Times New Roman"/>
          <w:b/>
          <w:i/>
          <w:sz w:val="20"/>
        </w:rPr>
        <w:t>Purchase Agreement</w:t>
      </w:r>
      <w:r>
        <w:rPr>
          <w:rFonts w:ascii="Times New Roman" w:hAnsi="Times New Roman"/>
          <w:sz w:val="20"/>
        </w:rPr>
        <w:t>”). The Sold Real Estate includes three leases (two of which related to leased service centers) and the right to designate, in consultation with the Company, additional contracts that are exclusively related to the Sold Real Estate for a period of 45 days following consummation of the Yellow Asset Sale. XPO assumed certain liabilities related to the Sold Real Estate, including liabilities under three leases, certain cure costs required to be paid pursuant to the Chapter 11 Cases in connection with the assumption of the three leases, liabilities for taxes (subject to certain exceptions), and liabilities relating to environmental, health or safety matters in connection with ownership, operation, use or maintenance of the Sold Real Estate, to the extent not extinguished by the Chapter 11 Cases.</w:t>
      </w:r>
    </w:p>
    <w:p>
      <w:pPr>
        <w:pStyle w:val="TextBody"/>
        <w:bidi w:val="0"/>
        <w:spacing w:before="240" w:after="0"/>
        <w:jc w:val="left"/>
        <w:rPr>
          <w:rFonts w:ascii="Times New Roman" w:hAnsi="Times New Roman"/>
          <w:sz w:val="20"/>
        </w:rPr>
      </w:pPr>
      <w:r>
        <w:rPr>
          <w:rFonts w:ascii="Times New Roman" w:hAnsi="Times New Roman"/>
          <w:sz w:val="20"/>
        </w:rPr>
        <w:t>The Yellow Asset Sale was consummated pursuant to Section 363 of Bankruptcy Code and was confirmed by the previously reported order of the Bankruptcy Court, dated December 12, 2023.</w:t>
      </w:r>
    </w:p>
    <w:p>
      <w:pPr>
        <w:pStyle w:val="TextBody"/>
        <w:bidi w:val="0"/>
        <w:spacing w:before="240" w:after="0"/>
        <w:jc w:val="left"/>
        <w:rPr>
          <w:rFonts w:ascii="Times New Roman" w:hAnsi="Times New Roman"/>
          <w:sz w:val="20"/>
        </w:rPr>
      </w:pPr>
      <w:r>
        <w:rPr>
          <w:rFonts w:ascii="Times New Roman" w:hAnsi="Times New Roman"/>
          <w:sz w:val="20"/>
        </w:rPr>
        <w:t>The foregoing description of the Purchase Agreement does not purport to be complete and is qualified in its entirety by the full text of the Purchase Agreement, the form of which was filed as Exhibit 10.1 to the Company’s Current Report on Form 8-K filed with the Securities and Exchange Commission on December 15, 2023, and is incorporated by reference herein. The Purchase Agreement has been provided to investors with information regarding its terms. It is not intended to provide any other factual information about the Company or XPO. In particular, the assertions embodied in the representations and warranties contained in the Purchase Agreement are qualified by information in confidential disclosure schedules provided by the Company to XPO in connection with the signing of the Purchase Agreement or in filings of the parties with the United States Securities and Exchange Commission. These confidential disclosure schedules contain information that modifies, qualifies and creates exceptions to the representations and warranties and certain covenants set forth in the Purchase Agreement. Moreover, certain representations and warranties in the Purchase Agreement were used for the purposes of allocating risk between the Company and XPO rather than establishing matters of fact. Accordingly, the representations and warranties in the Purchase Agreement should not be relied on as characterization of the actual state of facts about the Company or XPO.</w:t>
      </w:r>
      <w:r>
        <w:br w:type="page"/>
      </w:r>
    </w:p>
    <w:p>
      <w:pPr>
        <w:pStyle w:val="HorizontalLine"/>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Cautionary Statement Regarding Forward-Looking Information </w:t>
      </w:r>
    </w:p>
    <w:p>
      <w:pPr>
        <w:pStyle w:val="TextBody"/>
        <w:bidi w:val="0"/>
        <w:spacing w:before="120" w:after="0"/>
        <w:jc w:val="left"/>
        <w:rPr>
          <w:rFonts w:ascii="Times New Roman" w:hAnsi="Times New Roman"/>
          <w:sz w:val="20"/>
        </w:rPr>
      </w:pPr>
      <w:r>
        <w:rPr>
          <w:rFonts w:ascii="Times New Roman" w:hAnsi="Times New Roman"/>
          <w:sz w:val="20"/>
        </w:rPr>
        <w:t>This Current Report on Form 8-K and the exhibits hereto contain certain “forward-looking statements.” All statements other than statements of historical fact are “forward-looking” statements for purposes of the U.S. federal and state securities laws. These statements may be identified by the use of forward-looking terminology such as “anticipate,” “believe,” “continue,” “could,” “estimate,” “expect,” “intend,” “may,” “might,” “our vision,” “plan,” “potential,” “preliminary,” “predict,” “should,” “will,” or “would” or the negative thereof or other variations thereof or comparable terminology. These forward-looking statements are subject to a number of factors and uncertainties that could cause the Company’s actual results to differ materially from those expressed in or contemplated by the forward-looking statements. Such factors include, but are not limited to: risks attendant to the bankruptcy process, including the Company’s ability to obtain court approval from the Bankruptcy Court with respect to motions or other requests made to the Bankruptcy Court throughout the course of the Chapter 11 Cases; the effects of the Chapter 11 Cases, including increased legal and other professional costs necessary to execute the Company’s liquidation, on the Company’s liquidity (including the availability of operating capital during the pendency of the Chapter 11 Cases), results of operations or business prospects; the effects of the Chapter 11 Cases on the interests of various constituents and financial stakeholders; the length of time that the Company will operate under Chapter 11 protection and the continued availability of operating capital during the pendency of the Chapter 11 Cases; objections to the Company’s restructuring process or other pleadings filed that could protract the Chapter 11 Cases; risks associated with third-party motions in the Chapter 11 Cases; Bankruptcy Court rulings in the Chapter 11 Cases and the outcome of the Chapter 11 Cases in general; the Company’s ability to comply with the restrictions imposed by the terms and conditions of its financing arrangements; employee attrition and the Company’s ability to retain senior management and other key personnel due to the distractions and uncertainties; the Company’s ability to maintain relationships with suppliers, customers, employees and other third parties and regulatory authorities as a result of the Chapter 11 Cases; the impact and timing of any cost-savings measures and related local law requirements in various jurisdictions; finalization of the Company’s annual and quarterly financial statements (including finalization of the Company’s impairment tests), completion of standard annual and quarterly-close processes; risks relating to the delisting of the Common Stock from Nasdaq and future quotation of the Common Stock; the effectiveness of the Company’s internal control over financial reporting and disclosure controls and procedures, and the potential for additional material weaknesses in the Company’s internal controls over financial reporting or other potential weaknesses of which the Company is not currently aware or which have not been detected; the impact of litigation and regulatory proceedings; the impact and timing of any cost-savings measures; and other factors discussed in the Company’s Annual Report on Form 10-K and subsequent quarterly reports on Form 10-Q filed with the SEC. These risks and uncertainties may cause the Company’s actual results, performance, liquidity or achievements to differ materially from any future results, performance, liquidity or achievements expressed or implied by these forward-looking statements. For a further list and description of such risks and uncertainties, please refer to the Company’s filings with the SEC that are available at www.sec.gov. The Company cautions you that the list of important factors included in the Company’s SEC filings may not contain all of the material factors that are important to you. In addition, in light of these risks and uncertainties, the matters referred to in the forward-looking statements contained in this report may not in fact occur. The Company undertakes no obligation to publicly update or revise any forward-looking statement, including the Projections, as a result of new information, future events or otherwise, except as otherwise required by law.</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380"/>
        <w:gridCol w:w="60"/>
        <w:gridCol w:w="548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5920" w:type="dxa"/>
            <w:gridSpan w:val="3"/>
            <w:tcBorders/>
            <w:vAlign w:val="center"/>
          </w:tcPr>
          <w:p>
            <w:pPr>
              <w:pStyle w:val="TableContents"/>
              <w:bidi w:val="0"/>
              <w:spacing w:before="0" w:after="283"/>
              <w:jc w:val="left"/>
              <w:rPr/>
            </w:pPr>
            <w:r>
              <w:rPr/>
              <w:t>YELLOW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Leah K. Dawson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Leah K. Dawson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240" w:after="0"/>
        <w:jc w:val="left"/>
        <w:rPr>
          <w:rFonts w:ascii="Times New Roman" w:hAnsi="Times New Roman"/>
          <w:sz w:val="20"/>
        </w:rPr>
      </w:pPr>
      <w:r>
        <w:rPr>
          <w:rFonts w:ascii="Times New Roman" w:hAnsi="Times New Roman"/>
          <w:sz w:val="20"/>
        </w:rPr>
        <w:t>Date: December 27 2023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1552</Words>
  <Characters>8792</Characters>
  <CharactersWithSpaces>10317</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