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58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583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right="540" w:hanging="345"/>
        <w:spacing w:after="0" w:line="256"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right="520" w:hanging="345"/>
        <w:spacing w:after="0" w:line="256" w:lineRule="auto"/>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0-12255</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00" w:type="dxa"/>
            <w:vAlign w:val="bottom"/>
          </w:tcPr>
          <w:p>
            <w:pPr>
              <w:jc w:val="center"/>
              <w:ind w:right="3139"/>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6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(I.R.S. Employer</w:t>
            </w:r>
          </w:p>
        </w:tc>
      </w:tr>
      <w:tr>
        <w:trPr>
          <w:trHeight w:val="270"/>
        </w:trPr>
        <w:tc>
          <w:tcPr>
            <w:tcW w:w="6500" w:type="dxa"/>
            <w:vAlign w:val="bottom"/>
          </w:tcPr>
          <w:p>
            <w:pPr>
              <w:jc w:val="center"/>
              <w:ind w:right="3139"/>
              <w:spacing w:after="0"/>
              <w:rPr>
                <w:sz w:val="20"/>
                <w:szCs w:val="20"/>
                <w:color w:val="auto"/>
              </w:rPr>
            </w:pPr>
            <w:r>
              <w:rPr>
                <w:rFonts w:ascii="Arial" w:cs="Arial" w:eastAsia="Arial" w:hAnsi="Arial"/>
                <w:sz w:val="14"/>
                <w:szCs w:val="14"/>
                <w:b w:val="1"/>
                <w:bCs w:val="1"/>
                <w:color w:val="auto"/>
                <w:w w:val="94"/>
              </w:rPr>
              <w:t>incorporation or organization)</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6500" w:type="dxa"/>
            <w:vAlign w:val="bottom"/>
          </w:tcPr>
          <w:p>
            <w:pPr>
              <w:jc w:val="center"/>
              <w:ind w:right="3119"/>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1460" w:type="dxa"/>
            <w:vAlign w:val="bottom"/>
          </w:tcPr>
          <w:p>
            <w:pPr>
              <w:jc w:val="right"/>
              <w:ind w:right="261"/>
              <w:spacing w:after="0"/>
              <w:rPr>
                <w:sz w:val="20"/>
                <w:szCs w:val="20"/>
                <w:color w:val="auto"/>
              </w:rPr>
            </w:pPr>
            <w:r>
              <w:rPr>
                <w:rFonts w:ascii="Arial" w:cs="Arial" w:eastAsia="Arial" w:hAnsi="Arial"/>
                <w:sz w:val="18"/>
                <w:szCs w:val="18"/>
                <w:b w:val="1"/>
                <w:bCs w:val="1"/>
                <w:color w:val="auto"/>
              </w:rPr>
              <w:t>66211</w:t>
            </w:r>
          </w:p>
        </w:tc>
      </w:tr>
      <w:tr>
        <w:trPr>
          <w:trHeight w:val="218"/>
        </w:trPr>
        <w:tc>
          <w:tcPr>
            <w:tcW w:w="6500" w:type="dxa"/>
            <w:vAlign w:val="bottom"/>
          </w:tcPr>
          <w:p>
            <w:pPr>
              <w:jc w:val="center"/>
              <w:ind w:right="31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90"/>
              </w:rPr>
              <w:t>(913) 696-6100</w:t>
            </w:r>
          </w:p>
        </w:tc>
        <w:tc>
          <w:tcPr>
            <w:tcW w:w="1460" w:type="dxa"/>
            <w:vAlign w:val="bottom"/>
          </w:tcPr>
          <w:p>
            <w:pPr>
              <w:spacing w:after="0"/>
              <w:rPr>
                <w:sz w:val="23"/>
                <w:szCs w:val="23"/>
                <w:color w:val="auto"/>
              </w:rPr>
            </w:pPr>
          </w:p>
        </w:tc>
      </w:tr>
      <w:tr>
        <w:trPr>
          <w:trHeight w:val="186"/>
        </w:trPr>
        <w:tc>
          <w:tcPr>
            <w:tcW w:w="6500" w:type="dxa"/>
            <w:vAlign w:val="bottom"/>
          </w:tcPr>
          <w:p>
            <w:pPr>
              <w:jc w:val="center"/>
              <w:ind w:left="25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60" w:type="dxa"/>
            <w:vAlign w:val="bottom"/>
          </w:tcPr>
          <w:p>
            <w:pPr>
              <w:spacing w:after="0"/>
              <w:rPr>
                <w:sz w:val="16"/>
                <w:szCs w:val="16"/>
                <w:color w:val="auto"/>
              </w:rPr>
            </w:pPr>
          </w:p>
        </w:tc>
      </w:tr>
      <w:tr>
        <w:trPr>
          <w:trHeight w:val="289"/>
        </w:trPr>
        <w:tc>
          <w:tcPr>
            <w:tcW w:w="6500" w:type="dxa"/>
            <w:vAlign w:val="bottom"/>
          </w:tcPr>
          <w:p>
            <w:pPr>
              <w:jc w:val="center"/>
              <w:ind w:left="2539"/>
              <w:spacing w:after="0"/>
              <w:rPr>
                <w:sz w:val="20"/>
                <w:szCs w:val="20"/>
                <w:color w:val="auto"/>
              </w:rPr>
            </w:pPr>
            <w:r>
              <w:rPr>
                <w:rFonts w:ascii="Arial" w:cs="Arial" w:eastAsia="Arial" w:hAnsi="Arial"/>
                <w:sz w:val="18"/>
                <w:szCs w:val="18"/>
                <w:b w:val="1"/>
                <w:bCs w:val="1"/>
                <w:color w:val="auto"/>
                <w:w w:val="88"/>
              </w:rPr>
              <w:t>None</w:t>
            </w:r>
          </w:p>
        </w:tc>
        <w:tc>
          <w:tcPr>
            <w:tcW w:w="146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304800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84" w:lineRule="exact"/>
        <w:rPr>
          <w:sz w:val="24"/>
          <w:szCs w:val="24"/>
          <w:color w:val="auto"/>
        </w:rPr>
      </w:pPr>
    </w:p>
    <w:p>
      <w:pPr>
        <w:ind w:left="40"/>
        <w:spacing w:after="0" w:line="207" w:lineRule="exact"/>
        <w:tabs>
          <w:tab w:leader="none" w:pos="3200" w:val="left"/>
          <w:tab w:leader="none" w:pos="790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217" w:lineRule="exact"/>
        <w:rPr>
          <w:sz w:val="24"/>
          <w:szCs w:val="24"/>
          <w:color w:val="auto"/>
        </w:rPr>
      </w:pPr>
    </w:p>
    <w:p>
      <w:pPr>
        <w:ind w:left="40"/>
        <w:spacing w:after="0"/>
        <w:tabs>
          <w:tab w:leader="none" w:pos="3200" w:val="left"/>
          <w:tab w:leader="none" w:pos="7900" w:val="left"/>
          <w:tab w:leader="none" w:pos="110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7"/>
          <w:szCs w:val="17"/>
          <w:color w:val="auto"/>
        </w:rPr>
        <w:t>o</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4" w:lineRule="exact"/>
        <w:rPr>
          <w:sz w:val="24"/>
          <w:szCs w:val="24"/>
          <w:color w:val="auto"/>
        </w:rPr>
      </w:pPr>
    </w:p>
    <w:p>
      <w:pPr>
        <w:ind w:left="2640"/>
        <w:spacing w:after="0"/>
        <w:tabs>
          <w:tab w:leader="none" w:pos="7700" w:val="left"/>
        </w:tabs>
        <w:rPr>
          <w:sz w:val="20"/>
          <w:szCs w:val="20"/>
          <w:color w:val="auto"/>
        </w:rPr>
      </w:pPr>
      <w:r>
        <w:rPr>
          <w:rFonts w:ascii="Arial" w:cs="Arial" w:eastAsia="Arial" w:hAnsi="Arial"/>
          <w:sz w:val="14"/>
          <w:szCs w:val="14"/>
          <w:u w:val="single" w:color="auto"/>
          <w:color w:val="auto"/>
        </w:rPr>
        <w:t>Class</w:t>
      </w:r>
      <w:r>
        <w:rPr>
          <w:sz w:val="20"/>
          <w:szCs w:val="20"/>
          <w:color w:val="auto"/>
        </w:rPr>
        <w:tab/>
      </w:r>
      <w:r>
        <w:rPr>
          <w:rFonts w:ascii="Arial" w:cs="Arial" w:eastAsia="Arial" w:hAnsi="Arial"/>
          <w:sz w:val="14"/>
          <w:szCs w:val="14"/>
          <w:u w:val="single" w:color="auto"/>
          <w:color w:val="auto"/>
        </w:rPr>
        <w:t>Outstanding at July 31, 2013</w:t>
      </w:r>
    </w:p>
    <w:p>
      <w:pPr>
        <w:sectPr>
          <w:pgSz w:w="11900" w:h="16838" w:orient="portrait"/>
          <w:cols w:equalWidth="0" w:num="1">
            <w:col w:w="11420"/>
          </w:cols>
          <w:pgMar w:left="240" w:top="229" w:right="239" w:bottom="1440" w:gutter="0" w:footer="0" w:header="0"/>
        </w:sectPr>
      </w:pPr>
    </w:p>
    <w:p>
      <w:pPr>
        <w:spacing w:after="0" w:line="46" w:lineRule="exact"/>
        <w:rPr>
          <w:sz w:val="24"/>
          <w:szCs w:val="24"/>
          <w:color w:val="auto"/>
        </w:rPr>
      </w:pPr>
    </w:p>
    <w:p>
      <w:pPr>
        <w:ind w:left="1280"/>
        <w:spacing w:after="0"/>
        <w:tabs>
          <w:tab w:leader="none" w:pos="7880" w:val="left"/>
        </w:tabs>
        <w:rPr>
          <w:sz w:val="20"/>
          <w:szCs w:val="20"/>
          <w:color w:val="auto"/>
        </w:rPr>
      </w:pPr>
      <w:r>
        <w:rPr>
          <w:rFonts w:ascii="Arial" w:cs="Arial" w:eastAsia="Arial" w:hAnsi="Arial"/>
          <w:sz w:val="18"/>
          <w:szCs w:val="18"/>
          <w:color w:val="auto"/>
        </w:rPr>
        <w:t>Common Stock, $0.01 par value per share</w:t>
      </w:r>
      <w:r>
        <w:rPr>
          <w:sz w:val="20"/>
          <w:szCs w:val="20"/>
          <w:color w:val="auto"/>
        </w:rPr>
        <w:tab/>
      </w:r>
      <w:r>
        <w:rPr>
          <w:rFonts w:ascii="Arial" w:cs="Arial" w:eastAsia="Arial" w:hAnsi="Arial"/>
          <w:sz w:val="15"/>
          <w:szCs w:val="15"/>
          <w:color w:val="auto"/>
        </w:rPr>
        <w:t>10,814,959 shares</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80" w:type="dxa"/>
            <w:vAlign w:val="bottom"/>
          </w:tcPr>
          <w:p>
            <w:pPr>
              <w:spacing w:after="0"/>
              <w:rPr>
                <w:sz w:val="20"/>
                <w:szCs w:val="20"/>
                <w:color w:val="auto"/>
              </w:rPr>
            </w:pPr>
            <w:r>
              <w:rPr>
                <w:rFonts w:ascii="Arial" w:cs="Arial" w:eastAsia="Arial" w:hAnsi="Arial"/>
                <w:sz w:val="14"/>
                <w:szCs w:val="14"/>
                <w:color w:val="auto"/>
              </w:rPr>
              <w:t>Item</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189"/>
        </w:trPr>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20" w:type="dxa"/>
            <w:vAlign w:val="bottom"/>
            <w:gridSpan w:val="9"/>
          </w:tcPr>
          <w:p>
            <w:pPr>
              <w:jc w:val="center"/>
              <w:ind w:right="3660"/>
              <w:spacing w:after="0" w:line="189"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362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2960" w:type="dxa"/>
            <w:vAlign w:val="bottom"/>
            <w:tcBorders>
              <w:top w:val="single" w:sz="8" w:color="0000FF"/>
            </w:tcBorders>
            <w:gridSpan w:val="7"/>
          </w:tcPr>
          <w:p>
            <w:pPr>
              <w:spacing w:after="0"/>
              <w:rPr>
                <w:sz w:val="22"/>
                <w:szCs w:val="22"/>
                <w:color w:val="auto"/>
              </w:rPr>
            </w:pPr>
          </w:p>
        </w:tc>
        <w:tc>
          <w:tcPr>
            <w:tcW w:w="3660" w:type="dxa"/>
            <w:vAlign w:val="bottom"/>
            <w:gridSpan w:val="2"/>
          </w:tcPr>
          <w:p>
            <w:pPr>
              <w:spacing w:after="0"/>
              <w:rPr>
                <w:sz w:val="22"/>
                <w:szCs w:val="22"/>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02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 June 30, 2013 and December 31, 2012</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5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Statements of Consolidated Comprehensive Loss - Three and Six Months Ended June 30, 2013 and 2012</w:t>
              </w:r>
            </w:hyperlink>
          </w:p>
        </w:tc>
        <w:tc>
          <w:tcPr>
            <w:tcW w:w="268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612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Statements of Consolidated Cash Flows - Six Months Ended June 30, 2013 and 2012</w:t>
              </w:r>
            </w:hyperlink>
          </w:p>
        </w:tc>
        <w:tc>
          <w:tcPr>
            <w:tcW w:w="412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102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Statement of Consolidated Shareholders' Deficit - Six Months Ended June 30, 2013</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50"/>
        </w:trPr>
        <w:tc>
          <w:tcPr>
            <w:tcW w:w="580" w:type="dxa"/>
            <w:vAlign w:val="bottom"/>
          </w:tcPr>
          <w:p>
            <w:pPr>
              <w:spacing w:after="0"/>
              <w:rPr>
                <w:sz w:val="21"/>
                <w:szCs w:val="21"/>
                <w:color w:val="auto"/>
              </w:rPr>
            </w:pPr>
          </w:p>
        </w:tc>
        <w:tc>
          <w:tcPr>
            <w:tcW w:w="6000" w:type="dxa"/>
            <w:vAlign w:val="bottom"/>
            <w:tcBorders>
              <w:top w:val="single" w:sz="8" w:color="0000FF"/>
            </w:tcBorders>
            <w:gridSpan w:val="1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424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14"/>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Management’s Discussion and Analysis of Financial Condition and Results of Operations</w:t>
              </w:r>
            </w:hyperlink>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4360" w:type="dxa"/>
            <w:vAlign w:val="bottom"/>
            <w:gridSpan w:val="10"/>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Quantitative and Qualitative Disclosures About Market Risk</w:t>
              </w:r>
            </w:hyperlink>
          </w:p>
        </w:tc>
        <w:tc>
          <w:tcPr>
            <w:tcW w:w="2100" w:type="dxa"/>
            <w:vAlign w:val="bottom"/>
            <w:gridSpan w:val="4"/>
          </w:tcPr>
          <w:p>
            <w:pPr>
              <w:spacing w:after="0"/>
              <w:rPr>
                <w:sz w:val="21"/>
                <w:szCs w:val="21"/>
                <w:color w:val="auto"/>
              </w:rPr>
            </w:pPr>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4360" w:type="dxa"/>
            <w:vAlign w:val="bottom"/>
            <w:gridSpan w:val="1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588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50"/>
        </w:trPr>
        <w:tc>
          <w:tcPr>
            <w:tcW w:w="5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tcBorders>
              <w:bottom w:val="single" w:sz="8" w:color="0000FF"/>
            </w:tcBorders>
            <w:gridSpan w:val="5"/>
          </w:tcPr>
          <w:p>
            <w:pPr>
              <w:jc w:val="center"/>
              <w:ind w:right="20"/>
              <w:spacing w:after="0"/>
              <w:rPr>
                <w:rFonts w:ascii="Arial" w:cs="Arial" w:eastAsia="Arial" w:hAnsi="Arial"/>
                <w:sz w:val="18"/>
                <w:szCs w:val="18"/>
                <w:color w:val="0000FF"/>
                <w:w w:val="96"/>
              </w:rPr>
            </w:pPr>
            <w:hyperlink w:anchor="page41">
              <w:r>
                <w:rPr>
                  <w:rFonts w:ascii="Arial" w:cs="Arial" w:eastAsia="Arial" w:hAnsi="Arial"/>
                  <w:sz w:val="18"/>
                  <w:szCs w:val="18"/>
                  <w:color w:val="0000FF"/>
                  <w:w w:val="96"/>
                </w:rPr>
                <w:t>PART II – OTHER INFORMATION</w:t>
              </w:r>
            </w:hyperlink>
          </w:p>
        </w:tc>
        <w:tc>
          <w:tcPr>
            <w:tcW w:w="37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1320" w:type="dxa"/>
            <w:vAlign w:val="bottom"/>
            <w:gridSpan w:val="4"/>
          </w:tcPr>
          <w:p>
            <w:pPr>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Legal Proceedings</w:t>
              </w:r>
            </w:hyperlink>
          </w:p>
        </w:tc>
        <w:tc>
          <w:tcPr>
            <w:tcW w:w="89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920" w:type="dxa"/>
            <w:vAlign w:val="bottom"/>
            <w:tcBorders>
              <w:left w:val="single" w:sz="8" w:color="0000FF"/>
            </w:tcBorders>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1A</w:t>
            </w:r>
          </w:p>
        </w:tc>
        <w:tc>
          <w:tcPr>
            <w:tcW w:w="132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89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1320" w:type="dxa"/>
            <w:vAlign w:val="bottom"/>
            <w:gridSpan w:val="4"/>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Other Information</w:t>
              </w:r>
            </w:hyperlink>
          </w:p>
        </w:tc>
        <w:tc>
          <w:tcPr>
            <w:tcW w:w="89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Exhibits</w:t>
              </w:r>
            </w:hyperlink>
          </w:p>
        </w:tc>
        <w:tc>
          <w:tcPr>
            <w:tcW w:w="720" w:type="dxa"/>
            <w:vAlign w:val="bottom"/>
            <w:gridSpan w:val="3"/>
          </w:tcPr>
          <w:p>
            <w:pPr>
              <w:spacing w:after="0"/>
              <w:rPr>
                <w:sz w:val="21"/>
                <w:szCs w:val="21"/>
                <w:color w:val="auto"/>
              </w:rPr>
            </w:pPr>
          </w:p>
        </w:tc>
        <w:tc>
          <w:tcPr>
            <w:tcW w:w="89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Signatures</w:t>
              </w:r>
            </w:hyperlink>
          </w:p>
        </w:tc>
        <w:tc>
          <w:tcPr>
            <w:tcW w:w="948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723"/>
        </w:trPr>
        <w:tc>
          <w:tcPr>
            <w:tcW w:w="5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240" w:type="dxa"/>
            <w:vAlign w:val="bottom"/>
            <w:gridSpan w:val="10"/>
          </w:tcPr>
          <w:p>
            <w:pPr>
              <w:jc w:val="center"/>
              <w:ind w:left="33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June 30,</w:t>
            </w:r>
          </w:p>
        </w:tc>
        <w:tc>
          <w:tcPr>
            <w:tcW w:w="22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vacations and employees’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$1 par value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 $0.01 par value per share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2,172.5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Operating Revenue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280"/>
        <w:spacing w:after="0"/>
        <w:rPr>
          <w:sz w:val="20"/>
          <w:szCs w:val="20"/>
          <w:color w:val="auto"/>
        </w:rPr>
      </w:pPr>
      <w:r>
        <w:rPr>
          <w:rFonts w:ascii="Arial" w:cs="Arial" w:eastAsia="Arial" w:hAnsi="Arial"/>
          <w:sz w:val="17"/>
          <w:szCs w:val="17"/>
          <w:color w:val="auto"/>
        </w:rPr>
        <w:t>STATEMENTS OF CONSOLIDATED COMPREHENSIVE LOSS</w:t>
      </w:r>
    </w:p>
    <w:p>
      <w:pPr>
        <w:spacing w:after="0" w:line="35"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For the Three and Six Months Ended June 30</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6"/>
          <w:szCs w:val="16"/>
          <w:color w:val="auto"/>
        </w:rPr>
        <w:t>(Amounts in millions except per share data, shares in thousands)</w:t>
      </w:r>
    </w:p>
    <w:p>
      <w:pPr>
        <w:spacing w:after="0" w:line="32" w:lineRule="exact"/>
        <w:rPr>
          <w:sz w:val="20"/>
          <w:szCs w:val="20"/>
          <w:color w:val="auto"/>
        </w:rPr>
      </w:pPr>
    </w:p>
    <w:p>
      <w:pPr>
        <w:jc w:val="center"/>
        <w:ind w:right="3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88"/>
        </w:trPr>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Six Months</w:t>
            </w:r>
          </w:p>
        </w:tc>
        <w:tc>
          <w:tcPr>
            <w:tcW w:w="1020" w:type="dxa"/>
            <w:vAlign w:val="bottom"/>
            <w:tcBorders>
              <w:bottom w:val="single" w:sz="8" w:color="auto"/>
            </w:tcBorders>
          </w:tcPr>
          <w:p>
            <w:pPr>
              <w:spacing w:after="0"/>
              <w:rPr>
                <w:sz w:val="16"/>
                <w:szCs w:val="16"/>
                <w:color w:val="auto"/>
              </w:rPr>
            </w:pPr>
          </w:p>
        </w:tc>
      </w:tr>
      <w:tr>
        <w:trPr>
          <w:trHeight w:val="264"/>
        </w:trPr>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2012</w:t>
            </w:r>
          </w:p>
        </w:tc>
      </w:tr>
      <w:tr>
        <w:trPr>
          <w:trHeight w:val="24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1,242.5</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1,250.8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2,405.0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2,445.1</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-8255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2560" w:space="720"/>
            <w:col w:w="814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Salaries, wages and employees’ benefits</w:t>
            </w:r>
          </w:p>
        </w:tc>
        <w:tc>
          <w:tcPr>
            <w:tcW w:w="4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1,398.5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1,428.8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expenses and supplies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Purchased transportation</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1,228.2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2,380.8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Nonoperating expenses, net</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b w:val="1"/>
                <w:bCs w:val="1"/>
                <w:color w:val="auto"/>
              </w:rPr>
              <w:t>Net Loss Attributable to YRC Worldwide Inc.</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5"/>
        </w:trPr>
        <w:tc>
          <w:tcPr>
            <w:tcW w:w="5160" w:type="dxa"/>
            <w:vAlign w:val="bottom"/>
          </w:tcPr>
          <w:p>
            <w:pPr>
              <w:ind w:left="380"/>
              <w:spacing w:after="0" w:line="205" w:lineRule="exact"/>
              <w:rPr>
                <w:sz w:val="20"/>
                <w:szCs w:val="20"/>
                <w:color w:val="auto"/>
              </w:rPr>
            </w:pPr>
            <w:r>
              <w:rPr>
                <w:rFonts w:ascii="Arial" w:cs="Arial" w:eastAsia="Arial" w:hAnsi="Arial"/>
                <w:sz w:val="18"/>
                <w:szCs w:val="18"/>
                <w:b w:val="1"/>
                <w:bCs w:val="1"/>
                <w:color w:val="auto"/>
                <w:w w:val="98"/>
              </w:rPr>
              <w:t>Comprehensive Loss Attributable to YRC Worldwide Inc.</w:t>
            </w: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Shareholders</w:t>
            </w:r>
          </w:p>
        </w:tc>
        <w:tc>
          <w:tcPr>
            <w:tcW w:w="48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 – Basic</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Loss Per Share – Diluted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June 30</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loss: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94.8</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Paid-in-kind interest on Series A Notes and Series B Notes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debt costs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operating assets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Restricted escrow receipts, net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Borders>
              <w:top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165.9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216.8</w:t>
            </w:r>
          </w:p>
        </w:tc>
      </w:tr>
      <w:tr>
        <w:trPr>
          <w:trHeight w:val="67"/>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refund, net</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5"/>
              </w:rPr>
              <w:t>STATEMENT OF CONSOLIDATED SHAREHOLDERS’ DEFICIT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2"/>
              </w:rPr>
              <w:t>YRC Worldwide Inc. and Subsidiaries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89"/>
              </w:rPr>
              <w:t>For the Six Months Ended June 30, 2013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940" w:type="dxa"/>
            <w:vAlign w:val="bottom"/>
          </w:tcPr>
          <w:p>
            <w:pPr>
              <w:jc w:val="center"/>
              <w:ind w:left="1410"/>
              <w:spacing w:after="0"/>
              <w:rPr>
                <w:sz w:val="20"/>
                <w:szCs w:val="20"/>
                <w:color w:val="auto"/>
              </w:rPr>
            </w:pPr>
            <w:r>
              <w:rPr>
                <w:rFonts w:ascii="Arial" w:cs="Arial" w:eastAsia="Arial" w:hAnsi="Arial"/>
                <w:sz w:val="18"/>
                <w:szCs w:val="18"/>
                <w:color w:val="auto"/>
                <w:w w:val="95"/>
              </w:rPr>
              <w:t>(Amounts in millions)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994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1,926.5</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upon conversion of Series B Notes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1,948.5</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loss attributable to YRC Worldwide Inc.</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(2,110.2)</w:t>
            </w:r>
          </w:p>
        </w:tc>
      </w:tr>
      <w:tr>
        <w:trPr>
          <w:trHeight w:val="22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9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Reclassification of net pension actuarial losses to net loss, net of tax</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9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9940" w:type="dxa"/>
            <w:vAlign w:val="bottom"/>
          </w:tcPr>
          <w:p>
            <w:pPr>
              <w:ind w:left="380"/>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(387.2)</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Beginning and ending balance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99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these Notes to Consolidated Financial Statements contain forward-looking statements, as described in "Management's Discussion and Analysis of Financial Condition and Results of Operations - Cautionary Note Regarding Forward-Looking Statements" below.</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YRC Worldwide Inc. (also referred to as “YRC Worldwide,” the “Company,” “we,” “us” or “our”), one of the largest transportation service providers in the world, is a holding company that, through wholly owned operating subsidiaries and its interest in a Chinese joint venture, offers its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heavyweight shipments and flexible supply chain solutions, ensuring customers can ship industrial, commercial and retail goods with confidence. Our reporting segments include the following:</w:t>
      </w:r>
    </w:p>
    <w:p>
      <w:pPr>
        <w:spacing w:after="0" w:line="193" w:lineRule="exact"/>
        <w:rPr>
          <w:sz w:val="20"/>
          <w:szCs w:val="20"/>
          <w:color w:val="auto"/>
        </w:rPr>
      </w:pPr>
    </w:p>
    <w:p>
      <w:pPr>
        <w:jc w:val="both"/>
        <w:ind w:left="66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YRC Freight is the reporting segment that focuses on longer haul business opportunities in national, regional and 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Inc. (“Holland”), New Penn Motor Express, Inc. (“New Penn”) and USF Reddaway Inc. (“Reddaway”). These companies each provide regional, next-day ground services in their respective regions through a network of facilities located across the United States, Canada, Mexico and Puerto Rico.</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At June 30, 2013, approximately 77% of our labor force is subject to collective bargaining agreements, which predominantly expire in March 2015.</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Principles of Consolidation</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YRC Worldwide and its wholly owned subsidiaries. All significant intercompany accounts and transactions have been eliminated in consolidation. Investments in non-majority owned affiliates, or those in which we do not have control where the entity is either not a variable interest entity or we are not the primary beneficiary, are accounted for on the equity method.</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all normal recurring adjustments necessary for a fair statement of the financial position, results of operations and cash flows for the interim periods included in these financial statements herein have been made. Certain information and note disclosures normally included in financial statements prepared in accordance with generally accepted accounting principles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plan to dispose of property or equipment by sale, the asset is recorded in the financial statements at the lower of the carrying amount or estimated fair value, less cost to sell, and is reclassified to assets held for sale. Additionally, after such reclassification, there is no further depreciation taken on the asset. For an asset to be classified as held for sale, management must approve and commit to a formal plan, the sale should be anticipated during the ensuing year and the asset must be actively marketed, be available for immediate sale, and meet certain other specified criteria. We use level 3 inputs to determine the fair value of each property considered held for sale.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2013 and December 31, 2012, the net book value of assets held for sale was $10.1 million and $7.3 million, respectively. This amount is included in “Property and Equipment” in the accompanying consolidated balance sheets. We recorded charges of $2.0 million and $2.6 million for the three and six months ended June 30, 2013 and $1.0 million and $11.5 million for the three and six months ended June 30, 2012 to reduce properties held for sale to estimated fair value, less cost to sell. These charges are included in “(Gains) losses on property disposals, net” in the accompanying statements of consolidated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June 30, 2013:</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5"/>
              </w:rPr>
              <w:t>Fair Value Measurement Hierarchy</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3"/>
                <w:szCs w:val="13"/>
                <w:color w:val="auto"/>
              </w:rPr>
            </w:pPr>
          </w:p>
        </w:tc>
        <w:tc>
          <w:tcPr>
            <w:tcW w:w="1180" w:type="dxa"/>
            <w:vAlign w:val="bottom"/>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11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three and six months ended June 30, 2013, we reclassified the amortization of our net pension loss totaling $3.7 million and $7.4 million, respectively, from accumulated other comprehensive loss to net loss. This reclassification is a component of net periodic pension cost and is discussed in the "Employee Benefits" footnote.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outstanding debt, please refer to the "Debt and Financing" footnote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amended and restated credit agreement has certain covenants that require us to maintain a minimum Consolidated EBITDA, a maximum Total Leverage Ratio and a minimum Interest Coverage Ratio (as defined in the amended and restated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covenants for each of the remaining test periods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2"/>
          </w:tcPr>
          <w:p>
            <w:pPr>
              <w:jc w:val="center"/>
              <w:ind w:left="1134"/>
              <w:spacing w:after="0"/>
              <w:rPr>
                <w:sz w:val="20"/>
                <w:szCs w:val="20"/>
                <w:color w:val="auto"/>
              </w:rPr>
            </w:pPr>
            <w:r>
              <w:rPr>
                <w:rFonts w:ascii="Arial" w:cs="Arial" w:eastAsia="Arial" w:hAnsi="Arial"/>
                <w:sz w:val="14"/>
                <w:szCs w:val="14"/>
                <w:color w:val="auto"/>
                <w:w w:val="96"/>
              </w:rPr>
              <w:t>Minimum Consolidated</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Maximum Total</w:t>
            </w:r>
          </w:p>
        </w:tc>
        <w:tc>
          <w:tcPr>
            <w:tcW w:w="1940" w:type="dxa"/>
            <w:vAlign w:val="bottom"/>
          </w:tcPr>
          <w:p>
            <w:pPr>
              <w:jc w:val="center"/>
              <w:spacing w:after="0"/>
              <w:rPr>
                <w:sz w:val="20"/>
                <w:szCs w:val="20"/>
                <w:color w:val="auto"/>
              </w:rPr>
            </w:pPr>
            <w:r>
              <w:rPr>
                <w:rFonts w:ascii="Arial" w:cs="Arial" w:eastAsia="Arial" w:hAnsi="Arial"/>
                <w:sz w:val="14"/>
                <w:szCs w:val="14"/>
                <w:color w:val="auto"/>
                <w:w w:val="96"/>
              </w:rPr>
              <w:t>Minimum Interest</w:t>
            </w:r>
          </w:p>
        </w:tc>
      </w:tr>
      <w:tr>
        <w:trPr>
          <w:trHeight w:val="18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Four Consecutive Fiscal Quarters Ending</w:t>
            </w:r>
          </w:p>
        </w:tc>
        <w:tc>
          <w:tcPr>
            <w:tcW w:w="3280" w:type="dxa"/>
            <w:vAlign w:val="bottom"/>
            <w:tcBorders>
              <w:bottom w:val="single" w:sz="8" w:color="auto"/>
            </w:tcBorders>
          </w:tcPr>
          <w:p>
            <w:pPr>
              <w:jc w:val="center"/>
              <w:ind w:left="1274"/>
              <w:spacing w:after="0"/>
              <w:rPr>
                <w:sz w:val="20"/>
                <w:szCs w:val="20"/>
                <w:color w:val="auto"/>
              </w:rPr>
            </w:pPr>
            <w:r>
              <w:rPr>
                <w:rFonts w:ascii="Arial" w:cs="Arial" w:eastAsia="Arial" w:hAnsi="Arial"/>
                <w:sz w:val="14"/>
                <w:szCs w:val="14"/>
                <w:color w:val="auto"/>
              </w:rPr>
              <w:t>EBITDA</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Leverage Ratio</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Coverage Ratio</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$235,000,000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1.45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September 30,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6.0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1.60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$275,000,000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5.7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1.65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March 31,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$300,000,000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5.1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1.80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$325,000,000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4.8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September 30,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$355,000,000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4.6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2.10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280" w:type="dxa"/>
            <w:vAlign w:val="bottom"/>
            <w:shd w:val="clear" w:color="auto" w:fill="CCEEFF"/>
          </w:tcPr>
          <w:p>
            <w:pPr>
              <w:jc w:val="center"/>
              <w:ind w:left="1274"/>
              <w:spacing w:after="0"/>
              <w:rPr>
                <w:sz w:val="20"/>
                <w:szCs w:val="20"/>
                <w:color w:val="auto"/>
              </w:rPr>
            </w:pPr>
            <w:r>
              <w:rPr>
                <w:rFonts w:ascii="Arial" w:cs="Arial" w:eastAsia="Arial" w:hAnsi="Arial"/>
                <w:sz w:val="18"/>
                <w:szCs w:val="18"/>
                <w:color w:val="auto"/>
                <w:w w:val="90"/>
              </w:rPr>
              <w:t>$365,000,000</w:t>
            </w:r>
          </w:p>
        </w:tc>
        <w:tc>
          <w:tcPr>
            <w:tcW w:w="1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4.4 to 1.00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 to 1.00</w:t>
            </w:r>
          </w:p>
        </w:tc>
      </w:tr>
      <w:tr>
        <w:trPr>
          <w:trHeight w:val="27"/>
        </w:trPr>
        <w:tc>
          <w:tcPr>
            <w:tcW w:w="40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Minimum Consolidated EBITDA, as defined in our credit facilities, is a non-GAAP measure that reflects our earnings before interest, taxes, depreciation, and amortization expense, and further adjusted for letter of credit fees, equity-based compensation expense, net gains or losses on property disposals and certain other items, including restructuring professional fees and results of permitted dispositions and discontinued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required to maintain a minimum cash balance (as defined in our credit facilities) of at least $50.0 million. This requirement increases starting in August of 2013 and, by November 2013, the minimum cash balance requirement is $119.4 million. This increase is required to ensure we have sufficient liquidity to pay the outstanding balance of our 6% convertible senior notes, which mature in February of 2014. We were in compliance with each of these covenants as of June 30, 2013.</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our minimum cash balance covenant represents our highest risk of default over the next twelve months. If our future operating results indicate that we will not meet our minimum cash balance covenant, we will take actions to improve our liquidity, which may include (without limitation) repatriating cash from foreign sources, receiving cash proceeds from the issuance of equity, deferring the timing of our capital expenditures and our discretionary workers' compensation settlement payments. We believe that these actions, if deemed necessary, will allow us to meet any shortfall in our minimum cash balance.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we fail to meet this or any other financial covenant, we would be considered in default under our credit facilities, which would enable lenders thereunder to accelerate the repayment of amounts outstanding and exercise remedies with respect to collateral and we would need to seek an amendment or waiver from our lenders. In the event that our lenders under our credit facilities demand payment, we will not have sufficient cash to repay such indebtedness. In addition, a default under our credit facilities or the lenders exercising their remedies thereunder would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 regard.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Regarding Future 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sources of liquidity are cash and cash equivalents, available borrowings under our $400 million ABL facility and any prospective net operating cash flows from operations. As of June 30, 2013, we had cash and cash equivalents and availability under the ABL facility totaling $218.7 million and the borrowing base under our ABL facility was $378.9 million. For the six months ended June 30, 2013, our cash flow from operating activities used net cash of $18.2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uses of cash are to fund our operations, including making contributions to our single-employer pension plans and the multi-employer pension funds, and to meet our other cash obligations including, but not limited to, paying cash interest and principal on our funded debt, payments on our equipment leases, letter of credit fees under our credit facilities and funding capital expenditures.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 considerable amount of indebtedness, a substantial portion of which will mature in late 2014 or early 2015. As of June 30, 2013, we had $1,366.2 million in aggregate principal amount of outstanding indebtedness, which may increase over time as a portion of our indebtedness accrues paid-in-kind interest. We intend to refinance or restructure the portions of our debt that mature in September of 2014 and March of 2015. The refinancing or restructuring of these debt obligations is outside of our control and there can be no assurance that such transaction will occur, or if it does occur, on what terms. We also have considerable future funding obligations for our single-employer pension plans and the multi-employer pension funds. We expect our funding obligations for the remainder of the year for our single-employer pension plans and multi-employer pension funds will be $36.6 million and $43.0 million, respectively. In addition, we have, and will continue to have, substantial operating lease obligations. As of June 30, 2013, our minimum rental expense under operating leases for the remainder of the year is $27.6 million. As of June 30, 2013, our operating lease obligations through 2025 totaled $153.4 million and is expected to increase as we lease additional revenue equipment.</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capital expenditures for the six months ended June 30, 2013 and 2012 were $39.1 million and $30.7 million, respectively. These amounts were principally used to fund replacement engines and trailer refurbishments for our revenue fleet and capitalized costs for our network facilities and technology infrastructure. In light of our recent operating results and liquidity needs, we have deferred certain capital expenditures and expect to continue to do so for the foreseeable future, including the remainder of 2013. As a result, the average age of our fleet is increasing, which may affect our maintenance costs and operational efficiency unless we are able to obtain suitable lease financing to meet our replacement equipment needs.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cash equivalents, results of operations and availability under our credit facilities will be sufficient for us to comply with the covenants in our credit facilities, fund our operations, increase working capital as necessary to support our planned revenue growth and fund capital expenditures for the foreseeable future, including the next twelve months. Our ability to satisfy our liquidity needs beyond the next twelve months is dependent on a number of factors, some of which are outside of our control. These factors include:</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restructuring or refinancing our debt obligations prior to their scheduled maturities in 2014 and 2015;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achieve improvements in our operating results which rely upon pricing and shipping volumes;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hanging="328"/>
        <w:spacing w:after="0" w:line="258"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continuing to comply with covenants and other terms of our credit facilities so as to have access to the borrowings available to us under such credit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securing suitable lease financing arrangements to replace revenue equipment;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continuing to implement and realize cost saving measures to match our costs with business levels and in a manner that does not harm operations, and our productivity and efficiency initiatives must be successful; and</w:t>
      </w:r>
    </w:p>
    <w:p>
      <w:pPr>
        <w:jc w:val="both"/>
        <w:ind w:left="660" w:hanging="328"/>
        <w:spacing w:after="0" w:line="254"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generating operating cash flows that are sufficient to meet the minimum cash balance requirement under our credit facilities, cash requirements for pension contributions to our single-employer pension plan and our multi-employer pension funds, cash interest and principal payments on our funded debt, payments on our equipment leases, letter of credit fees under our credit facilities and for capital expenditures or additional lease payments for new revenue equipment.</w:t>
      </w:r>
    </w:p>
    <w:p>
      <w:pPr>
        <w:spacing w:after="0" w:line="181" w:lineRule="exact"/>
        <w:rPr>
          <w:rFonts w:ascii="Arial" w:cs="Arial" w:eastAsia="Arial" w:hAnsi="Arial"/>
          <w:sz w:val="18"/>
          <w:szCs w:val="18"/>
          <w:color w:val="auto"/>
        </w:rPr>
      </w:pPr>
    </w:p>
    <w:p>
      <w:pPr>
        <w:ind w:left="200" w:hanging="192"/>
        <w:spacing w:after="0"/>
        <w:tabs>
          <w:tab w:leader="none" w:pos="2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Total debt as of June 30, 2013 and December 31, 2012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2013 (in millions)</w:t>
            </w:r>
          </w:p>
        </w:tc>
        <w:tc>
          <w:tcPr>
            <w:tcW w:w="240" w:type="dxa"/>
            <w:vAlign w:val="bottom"/>
          </w:tcPr>
          <w:p>
            <w:pPr>
              <w:spacing w:after="0"/>
              <w:rPr>
                <w:sz w:val="14"/>
                <w:szCs w:val="14"/>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$157.8, availability $52.8)</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$221.1,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$221.1,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300.2</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1,366.2</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B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6% Notes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2012 (in millions)</w:t>
            </w:r>
          </w:p>
        </w:tc>
        <w:tc>
          <w:tcPr>
            <w:tcW w:w="240" w:type="dxa"/>
            <w:vAlign w:val="bottom"/>
          </w:tcPr>
          <w:p>
            <w:pPr>
              <w:spacing w:after="0"/>
              <w:rPr>
                <w:sz w:val="23"/>
                <w:szCs w:val="23"/>
                <w:color w:val="auto"/>
              </w:rPr>
            </w:pPr>
          </w:p>
        </w:tc>
        <w:tc>
          <w:tcPr>
            <w:tcW w:w="11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23"/>
                <w:szCs w:val="23"/>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23"/>
                <w:szCs w:val="2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(Discount)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Arial" w:cs="Arial" w:eastAsia="Arial" w:hAnsi="Arial"/>
                <w:sz w:val="18"/>
                <w:szCs w:val="18"/>
                <w:color w:val="auto"/>
              </w:rPr>
              <w:t>Term A Facility (capacity $175.0, borrowing base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$147.6, availability $42.6)</w:t>
            </w:r>
          </w:p>
        </w:tc>
        <w:tc>
          <w:tcPr>
            <w:tcW w:w="2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B Facility (capacity $222.2, borrowing base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$222.2, availability $0.0)</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Series A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B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6% Notes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A&amp;R CDA</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306.9</w:t>
            </w:r>
          </w:p>
        </w:tc>
        <w:tc>
          <w:tcPr>
            <w:tcW w:w="1540" w:type="dxa"/>
            <w:vAlign w:val="bottom"/>
            <w:gridSpan w:val="2"/>
          </w:tcPr>
          <w:p>
            <w:pPr>
              <w:jc w:val="right"/>
              <w:ind w:right="108"/>
              <w:spacing w:after="0"/>
              <w:rPr>
                <w:sz w:val="20"/>
                <w:szCs w:val="20"/>
                <w:color w:val="auto"/>
              </w:rPr>
            </w:pPr>
            <w:r>
              <w:rPr>
                <w:rFonts w:ascii="Arial" w:cs="Arial" w:eastAsia="Arial" w:hAnsi="Arial"/>
                <w:sz w:val="18"/>
                <w:szCs w:val="18"/>
                <w:color w:val="auto"/>
              </w:rPr>
              <w:t>10.0-18.2%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B Facility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other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10% Series A Convertible Senior Secured Notes due 2015 (the "Series A Notes") were convertible into our common stock beginning July 22, 2013 at the conversion price per share of $34.0059 and a conversion rate of 29.4067 common shares per $1,000 of Series A Notes. As of June 30, 2013 and July 31, 2013, there was $169.3 million and $170.7 million, respectively, in aggregate principal amount of Series A Notes outstanding that are convertible into approximately 5.6 million shares of our common stock at the maturity date. There were no Series A Note conversions from July 22, 2013 through July 31, 2013.</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10% Series B Convertible Senior Secured Notes due 2015 (the "Series B Notes") are convertible into our common stock, at any time at the conversion price per share of approximately $18.5334 and a conversion rate of 53.9567 common shares per $1,000 of the Series B Notes (such conversion price and conversion rate applying also to the Series B Notes make whole premium). As of June 30, 2013, the effective conversion price and conversion rate for our Series B Notes due 2015 (after taking into account the make whole premium) was $15.2475 and 65.5847 common shares per $1,000 of Series B Notes, respectively.</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and six months ended June 30, 2013, $10.9 million and $16.7 million of aggregate principal amount of Series B Notes were converted into 0.7 million and 1.1 million shares of our common stock, respectively, which includes the make whole premium. Upon conversion, during the three months ended June 30, 2013, we recorded $5.6 million of additional interest expense representing the $2.3 million make whole premium and $3.3 million of accelerated amortization of the discount on converted Series B Notes. During the six months ended June 30, 2013, we recorded $9.0 million of additional interest expense representing the $3.9 million make whole premium and $5.1 million of accelerated amortization of the discount on converted Series B Notes. As of June 30, 2013, there was $79.0 million in aggregate principal amount of Series B Notes outstanding that are convertible into approximately 5.0 million shares of our common stock (after taking into account the make whole premium). From July 1, 2013 through July 31, 2013, $12.5 million aggregate principal amount of Series B Notes converted into 0.8 million shares of common stock (after taking into account the make whole premium).</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2013 and July 31, 2013, a maximum of 17,600 shares of our common stock was available for future issuance upon conversion of 6% Notes. The limitation on the number of shares of common stock issuable upon conversion of the 6% Notes applies on a pro rata basis to the $69.4 million in aggregate principal amount of outstanding 6%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and estimated fair values of our long-term debt, including current maturities and other financial instruments, are summarized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2013</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2012</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400" w:type="dxa"/>
            <w:vAlign w:val="bottom"/>
          </w:tcPr>
          <w:p>
            <w:pPr>
              <w:spacing w:after="0"/>
              <w:rPr>
                <w:sz w:val="22"/>
                <w:szCs w:val="22"/>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color w:val="auto"/>
              </w:rPr>
              <w:t>Carrying amount</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Restructured Term Loan</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316.3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Notes and Series B Notes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306.9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1,366.2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1,011.2</w:t>
            </w: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Restructured Term Loan, ABL Facility, Series A Notes, Series B Notes, 6% Notes (included in “Other” above) and A&amp;R CDA (included in “Other” above) were estimated based on observable prices (level two inputs for fair value measurements). The carrying amount of the lease financing obligations approximates fair value (level two input for fair value measurement).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company-sponsored pension costs for the three and six months ended June 30: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04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49"/>
        </w:trPr>
        <w:tc>
          <w:tcPr>
            <w:tcW w:w="3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00" w:type="dxa"/>
            <w:vAlign w:val="bottom"/>
            <w:tcBorders>
              <w:bottom w:val="single" w:sz="8" w:color="auto"/>
            </w:tcBorders>
          </w:tcPr>
          <w:p>
            <w:pPr>
              <w:spacing w:after="0"/>
              <w:rPr>
                <w:sz w:val="24"/>
                <w:szCs w:val="24"/>
                <w:color w:val="auto"/>
              </w:rPr>
            </w:pPr>
          </w:p>
        </w:tc>
      </w:tr>
      <w:tr>
        <w:trPr>
          <w:trHeight w:val="264"/>
        </w:trPr>
        <w:tc>
          <w:tcPr>
            <w:tcW w:w="340" w:type="dxa"/>
            <w:vAlign w:val="bottom"/>
          </w:tcPr>
          <w:p>
            <w:pPr>
              <w:spacing w:after="0"/>
              <w:rPr>
                <w:sz w:val="22"/>
                <w:szCs w:val="22"/>
                <w:color w:val="auto"/>
              </w:rPr>
            </w:pPr>
          </w:p>
        </w:tc>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w w:val="83"/>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2012</w:t>
            </w:r>
          </w:p>
        </w:tc>
      </w:tr>
      <w:tr>
        <w:trPr>
          <w:trHeight w:val="250"/>
        </w:trPr>
        <w:tc>
          <w:tcPr>
            <w:tcW w:w="3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r>
      <w:tr>
        <w:trPr>
          <w:trHeight w:val="243"/>
        </w:trPr>
        <w:tc>
          <w:tcPr>
            <w:tcW w:w="3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29.7</w:t>
            </w:r>
          </w:p>
        </w:tc>
      </w:tr>
      <w:tr>
        <w:trPr>
          <w:trHeight w:val="27"/>
        </w:trPr>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34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340" w:type="dxa"/>
            <w:vAlign w:val="bottom"/>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periodic pension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r>
      <w:tr>
        <w:trPr>
          <w:trHeight w:val="20"/>
        </w:trPr>
        <w:tc>
          <w:tcPr>
            <w:tcW w:w="34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$62.6 million to our company-sponsored pension plans in 2013 of which we have contributed $26.0 million through June 30, 2013.</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Income Taxes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tax rate for the three and six months ended June 30, 2013 was 39.8% and 26.8%, respectively, compared to 3.4% and 3.6%, respectively, for the three and six months ended June 30, 2012. The significant items impacting the 2013 rate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2013 and December 31, 2012, substantially all of our net deferred tax assets were subject to a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Shareholders’ Deficit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six months ended June 30, 2013: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2013</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equity awards, net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215</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upon conversion of Series B Notes</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9,303</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Loss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three and six months ended June 30, 2013 and 2012, there were no dilutive securities for these periods.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Anti-dilutive options and share units were 835,900 and 753,300 at June 30, 2013 and 2012, respectively. Anti-dilutive 6% Note conversion shares, including the make whole premium, were 17,600 at June 30, 2013 and 2012. Anti-dilutive Series A Note conversion shares were 4,979,000 and 4,516,000 at June 30, 2013 and 2012, respectively. Anti-dilutive Series B Note conversion shares, including the make whole premiums, were 5,037,000 and 6,653,000 at June 30, 2013 and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Business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reporting segments on a basis consistent with that used internally for evaluating segment performance and allocating resources to segments. We evaluate segment performance primarily on revenue and operating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reportable segments, which are strategic business units that offer complementary transportation services to our customers:</w:t>
      </w:r>
    </w:p>
    <w:p>
      <w:pPr>
        <w:spacing w:after="0" w:line="233" w:lineRule="exact"/>
        <w:rPr>
          <w:sz w:val="20"/>
          <w:szCs w:val="20"/>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color w:val="auto"/>
        </w:rPr>
        <w:t>subsidiary YRC Inc. and Reimer Express, a subsidiary located in Canada that specializes in shipments into, across and out of Canada. In addition to the United States and Canada, YRC Freight also serves parts of Mexico, Puerto Rico and Guam.</w:t>
      </w:r>
    </w:p>
    <w:p>
      <w:pPr>
        <w:spacing w:after="0" w:line="1" w:lineRule="exact"/>
        <w:rPr>
          <w:sz w:val="20"/>
          <w:szCs w:val="20"/>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 regional, next-day ground services in their respective regions through a network of facilities located across the United States, Canada, Mexico and Puerto Rico.</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charge management fees and other corporate service fees to our reportable segments based on the direct benefits received or an overhead allocation basis. Corporate and other operating losses represent residual operating expenses of the holding company. Corporate identifiable assets primarily consist of cash, cash equivalents, an investment in an equity method affiliate and deferred debt issuance costs. Intersegment revenue primarily relates to transportation services between our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Regional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Corporate/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8"/>
        </w:trPr>
        <w:tc>
          <w:tcPr>
            <w:tcW w:w="3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YRC Freight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Transportation</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Eliminations</w:t>
            </w:r>
          </w:p>
        </w:tc>
        <w:tc>
          <w:tcPr>
            <w:tcW w:w="200" w:type="dxa"/>
            <w:vAlign w:val="bottom"/>
          </w:tcPr>
          <w:p>
            <w:pPr>
              <w:spacing w:after="0"/>
              <w:rPr>
                <w:sz w:val="16"/>
                <w:szCs w:val="16"/>
                <w:color w:val="auto"/>
              </w:rPr>
            </w:pPr>
          </w:p>
        </w:tc>
        <w:tc>
          <w:tcPr>
            <w:tcW w:w="1140" w:type="dxa"/>
            <w:vAlign w:val="bottom"/>
          </w:tcPr>
          <w:p>
            <w:pPr>
              <w:jc w:val="right"/>
              <w:ind w:right="211"/>
              <w:spacing w:after="0"/>
              <w:rPr>
                <w:sz w:val="20"/>
                <w:szCs w:val="20"/>
                <w:color w:val="auto"/>
              </w:rPr>
            </w:pPr>
            <w:r>
              <w:rPr>
                <w:rFonts w:ascii="Arial" w:cs="Arial" w:eastAsia="Arial" w:hAnsi="Arial"/>
                <w:sz w:val="14"/>
                <w:szCs w:val="14"/>
                <w:color w:val="auto"/>
              </w:rPr>
              <w:t>Consolidated</w:t>
            </w:r>
          </w:p>
        </w:tc>
      </w:tr>
      <w:tr>
        <w:trPr>
          <w:trHeight w:val="250"/>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30, 2013</w:t>
            </w: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2,172.5</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2012</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Identifiable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2,225.5</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2013</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1,242.5</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2013</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2,405.0</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2012</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1,250.8</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2012</w:t>
            </w:r>
          </w:p>
        </w:tc>
        <w:tc>
          <w:tcPr>
            <w:tcW w:w="1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External revenue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1,610.2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831.7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2,445.1</w:t>
            </w:r>
          </w:p>
        </w:tc>
      </w:tr>
      <w:tr>
        <w:trPr>
          <w:trHeight w:val="27"/>
        </w:trPr>
        <w:tc>
          <w:tcPr>
            <w:tcW w:w="3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Network Optimization</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second quarter of 2013, our YRC Freight reporting segment commenced its plan to optimize its freight network. This optimization reduced the number of handling and relay locations in an effort to improve customer service, increase linehaul density and load average, reduce linehaul miles and improve our ability to direct load with less handling. Costs associated with this plan, which consist of employee separation costs and contract termination and other costs, are recorded at either their contractual amounts or their fair value. We estimate that these costs will total between $8.0 million and $12.0 million, of which we have recorded $7.8 million during the three months ended June 30, 2013 in the YRC Freight reporting segment. The projected timing and range of remaining costs is an estimate and may vary depending upon the actual exit transactions.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Charges for the network optimization are included in "Salaries, wages and employees' benefits" as it relates to employee separation costs and "Operating expenses and supplies" as is relates to contract termination and other costs in the accompanying statements of consolidated comprehensive loss. In addition to the charges detailed below, we have recorded impairment charges on facilities that are part of the network optimization totaling $1.5 million during the three months ended June 30, 2013. These charges are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"(Gains) losses on property disposals, net" in the accompanying statements of consolidated comprehensive loss. A rollforward of the accrual is as follows:</w:t>
      </w:r>
    </w:p>
    <w:p>
      <w:pPr>
        <w:spacing w:after="0" w:line="31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Employee</w:t>
            </w:r>
          </w:p>
        </w:tc>
        <w:tc>
          <w:tcPr>
            <w:tcW w:w="440" w:type="dxa"/>
            <w:vAlign w:val="bottom"/>
          </w:tcPr>
          <w:p>
            <w:pPr>
              <w:spacing w:after="0"/>
              <w:rPr>
                <w:sz w:val="14"/>
                <w:szCs w:val="14"/>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Contract Termination and</w:t>
            </w:r>
          </w:p>
        </w:tc>
        <w:tc>
          <w:tcPr>
            <w:tcW w:w="400" w:type="dxa"/>
            <w:vAlign w:val="bottom"/>
          </w:tcPr>
          <w:p>
            <w:pPr>
              <w:spacing w:after="0"/>
              <w:rPr>
                <w:sz w:val="14"/>
                <w:szCs w:val="14"/>
                <w:color w:val="auto"/>
              </w:rPr>
            </w:pPr>
          </w:p>
        </w:tc>
        <w:tc>
          <w:tcPr>
            <w:tcW w:w="128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Separation</w:t>
            </w: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Other Costs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2012</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Network optimization charges</w:t>
            </w:r>
          </w:p>
        </w:tc>
        <w:tc>
          <w:tcPr>
            <w:tcW w:w="1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Balance at June 30, 2013</w:t>
            </w: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ABF Lawsuit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 2010, ABF Freight System, Inc. (“ABF”) filed a complaint in the U.S. District Court for the Western District of Arkansas against several parties, including our subsidiaries YRC Inc., New Penn Motor Express, Inc. and USF Holland Inc. and the International Brotherhood of Teamsters and the local Teamster unions that are party to the National Master Freight Agreement (“NMFA”), alleging violation of the NMFA due to modifications to the NMFA that provided relief to our subsidiaries without providing the same relief to ABF. The complaint sought to have the modifications to the NMFA declared null and void and damages of $750.0 million from the named defendants. We believe the allegations are without merit.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2010, the District Court dismissed the complaint. ABF appealed the dismissal on January 18, 2011 to the U.S. Court of Appeals for the 8th Circuit. On July 6, 2011, the Court of Appeals vacated the District Court's dismissal of the litigation on jurisdictional grounds and remanded the case back to the District Court for further proceedings. ABF filed an amended complaint on October 12, 2011, containing allegations consistent with the original complaint. Our subsidiaries filed a motion to dismiss the amended complaint. On August 1, 2012, the District Court dismissed ABF's amended complaint without prejudice. ABF has appealed the dismissal to the Court of Appeals, and oral arguments were conducted on April 10, 2013. Although we believe we have meritorious defenses to this case, the ultimate outcome of this matter cannot be reasonably estimated at this time. Therefore, we have not recorded any liability for this matter.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Bryant Holdings Securities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2011, a putative class action was filed by Bryant Holdings LLC ("Bryant") in the U.S. District Court for the District of Kansas on behalf of purchasers of our common stock between April 24, 2008 and November 2, 2009, inclusive (the "Class Period"), seeking damages under the federal securities laws for statements and/or omissions allegedly made by us and the individual defendants during the Class Period which plaintiffs claimed to be false and misleading.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defendants are former officers of our Company. No current officers or directors were named in the lawsuit.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parties participated in voluntary mediation between March 11, 2013 and April 15, 2013. The mediation resulted in the execution of a mutually acceptable definitive agreement by the parties, which agreement remains subject to approval by the court. Court approval cannot be assured. Substantially all of the payments contemplated by the settlement will be covered by our liability insurance. The self-insured retention on this matter has been accrued as of June 30,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other litigation or proceedings that arise in ordinary business activities.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financial statements, we believe that our financial statements include adequate provisions for estimated costs and losses that may be incurred within the litigation and proceedings to which we are a party.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Condensed Consolidating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of the 6% Convertible Senior Notes Due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23, 2010, and August 3, 2010, we issued $70 million in aggregate principal amount of 6% convertible senior notes due 2014 (the “6% Notes”). In connection with the 6% Notes, the following wholly owned subsidiaries of YRC Worldwide have issued guarantees in favor of the holders of the notes: YRC Inc., YRC Enterprise Services, Inc., Roadway LLC, Roadway Next Day Corporation, YRC Regional Transportation, Inc., USF Holland Inc., USF Reddaway Inc., USF Glen Moore Inc. and YRC Logistics Services, Inc. Each of the guarantees is full and unconditional and joint and several, subject to customary release provisions.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consolidating financial statements are presented in lieu of separate financial statements and other related disclosures of the subsidiary guarantors and issuer because we do not believe that such separate financial statements and related disclosures would be material to investors. There are currently no significant restrictions on the ability of YRC Worldwide or any guarantor to obtain funds from its subsidiaries by dividend or loan. Certain prior period amounts have been reclassified to conform to current presentation.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represents condensed consolidating financial information as of June 30, 2013 and December 31, 2012, with respect to the financial position and for the three and six months ended June 30, 2013 and 2012, for results of operations and for the Statement of cash flows of YRC Worldwide and its subsidiaries. The Parent column presents the financial information of YRC Worldwide, the primary obligor of the 6% Notes. The Guarantor Subsidiaries column presents the financial information of all guarantor subsidiaries of the 6% Notes. The Non-Guarantor Subsidiaries column presents the financial information of all non-guarantor subsidiaries, including those subsidiaries that are governed by foreign laws and YRCW Receivables LLC, the special-purpose entity that is associated with our ABL facility.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June 30, 2013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99.6</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2,852.7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(1,707.6)</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237.3</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2,172.5</w:t>
            </w:r>
          </w:p>
        </w:tc>
      </w:tr>
      <w:tr>
        <w:trPr>
          <w:trHeight w:val="67"/>
        </w:trPr>
        <w:tc>
          <w:tcPr>
            <w:tcW w:w="4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174.3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205.2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684.6</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1,290.3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525.2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2,172.5</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42"/>
        </w:trPr>
        <w:tc>
          <w:tcPr>
            <w:tcW w:w="102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As of December 31, 2012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105.3</w:t>
            </w:r>
          </w:p>
        </w:tc>
      </w:tr>
      <w:tr>
        <w:trPr>
          <w:trHeight w:val="27"/>
        </w:trPr>
        <w:tc>
          <w:tcPr>
            <w:tcW w:w="10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2,869.0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(1,677.6)</w:t>
            </w:r>
          </w:p>
        </w:tc>
      </w:tr>
      <w:tr>
        <w:trPr>
          <w:trHeight w:val="23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1,191.4</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67"/>
        </w:trPr>
        <w:tc>
          <w:tcPr>
            <w:tcW w:w="102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1,366.3</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548.8</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Comprehensive Income (Loss)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Non-Guarantor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4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Three Months Ended June 30, 2013 (in millions)</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2"/>
              </w:rPr>
              <w:t>Consolidated</w:t>
            </w:r>
          </w:p>
        </w:tc>
        <w:tc>
          <w:tcPr>
            <w:tcW w:w="60" w:type="dxa"/>
            <w:vAlign w:val="bottom"/>
          </w:tcPr>
          <w:p>
            <w:pPr>
              <w:spacing w:after="0"/>
              <w:rPr>
                <w:sz w:val="16"/>
                <w:szCs w:val="16"/>
                <w:color w:val="auto"/>
              </w:rPr>
            </w:pPr>
          </w:p>
        </w:tc>
      </w:tr>
      <w:tr>
        <w:trPr>
          <w:trHeight w:val="27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1,242.5</w:t>
            </w:r>
          </w:p>
        </w:tc>
        <w:tc>
          <w:tcPr>
            <w:tcW w:w="60" w:type="dxa"/>
            <w:vAlign w:val="bottom"/>
          </w:tcPr>
          <w:p>
            <w:pPr>
              <w:spacing w:after="0"/>
              <w:rPr>
                <w:sz w:val="23"/>
                <w:szCs w:val="23"/>
                <w:color w:val="auto"/>
              </w:rPr>
            </w:pPr>
          </w:p>
        </w:tc>
      </w:tr>
      <w:tr>
        <w:trPr>
          <w:trHeight w:val="237"/>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285.8</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Losses on property disposals, net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1,228.2</w:t>
            </w:r>
          </w:p>
        </w:tc>
        <w:tc>
          <w:tcPr>
            <w:tcW w:w="60" w:type="dxa"/>
            <w:vAlign w:val="bottom"/>
          </w:tcPr>
          <w:p>
            <w:pPr>
              <w:spacing w:after="0"/>
              <w:rPr>
                <w:sz w:val="22"/>
                <w:szCs w:val="22"/>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0"/>
                <w:szCs w:val="20"/>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60"/>
              <w:spacing w:after="0"/>
              <w:rPr>
                <w:sz w:val="20"/>
                <w:szCs w:val="20"/>
                <w:color w:val="auto"/>
              </w:rPr>
            </w:pPr>
            <w:r>
              <w:rPr>
                <w:rFonts w:ascii="Arial" w:cs="Arial" w:eastAsia="Arial" w:hAnsi="Arial"/>
                <w:sz w:val="18"/>
                <w:szCs w:val="18"/>
                <w:color w:val="auto"/>
              </w:rPr>
              <w:t>Interest expense (income)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0"/>
                <w:szCs w:val="20"/>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4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2"/>
                <w:szCs w:val="22"/>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11"/>
        </w:trPr>
        <w:tc>
          <w:tcPr>
            <w:tcW w:w="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Guarantor</w:t>
            </w:r>
          </w:p>
        </w:tc>
        <w:tc>
          <w:tcPr>
            <w:tcW w:w="18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60" w:type="dxa"/>
            <w:vAlign w:val="bottom"/>
          </w:tcPr>
          <w:p>
            <w:pPr>
              <w:spacing w:after="0"/>
              <w:rPr>
                <w:sz w:val="16"/>
                <w:szCs w:val="16"/>
                <w:color w:val="auto"/>
              </w:rPr>
            </w:pP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Three Months Ended June 30, 2012 (in millions)</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4"/>
              </w:rPr>
              <w:t>Subsidiaries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Eliminations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7"/>
              </w:rPr>
              <w:t>Consolidated</w:t>
            </w:r>
          </w:p>
        </w:tc>
        <w:tc>
          <w:tcPr>
            <w:tcW w:w="60" w:type="dxa"/>
            <w:vAlign w:val="bottom"/>
            <w:tcBorders>
              <w:bottom w:val="single" w:sz="8" w:color="auto"/>
            </w:tcBorders>
          </w:tcPr>
          <w:p>
            <w:pPr>
              <w:spacing w:after="0"/>
              <w:rPr>
                <w:sz w:val="16"/>
                <w:szCs w:val="16"/>
                <w:color w:val="auto"/>
              </w:rPr>
            </w:pPr>
          </w:p>
        </w:tc>
      </w:tr>
      <w:tr>
        <w:trPr>
          <w:trHeight w:val="270"/>
        </w:trPr>
        <w:tc>
          <w:tcPr>
            <w:tcW w:w="6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23"/>
        </w:trPr>
        <w:tc>
          <w:tcPr>
            <w:tcW w:w="6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41"/>
        </w:trPr>
        <w:tc>
          <w:tcPr>
            <w:tcW w:w="60" w:type="dxa"/>
            <w:vAlign w:val="bottom"/>
          </w:tcPr>
          <w:p>
            <w:pPr>
              <w:spacing w:after="0"/>
              <w:rPr>
                <w:sz w:val="3"/>
                <w:szCs w:val="3"/>
                <w:color w:val="auto"/>
              </w:rPr>
            </w:pPr>
          </w:p>
        </w:tc>
        <w:tc>
          <w:tcPr>
            <w:tcW w:w="4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285.8</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Gains on property disposals, net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6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6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9"/>
        </w:trPr>
        <w:tc>
          <w:tcPr>
            <w:tcW w:w="6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3"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Guarantor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Six Months Ended June 30, 2013 (in millions)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Parent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1"/>
              </w:rPr>
              <w:t>Subsidiaries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w w:val="91"/>
              </w:rPr>
              <w:t>Subsidiaries</w:t>
            </w:r>
          </w:p>
        </w:tc>
        <w:tc>
          <w:tcPr>
            <w:tcW w:w="120" w:type="dxa"/>
            <w:vAlign w:val="bottom"/>
            <w:tcBorders>
              <w:bottom w:val="single" w:sz="8" w:color="CCEEFF"/>
            </w:tcBorders>
            <w:gridSpan w:val="2"/>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2,405.0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1,398.5</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Gains on property disposals,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2,380.8</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Interest expense (income)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364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w w:val="97"/>
              </w:rPr>
              <w:t>Other comprehensive income (loss), net of tax</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Guarantor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jc w:val="center"/>
              <w:ind w:right="16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Six Months Ended June 30, 2012 (in millions)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96"/>
              </w:rPr>
              <w:t>Parent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Subsidiaries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2,231.5</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2,445.1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1,428.8</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549.1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(Gains) losses on property disposals,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2,478.3</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364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364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w w:val="95"/>
              </w:rPr>
              <w:t>Less: Net income attributable to non-controlling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YRC</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 Inc.</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w:t>
            </w:r>
          </w:p>
        </w:tc>
        <w:tc>
          <w:tcPr>
            <w:tcW w:w="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 w:type="dxa"/>
            <w:vAlign w:val="bottom"/>
            <w:shd w:val="clear" w:color="auto" w:fill="CCEEFF"/>
          </w:tcPr>
          <w:p>
            <w:pPr>
              <w:spacing w:after="0"/>
              <w:rPr>
                <w:sz w:val="18"/>
                <w:szCs w:val="18"/>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YRC Worldwide Inc. Shareholders</w:t>
            </w:r>
          </w:p>
        </w:tc>
        <w:tc>
          <w:tcPr>
            <w:tcW w:w="26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240" w:top="122" w:right="143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20"/>
          </w:cols>
          <w:pgMar w:left="240" w:top="122" w:right="14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Statements of Cash Flows</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8"/>
        </w:trPr>
        <w:tc>
          <w:tcPr>
            <w:tcW w:w="4680" w:type="dxa"/>
            <w:vAlign w:val="bottom"/>
          </w:tcPr>
          <w:p>
            <w:pPr>
              <w:ind w:left="20"/>
              <w:spacing w:after="0"/>
              <w:rPr>
                <w:sz w:val="20"/>
                <w:szCs w:val="20"/>
                <w:color w:val="auto"/>
              </w:rPr>
            </w:pPr>
            <w:r>
              <w:rPr>
                <w:rFonts w:ascii="Arial" w:cs="Arial" w:eastAsia="Arial" w:hAnsi="Arial"/>
                <w:sz w:val="14"/>
                <w:szCs w:val="14"/>
                <w:color w:val="auto"/>
              </w:rPr>
              <w:t>Six Months Ended June 30, 2013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w w:val="97"/>
              </w:rPr>
              <w:t>Consolidated</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Restricted escrow receipts, net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165.9</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1"/>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8"/>
        </w:trPr>
        <w:tc>
          <w:tcPr>
            <w:tcW w:w="4680" w:type="dxa"/>
            <w:vAlign w:val="bottom"/>
          </w:tcPr>
          <w:p>
            <w:pPr>
              <w:ind w:left="20"/>
              <w:spacing w:after="0"/>
              <w:rPr>
                <w:sz w:val="20"/>
                <w:szCs w:val="20"/>
                <w:color w:val="auto"/>
              </w:rPr>
            </w:pPr>
            <w:r>
              <w:rPr>
                <w:rFonts w:ascii="Arial" w:cs="Arial" w:eastAsia="Arial" w:hAnsi="Arial"/>
                <w:sz w:val="14"/>
                <w:szCs w:val="14"/>
                <w:color w:val="auto"/>
              </w:rPr>
              <w:t>Six Months Ended June 30, 2012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Eliminations</w:t>
            </w:r>
          </w:p>
        </w:tc>
        <w:tc>
          <w:tcPr>
            <w:tcW w:w="180" w:type="dxa"/>
            <w:vAlign w:val="bottom"/>
          </w:tcPr>
          <w:p>
            <w:pPr>
              <w:spacing w:after="0"/>
              <w:rPr>
                <w:sz w:val="16"/>
                <w:szCs w:val="16"/>
                <w:color w:val="auto"/>
              </w:rPr>
            </w:pPr>
          </w:p>
        </w:tc>
        <w:tc>
          <w:tcPr>
            <w:tcW w:w="1060" w:type="dxa"/>
            <w:vAlign w:val="bottom"/>
          </w:tcPr>
          <w:p>
            <w:pPr>
              <w:jc w:val="right"/>
              <w:ind w:right="151"/>
              <w:spacing w:after="0"/>
              <w:rPr>
                <w:sz w:val="20"/>
                <w:szCs w:val="20"/>
                <w:color w:val="auto"/>
              </w:rPr>
            </w:pPr>
            <w:r>
              <w:rPr>
                <w:rFonts w:ascii="Arial" w:cs="Arial" w:eastAsia="Arial" w:hAnsi="Arial"/>
                <w:sz w:val="14"/>
                <w:szCs w:val="14"/>
                <w:color w:val="auto"/>
                <w:w w:val="97"/>
              </w:rPr>
              <w:t>Consolidated</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r>
      <w:tr>
        <w:trPr>
          <w:trHeight w:val="243"/>
        </w:trPr>
        <w:tc>
          <w:tcPr>
            <w:tcW w:w="4680" w:type="dxa"/>
            <w:vAlign w:val="bottom"/>
          </w:tcPr>
          <w:p>
            <w:pPr>
              <w:ind w:left="820"/>
              <w:spacing w:after="0"/>
              <w:rPr>
                <w:sz w:val="20"/>
                <w:szCs w:val="20"/>
                <w:color w:val="auto"/>
              </w:rPr>
            </w:pPr>
            <w:r>
              <w:rPr>
                <w:rFonts w:ascii="Arial" w:cs="Arial" w:eastAsia="Arial" w:hAnsi="Arial"/>
                <w:sz w:val="18"/>
                <w:szCs w:val="18"/>
                <w:color w:val="auto"/>
              </w:rPr>
              <w:t>Restricted escrow receipts, net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46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200.5</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of the Series A Notes and the Series B Notes</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2011, we issued $140 million in aggregate principal amount of our Series A Notes and $100 million in aggregate principal amount of our Series B Notes (collectively, the “Convertible Secured Notes”). In connection with the Convertible Secured Notes, the following wholly owned subsidiaries of YRC Worldwide issued guarantees in favor of the holders of the New Convertible Secured Notes: YRC Inc., YRC Enterprise Services, Inc., Roadway LLC, Roadway Reverse Logistics, Inc., Roadway Express International, Inc., Roadway Next Day Corporation, New Penn Motor Express Inc., YRC Regional Transportation, Inc., USF Holland Inc., USF Reddaway Inc., USF Glen Moore Inc., YRC Logistics Services, Inc., USF Bestway Inc., USF Dugan Inc., USF RedStar LLC, YRC Mortgages, LLC, YRC Association Solutions Inc., YRC International Investments Inc., and Express Lane Services Inc. Each of the guarantees is full and unconditional and joint and several, subject to customary release provisions.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consolidating financial statements are presented in lieu of separate financial statements and other related disclosures of the subsidiary guarantors and issuer because we do not believe that such separate financial statements and related disclosures would be material to investors. There are currently no significant restrictions on the ability of YRC Worldwide or any guarantor to obtain funds from its subsidiaries by dividend or loan. Certain prior period amounts have been reclassified to conform to current presentation.</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represents condensed consolidating financial information as of June 30, 2013 and December 31, 2012, with respect to the financial position and for the three and six months ended June 30, 2013 and 2012, for results of operations and for the statement of cash flows of YRC Worldwide and its subsidiaries. The Parent column presents the financial information of YRC Worldwide, the primary obligor of the New Convertible Secured Notes. The Guarantor Subsidiaries column presents the financial information of all guarantor subsidiaries of the New Convertible Secured Notes. The Non-Guarantor Subsidiaries column presents the financial information of all non-guarantor subsidiaries, including those subsidiaries that are governed by foreign laws and YRCW Receivables LLC, the special-purpose entity that is associated with our ABL facility.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Balance Sheets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As of June 30, 2013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99.6</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2,852.7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(1,707.6)</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237.3</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2,172.5</w:t>
            </w:r>
          </w:p>
        </w:tc>
      </w:tr>
      <w:tr>
        <w:trPr>
          <w:trHeight w:val="67"/>
        </w:trPr>
        <w:tc>
          <w:tcPr>
            <w:tcW w:w="4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174.3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205.2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684.6</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1,290.3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525.3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525.2</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2,172.5</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542"/>
        </w:trPr>
        <w:tc>
          <w:tcPr>
            <w:tcW w:w="1020" w:type="dxa"/>
            <w:vAlign w:val="bottom"/>
            <w:tcBorders>
              <w:top w:val="single" w:sz="8" w:color="0000FF"/>
            </w:tcBorders>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Guarantor</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color w:val="auto"/>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 of December 31, 2012 (in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Parent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99"/>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Intercompany advances receivable</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105.3</w:t>
            </w:r>
          </w:p>
        </w:tc>
      </w:tr>
      <w:tr>
        <w:trPr>
          <w:trHeight w:val="27"/>
        </w:trPr>
        <w:tc>
          <w:tcPr>
            <w:tcW w:w="10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774.1</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2,869.0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(1,677.6)</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1,191.4</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Receivable from affiliate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260.0</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67"/>
        </w:trPr>
        <w:tc>
          <w:tcPr>
            <w:tcW w:w="1020" w:type="dxa"/>
            <w:vAlign w:val="bottom"/>
            <w:tcBorders>
              <w:bottom w:val="single" w:sz="8" w:color="CCEEFF"/>
            </w:tcBorders>
          </w:tcPr>
          <w:p>
            <w:pPr>
              <w:spacing w:after="0"/>
              <w:rPr>
                <w:sz w:val="5"/>
                <w:szCs w:val="5"/>
                <w:color w:val="auto"/>
              </w:rPr>
            </w:pPr>
          </w:p>
        </w:tc>
        <w:tc>
          <w:tcPr>
            <w:tcW w:w="3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6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Intercompany advances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162.0</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Wages, vacations and employees’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Other current and accrued liabilities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233.2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595.2</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Payable to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1,054.7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1,366.3</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Pension and postretirement</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548.8</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r>
      <w:tr>
        <w:trPr>
          <w:trHeight w:val="237"/>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2,225.5</w:t>
            </w:r>
          </w:p>
        </w:tc>
      </w:tr>
      <w:tr>
        <w:trPr>
          <w:trHeight w:val="27"/>
        </w:trPr>
        <w:tc>
          <w:tcPr>
            <w:tcW w:w="10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56"/>
        </w:trPr>
        <w:tc>
          <w:tcPr>
            <w:tcW w:w="10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Comprehensive Income (Loss)</w:t>
      </w:r>
    </w:p>
    <w:p>
      <w:pPr>
        <w:spacing w:after="0" w:line="34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Guarantor</w:t>
            </w:r>
          </w:p>
        </w:tc>
        <w:tc>
          <w:tcPr>
            <w:tcW w:w="10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color w:val="auto"/>
              </w:rPr>
              <w:t>Non-Guarantor</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120" w:type="dxa"/>
            <w:vAlign w:val="bottom"/>
          </w:tcPr>
          <w:p>
            <w:pPr>
              <w:spacing w:after="0"/>
              <w:rPr>
                <w:sz w:val="16"/>
                <w:szCs w:val="16"/>
                <w:color w:val="auto"/>
              </w:rPr>
            </w:pPr>
          </w:p>
        </w:tc>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Three Months Ended June 30, 2013 (in millions)</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color w:val="auto"/>
              </w:rPr>
              <w:t>Parent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w w:val="94"/>
              </w:rPr>
              <w:t>Subsidiaries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2"/>
              </w:rPr>
              <w:t>Consolidated</w:t>
            </w:r>
          </w:p>
        </w:tc>
        <w:tc>
          <w:tcPr>
            <w:tcW w:w="120" w:type="dxa"/>
            <w:vAlign w:val="bottom"/>
          </w:tcPr>
          <w:p>
            <w:pPr>
              <w:spacing w:after="0"/>
              <w:rPr>
                <w:sz w:val="16"/>
                <w:szCs w:val="16"/>
                <w:color w:val="auto"/>
              </w:rPr>
            </w:pPr>
          </w:p>
        </w:tc>
      </w:tr>
      <w:tr>
        <w:trPr>
          <w:trHeight w:val="270"/>
        </w:trPr>
        <w:tc>
          <w:tcPr>
            <w:tcW w:w="12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1,206.1</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1,242.5</w:t>
            </w:r>
          </w:p>
        </w:tc>
        <w:tc>
          <w:tcPr>
            <w:tcW w:w="120" w:type="dxa"/>
            <w:vAlign w:val="bottom"/>
          </w:tcPr>
          <w:p>
            <w:pPr>
              <w:spacing w:after="0"/>
              <w:rPr>
                <w:sz w:val="23"/>
                <w:szCs w:val="23"/>
                <w:color w:val="auto"/>
              </w:rPr>
            </w:pPr>
          </w:p>
        </w:tc>
      </w:tr>
      <w:tr>
        <w:trPr>
          <w:trHeight w:val="223"/>
        </w:trPr>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41"/>
        </w:trPr>
        <w:tc>
          <w:tcPr>
            <w:tcW w:w="120" w:type="dxa"/>
            <w:vAlign w:val="bottom"/>
          </w:tcPr>
          <w:p>
            <w:pPr>
              <w:spacing w:after="0"/>
              <w:rPr>
                <w:sz w:val="3"/>
                <w:szCs w:val="3"/>
                <w:color w:val="auto"/>
              </w:rPr>
            </w:pPr>
          </w:p>
        </w:tc>
        <w:tc>
          <w:tcPr>
            <w:tcW w:w="4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0"/>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Salaries, wages and employees’ benefits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Operating expenses and supplies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Purchased 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Losses on property disposals, net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1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1,228.2</w:t>
            </w:r>
          </w:p>
        </w:tc>
        <w:tc>
          <w:tcPr>
            <w:tcW w:w="120" w:type="dxa"/>
            <w:vAlign w:val="bottom"/>
          </w:tcPr>
          <w:p>
            <w:pPr>
              <w:spacing w:after="0"/>
              <w:rPr>
                <w:sz w:val="22"/>
                <w:szCs w:val="22"/>
                <w:color w:val="auto"/>
              </w:rPr>
            </w:pPr>
          </w:p>
        </w:tc>
      </w:tr>
      <w:tr>
        <w:trPr>
          <w:trHeight w:val="237"/>
        </w:trPr>
        <w:tc>
          <w:tcPr>
            <w:tcW w:w="12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Interest expense (income)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4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r>
      <w:tr>
        <w:trPr>
          <w:trHeight w:val="237"/>
        </w:trPr>
        <w:tc>
          <w:tcPr>
            <w:tcW w:w="120" w:type="dxa"/>
            <w:vAlign w:val="bottom"/>
          </w:tcPr>
          <w:p>
            <w:pPr>
              <w:spacing w:after="0"/>
              <w:rPr>
                <w:sz w:val="20"/>
                <w:szCs w:val="20"/>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Nonoperating expenses (income), net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69"/>
        </w:trPr>
        <w:tc>
          <w:tcPr>
            <w:tcW w:w="1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78"/>
        </w:trPr>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4"/>
                <w:szCs w:val="14"/>
                <w:color w:val="auto"/>
              </w:rPr>
              <w:t>Guarantor</w:t>
            </w:r>
          </w:p>
        </w:tc>
        <w:tc>
          <w:tcPr>
            <w:tcW w:w="1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Non-Guarantor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Three Months Ended June 30, 2012 (in millions)</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w w:val="96"/>
              </w:rPr>
              <w:t>Parent</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Subsidiaries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7"/>
              </w:rPr>
              <w:t>Consolidated</w:t>
            </w:r>
          </w:p>
        </w:tc>
      </w:tr>
      <w:tr>
        <w:trPr>
          <w:trHeight w:val="27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1,250.8</w:t>
            </w: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41"/>
        </w:trPr>
        <w:tc>
          <w:tcPr>
            <w:tcW w:w="49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25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Salaries, wages and employees’ benefits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723.9</w:t>
            </w: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Operating expenses and supplies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285.8</w:t>
            </w:r>
          </w:p>
        </w:tc>
      </w:tr>
      <w:tr>
        <w:trPr>
          <w:trHeight w:val="27"/>
        </w:trPr>
        <w:tc>
          <w:tcPr>
            <w:tcW w:w="4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Purchased 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w:t>
            </w: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45.7</w:t>
            </w:r>
          </w:p>
        </w:tc>
      </w:tr>
      <w:tr>
        <w:trPr>
          <w:trHeight w:val="27"/>
        </w:trPr>
        <w:tc>
          <w:tcPr>
            <w:tcW w:w="4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w:t>
            </w: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Gains on property disposals, net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7"/>
        </w:trPr>
        <w:tc>
          <w:tcPr>
            <w:tcW w:w="1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64"/>
        </w:trPr>
        <w:tc>
          <w:tcPr>
            <w:tcW w:w="1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1,235.3</w:t>
            </w:r>
          </w:p>
        </w:tc>
      </w:tr>
      <w:tr>
        <w:trPr>
          <w:trHeight w:val="237"/>
        </w:trPr>
        <w:tc>
          <w:tcPr>
            <w:tcW w:w="1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15.5</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r>
      <w:tr>
        <w:trPr>
          <w:trHeight w:val="27"/>
        </w:trPr>
        <w:tc>
          <w:tcPr>
            <w:tcW w:w="4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37"/>
        </w:trPr>
        <w:tc>
          <w:tcPr>
            <w:tcW w:w="12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Nonoperating expenses (income), net</w:t>
            </w: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38.9</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r>
      <w:tr>
        <w:trPr>
          <w:trHeight w:val="243"/>
        </w:trPr>
        <w:tc>
          <w:tcPr>
            <w:tcW w:w="120" w:type="dxa"/>
            <w:vAlign w:val="bottom"/>
          </w:tcPr>
          <w:p>
            <w:pPr>
              <w:spacing w:after="0"/>
              <w:rPr>
                <w:sz w:val="21"/>
                <w:szCs w:val="21"/>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44"/>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r>
      <w:tr>
        <w:trPr>
          <w:trHeight w:val="24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r>
      <w:tr>
        <w:trPr>
          <w:trHeight w:val="27"/>
        </w:trPr>
        <w:tc>
          <w:tcPr>
            <w:tcW w:w="49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69"/>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121" w:right="4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240" w:top="121" w:right="4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93"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Guarantor</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Six Months Ended June 30, 2013 (in millions)</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Parent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gridSpan w:val="2"/>
          </w:tcPr>
          <w:p>
            <w:pPr>
              <w:spacing w:after="0"/>
              <w:rPr>
                <w:sz w:val="16"/>
                <w:szCs w:val="16"/>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2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Gains on property disposals, net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Interest expense (income)</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w w:val="97"/>
              </w:rPr>
              <w:t>Other comprehensive income (loss), net of tax</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ind w:left="80"/>
              <w:spacing w:after="0"/>
              <w:rPr>
                <w:sz w:val="20"/>
                <w:szCs w:val="20"/>
                <w:color w:val="auto"/>
              </w:rPr>
            </w:pPr>
            <w:r>
              <w:rPr>
                <w:rFonts w:ascii="Arial" w:cs="Arial" w:eastAsia="Arial" w:hAnsi="Arial"/>
                <w:sz w:val="14"/>
                <w:szCs w:val="14"/>
                <w:color w:val="auto"/>
              </w:rPr>
              <w:t>Guarantor</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Non-Guarantor</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Six Months Ended June 30, 2012 (in millions)</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Parent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91"/>
              </w:rPr>
              <w:t>Subsidiaries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2,360.8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Salaries, wages and employees’ benefits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Operating expenses and supplies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575.4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Purchased transportation</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(Gains) losses on property disposals, net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Expenses (Income):</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Nonoperating expenses (income), net</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w w:val="95"/>
              </w:rPr>
              <w:t>Less: Net income attributable to non-controlling</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YRC</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 Inc.</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Comprehensive Income (Loss) Attributable to</w:t>
            </w: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660" w:type="dxa"/>
            <w:vAlign w:val="bottom"/>
            <w:gridSpan w:val="3"/>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YRC Worldwide Inc. Shareholders</w:t>
            </w:r>
          </w:p>
        </w:tc>
        <w:tc>
          <w:tcPr>
            <w:tcW w:w="24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3"/>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660" w:type="dxa"/>
            <w:vAlign w:val="bottom"/>
            <w:gridSpan w:val="3"/>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40"/>
          </w:cols>
          <w:pgMar w:left="240" w:top="121" w:right="141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240"/>
          </w:cols>
          <w:pgMar w:left="240" w:top="121" w:right="141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Statements of Cash Flows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Six Months Ended June 30, 2013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Restricted amounts held in escrow</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165.9</w:t>
            </w:r>
          </w:p>
        </w:tc>
      </w:tr>
      <w:tr>
        <w:trPr>
          <w:trHeight w:val="27"/>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61"/>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Non-Guarantor</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Six Months Ended June 30, 2012 (in millions)</w:t>
            </w:r>
          </w:p>
        </w:tc>
        <w:tc>
          <w:tcPr>
            <w:tcW w:w="2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color w:val="auto"/>
              </w:rPr>
              <w:t>Parent</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Subsidiaries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Eliminations</w:t>
            </w:r>
          </w:p>
        </w:tc>
        <w:tc>
          <w:tcPr>
            <w:tcW w:w="160" w:type="dxa"/>
            <w:vAlign w:val="bottom"/>
          </w:tcPr>
          <w:p>
            <w:pPr>
              <w:spacing w:after="0"/>
              <w:rPr>
                <w:sz w:val="16"/>
                <w:szCs w:val="16"/>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r>
      <w:tr>
        <w:trPr>
          <w:trHeight w:val="243"/>
        </w:trPr>
        <w:tc>
          <w:tcPr>
            <w:tcW w:w="4680" w:type="dxa"/>
            <w:vAlign w:val="bottom"/>
          </w:tcPr>
          <w:p>
            <w:pPr>
              <w:ind w:left="820"/>
              <w:spacing w:after="0"/>
              <w:rPr>
                <w:sz w:val="20"/>
                <w:szCs w:val="20"/>
                <w:color w:val="auto"/>
              </w:rPr>
            </w:pPr>
            <w:r>
              <w:rPr>
                <w:rFonts w:ascii="Arial" w:cs="Arial" w:eastAsia="Arial" w:hAnsi="Arial"/>
                <w:sz w:val="18"/>
                <w:szCs w:val="18"/>
                <w:color w:val="auto"/>
              </w:rPr>
              <w:t>Restricted amounts held in escrow</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Issuance of long-term debt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Debt issuance cost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advances (repayments)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46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200.5</w:t>
            </w: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Management’s Discussion and Analysis of Financial Condition and Results of Operations (“MD&amp;A”) should be read in conjunction with the Consolidated Financial Statements and the Notes to Consolidated Financial Statements included elsewhere in this report. MD&amp;A and certain Notes to the Consolidated Financial Statements include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“project,” “forecast,” “propose,” “plan,” “designed,” “estimate,” “enable” and similar expressions. Forward-looking statements are inherently uncertain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0"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pace of recovery in the overall economy, including (without limitation) customer demand in the retail and manufacturing sectors;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management team in implementing its strategic plan and operational and productivity improvements, including (without limitation) our continued ability to meet high on-time and quality delivery performance standards and our ability to increase volume and yield, and the impact of those improvements on our future liquidity and profitability;</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scheduled increases in debt covenants and our cash reserve requirement;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refinance or restructure our indebtedness, a substantial portion of which matures in late 2014 or early 2015;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finance the maintenance, acquisition and replacement of revenue equipment and other necessary capital expenditures;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our information technology systems in our network operations and the production of accurate information, and the risk of system failure, inadequacy or security breach;</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equity and debt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inclement weather;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and availability of fuel;</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sudden changes in the cost of fuel or the index upon which we base our fuel surcharge and the effectiveness of our fuel surcharge program in protecting us against fuel price volatility;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and competitive pressure on service and pricing;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 volatility, including (without limitation) volatility due to changes in rail service or pricing for rail service;</w:t>
      </w:r>
    </w:p>
    <w:p>
      <w:pPr>
        <w:spacing w:after="0" w:line="63" w:lineRule="exact"/>
        <w:rPr>
          <w:rFonts w:ascii="Arial" w:cs="Arial" w:eastAsia="Arial" w:hAnsi="Arial"/>
          <w:sz w:val="18"/>
          <w:szCs w:val="18"/>
          <w:color w:val="auto"/>
        </w:rPr>
      </w:pPr>
    </w:p>
    <w:p>
      <w:pPr>
        <w:ind w:left="660" w:right="20" w:hanging="328"/>
        <w:spacing w:after="0" w:line="29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federal, state, local and foreign laws and regulations, including (without limitation) laws and regulations for the protection of employee safety and health (including new hours-of-service regulations) and the environment;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relations, including (without limitation) the continued support of our union employees for our strategic plan, the impact of work rules, work stoppages, strikes or other disruptions, our obligations to multi-employer health, welfare and pension plans, wage requirements and employee satisfaction;</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claims and litigation to which we are or may become exposed;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contingencies, including (without limitation) the risk factors that are included in our reports filed with the SEC, including those described under “Risk Factors” in our annual report on Form 10-K and quarterly reports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MD&amp;A includes the following sections: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 a brief description of our business and a discussion of how we assess our operating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Consolidated Results of Operations </w:t>
      </w:r>
      <w:r>
        <w:rPr>
          <w:rFonts w:ascii="Arial" w:cs="Arial" w:eastAsia="Arial" w:hAnsi="Arial"/>
          <w:sz w:val="18"/>
          <w:szCs w:val="18"/>
          <w:color w:val="auto"/>
        </w:rPr>
        <w:t>-- an analysis of our consolidated results of operations for the three and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2013 and 2012.</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Reporting Segment Results of Operations </w:t>
      </w:r>
      <w:r>
        <w:rPr>
          <w:rFonts w:ascii="Arial" w:cs="Arial" w:eastAsia="Arial" w:hAnsi="Arial"/>
          <w:sz w:val="18"/>
          <w:szCs w:val="18"/>
          <w:color w:val="auto"/>
        </w:rPr>
        <w:t>-- an analysis of our results of operations for the three and six months ended June 30, 2013 and</w:t>
      </w:r>
      <w:r>
        <w:rPr>
          <w:rFonts w:ascii="Arial" w:cs="Arial" w:eastAsia="Arial" w:hAnsi="Arial"/>
          <w:sz w:val="18"/>
          <w:szCs w:val="18"/>
          <w:b w:val="1"/>
          <w:bCs w:val="1"/>
          <w:color w:val="auto"/>
        </w:rPr>
        <w:t xml:space="preserve"> </w:t>
      </w:r>
      <w:r>
        <w:rPr>
          <w:rFonts w:ascii="Arial" w:cs="Arial" w:eastAsia="Arial" w:hAnsi="Arial"/>
          <w:sz w:val="18"/>
          <w:szCs w:val="18"/>
          <w:color w:val="auto"/>
        </w:rPr>
        <w:t>2012 for our two reporting segments: YRC Freight and Regional Transportation.</w:t>
      </w:r>
    </w:p>
    <w:p>
      <w:pPr>
        <w:spacing w:after="0" w:line="1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 an analysis of selected Non-GAAP financial measures for the three and six months ended June</w:t>
      </w:r>
      <w:r>
        <w:rPr>
          <w:rFonts w:ascii="Arial" w:cs="Arial" w:eastAsia="Arial" w:hAnsi="Arial"/>
          <w:sz w:val="18"/>
          <w:szCs w:val="18"/>
          <w:b w:val="1"/>
          <w:bCs w:val="1"/>
          <w:color w:val="auto"/>
        </w:rPr>
        <w:t xml:space="preserve"> </w:t>
      </w:r>
      <w:r>
        <w:rPr>
          <w:rFonts w:ascii="Arial" w:cs="Arial" w:eastAsia="Arial" w:hAnsi="Arial"/>
          <w:sz w:val="18"/>
          <w:szCs w:val="18"/>
          <w:color w:val="auto"/>
        </w:rPr>
        <w:t>30, 2013 and 2012.</w:t>
      </w:r>
    </w:p>
    <w:p>
      <w:pPr>
        <w:spacing w:after="0" w:line="121"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b w:val="1"/>
          <w:bCs w:val="1"/>
          <w:color w:val="auto"/>
        </w:rPr>
        <w:t xml:space="preserve">Financial Condition/Liquidity and Capital Resources </w:t>
      </w:r>
      <w:r>
        <w:rPr>
          <w:rFonts w:ascii="Arial" w:cs="Arial" w:eastAsia="Arial" w:hAnsi="Arial"/>
          <w:sz w:val="18"/>
          <w:szCs w:val="18"/>
          <w:color w:val="auto"/>
        </w:rPr>
        <w:t>-- a discussion of our major sources and uses of cash and an analysis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and aggregate contractual obligations and commercial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and "first half" of the years discussed below refers to the three and six months ended June 30,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holding company that, through wholly owned operating subsidiaries and our interest in a Chinese joint venture, offers our customers a wide range of transportation services. We have one of the largest, most comprehensive less-than-truckload ("LTL") networks in North America with local, regional, national and international capabilities. Through our team of experienced service professionals, we offer industry-leading expertise in heavyweight shipments and flexible supply chain solutions, ensuring customers can ship industrial, commercial and retail goods with confidence.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measure the performance of our business on both a consolidated basis and a reporting segment basis. We use several performance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Operating Revenue: </w:t>
      </w:r>
      <w:r>
        <w:rPr>
          <w:rFonts w:ascii="Arial" w:cs="Arial" w:eastAsia="Arial" w:hAnsi="Arial"/>
          <w:sz w:val="17"/>
          <w:szCs w:val="17"/>
          <w:color w:val="auto"/>
        </w:rPr>
        <w:t>Our operating revenue has two primary components: volume (commonly evaluated using number of shipments and weight per</w:t>
      </w:r>
      <w:r>
        <w:rPr>
          <w:rFonts w:ascii="Arial" w:cs="Arial" w:eastAsia="Arial" w:hAnsi="Arial"/>
          <w:sz w:val="17"/>
          <w:szCs w:val="17"/>
          <w:b w:val="1"/>
          <w:bCs w:val="1"/>
          <w:color w:val="auto"/>
        </w:rPr>
        <w:t xml:space="preserve"> </w:t>
      </w:r>
      <w:r>
        <w:rPr>
          <w:rFonts w:ascii="Arial" w:cs="Arial" w:eastAsia="Arial" w:hAnsi="Arial"/>
          <w:sz w:val="17"/>
          <w:szCs w:val="17"/>
          <w:color w:val="auto"/>
        </w:rPr>
        <w:t>shipment) and yield or price (commonly evaluated on a dollar per hundredweight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w:t>
      </w:r>
    </w:p>
    <w:p>
      <w:pPr>
        <w:spacing w:after="0" w:line="177"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Operating income (loss) is our operating revenue less operating expenses. Our consolidated operating income (loss)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certain corporate charges that are not allocated to our reporting segments.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metric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We use certain non-GAAP financial measures to assess our performance. These include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EBITDA and adjusted free cash flow (deficit):</w:t>
      </w:r>
    </w:p>
    <w:p>
      <w:pPr>
        <w:spacing w:after="0" w:line="165" w:lineRule="exact"/>
        <w:rPr>
          <w:rFonts w:ascii="Arial" w:cs="Arial" w:eastAsia="Arial" w:hAnsi="Arial"/>
          <w:sz w:val="18"/>
          <w:szCs w:val="18"/>
          <w:color w:val="auto"/>
        </w:rPr>
      </w:pPr>
    </w:p>
    <w:p>
      <w:pPr>
        <w:jc w:val="both"/>
        <w:ind w:left="1300" w:hanging="320"/>
        <w:spacing w:after="0" w:line="26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our earnings before interest, taxes, depreciation, and amortization expense, and</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adjusted for letter of credit fees, equity-based compensation expense, net gains or losses on property disposals and certain other items, including restructuring professional fees and results of permitted dispositions and discontinued operations as defined in our credit facilities. Adjusted EBITDA is used for internal management purposes as a financial measure that reflects our core operating performance and to measure compliance with financial covenants in our credit facilities.</w:t>
      </w:r>
    </w:p>
    <w:p>
      <w:pPr>
        <w:spacing w:after="0" w:line="3" w:lineRule="exact"/>
        <w:rPr>
          <w:rFonts w:ascii="Arial" w:cs="Arial" w:eastAsia="Arial" w:hAnsi="Arial"/>
          <w:sz w:val="17"/>
          <w:szCs w:val="17"/>
          <w:color w:val="auto"/>
        </w:rPr>
      </w:pPr>
    </w:p>
    <w:p>
      <w:pPr>
        <w:ind w:left="1300" w:hanging="320"/>
        <w:spacing w:after="0" w:line="261"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Free Cash Flow (Deficit): </w:t>
      </w:r>
      <w:r>
        <w:rPr>
          <w:rFonts w:ascii="Arial" w:cs="Arial" w:eastAsia="Arial" w:hAnsi="Arial"/>
          <w:sz w:val="18"/>
          <w:szCs w:val="18"/>
          <w:color w:val="auto"/>
        </w:rPr>
        <w:t>a non-GAAP measure that reflects our net cash provided by (used in) operating activities minus gross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excludes restructuring professional fees included in operating cash flow.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hanging="320"/>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letter of credit fees, service interest or principal payments on our outstanding debt;</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ind w:left="1300" w:hanging="320"/>
        <w:spacing w:after="0" w:line="265"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Equity based compensation is an element of our long-term incentive compensation package, although adjusted EBITDA excludes employee equity-based compensation expense when presenting our ongoing operating performance for a particular period;</w:t>
      </w:r>
    </w:p>
    <w:p>
      <w:pPr>
        <w:ind w:left="1300" w:hanging="320"/>
        <w:spacing w:after="0" w:line="265"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free cash flow (deficit) excludes the cash usage by our restructuring professional fees, debt issuance costs, equity issuance costs and principal payments on our outstanding debt and the resulting reduction in our liquidity position from those cash outflows; and</w:t>
      </w:r>
    </w:p>
    <w:p>
      <w:pPr>
        <w:ind w:left="1300" w:hanging="320"/>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and adjusted free cash flow (deficit) differently than we do, potentially limiting their usefulness as comparative measures.</w:t>
      </w:r>
    </w:p>
    <w:p>
      <w:pPr>
        <w:spacing w:after="0" w:line="18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results include the consolidated results of our reporting segments as well as any unallocated corporate charges. A more detailed discussion of the operating results of our segments is presented in the "Reporting Segment Results of Operations" section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second quarter and first half of 2013 and 2012:</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1"/>
              </w:rPr>
              <w:t>Second Quarter</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First Half</w:t>
            </w:r>
          </w:p>
        </w:tc>
        <w:tc>
          <w:tcPr>
            <w:tcW w:w="1420" w:type="dxa"/>
            <w:vAlign w:val="bottom"/>
            <w:tcBorders>
              <w:bottom w:val="single" w:sz="8" w:color="auto"/>
            </w:tcBorders>
          </w:tcPr>
          <w:p>
            <w:pPr>
              <w:spacing w:after="0"/>
              <w:rPr>
                <w:sz w:val="16"/>
                <w:szCs w:val="16"/>
                <w:color w:val="auto"/>
              </w:rPr>
            </w:pPr>
          </w:p>
        </w:tc>
      </w:tr>
      <w:tr>
        <w:trPr>
          <w:trHeight w:val="264"/>
        </w:trPr>
        <w:tc>
          <w:tcPr>
            <w:tcW w:w="32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2"/>
                <w:szCs w:val="22"/>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Percent Change</w:t>
            </w:r>
          </w:p>
        </w:tc>
        <w:tc>
          <w:tcPr>
            <w:tcW w:w="260" w:type="dxa"/>
            <w:vAlign w:val="bottom"/>
          </w:tcPr>
          <w:p>
            <w:pPr>
              <w:spacing w:after="0"/>
              <w:rPr>
                <w:sz w:val="22"/>
                <w:szCs w:val="22"/>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22"/>
                <w:szCs w:val="22"/>
                <w:color w:val="auto"/>
              </w:rPr>
            </w:pPr>
          </w:p>
        </w:tc>
        <w:tc>
          <w:tcPr>
            <w:tcW w:w="1420" w:type="dxa"/>
            <w:vAlign w:val="bottom"/>
          </w:tcPr>
          <w:p>
            <w:pPr>
              <w:jc w:val="right"/>
              <w:ind w:right="174"/>
              <w:spacing w:after="0"/>
              <w:rPr>
                <w:sz w:val="20"/>
                <w:szCs w:val="20"/>
                <w:color w:val="auto"/>
              </w:rPr>
            </w:pPr>
            <w:r>
              <w:rPr>
                <w:rFonts w:ascii="Arial" w:cs="Arial" w:eastAsia="Arial" w:hAnsi="Arial"/>
                <w:sz w:val="14"/>
                <w:szCs w:val="14"/>
                <w:color w:val="auto"/>
              </w:rPr>
              <w:t>Percent Change</w:t>
            </w:r>
          </w:p>
        </w:tc>
      </w:tr>
      <w:tr>
        <w:trPr>
          <w:trHeight w:val="243"/>
        </w:trPr>
        <w:tc>
          <w:tcPr>
            <w:tcW w:w="3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1,242.5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1,250.8</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2,405.0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2,445.1</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172.9 %</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Nonoperating expenses,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62.0 %</w:t>
            </w:r>
          </w:p>
        </w:tc>
      </w:tr>
      <w:tr>
        <w:trPr>
          <w:trHeight w:val="27"/>
        </w:trPr>
        <w:tc>
          <w:tcPr>
            <w:tcW w:w="3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2013 Compared to the Second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operating revenue decreased 0.7% during the second quarter of 2013 compared to the same period in 2012. The decrease in revenue is primarily attributable to lower volumes at our YRC Freight reporting segment, partially offset by increases in volume at our Regional Transportation segment over the comparable prior year period.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expenses for the second quarter of 2013 decreased $7.1 million or 0.6% compared to the same period in 2012 primarily related to a $6.4 million decrease in salaries, wages and employees' benefits and a $5.7 million decrease in other operating expenses. Losses on property sales of $1.3 million in the second quarter of 2013 compared to gains of $6.5 million in the same period in 2012 partially offset the decrease in operating expenses.</w:t>
      </w:r>
    </w:p>
    <w:p>
      <w:pPr>
        <w:spacing w:after="0" w:line="166"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$6.4 million decrease in salaries, wages and employees' benefits was largely due to a $7.0 million or 18.4% decrease in workers' compensation expense driven by safety initiatives and settlement activity that are reducing our claims outstanding.</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$5.7 million decrease in other operating expenses was primarily driven by a $3.7 million decrease in our bodily injury and property damage expense due to our settlement initiatives and a $1.6 million decrease in cargo claims driven by favorable claim development and lower shipping volumes.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for the second quarter of 2013 and 2012 was 39.8% and 3.4%, respectively. Significant items impacting the second quarter 2013 rate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2013 and December 31, 2012, substantially all of our net deferred tax assets are subject to a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Half of 2013 Compared to the First Half of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revenue decreased 1.6% during the first half of 2013 compared to the same period in 2012. The decrease in revenue is primarily attributable to lower volumes over the comparable prior year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first half of 2013 decreased $97.5 million or 3.9% compared to the same period in 2012 primarily related to a $30.3 million decrease in salaries, wages and employees' benefits, a $25.4 million decrease in operating expenses and supplies and a $23.8 million decrease in other operating expenses. Gains on property sales of $3.2 million in 2013 compared to losses of $1.8 million in 2012 also contributed to the total operating expense decrease.</w:t>
      </w:r>
    </w:p>
    <w:p>
      <w:pPr>
        <w:spacing w:after="0" w:line="187" w:lineRule="exact"/>
        <w:rPr>
          <w:sz w:val="20"/>
          <w:szCs w:val="20"/>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$30.3 million decrease in salaries, wages and employees' benefits was largely due to a $13.6 million or 18.5% reduction in workers' compensation expense driven by safety initiatives and settlement activity that are reducing our claims outstanding as well as a $9.2 million or 1.9% decrease in benefits driven by lower expense on our single-employer pension plan.</w:t>
      </w:r>
    </w:p>
    <w:p>
      <w:pPr>
        <w:jc w:val="both"/>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$25.4 million decrease in operating expenses and supplies was primarily driven by lower fuel expenses of $15.8 million or 5.5% and a $2.6 million or 2.8% decrease in vehicle maintenance expenses. The decrease in fuel expenses and vehicle maintenance expenses is primarily a function of fewer miles driven at our YRC Freight reporting segment. Our operating expenses and supplies in the first half of 2012 were unfavorably impacted by a $7.0 million increase to our legal reserves related to our estimated losses for legal claims from prior years.</w:t>
      </w: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$23.8 million decrease in other operating expenses was primarily driven by a $17.0 million decrease in our bodily injury and property damage expense due to our settlement initiatives and a $6.0 million decrease in cargo claims driven by favorable claim development and lower shipping volumes compared to the first quarter of 2012.</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for the first half of 2013 and 2012 was 26.8% and 3.6%, respectively. Significant items impacting the first half of 2013 rate include a net state tax provision, certain permanent items and a change in the valuation allowance established for the net deferred tax asset balance projected for December 31, 2013.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2013 and December 31, 2012, substantially all of our net deferred tax assets are subject to a valuation allowance.</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our debt recapitalization in July 2011, we have experienced significant changes in the ownership of our stock, as measured for Federal income tax purposes, and we are approaching the threshold that would trigger a change defined by IRC Code Sec. 382. Such a change would likely limit substantially the use of tax Net Operating Loss carryovers (NOLs) generated before the change to offset future taxable income. Given the ongoing conversion of certain tranches of our convertible debt, our risk of incurring a Sec. 382 change is reasonably high. While a Sec. 382 change could adversely affect future cash flow, it would have minimal, if any, effect on our current financial statements. The deferred tax asset resulting from the existing NOLs for which a Sec. 382 change would limit financial statement recognition is already fully offset by a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YRC Freight </w:t>
      </w:r>
      <w:r>
        <w:rPr>
          <w:rFonts w:ascii="Arial" w:cs="Arial" w:eastAsia="Arial" w:hAnsi="Arial"/>
          <w:sz w:val="18"/>
          <w:szCs w:val="18"/>
          <w:color w:val="auto"/>
        </w:rPr>
        <w:t>is the reporting segment for our transportation service providers focused on business opportunities in national,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services. YRC Freight provides for the movement of industrial, commercial and retail goods, primarily through centralized management and customer facing organizations. This unit includes our LTL subsidiary YRC Inc. and Reimer Express, a subsidiary located in Canada that specializes in shipments into, across and out of Canada. In addition to the United States and Canada, YRC Freight also serves parts of Mexico, Puerto Rico and Guam.</w:t>
      </w:r>
    </w:p>
    <w:p>
      <w:pPr>
        <w:spacing w:after="0" w:line="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Regional Transportation </w:t>
      </w:r>
      <w:r>
        <w:rPr>
          <w:rFonts w:ascii="Arial" w:cs="Arial" w:eastAsia="Arial" w:hAnsi="Arial"/>
          <w:sz w:val="18"/>
          <w:szCs w:val="18"/>
          <w:color w:val="auto"/>
        </w:rPr>
        <w:t>is the reporting segment for our transportation service providers focused on business opportunities in the regional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next-day delivery markets. The Regional Transportation companies each provide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regional, next-day ground services in their respective regions through a network of facilities located across the United States, Canada, Mexico and Puerto Rico.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YRC Freight represented 64% and 65% of our consolidated operating revenue for the second quarter and first half of 2013, respectively. The table below provides summary financial information for YRC Freight for the second quarter and first half of 2013 and 2012: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Second Quarter</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First Half</w:t>
            </w:r>
          </w:p>
        </w:tc>
        <w:tc>
          <w:tcPr>
            <w:tcW w:w="1200" w:type="dxa"/>
            <w:vAlign w:val="bottom"/>
            <w:tcBorders>
              <w:bottom w:val="single" w:sz="8" w:color="auto"/>
            </w:tcBorders>
          </w:tcPr>
          <w:p>
            <w:pPr>
              <w:spacing w:after="0"/>
              <w:rPr>
                <w:sz w:val="16"/>
                <w:szCs w:val="16"/>
                <w:color w:val="auto"/>
              </w:rPr>
            </w:pPr>
          </w:p>
        </w:tc>
      </w:tr>
      <w:tr>
        <w:trPr>
          <w:trHeight w:val="156"/>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Percent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ind w:left="380"/>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35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280" w:type="dxa"/>
            <w:vAlign w:val="bottom"/>
            <w:gridSpan w:val="2"/>
          </w:tcPr>
          <w:p>
            <w:pPr>
              <w:ind w:left="36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200" w:type="dxa"/>
            <w:vAlign w:val="bottom"/>
          </w:tcPr>
          <w:p>
            <w:pPr>
              <w:ind w:left="380"/>
              <w:spacing w:after="0"/>
              <w:rPr>
                <w:sz w:val="20"/>
                <w:szCs w:val="20"/>
                <w:color w:val="auto"/>
              </w:rPr>
            </w:pPr>
            <w:r>
              <w:rPr>
                <w:rFonts w:ascii="Arial" w:cs="Arial" w:eastAsia="Arial" w:hAnsi="Arial"/>
                <w:sz w:val="14"/>
                <w:szCs w:val="14"/>
                <w:color w:val="auto"/>
              </w:rPr>
              <w:t>Change</w:t>
            </w:r>
          </w:p>
        </w:tc>
      </w:tr>
      <w:tr>
        <w:trPr>
          <w:trHeight w:val="243"/>
        </w:trPr>
        <w:tc>
          <w:tcPr>
            <w:tcW w:w="3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821.1</w:t>
            </w:r>
          </w:p>
        </w:tc>
        <w:tc>
          <w:tcPr>
            <w:tcW w:w="120" w:type="dxa"/>
            <w:vAlign w:val="bottom"/>
          </w:tcPr>
          <w:p>
            <w:pPr>
              <w:spacing w:after="0"/>
              <w:rPr>
                <w:sz w:val="21"/>
                <w:szCs w:val="21"/>
                <w:color w:val="auto"/>
              </w:rPr>
            </w:pPr>
          </w:p>
        </w:tc>
        <w:tc>
          <w:tcPr>
            <w:tcW w:w="116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1,551.4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1,610.2</w:t>
            </w:r>
          </w:p>
        </w:tc>
        <w:tc>
          <w:tcPr>
            <w:tcW w:w="120" w:type="dxa"/>
            <w:vAlign w:val="bottom"/>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90.0%</w:t>
            </w:r>
          </w:p>
        </w:tc>
      </w:tr>
      <w:tr>
        <w:trPr>
          <w:trHeight w:val="229"/>
        </w:trPr>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1"/>
        </w:trPr>
        <w:tc>
          <w:tcPr>
            <w:tcW w:w="3500" w:type="dxa"/>
            <w:vAlign w:val="bottom"/>
          </w:tcPr>
          <w:p>
            <w:pPr>
              <w:ind w:left="40"/>
              <w:spacing w:after="0" w:line="251"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(0.5pp</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200" w:type="dxa"/>
            <w:vAlign w:val="bottom"/>
          </w:tcPr>
          <w:p>
            <w:pPr>
              <w:jc w:val="center"/>
              <w:ind w:left="597"/>
              <w:spacing w:after="0"/>
              <w:rPr>
                <w:sz w:val="20"/>
                <w:szCs w:val="20"/>
                <w:color w:val="auto"/>
              </w:rPr>
            </w:pPr>
            <w:r>
              <w:rPr>
                <w:rFonts w:ascii="Arial" w:cs="Arial" w:eastAsia="Arial" w:hAnsi="Arial"/>
                <w:sz w:val="18"/>
                <w:szCs w:val="18"/>
                <w:color w:val="auto"/>
                <w:w w:val="88"/>
              </w:rPr>
              <w:t>3.4pp</w:t>
            </w:r>
          </w:p>
        </w:tc>
      </w:tr>
    </w:tbl>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2013 Compared to the Second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$797.6 million in the second quarter of 2013, a decrease of $23.5 million or 2.9% compared to the same period in 2012. The table below summarizes the key revenue metrics for the YRC Freight reporting segment for the second quarter of 2013 compared to the second quarter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Percent Change</w:t>
            </w:r>
            <w:r>
              <w:rPr>
                <w:rFonts w:ascii="Arial" w:cs="Arial" w:eastAsia="Arial" w:hAnsi="Arial"/>
                <w:sz w:val="8"/>
                <w:szCs w:val="8"/>
                <w:b w:val="1"/>
                <w:bCs w:val="1"/>
                <w:color w:val="auto"/>
                <w:w w:val="95"/>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797.5</w:t>
            </w:r>
          </w:p>
        </w:tc>
        <w:tc>
          <w:tcPr>
            <w:tcW w:w="120" w:type="dxa"/>
            <w:vAlign w:val="bottom"/>
          </w:tcPr>
          <w:p>
            <w:pPr>
              <w:spacing w:after="0"/>
              <w:rPr>
                <w:sz w:val="23"/>
                <w:szCs w:val="23"/>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818.0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1,710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1,760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26.71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27.72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2,952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3,074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46.12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48.41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23.32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 per shipment</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1.2 %</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3"/>
              </w:rPr>
              <w:t>Second Quarter</w:t>
            </w:r>
          </w:p>
        </w:tc>
        <w:tc>
          <w:tcPr>
            <w:tcW w:w="8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2012</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4720" w:type="dxa"/>
            <w:vAlign w:val="bottom"/>
            <w:gridSpan w:val="2"/>
          </w:tcPr>
          <w:p>
            <w:pPr>
              <w:jc w:val="right"/>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-208915</wp:posOffset>
            </wp:positionV>
            <wp:extent cx="1689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decreases in the volume metrics above were primarily driven by customer mix management and the transition to our new optimized network while the increases in yield were a result of a more disciplined pricing environment.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for YRC Freight was $8.5 million in the second quarter of 2013 compared to $5.1 million in the same period in 2012. Operating revenue in the second quarter of 2013 was lower by $23.5 million while total costs decreased by $20.1 million. The cost decreases consisted primarily of a $14.3 million reduction in salary, wages and employees' benefits, a $5.1 million decrease in other operating expenses, and a $4.7 million decrease in operating expenses and supplies. Gains on property sales of $6.3</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million in 2012 compared to losses of $1.0 million in 2013 and the impact of the network optimization totaling $6.3 million partially offset the decrease in total operating expenses.</w:t>
      </w:r>
    </w:p>
    <w:p>
      <w:pPr>
        <w:spacing w:after="0" w:line="170" w:lineRule="exact"/>
        <w:rPr>
          <w:sz w:val="20"/>
          <w:szCs w:val="20"/>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$14.3 million decrease in salary, wages and employees' benefits in the second quarter of 2013 was primarily the result of a $5.1 million reduction in benefits driven by lower expense on our single-employer pension plan, a $3.5 million reduction in workers' compensation expense driven by safety initiatives and settlement activity that has reduced our outstanding claims and a $3.5 million decrease in wages driven by fewer shipments.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$5.1 million decrease in other operating expenses in the second quarter of 2013 was primarily driven by an $3.1 million decrease in our bodily injury and property damage expense due to our settlement initiatives and a $1.7 million decrease in cargo claims driven by favorable claim development compared to the second quarter of 2012.</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$4.7 million decrease in operating expenses and supplies in the second quarter of 2013 was primarily driven by lower fuel expenses of $4.6 million and a $1.4 million decrease in vehicle maintenance expenses. The decrease in fuel expenses and vehicle maintenance expenses is primarily a function of fewer miles driven.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2013 Compared to the First Half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$1,551.4 million in the first half of 2013, a decrease of $58.8 million or 3.7% compared to the same period in 2012. The table below summarizes the key revenue metrics for the YRC Freight reporting segment for the first half of 2013 compared to the first half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First Half</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1,554.4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1,610.8</w:t>
            </w:r>
          </w:p>
        </w:tc>
        <w:tc>
          <w:tcPr>
            <w:tcW w:w="12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 per shipment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79"/>
              </w:rPr>
              <w:t>266</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2.3 %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0.5 %</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First Half</w:t>
            </w:r>
          </w:p>
        </w:tc>
        <w:tc>
          <w:tcPr>
            <w:tcW w:w="9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5300" w:type="dxa"/>
            <w:vAlign w:val="bottom"/>
            <w:gridSpan w:val="5"/>
          </w:tcPr>
          <w:p>
            <w:pPr>
              <w:jc w:val="right"/>
              <w:ind w:right="580"/>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1,610.8</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20" w:hanging="202"/>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decreases in the volume metrics above were primarily driven by customer mix management and the transition to our new optimized network while the increases in yield were a result of a more disciplined pricing environment.</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Operating loss for YRC Freight was $6.1 million in the first half of 2013 compared to $61.2 million in the same period in 2012. Operating revenue in the first half of 2013 was lower by $58.8 million while total costs decreased by $113.9 million. The cost decreases consisted primarily of a $46.6 million reduction in salary, wages and employees' benefits, a $30.3 million decrease in operating expenses and supplies and a $21.6 million decrease in other operating expenses. Gains on property sales of $3.5 million in 2013 compared to losses of $1.7 million in 2012 also contributed to the favorable variance to the prior year. The second quarter 2013 network optimization costs totaling $6.3 million partially offset the decrease in total operating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left="660" w:hanging="328"/>
        <w:spacing w:after="0" w:line="28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$46.6 million decrease in salary, wages and employees' benefits in the first half of 2013 was primarily the result of a $16.5 million reduction in workers' compensation expense driven by safety initiatives and settlement activity that has reduced our outstanding claims, a $14.7 million decrease in wages driven by fewer shipments and a $10.9 million reduction in benefits driven by lower expense on our single-employer pension plan.</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$30.3 million decrease in operating expenses and supplies in the first half of 2013 was primarily driven by lower fuel expenses of $13.7 million and a $4.3 million decrease in vehicle maintenance expenses. The decrease in fuel expenses and vehicle maintenance expenses is primarily a function of fewer miles driven. Our operating expenses and supplies in the first half of 2012 were unfavorably impacted by a $7.0 million increase to our legal reserves related to our estimated losses for legal claims from prior years.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$21.6 million decrease in other operating expenses in the first half of 2013 was primarily driven by an $14.9 million decrease in our bodily injury and property damage expense due to our settlement initiatives and a $5.8 million decrease in cargo claims driven by favorable claim development compared to the first half of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Regional Transportation represented 36% and 35% of consolidated revenue in the second quarter and first half of 2013, respectively. The table below provides summary financial information for Regional Transportation for the second quarter and first half of 2013 and 2012:</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Second Quarter</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First Half</w:t>
            </w:r>
          </w:p>
        </w:tc>
        <w:tc>
          <w:tcPr>
            <w:tcW w:w="1260" w:type="dxa"/>
            <w:vAlign w:val="bottom"/>
            <w:tcBorders>
              <w:bottom w:val="single" w:sz="8" w:color="auto"/>
            </w:tcBorders>
          </w:tcPr>
          <w:p>
            <w:pPr>
              <w:spacing w:after="0"/>
              <w:rPr>
                <w:sz w:val="16"/>
                <w:szCs w:val="16"/>
                <w:color w:val="auto"/>
              </w:rPr>
            </w:pPr>
          </w:p>
        </w:tc>
      </w:tr>
      <w:tr>
        <w:trPr>
          <w:trHeight w:val="156"/>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420"/>
              <w:spacing w:after="0" w:line="157" w:lineRule="exact"/>
              <w:rPr>
                <w:sz w:val="20"/>
                <w:szCs w:val="20"/>
                <w:color w:val="auto"/>
              </w:rPr>
            </w:pPr>
            <w:r>
              <w:rPr>
                <w:rFonts w:ascii="Arial" w:cs="Arial" w:eastAsia="Arial" w:hAnsi="Arial"/>
                <w:sz w:val="14"/>
                <w:szCs w:val="14"/>
                <w:color w:val="auto"/>
              </w:rPr>
              <w:t>Percent</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337"/>
              <w:spacing w:after="0" w:line="157" w:lineRule="exact"/>
              <w:rPr>
                <w:sz w:val="20"/>
                <w:szCs w:val="20"/>
                <w:color w:val="auto"/>
              </w:rPr>
            </w:pPr>
            <w:r>
              <w:rPr>
                <w:rFonts w:ascii="Arial" w:cs="Arial" w:eastAsia="Arial" w:hAnsi="Arial"/>
                <w:sz w:val="14"/>
                <w:szCs w:val="14"/>
                <w:color w:val="auto"/>
              </w:rPr>
              <w:t>Percent</w:t>
            </w:r>
          </w:p>
        </w:tc>
      </w:tr>
      <w:tr>
        <w:trPr>
          <w:trHeight w:val="188"/>
        </w:trPr>
        <w:tc>
          <w:tcPr>
            <w:tcW w:w="36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77"/>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1380" w:type="dxa"/>
            <w:vAlign w:val="bottom"/>
            <w:gridSpan w:val="2"/>
          </w:tcPr>
          <w:p>
            <w:pPr>
              <w:ind w:left="420"/>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7"/>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1260" w:type="dxa"/>
            <w:vAlign w:val="bottom"/>
          </w:tcPr>
          <w:p>
            <w:pPr>
              <w:jc w:val="right"/>
              <w:ind w:right="317"/>
              <w:spacing w:after="0"/>
              <w:rPr>
                <w:sz w:val="20"/>
                <w:szCs w:val="20"/>
                <w:color w:val="auto"/>
              </w:rPr>
            </w:pPr>
            <w:r>
              <w:rPr>
                <w:rFonts w:ascii="Arial" w:cs="Arial" w:eastAsia="Arial" w:hAnsi="Arial"/>
                <w:sz w:val="14"/>
                <w:szCs w:val="14"/>
                <w:color w:val="auto"/>
              </w:rPr>
              <w:t>Change</w:t>
            </w:r>
          </w:p>
        </w:tc>
      </w:tr>
      <w:tr>
        <w:trPr>
          <w:trHeight w:val="243"/>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1"/>
                <w:szCs w:val="21"/>
                <w:color w:val="auto"/>
              </w:rPr>
            </w:pPr>
          </w:p>
        </w:tc>
        <w:tc>
          <w:tcPr>
            <w:tcW w:w="12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1"/>
                <w:szCs w:val="21"/>
                <w:color w:val="auto"/>
              </w:rPr>
            </w:pPr>
          </w:p>
        </w:tc>
        <w:tc>
          <w:tcPr>
            <w:tcW w:w="1260" w:type="dxa"/>
            <w:vAlign w:val="bottom"/>
            <w:tcBorders>
              <w:top w:val="single" w:sz="8" w:color="auto"/>
            </w:tcBorders>
          </w:tcPr>
          <w:p>
            <w:pPr>
              <w:jc w:val="right"/>
              <w:ind w:right="417"/>
              <w:spacing w:after="0"/>
              <w:rPr>
                <w:sz w:val="20"/>
                <w:szCs w:val="20"/>
                <w:color w:val="auto"/>
              </w:rPr>
            </w:pPr>
            <w:r>
              <w:rPr>
                <w:rFonts w:ascii="Arial" w:cs="Arial" w:eastAsia="Arial" w:hAnsi="Arial"/>
                <w:sz w:val="18"/>
                <w:szCs w:val="18"/>
                <w:color w:val="auto"/>
              </w:rPr>
              <w:t>2.6%</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rPr>
              <w:t>8.1%</w:t>
            </w:r>
          </w:p>
        </w:tc>
      </w:tr>
      <w:tr>
        <w:trPr>
          <w:trHeight w:val="263"/>
        </w:trPr>
        <w:tc>
          <w:tcPr>
            <w:tcW w:w="3660" w:type="dxa"/>
            <w:vAlign w:val="bottom"/>
          </w:tcPr>
          <w:p>
            <w:pPr>
              <w:ind w:left="40"/>
              <w:spacing w:after="0" w:line="263" w:lineRule="exact"/>
              <w:rPr>
                <w:sz w:val="20"/>
                <w:szCs w:val="20"/>
                <w:color w:val="auto"/>
              </w:rPr>
            </w:pPr>
            <w:r>
              <w:rPr>
                <w:rFonts w:ascii="Arial" w:cs="Arial" w:eastAsia="Arial" w:hAnsi="Arial"/>
                <w:sz w:val="18"/>
                <w:szCs w:val="18"/>
                <w:color w:val="auto"/>
              </w:rPr>
              <w:t xml:space="preserve">Operating ratio </w:t>
            </w:r>
            <w:r>
              <w:rPr>
                <w:rFonts w:ascii="Arial" w:cs="Arial" w:eastAsia="Arial" w:hAnsi="Arial"/>
                <w:sz w:val="25"/>
                <w:szCs w:val="25"/>
                <w:color w:val="auto"/>
                <w:vertAlign w:val="superscript"/>
              </w:rPr>
              <w:t>(a)</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2"/>
                <w:szCs w:val="22"/>
                <w:color w:val="auto"/>
              </w:rPr>
            </w:pP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0.4 pp</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 pp</w:t>
            </w:r>
          </w:p>
        </w:tc>
      </w:tr>
    </w:tbl>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2013 Compared to the Second Quarter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$444.9 million for the second quarter of 2013, an increase of $15.1 million, or 3.5%, from the second quarter of 2012. The table below summarizes the key revenue metrics for the Regional Transportation reporting segment for the second quarter of 2013 compared to the second quarter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w w:val="95"/>
              </w:rPr>
              <w:t>Second Quarter</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Workdays</w:t>
            </w: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24"/>
        </w:trPr>
        <w:tc>
          <w:tcPr>
            <w:tcW w:w="3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70"/>
        </w:trPr>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445.1</w:t>
            </w:r>
          </w:p>
        </w:tc>
        <w:tc>
          <w:tcPr>
            <w:tcW w:w="120" w:type="dxa"/>
            <w:vAlign w:val="bottom"/>
          </w:tcPr>
          <w:p>
            <w:pPr>
              <w:spacing w:after="0"/>
              <w:rPr>
                <w:sz w:val="23"/>
                <w:szCs w:val="23"/>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429.8</w:t>
            </w:r>
          </w:p>
        </w:tc>
        <w:tc>
          <w:tcPr>
            <w:tcW w:w="120" w:type="dxa"/>
            <w:vAlign w:val="bottom"/>
          </w:tcPr>
          <w:p>
            <w:pPr>
              <w:spacing w:after="0"/>
              <w:rPr>
                <w:sz w:val="23"/>
                <w:szCs w:val="23"/>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3.6 %</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2.0 %</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Total tonnage per day (in thousands)</w:t>
            </w: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30.79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30.42</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1.2 %</w:t>
            </w:r>
          </w:p>
        </w:tc>
      </w:tr>
      <w:tr>
        <w:trPr>
          <w:trHeight w:val="27"/>
        </w:trPr>
        <w:tc>
          <w:tcPr>
            <w:tcW w:w="3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2,710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3.5 %</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Total shipments per day (in thousands)</w:t>
            </w: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42.35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41.25</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2.7 %</w:t>
            </w:r>
          </w:p>
        </w:tc>
      </w:tr>
      <w:tr>
        <w:trPr>
          <w:trHeight w:val="27"/>
        </w:trPr>
        <w:tc>
          <w:tcPr>
            <w:tcW w:w="3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w:t>
            </w:r>
          </w:p>
        </w:tc>
        <w:tc>
          <w:tcPr>
            <w:tcW w:w="16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1.5 %</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Total revenue per shipment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0.1 %</w:t>
            </w:r>
          </w:p>
        </w:tc>
      </w:tr>
      <w:tr>
        <w:trPr>
          <w:trHeight w:val="27"/>
        </w:trPr>
        <w:tc>
          <w:tcPr>
            <w:tcW w:w="3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r>
      <w:tr>
        <w:trPr>
          <w:trHeight w:val="675"/>
        </w:trPr>
        <w:tc>
          <w:tcPr>
            <w:tcW w:w="352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23495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tbl>
      <w:tblPr>
        <w:tblLayout w:type="fixed"/>
        <w:tblInd w:w="194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70"/>
        </w:trPr>
        <w:tc>
          <w:tcPr>
            <w:tcW w:w="4960" w:type="dxa"/>
            <w:vAlign w:val="bottom"/>
          </w:tcPr>
          <w:p>
            <w:pPr>
              <w:ind w:left="20"/>
              <w:spacing w:after="0" w:line="270" w:lineRule="exact"/>
              <w:rPr>
                <w:sz w:val="20"/>
                <w:szCs w:val="20"/>
                <w:color w:val="auto"/>
              </w:rPr>
            </w:pPr>
            <w:r>
              <w:rPr>
                <w:rFonts w:ascii="Arial" w:cs="Arial" w:eastAsia="Arial" w:hAnsi="Arial"/>
                <w:sz w:val="25"/>
                <w:szCs w:val="25"/>
                <w:color w:val="auto"/>
                <w:w w:val="94"/>
                <w:vertAlign w:val="superscript"/>
              </w:rPr>
              <w:t>(a)</w:t>
            </w:r>
            <w:r>
              <w:rPr>
                <w:rFonts w:ascii="Arial" w:cs="Arial" w:eastAsia="Arial" w:hAnsi="Arial"/>
                <w:sz w:val="18"/>
                <w:szCs w:val="18"/>
                <w:color w:val="auto"/>
                <w:w w:val="94"/>
              </w:rPr>
              <w:t>Reconciliation of operating revenue to total picked up revenue:</w:t>
            </w: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r>
    </w:tbl>
    <w:p>
      <w:pPr>
        <w:spacing w:after="0" w:line="8" w:lineRule="exact"/>
        <w:rPr>
          <w:sz w:val="20"/>
          <w:szCs w:val="20"/>
          <w:color w:val="auto"/>
        </w:rPr>
      </w:pPr>
    </w:p>
    <w:p>
      <w:pPr>
        <w:ind w:left="1020" w:hanging="202"/>
        <w:spacing w:after="0"/>
        <w:tabs>
          <w:tab w:leader="none" w:pos="10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increases in the volume metrics above were primarily driven by the slight improvement in the economic environment while the increases in yield were a result of a more disciplined pricing market.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for Regional Transportation was $25.2 million for the second quarter of 2013, an increase of $2.3 million from the same period in 2012, consisting of the $15.1 million increase in revenue offset by a $12.8 million increase in total costs. The increase in total costs was primarily driven by a $7.6 million increase in salary, wages and employees' benefits and a $5.3 million increase in operating expenses and supplies.</w:t>
      </w:r>
    </w:p>
    <w:p>
      <w:pPr>
        <w:spacing w:after="0" w:line="166"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$7.6 million increase in salary, wages and employees' benefits was primarily driven by a $6.6 million increase in wages driven by increased shipping volumes.</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$5.3 million increase in operating expenses and supplies was primarily driven by a $2.6 million increase in vehicle and facility maintenance expense primarily driven by increased shipping volumes.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2013 Compared to the First Half of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Regional Transportation reported operating revenue of $853.6 million for the first half of 2013, an increase of $21.8 million, or 2.6%, from the first half of 2012. The table below summarizes the key revenue metrics for the Regional Transportation reporting segment for the first half of 2013 compared to the first half of 2012:</w:t>
      </w:r>
    </w:p>
    <w:p>
      <w:pPr>
        <w:spacing w:after="0" w:line="200" w:lineRule="exact"/>
        <w:rPr>
          <w:sz w:val="20"/>
          <w:szCs w:val="20"/>
          <w:color w:val="auto"/>
        </w:rPr>
      </w:pPr>
    </w:p>
    <w:p>
      <w:pPr>
        <w:spacing w:after="0" w:line="202"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First Half</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264"/>
        </w:trPr>
        <w:tc>
          <w:tcPr>
            <w:tcW w:w="48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Workdays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126.5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24"/>
        </w:trPr>
        <w:tc>
          <w:tcPr>
            <w:tcW w:w="480" w:type="dxa"/>
            <w:vAlign w:val="bottom"/>
            <w:shd w:val="clear" w:color="auto" w:fill="CCEEFF"/>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44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Total picked up revenue (in millions) </w:t>
            </w:r>
            <w:r>
              <w:rPr>
                <w:rFonts w:ascii="Arial" w:cs="Arial" w:eastAsia="Arial" w:hAnsi="Arial"/>
                <w:sz w:val="25"/>
                <w:szCs w:val="25"/>
                <w:color w:val="auto"/>
                <w:vertAlign w:val="superscript"/>
              </w:rPr>
              <w:t>(a)</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854.1</w:t>
            </w:r>
          </w:p>
        </w:tc>
        <w:tc>
          <w:tcPr>
            <w:tcW w:w="120" w:type="dxa"/>
            <w:vAlign w:val="bottom"/>
          </w:tcPr>
          <w:p>
            <w:pPr>
              <w:spacing w:after="0"/>
              <w:rPr>
                <w:sz w:val="23"/>
                <w:szCs w:val="23"/>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831.8</w:t>
            </w:r>
          </w:p>
        </w:tc>
        <w:tc>
          <w:tcPr>
            <w:tcW w:w="12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2.7 %</w:t>
            </w: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3,802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tonnage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30.05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(in thousands)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5,190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shipments per day (in thousands)</w:t>
            </w:r>
          </w:p>
        </w:tc>
        <w:tc>
          <w:tcPr>
            <w:tcW w:w="7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8"/>
              </w:rPr>
              <w:t>41.03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39.97</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2.7 %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 per hundred weight</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1.9 %</w:t>
            </w: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Total revenue per shipment</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79"/>
              </w:rPr>
              <w:t>163</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0.8 %</w:t>
            </w:r>
          </w:p>
        </w:tc>
      </w:tr>
      <w:tr>
        <w:trPr>
          <w:trHeight w:val="27"/>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weight per shipment (in pounds)</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1,465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r>
      <w:tr>
        <w:trPr>
          <w:trHeight w:val="615"/>
        </w:trPr>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First Half</w:t>
            </w:r>
          </w:p>
        </w:tc>
        <w:tc>
          <w:tcPr>
            <w:tcW w:w="9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64"/>
        </w:trPr>
        <w:tc>
          <w:tcPr>
            <w:tcW w:w="480" w:type="dxa"/>
            <w:vAlign w:val="bottom"/>
          </w:tcPr>
          <w:p>
            <w:pPr>
              <w:spacing w:after="0"/>
              <w:rPr>
                <w:sz w:val="22"/>
                <w:szCs w:val="22"/>
                <w:color w:val="auto"/>
              </w:rPr>
            </w:pP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r>
      <w:tr>
        <w:trPr>
          <w:trHeight w:val="270"/>
        </w:trPr>
        <w:tc>
          <w:tcPr>
            <w:tcW w:w="480" w:type="dxa"/>
            <w:vAlign w:val="bottom"/>
          </w:tcPr>
          <w:p>
            <w:pPr>
              <w:spacing w:after="0"/>
              <w:rPr>
                <w:sz w:val="23"/>
                <w:szCs w:val="23"/>
                <w:color w:val="auto"/>
              </w:rPr>
            </w:pPr>
          </w:p>
        </w:tc>
        <w:tc>
          <w:tcPr>
            <w:tcW w:w="4720" w:type="dxa"/>
            <w:vAlign w:val="bottom"/>
            <w:gridSpan w:val="2"/>
          </w:tcPr>
          <w:p>
            <w:pPr>
              <w:jc w:val="right"/>
              <w:spacing w:after="0" w:line="270" w:lineRule="exact"/>
              <w:rPr>
                <w:sz w:val="20"/>
                <w:szCs w:val="20"/>
                <w:color w:val="auto"/>
              </w:rPr>
            </w:pPr>
            <w:r>
              <w:rPr>
                <w:rFonts w:ascii="Arial" w:cs="Arial" w:eastAsia="Arial" w:hAnsi="Arial"/>
                <w:sz w:val="25"/>
                <w:szCs w:val="25"/>
                <w:color w:val="auto"/>
                <w:w w:val="90"/>
                <w:vertAlign w:val="superscript"/>
              </w:rPr>
              <w:t>(a)</w:t>
            </w:r>
            <w:r>
              <w:rPr>
                <w:rFonts w:ascii="Arial" w:cs="Arial" w:eastAsia="Arial" w:hAnsi="Arial"/>
                <w:sz w:val="18"/>
                <w:szCs w:val="18"/>
                <w:color w:val="auto"/>
                <w:w w:val="90"/>
              </w:rPr>
              <w:t>Reconciliation of operating revenue to total picked up revenue:</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50"/>
        </w:trPr>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revenue</w:t>
            </w: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853.6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500" w:type="dxa"/>
            <w:vAlign w:val="bottom"/>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Change in revenue deferral and other</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57"/>
        </w:trPr>
        <w:tc>
          <w:tcPr>
            <w:tcW w:w="480" w:type="dxa"/>
            <w:vAlign w:val="bottom"/>
          </w:tcPr>
          <w:p>
            <w:pPr>
              <w:spacing w:after="0"/>
              <w:rPr>
                <w:sz w:val="22"/>
                <w:szCs w:val="22"/>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picked up revenue</w:t>
            </w: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854.1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500" w:type="dxa"/>
            <w:vAlign w:val="bottom"/>
          </w:tcPr>
          <w:p>
            <w:pPr>
              <w:spacing w:after="0"/>
              <w:rPr>
                <w:sz w:val="22"/>
                <w:szCs w:val="22"/>
                <w:color w:val="auto"/>
              </w:rPr>
            </w:pPr>
          </w:p>
        </w:tc>
      </w:tr>
    </w:tbl>
    <w:p>
      <w:pPr>
        <w:spacing w:after="0" w:line="8" w:lineRule="exact"/>
        <w:rPr>
          <w:sz w:val="20"/>
          <w:szCs w:val="20"/>
          <w:color w:val="auto"/>
        </w:rPr>
      </w:pPr>
    </w:p>
    <w:p>
      <w:pPr>
        <w:ind w:left="1020" w:hanging="202"/>
        <w:spacing w:after="0"/>
        <w:tabs>
          <w:tab w:leader="none" w:pos="10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Does not equal financial statement revenue due to revenue recognition adjustments between accounting periods.</w:t>
      </w:r>
    </w:p>
    <w:p>
      <w:pPr>
        <w:spacing w:after="0" w:line="13" w:lineRule="exact"/>
        <w:rPr>
          <w:rFonts w:ascii="Arial" w:cs="Arial" w:eastAsia="Arial" w:hAnsi="Arial"/>
          <w:sz w:val="14"/>
          <w:szCs w:val="14"/>
          <w:color w:val="auto"/>
        </w:rPr>
      </w:pPr>
    </w:p>
    <w:p>
      <w:pPr>
        <w:ind w:left="1000" w:hanging="182"/>
        <w:spacing w:after="0"/>
        <w:tabs>
          <w:tab w:leader="none" w:pos="1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 change is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-208915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increases in the volume metrics above were primarily driven by the slight improvement in the economic environment while the increases in yield were a result of a more disciplined pricing market.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for Regional Transportation was $37.2 million for the first half of 2013, an increase of $2.8 million from the same period in 2012, consisting of the $21.8 million increase in revenue offset by a $19.0 million increase in total costs. The increase in total costs was primarily driven by a $16.7 million increase in salary, wages and employees' benefits, and a $5.8 million increase in operating expenses and supplies.</w:t>
      </w:r>
    </w:p>
    <w:p>
      <w:pPr>
        <w:spacing w:after="0" w:line="166"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$16.7 million increase in salary, wages and employees' benefits was primarily driven by an $8.6 million increase in wages and a $3.4 million increase in benefits driven by increased shipping volumes.</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$5.8 million increase in operating expenses and supplies was primarily driven by a $2.4 million increase in vehicle and facility maintenance expense primarily driven by increased shipping volumes.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operating income (loss) to adjusted EBITDA for the second quarter and first half of 2013 and 2012 is as follows: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Arial" w:cs="Arial" w:eastAsia="Arial" w:hAnsi="Arial"/>
                <w:sz w:val="14"/>
                <w:szCs w:val="14"/>
                <w:color w:val="auto"/>
              </w:rPr>
              <w:t>Second Quarter</w:t>
            </w:r>
          </w:p>
        </w:tc>
        <w:tc>
          <w:tcPr>
            <w:tcW w:w="760" w:type="dxa"/>
            <w:vAlign w:val="bottom"/>
          </w:tcPr>
          <w:p>
            <w:pPr>
              <w:spacing w:after="0"/>
              <w:rPr>
                <w:sz w:val="16"/>
                <w:szCs w:val="16"/>
                <w:color w:val="auto"/>
              </w:rPr>
            </w:pPr>
          </w:p>
        </w:tc>
        <w:tc>
          <w:tcPr>
            <w:tcW w:w="1480" w:type="dxa"/>
            <w:vAlign w:val="bottom"/>
          </w:tcPr>
          <w:p>
            <w:pPr>
              <w:jc w:val="right"/>
              <w:ind w:right="748"/>
              <w:spacing w:after="0"/>
              <w:rPr>
                <w:sz w:val="20"/>
                <w:szCs w:val="20"/>
                <w:color w:val="auto"/>
              </w:rPr>
            </w:pPr>
            <w:r>
              <w:rPr>
                <w:rFonts w:ascii="Arial" w:cs="Arial" w:eastAsia="Arial" w:hAnsi="Arial"/>
                <w:sz w:val="14"/>
                <w:szCs w:val="14"/>
                <w:color w:val="auto"/>
              </w:rPr>
              <w:t>First Half</w:t>
            </w:r>
          </w:p>
        </w:tc>
      </w:tr>
      <w:tr>
        <w:trPr>
          <w:trHeight w:val="258"/>
        </w:trPr>
        <w:tc>
          <w:tcPr>
            <w:tcW w:w="6080" w:type="dxa"/>
            <w:vAlign w:val="bottom"/>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5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c>
          <w:tcPr>
            <w:tcW w:w="14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791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0"/>
              <w:spacing w:after="0"/>
              <w:rPr>
                <w:sz w:val="20"/>
                <w:szCs w:val="20"/>
                <w:color w:val="auto"/>
              </w:rPr>
            </w:pPr>
            <w:r>
              <w:rPr>
                <w:rFonts w:ascii="Arial" w:cs="Arial" w:eastAsia="Arial" w:hAnsi="Arial"/>
                <w:sz w:val="18"/>
                <w:szCs w:val="18"/>
                <w:color w:val="auto"/>
              </w:rPr>
              <w:t>Reconciliation of operating income (loss) to adjusted EBITDA:</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Permitted dispositions and other</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Other nonoperating, net</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35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Free Cash Flow (Deficit)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adjusted EBITDA to adjusted free cash flow (deficit) for the second quarter of 2013 and 2012 including the reconciliation to free cash flow (deficit) is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420"/>
              <w:spacing w:after="0"/>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First Half</w:t>
            </w:r>
          </w:p>
        </w:tc>
        <w:tc>
          <w:tcPr>
            <w:tcW w:w="760" w:type="dxa"/>
            <w:vAlign w:val="bottom"/>
          </w:tcPr>
          <w:p>
            <w:pPr>
              <w:spacing w:after="0"/>
              <w:rPr>
                <w:sz w:val="16"/>
                <w:szCs w:val="16"/>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color w:val="auto"/>
              </w:rPr>
              <w:t>2012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85.4</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letter of credit fees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Working Capital cash flows excluding income tax,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Cash (paid) received for income taxes, net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restructuring professional fees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Adjusted Free Cash Flow (Deficit)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2915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291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second quarter and first half of 2013 and 2012: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420"/>
              <w:spacing w:after="0"/>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First Half</w:t>
            </w:r>
          </w:p>
        </w:tc>
        <w:tc>
          <w:tcPr>
            <w:tcW w:w="760" w:type="dxa"/>
            <w:vAlign w:val="bottom"/>
          </w:tcPr>
          <w:p>
            <w:pPr>
              <w:spacing w:after="0"/>
              <w:rPr>
                <w:sz w:val="16"/>
                <w:szCs w:val="16"/>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color w:val="auto"/>
              </w:rPr>
              <w:t>2013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color w:val="auto"/>
              </w:rPr>
              <w:t>2012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Adjusted EBITDA by segment:</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YRC Freight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Regional Transportation</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69.8</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85.4</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second quarter and first half of 2013 and 2012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420"/>
              <w:spacing w:after="0"/>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First Half</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YRC Freight segment (in millions)</w:t>
            </w:r>
          </w:p>
        </w:tc>
        <w:tc>
          <w:tcPr>
            <w:tcW w:w="13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5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Letter of credit expense</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1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3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49"/>
        </w:trPr>
        <w:tc>
          <w:tcPr>
            <w:tcW w:w="1020" w:type="dxa"/>
            <w:vAlign w:val="bottom"/>
            <w:tcBorders>
              <w:top w:val="single" w:sz="8" w:color="0000FF"/>
            </w:tcBorders>
          </w:tcPr>
          <w:p>
            <w:pPr>
              <w:spacing w:after="0"/>
              <w:rPr>
                <w:sz w:val="24"/>
                <w:szCs w:val="24"/>
                <w:color w:val="auto"/>
              </w:rPr>
            </w:pPr>
          </w:p>
        </w:tc>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5"/>
          </w:tcPr>
          <w:p>
            <w:pPr>
              <w:ind w:left="420"/>
              <w:spacing w:after="0"/>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First Half</w:t>
            </w:r>
          </w:p>
        </w:tc>
        <w:tc>
          <w:tcPr>
            <w:tcW w:w="760" w:type="dxa"/>
            <w:vAlign w:val="bottom"/>
          </w:tcPr>
          <w:p>
            <w:pPr>
              <w:spacing w:after="0"/>
              <w:rPr>
                <w:sz w:val="24"/>
                <w:szCs w:val="24"/>
                <w:color w:val="auto"/>
              </w:rPr>
            </w:pPr>
          </w:p>
        </w:tc>
      </w:tr>
      <w:tr>
        <w:trPr>
          <w:trHeight w:val="264"/>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Regional Transportation segment (in millions)</w:t>
            </w: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color w:val="auto"/>
              </w:rPr>
              <w:t>2012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31.8</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property disposals, net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nonoperating expenses,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69.8</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69"/>
        </w:trPr>
        <w:tc>
          <w:tcPr>
            <w:tcW w:w="10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5"/>
          </w:tcPr>
          <w:p>
            <w:pPr>
              <w:ind w:left="420"/>
              <w:spacing w:after="0"/>
              <w:rPr>
                <w:sz w:val="20"/>
                <w:szCs w:val="20"/>
                <w:color w:val="auto"/>
              </w:rPr>
            </w:pPr>
            <w:r>
              <w:rPr>
                <w:rFonts w:ascii="Arial" w:cs="Arial" w:eastAsia="Arial" w:hAnsi="Arial"/>
                <w:sz w:val="14"/>
                <w:szCs w:val="14"/>
                <w:color w:val="auto"/>
              </w:rPr>
              <w:t>Second Quarter</w:t>
            </w:r>
          </w:p>
        </w:tc>
        <w:tc>
          <w:tcPr>
            <w:tcW w:w="26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First Half</w:t>
            </w:r>
          </w:p>
        </w:tc>
        <w:tc>
          <w:tcPr>
            <w:tcW w:w="760" w:type="dxa"/>
            <w:vAlign w:val="bottom"/>
          </w:tcPr>
          <w:p>
            <w:pPr>
              <w:spacing w:after="0"/>
              <w:rPr>
                <w:sz w:val="24"/>
                <w:szCs w:val="24"/>
                <w:color w:val="auto"/>
              </w:rPr>
            </w:pPr>
          </w:p>
        </w:tc>
      </w:tr>
      <w:tr>
        <w:trPr>
          <w:trHeight w:val="264"/>
        </w:trPr>
        <w:tc>
          <w:tcPr>
            <w:tcW w:w="6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Corporate and other segment (in millions)</w:t>
            </w: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color w:val="auto"/>
              </w:rPr>
              <w:t>2013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color w:val="auto"/>
              </w:rPr>
              <w:t>2012</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Letter of credit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Restructuring 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Permitted dispositions and other</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10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Other nonoperating income, net</w:t>
            </w: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7"/>
        </w:trPr>
        <w:tc>
          <w:tcPr>
            <w:tcW w:w="10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Condition/Liquidity and Capital Resources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and cash equivalents, available borrowings under our $400.0 million ABL facility and any prospective net operating cash flows from our operations. As of June 30, 2013, we had cash and cash equivalents and availability under the ABL facility totaling $218.7 million and the borrowing base under our ABL facility was $378.9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uses of cash are to fund our operations, including making contributions to our single-employer pension plans and the multi-employer pension funds, and to meet our other cash obligations, including paying cash interest and principal on our funded debt, letter of credit fees under our credit facilities and funding capital expenditures. For the first half of 2013, our cash flow from operating activities used net cash of $18.2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considerable amount of indebtedness, a substantial portion of which will mature in late 2014 or early 2015. As of June 30, 2013, we had $1,366.2 million in aggregate principal amount of outstanding indebtedness, which will increase over time as a portion of our debt accrues paid-in-kind interest. We intend to restructure or refinance the portions of our debt that are scheduled to mature in September of 2014 and March of 2015. The refinancing of these debt obligations is outside of our control and there can be no assurance that such transaction will occur, or if it does occur, on what terms. Our Standard &amp; Poor's credit rating as of June 30, 2013 was "CCC".</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considerable future funding obligations for our single-employer pension plans and the multi-employer pension funds. We expect our funding obligations for the remainder of the year for our single-employer pension plans and multi-employer pension funds will be $36.6 million and $43.0 million, respectively. In addition, we have, and will continue to have, substantial operating lease obligations. As of June 30, 2013, our minimum rental expense under operating leases for the remainder of the year is $27.6 million. As of June 30, 2013, our operating lease obligations through 2025 totaled $153.4 million and is expected to increase as we lease additional revenue equipment.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for the first half of 2013 and 2012 were $39.1 million and $30.7 million, respectively. These amounts were principally used to fund replacement engines and trailer refurbishments for our revenue fleet, capitalized costs for our network facilities and technology infrastructure. In light of our liquidity needs, we have deferred certain capital expenditures and expect to continue to do so for the foreseeable future. We plan to procure substantially all of our new revenue equipment using operating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leases for the remainder of 2013. As a result, the average age of our fleet is increasing, which may affect our maintenance costs and operational efficiency unless we are able to obtain suitable lease financing to meet our replacement equipment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amended and restated credit agreement has certain covenants that require us to maintain a minimum Consolidated EBITDA, a maximum Total Leverage Ratio and a minimum Interest Coverage Ratio (as defined in the amended and restated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covenants for each of the remaining test periods are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00" w:type="dxa"/>
            <w:vAlign w:val="bottom"/>
            <w:gridSpan w:val="2"/>
          </w:tcPr>
          <w:p>
            <w:pPr>
              <w:jc w:val="center"/>
              <w:ind w:left="1134"/>
              <w:spacing w:after="0"/>
              <w:rPr>
                <w:sz w:val="20"/>
                <w:szCs w:val="20"/>
                <w:color w:val="auto"/>
              </w:rPr>
            </w:pPr>
            <w:r>
              <w:rPr>
                <w:rFonts w:ascii="Arial" w:cs="Arial" w:eastAsia="Arial" w:hAnsi="Arial"/>
                <w:sz w:val="14"/>
                <w:szCs w:val="14"/>
                <w:color w:val="auto"/>
                <w:w w:val="96"/>
              </w:rPr>
              <w:t>Minimum Consolidated</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Maximum Total</w:t>
            </w:r>
          </w:p>
        </w:tc>
        <w:tc>
          <w:tcPr>
            <w:tcW w:w="1940" w:type="dxa"/>
            <w:vAlign w:val="bottom"/>
          </w:tcPr>
          <w:p>
            <w:pPr>
              <w:jc w:val="center"/>
              <w:spacing w:after="0"/>
              <w:rPr>
                <w:sz w:val="20"/>
                <w:szCs w:val="20"/>
                <w:color w:val="auto"/>
              </w:rPr>
            </w:pPr>
            <w:r>
              <w:rPr>
                <w:rFonts w:ascii="Arial" w:cs="Arial" w:eastAsia="Arial" w:hAnsi="Arial"/>
                <w:sz w:val="14"/>
                <w:szCs w:val="14"/>
                <w:color w:val="auto"/>
                <w:w w:val="96"/>
              </w:rPr>
              <w:t>Minimum Interest</w:t>
            </w:r>
          </w:p>
        </w:tc>
      </w:tr>
      <w:tr>
        <w:trPr>
          <w:trHeight w:val="18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Four Consecutive Fiscal Quarters Ending</w:t>
            </w:r>
          </w:p>
        </w:tc>
        <w:tc>
          <w:tcPr>
            <w:tcW w:w="3280" w:type="dxa"/>
            <w:vAlign w:val="bottom"/>
            <w:tcBorders>
              <w:bottom w:val="single" w:sz="8" w:color="auto"/>
            </w:tcBorders>
          </w:tcPr>
          <w:p>
            <w:pPr>
              <w:jc w:val="center"/>
              <w:ind w:left="1274"/>
              <w:spacing w:after="0"/>
              <w:rPr>
                <w:sz w:val="20"/>
                <w:szCs w:val="20"/>
                <w:color w:val="auto"/>
              </w:rPr>
            </w:pPr>
            <w:r>
              <w:rPr>
                <w:rFonts w:ascii="Arial" w:cs="Arial" w:eastAsia="Arial" w:hAnsi="Arial"/>
                <w:sz w:val="14"/>
                <w:szCs w:val="14"/>
                <w:color w:val="auto"/>
              </w:rPr>
              <w:t>EBITDA</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Leverage Ratio</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Coverage Ratio</w:t>
            </w: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$235,000,000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6.5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1.45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September 30, 2013</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$260,000,000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6.0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1.60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$275,000,000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5.7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1.65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March 31,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$300,000,000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5.1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1.80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2014</w:t>
            </w:r>
          </w:p>
        </w:tc>
        <w:tc>
          <w:tcPr>
            <w:tcW w:w="3280" w:type="dxa"/>
            <w:vAlign w:val="bottom"/>
            <w:tcBorders>
              <w:bottom w:val="single" w:sz="8" w:color="CCEEFF"/>
            </w:tcBorders>
            <w:shd w:val="clear" w:color="auto" w:fill="CCEEFF"/>
          </w:tcPr>
          <w:p>
            <w:pPr>
              <w:jc w:val="center"/>
              <w:ind w:left="1274"/>
              <w:spacing w:after="0"/>
              <w:rPr>
                <w:sz w:val="20"/>
                <w:szCs w:val="20"/>
                <w:color w:val="auto"/>
              </w:rPr>
            </w:pPr>
            <w:r>
              <w:rPr>
                <w:rFonts w:ascii="Arial" w:cs="Arial" w:eastAsia="Arial" w:hAnsi="Arial"/>
                <w:sz w:val="18"/>
                <w:szCs w:val="18"/>
                <w:color w:val="auto"/>
                <w:w w:val="90"/>
              </w:rPr>
              <w:t>$325,000,000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4.8 to 1.00</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1.90 to 1.00</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September 30, 2014</w:t>
            </w:r>
          </w:p>
        </w:tc>
        <w:tc>
          <w:tcPr>
            <w:tcW w:w="3280" w:type="dxa"/>
            <w:vAlign w:val="bottom"/>
          </w:tcPr>
          <w:p>
            <w:pPr>
              <w:jc w:val="center"/>
              <w:ind w:left="1274"/>
              <w:spacing w:after="0"/>
              <w:rPr>
                <w:sz w:val="20"/>
                <w:szCs w:val="20"/>
                <w:color w:val="auto"/>
              </w:rPr>
            </w:pPr>
            <w:r>
              <w:rPr>
                <w:rFonts w:ascii="Arial" w:cs="Arial" w:eastAsia="Arial" w:hAnsi="Arial"/>
                <w:sz w:val="18"/>
                <w:szCs w:val="18"/>
                <w:color w:val="auto"/>
                <w:w w:val="90"/>
              </w:rPr>
              <w:t>$355,000,000</w:t>
            </w:r>
          </w:p>
        </w:tc>
        <w:tc>
          <w:tcPr>
            <w:tcW w:w="120" w:type="dxa"/>
            <w:vAlign w:val="bottom"/>
          </w:tcPr>
          <w:p>
            <w:pPr>
              <w:spacing w:after="0"/>
              <w:rPr>
                <w:sz w:val="21"/>
                <w:szCs w:val="21"/>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4.6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2.10 to 1.00</w:t>
            </w:r>
          </w:p>
        </w:tc>
      </w:tr>
      <w:tr>
        <w:trPr>
          <w:trHeight w:val="27"/>
        </w:trPr>
        <w:tc>
          <w:tcPr>
            <w:tcW w:w="4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280" w:type="dxa"/>
            <w:vAlign w:val="bottom"/>
            <w:shd w:val="clear" w:color="auto" w:fill="CCEEFF"/>
          </w:tcPr>
          <w:p>
            <w:pPr>
              <w:jc w:val="center"/>
              <w:ind w:left="1274"/>
              <w:spacing w:after="0"/>
              <w:rPr>
                <w:sz w:val="20"/>
                <w:szCs w:val="20"/>
                <w:color w:val="auto"/>
              </w:rPr>
            </w:pPr>
            <w:r>
              <w:rPr>
                <w:rFonts w:ascii="Arial" w:cs="Arial" w:eastAsia="Arial" w:hAnsi="Arial"/>
                <w:sz w:val="18"/>
                <w:szCs w:val="18"/>
                <w:color w:val="auto"/>
                <w:w w:val="90"/>
              </w:rPr>
              <w:t>$365,000,000</w:t>
            </w:r>
          </w:p>
        </w:tc>
        <w:tc>
          <w:tcPr>
            <w:tcW w:w="1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4.4 to 1.00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 to 1.00</w:t>
            </w:r>
          </w:p>
        </w:tc>
      </w:tr>
      <w:tr>
        <w:trPr>
          <w:trHeight w:val="27"/>
        </w:trPr>
        <w:tc>
          <w:tcPr>
            <w:tcW w:w="40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Minimum Consolidated EBITDA, as defined in our credit facilities, is a non-GAAP measure that reflects our earnings before interest, taxes, depreciation, and amortization expense, and further adjusted for letter of credit fees, equity-based compensation expense, net gains or losses on property disposals and certain other items, including restructuring professional fees and results of permitted dispositions and discontinued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required to maintain a minimum cash balance (as defined in our credit facilities) of at least $50.0 million. This requirement increases starting in August of 2013 and, by November 2013, the minimum cash balance requirement is $119.4 million. This increase is required to ensure we have sufficient liquidity to pay the outstanding balance of our 6% convertible senior notes, which mature in February of 2014. We were in compliance with each of these covenants as of June 30, 2013.</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our minimum cash balance covenant represents our highest risk of default over the next twelve months. If our future operating results indicate that we will not meet our minimum cash balance covenant, we will take actions to improve our liquidity, which include (without limitation) repatriating cash from foreign sources, receiving cash proceeds from the issuance of equity, deferring the timing of our capital expenditures and our discretionary workers' compensation settlement payments. We believe that these actions, if deemed necessary, will allow us to meet any shortfall in our minimum cash balance.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we fail to meet this or any other financial covenant, we would be considered in default under our credit facilities, which would enable lenders thereunder to accelerate the repayment of amounts outstanding and exercise remedies with respect to collateral and we would need to seek an amendment or waiver from our lenders. In the event that our lenders under our credit facilities demand payment, we will not have sufficient cash to repay such indebtedness. In addition, a default under our credit facilities or the lenders exercising their remedies thereunder would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 regard.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cash equivalents, results of operations and availability under our credit facilities will be sufficient for us to comply with the covenants in our credit facilities, fund our operations, increase working capital as necessary to support our planned revenue growth and fund capital expenditures for the foreseeable future, including the next twelve months. Our ability to satisfy our liquidity needs beyond the next twelve months is dependent on a number of factors, some of which are outside of our control. These factors include:</w:t>
      </w:r>
    </w:p>
    <w:p>
      <w:pPr>
        <w:spacing w:after="0" w:line="1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restructuring or refinancing our debt obligations prior to scheduled maturities in 2014 and 2015;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achieve improvements in our operating results which rely upon pricing and shipping volumes;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comply with covenants and other terms of our credit facilities so as to have access to the borrowings available to us under such credit facilities;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securing suitable lease financing arrangements to replace revenue equipment;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continuing to implement and realize cost saving measures to match our costs with business levels and in a manner that does not harm operations, and our productivity and efficiency initiatives must be successful; and</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generating operating cash flows that are sufficient to meet the minimum cash balance requirement under our credit facilities, cash requirements for pension contributions to our single-employer pension plans and our multi-employer pension funds, cash interest and principal payments on our funded debt, payments on our equipment leases, letter of credit fees under our credit facilities and for capital expenditures or additional lease payments for new revenue equipment.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$18.2 million in the first half of 2013 compared to $16.6 million in the first half of 2012. This increase in cash utilization is primarily attributable to an unfavorable working capital changes in accounts receivable, partially offset by a $64.6 million year-over-year reduction in net losses. The unfavorable working capital change in accounts receivable was driven by increases in our days sales outstanding due to a change in customer mix.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Investing cash flows decreased by $26.4 million during the first half of 2013 compared to the same period in 2012, largely driven by a reduction in proceeds from asset sales in 2013 compared to 2012. The $8.4 million increase in the acquisition of property and equipment is related to the additions of replacement engines and trailer refurbishments as well as capitalized costs for our network facilities and technology infrastructure.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first half of 2013 was $4.3 million compared to net cash provided by financing activities of $26.8 million in the first half of 2012. The use of cash during the first half of 2013 was driven by $4.6 million of repayments on our long-term debt. During the first half of 2012, we increased our net borrowings under our ABL facility by $45.0 million, which was partially offset by $13.1 million of repayments on other long-term debt from asset sale proceeds and $5.1 million in debt issuance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June 30,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June 30,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color w:val="auto"/>
              </w:rPr>
              <w:t>Payments Due by Period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64"/>
        </w:trPr>
        <w:tc>
          <w:tcPr>
            <w:tcW w:w="37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4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color w:val="auto"/>
              </w:rPr>
              <w:t>1-3 years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20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color w:val="auto"/>
              </w:rPr>
              <w:t>After 5 years</w:t>
            </w:r>
          </w:p>
        </w:tc>
        <w:tc>
          <w:tcPr>
            <w:tcW w:w="320" w:type="dxa"/>
            <w:vAlign w:val="bottom"/>
          </w:tcPr>
          <w:p>
            <w:pPr>
              <w:spacing w:after="0"/>
              <w:rPr>
                <w:sz w:val="22"/>
                <w:szCs w:val="22"/>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22"/>
                <w:szCs w:val="22"/>
                <w:color w:val="auto"/>
              </w:rPr>
            </w:pPr>
          </w:p>
        </w:tc>
      </w:tr>
      <w:tr>
        <w:trPr>
          <w:trHeight w:val="270"/>
        </w:trPr>
        <w:tc>
          <w:tcPr>
            <w:tcW w:w="37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Balance sheet obligations:</w:t>
            </w:r>
            <w:r>
              <w:rPr>
                <w:rFonts w:ascii="Arial" w:cs="Arial" w:eastAsia="Arial" w:hAnsi="Arial"/>
                <w:sz w:val="25"/>
                <w:szCs w:val="25"/>
                <w:color w:val="auto"/>
                <w:vertAlign w:val="superscript"/>
              </w:rPr>
              <w:t>(a)</w:t>
            </w:r>
          </w:p>
        </w:tc>
        <w:tc>
          <w:tcPr>
            <w:tcW w:w="1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ABL borrowings, including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384.5</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including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Lease financing obligations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285.2</w:t>
            </w:r>
          </w:p>
        </w:tc>
        <w:tc>
          <w:tcPr>
            <w:tcW w:w="38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3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Multi-employer pension deferral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including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80" w:type="dxa"/>
            <w:vAlign w:val="bottom"/>
            <w:tcBorders>
              <w:bottom w:val="single" w:sz="8" w:color="CCEEFF"/>
            </w:tcBorders>
            <w:shd w:val="clear" w:color="auto" w:fill="CCEEFF"/>
          </w:tcPr>
          <w:p>
            <w:pPr>
              <w:spacing w:after="0"/>
              <w:rPr>
                <w:sz w:val="20"/>
                <w:szCs w:val="20"/>
                <w:color w:val="auto"/>
              </w:rPr>
            </w:pPr>
          </w:p>
        </w:tc>
      </w:tr>
      <w:tr>
        <w:trPr>
          <w:trHeight w:val="229"/>
        </w:trPr>
        <w:tc>
          <w:tcPr>
            <w:tcW w:w="3740" w:type="dxa"/>
            <w:vAlign w:val="bottom"/>
          </w:tcPr>
          <w:p>
            <w:pPr>
              <w:ind w:left="380"/>
              <w:spacing w:after="0"/>
              <w:rPr>
                <w:sz w:val="20"/>
                <w:szCs w:val="20"/>
                <w:color w:val="auto"/>
              </w:rPr>
            </w:pPr>
            <w:r>
              <w:rPr>
                <w:rFonts w:ascii="Arial" w:cs="Arial" w:eastAsia="Arial" w:hAnsi="Arial"/>
                <w:sz w:val="18"/>
                <w:szCs w:val="18"/>
                <w:color w:val="auto"/>
                <w:w w:val="90"/>
              </w:rPr>
              <w:t>Workers’ compensation, property damage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0"/>
        </w:trPr>
        <w:tc>
          <w:tcPr>
            <w:tcW w:w="3740" w:type="dxa"/>
            <w:vAlign w:val="bottom"/>
          </w:tcPr>
          <w:p>
            <w:pPr>
              <w:ind w:left="380"/>
              <w:spacing w:after="0"/>
              <w:rPr>
                <w:sz w:val="20"/>
                <w:szCs w:val="20"/>
                <w:color w:val="auto"/>
              </w:rPr>
            </w:pPr>
            <w:r>
              <w:rPr>
                <w:rFonts w:ascii="Arial" w:cs="Arial" w:eastAsia="Arial" w:hAnsi="Arial"/>
                <w:sz w:val="18"/>
                <w:szCs w:val="18"/>
                <w:color w:val="auto"/>
              </w:rPr>
              <w:t>liability claims obligations</w:t>
            </w:r>
          </w:p>
        </w:tc>
        <w:tc>
          <w:tcPr>
            <w:tcW w:w="1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423.2</w:t>
            </w:r>
          </w:p>
        </w:tc>
        <w:tc>
          <w:tcPr>
            <w:tcW w:w="380" w:type="dxa"/>
            <w:vAlign w:val="bottom"/>
          </w:tcPr>
          <w:p>
            <w:pPr>
              <w:ind w:left="80"/>
              <w:spacing w:after="0"/>
              <w:rPr>
                <w:sz w:val="20"/>
                <w:szCs w:val="20"/>
                <w:color w:val="auto"/>
              </w:rPr>
            </w:pPr>
            <w:r>
              <w:rPr>
                <w:rFonts w:ascii="Arial" w:cs="Arial" w:eastAsia="Arial" w:hAnsi="Arial"/>
                <w:sz w:val="13"/>
                <w:szCs w:val="13"/>
                <w:color w:val="auto"/>
              </w:rPr>
              <w:t>(c)</w:t>
            </w: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 balance sheet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153.4</w:t>
            </w:r>
          </w:p>
        </w:tc>
        <w:tc>
          <w:tcPr>
            <w:tcW w:w="38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fees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w:t>
            </w:r>
          </w:p>
        </w:tc>
      </w:tr>
      <w:tr>
        <w:trPr>
          <w:trHeight w:val="243"/>
        </w:trPr>
        <w:tc>
          <w:tcPr>
            <w:tcW w:w="37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2,168.3</w:t>
            </w:r>
          </w:p>
        </w:tc>
        <w:tc>
          <w:tcPr>
            <w:tcW w:w="380" w:type="dxa"/>
            <w:vAlign w:val="bottom"/>
            <w:tcBorders>
              <w:bottom w:val="single" w:sz="8" w:color="CCEEFF"/>
            </w:tcBorders>
            <w:shd w:val="clear" w:color="auto" w:fill="CCEEFF"/>
          </w:tcPr>
          <w:p>
            <w:pPr>
              <w:spacing w:after="0"/>
              <w:rPr>
                <w:sz w:val="22"/>
                <w:szCs w:val="22"/>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7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ind w:left="340" w:hanging="332"/>
        <w:spacing w:after="0" w:line="25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Total liabilities for unrecognized tax benefits as of June 30, 2013 were $27.8 million and are classified on our consolidated balance sheet within “Claims and Other Liabilities” and are excluded from the table above.</w:t>
      </w:r>
    </w:p>
    <w:p>
      <w:pPr>
        <w:ind w:left="340" w:hanging="332"/>
        <w:spacing w:after="0" w:line="24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$285.2 million of lease financing obligation payments represent interest payments of $209.0 million and principal payments of $76.2 million. The remaining principle obligation is offset by the estimated book value of leased property at the expiration date of each lease agreement.</w:t>
      </w: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55"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letter of credit fees are related to the cash collateral for our outstanding letters of credit on our previous ABS facility, as well as the amended and restated credit agreement outstanding letters of credit.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free cash flow.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color w:val="auto"/>
              </w:rPr>
              <w:t>Amount of Commitment Expiration Per Period</w:t>
            </w: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Less than 1 year</w:t>
            </w:r>
          </w:p>
        </w:tc>
        <w:tc>
          <w:tcPr>
            <w:tcW w:w="200" w:type="dxa"/>
            <w:vAlign w:val="bottom"/>
          </w:tcPr>
          <w:p>
            <w:pPr>
              <w:spacing w:after="0"/>
              <w:rPr>
                <w:sz w:val="22"/>
                <w:szCs w:val="22"/>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color w:val="auto"/>
              </w:rPr>
              <w:t>1-3 years</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3-5 years</w:t>
            </w:r>
          </w:p>
        </w:tc>
        <w:tc>
          <w:tcPr>
            <w:tcW w:w="1080" w:type="dxa"/>
            <w:vAlign w:val="bottom"/>
          </w:tcPr>
          <w:p>
            <w:pPr>
              <w:jc w:val="right"/>
              <w:spacing w:after="0"/>
              <w:rPr>
                <w:sz w:val="20"/>
                <w:szCs w:val="20"/>
                <w:color w:val="auto"/>
              </w:rPr>
            </w:pPr>
            <w:r>
              <w:rPr>
                <w:rFonts w:ascii="Arial" w:cs="Arial" w:eastAsia="Arial" w:hAnsi="Arial"/>
                <w:sz w:val="14"/>
                <w:szCs w:val="14"/>
                <w:color w:val="auto"/>
              </w:rPr>
              <w:t>After 5 years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Total</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Unused line of credit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ABL Facility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52.8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52.8</w:t>
            </w: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378.6</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87"/>
              </w:rPr>
              <w:t>(b)</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378.6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Surety bonds</w:t>
            </w:r>
          </w:p>
        </w:tc>
        <w:tc>
          <w:tcPr>
            <w:tcW w:w="1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126.5</w:t>
            </w: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431.4</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hold in restricted escrow $7.2 million, which represents cash collateral for our outstanding letters of credit on our previous ABS facility.</w:t>
      </w:r>
    </w:p>
    <w:p>
      <w:pPr>
        <w:spacing w:after="0" w:line="13"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Under our credit facilities, we hold in restricted escrow $12.4 million of cash related to the net cash proceeds from certain asset sales. This restricted escrow provides additional cash collateral for our outstanding letters of credit.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primarily exposed to the market risk associated with unfavorable movements in interest rates, foreign currencies, and fuel price volatility. The risk inherent in our market risk sensitive instruments and positions is the potential loss or increased expense arising from adverse changes in those factors. There have been no material changes to our market risk policies or our market risk sensitive instruments and positions as described in our annual report on Form 10-K for the year ended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June 30, 2013 and has concluded that our disclosure controls and procedures were effective as of June 30, 2013.</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June 30, 2013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II—OTHER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note to our consolidated financial statements included with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Condition/Liquidity and Capital Resources” included in this quarterly report on Form 10-Q for information regarding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Registrant's Code of Ethics.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August 1, 2013, the Board of Directors of the Company adopted a written Code of Business Conduct (the “Code of Business Conduct”), which applies to all directors, officers and employees of the Company, including the principal executive officer, principal financial officer, principal accounting officer or controller, or persons performing similar functions, and will supersede and replace the Company's prior Code of Business Conduct in its entirety. The Code of Business Conduct has been posted to the Company s investor relations page on the Company s website located at </w:t>
      </w:r>
      <w:r>
        <w:rPr>
          <w:rFonts w:ascii="Arial" w:cs="Arial" w:eastAsia="Arial" w:hAnsi="Arial"/>
          <w:sz w:val="17"/>
          <w:szCs w:val="17"/>
          <w:u w:val="single" w:color="auto"/>
          <w:color w:val="0000FF"/>
        </w:rPr>
        <w:t>www.yrcw.com</w:t>
      </w:r>
      <w:r>
        <w:rPr>
          <w:rFonts w:ascii="Arial" w:cs="Arial" w:eastAsia="Arial" w:hAnsi="Arial"/>
          <w:sz w:val="17"/>
          <w:szCs w:val="17"/>
          <w:color w:val="auto"/>
        </w:rPr>
        <w:t>. The Code of Business Conduct clarifies, and provides more detailed explanations of, the standards of conduct that are expected of the Company's directors, officers and employees, including the expansion, clarification or addition of the following sections:</w:t>
      </w:r>
    </w:p>
    <w:p>
      <w:pPr>
        <w:spacing w:after="0" w:line="178"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Conflicts of Interest. The section on conflicts of interest was expanded to provide examples of conflicts of interest and simplify the procedures for self-reporting.</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Gifts and Entertainment. The section on business gifts and entertainment was expanded to explain the approval process and provide more guidance on what is and what is not permitted.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Proper Use of Our Information Technology. The section on proper use of our information technology was expanded to address current information technology resources, social media, email use and privacy expectations.</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 or Proprietary Information. The section on confidential and proprietary information was expanded to provide examples of confidential information and advise employees to return confidential information when leaving employment and not to bring confidential information from previous employers.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Respecting Each Other. The section on respecting each other was expanded to provide examples to aid the reader's understanding of harassment.</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Transparency and Full Disclosure. The section on transparency and full disclosure was expanded to provide a more robust description of the responsibilities of finance and accounting employees.</w:t>
      </w:r>
    </w:p>
    <w:p>
      <w:pPr>
        <w:spacing w:after="0" w:line="170"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Anti-Corruption and Bribery, Trade Controls and Anti-Boycott Laws. The sections on anti-corruption and bribery, trade controls and anti-boycott laws were expanded to include all forms of bribery and corruption and provide more guidance for the reader on the adverse consequences of violations.</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Penalties for Noncompliance. The section on penalties for noncompliance with the Code of Business Conduct was expanded to state that violations will be dealt with promptly and fairly in a manner that takes into account the seriousness of the violations, and that unfamiliarity with the Code of Business Conduct is not a defense.</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Reporting Actual or Potential Violations by Others and Self-Reporting. The sections on reporting actual or potential violations by others and self-reporting were expanded to include straightforward steps for reporting violations.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Non-Retaliation. The section on non-retaliation was expanded to provide more detail on protection against retaliation and provide that complaints must be made in good faith.</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Sections. Sections on data security and appropriate use of our network, intellectual property, responsibility for liquid assets or highly portable items, records retention, employee safety and health, keeping accurate records, insider trading, proper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ind w:left="340" w:right="20"/>
        <w:spacing w:after="0" w:line="324" w:lineRule="auto"/>
        <w:rPr>
          <w:sz w:val="20"/>
          <w:szCs w:val="20"/>
          <w:color w:val="auto"/>
        </w:rPr>
      </w:pPr>
      <w:r>
        <w:rPr>
          <w:rFonts w:ascii="Arial" w:cs="Arial" w:eastAsia="Arial" w:hAnsi="Arial"/>
          <w:sz w:val="18"/>
          <w:szCs w:val="18"/>
          <w:color w:val="auto"/>
        </w:rPr>
        <w:t>marketing practices, competitor information, competition laws and terrorist and drug trafficking organizations were revised to make them more readable and easier to understand.</w:t>
      </w:r>
    </w:p>
    <w:p>
      <w:pPr>
        <w:spacing w:after="0" w:line="143" w:lineRule="exact"/>
        <w:rPr>
          <w:sz w:val="20"/>
          <w:szCs w:val="20"/>
          <w:color w:val="auto"/>
        </w:rPr>
      </w:pPr>
    </w:p>
    <w:p>
      <w:pPr>
        <w:jc w:val="both"/>
        <w:ind w:left="340" w:hanging="332"/>
        <w:spacing w:after="0" w:line="28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New Sections. New sections on personal employee information, communications, equal employment opportunities, discussions with customers and business partners, fair dealings with suppliers and service providers, compliance with contracts, international labor and employment laws, anti-kickback, human trafficking, caring for the environment, education and training and audits and investigations were added.</w:t>
      </w:r>
    </w:p>
    <w:p>
      <w:pPr>
        <w:spacing w:after="0" w:line="3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Code of Business Conduct also reflects an updated format and organizational changes that were designed to make the Code of Business Conduct easier to understand and use.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Code of Business Conduct has been posted on Company's website, at </w:t>
      </w:r>
      <w:r>
        <w:rPr>
          <w:rFonts w:ascii="Arial" w:cs="Arial" w:eastAsia="Arial" w:hAnsi="Arial"/>
          <w:sz w:val="18"/>
          <w:szCs w:val="18"/>
          <w:u w:val="single" w:color="auto"/>
          <w:color w:val="0000FF"/>
        </w:rPr>
        <w:t>www.yrcw.com</w:t>
      </w:r>
      <w:r>
        <w:rPr>
          <w:rFonts w:ascii="Arial" w:cs="Arial" w:eastAsia="Arial" w:hAnsi="Arial"/>
          <w:sz w:val="18"/>
          <w:szCs w:val="18"/>
          <w:color w:val="auto"/>
        </w:rPr>
        <w:t>, under “Board Committee Charters and Code of Business Conduct.”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Certification of James L. Welch filed pursuant to Exchange Act Rules 13a-14 and 15d-14, as adopted pursuant to Section 302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Certification of Jamie G. Pierson filed pursuant to Exchange Act Rules 13a-14 and 15d-14, as adopted pursuant to Section 302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Certification of James L. Welch furnished pursuant to 18 U.S.C. Section 1350, as adopted pursuant to Section 906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Certification of Jamie G. Pierson furnished pursuant to 18 U.S.C. Section 1350, as adopted pursuant to Section 906 of the Sarbanes-Oxley Act of 2002.</w:t>
      </w:r>
    </w:p>
    <w:p>
      <w:pPr>
        <w:spacing w:after="0" w:line="8" w:lineRule="exact"/>
        <w:rPr>
          <w:sz w:val="20"/>
          <w:szCs w:val="20"/>
          <w:color w:val="auto"/>
        </w:rPr>
      </w:pPr>
    </w:p>
    <w:p>
      <w:pPr>
        <w:sectPr>
          <w:pgSz w:w="11900" w:h="16838" w:orient="portrait"/>
          <w:cols w:equalWidth="0" w:num="2">
            <w:col w:w="700" w:space="7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86" w:lineRule="exact"/>
        <w:rPr>
          <w:sz w:val="20"/>
          <w:szCs w:val="20"/>
          <w:color w:val="auto"/>
        </w:rPr>
      </w:pPr>
    </w:p>
    <w:p>
      <w:pPr>
        <w:sectPr>
          <w:pgSz w:w="11900" w:h="16838" w:orient="portrait"/>
          <w:cols w:equalWidth="0" w:num="2">
            <w:col w:w="820" w:space="60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w:t>
      </w:r>
    </w:p>
    <w:p>
      <w:pPr>
        <w:spacing w:after="0" w:line="86" w:lineRule="exact"/>
        <w:rPr>
          <w:sz w:val="20"/>
          <w:szCs w:val="20"/>
          <w:color w:val="auto"/>
        </w:rPr>
      </w:pPr>
    </w:p>
    <w:p>
      <w:pPr>
        <w:sectPr>
          <w:pgSz w:w="11900" w:h="16838" w:orient="portrait"/>
          <w:cols w:equalWidth="0" w:num="2">
            <w:col w:w="880" w:space="54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w:t>
      </w:r>
    </w:p>
    <w:p>
      <w:pPr>
        <w:spacing w:after="0" w:line="85" w:lineRule="exact"/>
        <w:rPr>
          <w:sz w:val="20"/>
          <w:szCs w:val="20"/>
          <w:color w:val="auto"/>
        </w:rPr>
      </w:pPr>
    </w:p>
    <w:p>
      <w:pPr>
        <w:sectPr>
          <w:pgSz w:w="11900" w:h="16838" w:orient="portrait"/>
          <w:cols w:equalWidth="0" w:num="2">
            <w:col w:w="900" w:space="5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w:t>
      </w:r>
    </w:p>
    <w:p>
      <w:pPr>
        <w:spacing w:after="0" w:line="86" w:lineRule="exact"/>
        <w:rPr>
          <w:sz w:val="20"/>
          <w:szCs w:val="20"/>
          <w:color w:val="auto"/>
        </w:rPr>
      </w:pPr>
    </w:p>
    <w:p>
      <w:pPr>
        <w:sectPr>
          <w:pgSz w:w="11900" w:h="16838" w:orient="portrait"/>
          <w:cols w:equalWidth="0" w:num="2">
            <w:col w:w="880" w:space="54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w:t>
      </w:r>
    </w:p>
    <w:p>
      <w:pPr>
        <w:spacing w:after="0" w:line="85" w:lineRule="exact"/>
        <w:rPr>
          <w:sz w:val="20"/>
          <w:szCs w:val="20"/>
          <w:color w:val="auto"/>
        </w:rPr>
      </w:pPr>
    </w:p>
    <w:p>
      <w:pPr>
        <w:sectPr>
          <w:pgSz w:w="11900" w:h="16838" w:orient="portrait"/>
          <w:cols w:equalWidth="0" w:num="2">
            <w:col w:w="900" w:space="520"/>
            <w:col w:w="1000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59" w:lineRule="exact"/>
        <w:rPr>
          <w:sz w:val="20"/>
          <w:szCs w:val="20"/>
          <w:color w:val="auto"/>
        </w:rPr>
      </w:pPr>
    </w:p>
    <w:p>
      <w:pPr>
        <w:sectPr>
          <w:pgSz w:w="11900" w:h="16838" w:orient="portrait"/>
          <w:cols w:equalWidth="0" w:num="2">
            <w:col w:w="860" w:space="560"/>
            <w:col w:w="1000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documents filed herewith</w:t>
      </w:r>
    </w:p>
    <w:p>
      <w:pPr>
        <w:spacing w:after="0" w:line="9" w:lineRule="exact"/>
        <w:rPr>
          <w:sz w:val="20"/>
          <w:szCs w:val="20"/>
          <w:color w:val="auto"/>
        </w:rPr>
      </w:pPr>
    </w:p>
    <w:p>
      <w:pPr>
        <w:jc w:val="both"/>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 11 or 12 of the Securities Act of 1933, is deemed not filed for purposes of section 18 of the Securities Exchange Act of 1934, and otherwise is not subject to liability under these sections.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YRC WORLDWIDE INC.</w:t>
            </w:r>
          </w:p>
        </w:tc>
      </w:tr>
      <w:tr>
        <w:trPr>
          <w:trHeight w:val="918"/>
        </w:trPr>
        <w:tc>
          <w:tcPr>
            <w:tcW w:w="5580" w:type="dxa"/>
            <w:vAlign w:val="bottom"/>
          </w:tcPr>
          <w:p>
            <w:pPr>
              <w:spacing w:after="0"/>
              <w:rPr>
                <w:sz w:val="20"/>
                <w:szCs w:val="20"/>
                <w:color w:val="auto"/>
              </w:rPr>
            </w:pPr>
            <w:r>
              <w:rPr>
                <w:rFonts w:ascii="Arial" w:cs="Arial" w:eastAsia="Arial" w:hAnsi="Arial"/>
                <w:sz w:val="18"/>
                <w:szCs w:val="18"/>
                <w:color w:val="auto"/>
              </w:rPr>
              <w:t>Date: August 7, 2013</w:t>
            </w:r>
          </w:p>
        </w:tc>
        <w:tc>
          <w:tcPr>
            <w:tcW w:w="5800" w:type="dxa"/>
            <w:vAlign w:val="bottom"/>
          </w:tcPr>
          <w:p>
            <w:pPr>
              <w:ind w:left="120"/>
              <w:spacing w:after="0"/>
              <w:rPr>
                <w:sz w:val="20"/>
                <w:szCs w:val="20"/>
                <w:color w:val="auto"/>
              </w:rPr>
            </w:pPr>
            <w:r>
              <w:rPr>
                <w:rFonts w:ascii="Arial" w:cs="Arial" w:eastAsia="Arial" w:hAnsi="Arial"/>
                <w:sz w:val="18"/>
                <w:szCs w:val="18"/>
                <w:color w:val="auto"/>
              </w:rPr>
              <w:t>/s/ James L. Welch</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James L. Welch</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594"/>
        </w:trPr>
        <w:tc>
          <w:tcPr>
            <w:tcW w:w="5580" w:type="dxa"/>
            <w:vAlign w:val="bottom"/>
          </w:tcPr>
          <w:p>
            <w:pPr>
              <w:spacing w:after="0"/>
              <w:rPr>
                <w:sz w:val="20"/>
                <w:szCs w:val="20"/>
                <w:color w:val="auto"/>
              </w:rPr>
            </w:pPr>
            <w:r>
              <w:rPr>
                <w:rFonts w:ascii="Arial" w:cs="Arial" w:eastAsia="Arial" w:hAnsi="Arial"/>
                <w:sz w:val="18"/>
                <w:szCs w:val="18"/>
                <w:color w:val="auto"/>
              </w:rPr>
              <w:t>Date: August 7, 2013</w:t>
            </w:r>
          </w:p>
        </w:tc>
        <w:tc>
          <w:tcPr>
            <w:tcW w:w="5800" w:type="dxa"/>
            <w:vAlign w:val="bottom"/>
          </w:tcPr>
          <w:p>
            <w:pPr>
              <w:ind w:left="120"/>
              <w:spacing w:after="0"/>
              <w:rPr>
                <w:sz w:val="20"/>
                <w:szCs w:val="20"/>
                <w:color w:val="auto"/>
              </w:rPr>
            </w:pPr>
            <w:r>
              <w:rPr>
                <w:rFonts w:ascii="Arial" w:cs="Arial" w:eastAsia="Arial" w:hAnsi="Arial"/>
                <w:sz w:val="18"/>
                <w:szCs w:val="18"/>
                <w:color w:val="auto"/>
              </w:rPr>
              <w:t>/s/ Jamie G. Pierson</w:t>
            </w:r>
          </w:p>
        </w:tc>
      </w:tr>
      <w:tr>
        <w:trPr>
          <w:trHeight w:val="27"/>
        </w:trPr>
        <w:tc>
          <w:tcPr>
            <w:tcW w:w="558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Jamie G. Pierson</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5580" w:type="dxa"/>
            <w:vAlign w:val="bottom"/>
          </w:tcPr>
          <w:p>
            <w:pPr>
              <w:spacing w:after="0"/>
              <w:rPr>
                <w:sz w:val="23"/>
                <w:szCs w:val="23"/>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86"/>
        </w:trPr>
        <w:tc>
          <w:tcPr>
            <w:tcW w:w="558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12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Jamie G. Pierson, certify that:</w:t>
      </w:r>
    </w:p>
    <w:p>
      <w:pPr>
        <w:spacing w:after="0" w:line="9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June 30, 2013,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YRC Worldwide Inc. on Form 10-Q for the period ended June 30, 2013, as filed with the Securities and Exchange Commission on the date hereof (the “Report”), I, Jamie G. Pierson,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5"/>
          <w:szCs w:val="15"/>
          <w:color w:val="auto"/>
        </w:rPr>
        <w:t>/s/ Jamie G. Pierson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Jamie G. Pierson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3"/>
    </w:lvl>
    <w:lvl w:ilvl="1">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lvl w:ilvl="1">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2019-12-05T20:11:18Z</dcterms:created>
  <dcterms:modified xsi:type="dcterms:W3CDTF">2019-12-05T20:11:18Z</dcterms:modified>
</cp:coreProperties>
</file>