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81915</wp:posOffset>
            </wp:positionV>
            <wp:extent cx="17583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109855</wp:posOffset>
            </wp:positionV>
            <wp:extent cx="17583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380" w:right="540" w:hanging="345"/>
        <w:spacing w:after="0" w:line="256"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380" w:right="520" w:hanging="345"/>
        <w:spacing w:after="0" w:line="256" w:lineRule="auto"/>
        <w:tabs>
          <w:tab w:leader="none" w:pos="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0-12255</w:t>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-282575</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97790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6500" w:type="dxa"/>
            <w:vAlign w:val="bottom"/>
          </w:tcPr>
          <w:p>
            <w:pPr>
              <w:jc w:val="center"/>
              <w:ind w:right="3139"/>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61"/>
              <w:spacing w:after="0"/>
              <w:rPr>
                <w:sz w:val="20"/>
                <w:szCs w:val="20"/>
                <w:color w:val="auto"/>
              </w:rPr>
            </w:pPr>
            <w:r>
              <w:rPr>
                <w:rFonts w:ascii="Arial" w:cs="Arial" w:eastAsia="Arial" w:hAnsi="Arial"/>
                <w:sz w:val="18"/>
                <w:szCs w:val="18"/>
                <w:b w:val="1"/>
                <w:bCs w:val="1"/>
                <w:color w:val="auto"/>
              </w:rPr>
              <w:t>48-0948788</w:t>
            </w:r>
          </w:p>
        </w:tc>
      </w:tr>
      <w:tr>
        <w:trPr>
          <w:trHeight w:val="218"/>
        </w:trPr>
        <w:tc>
          <w:tcPr>
            <w:tcW w:w="6500" w:type="dxa"/>
            <w:vAlign w:val="bottom"/>
          </w:tcPr>
          <w:p>
            <w:pPr>
              <w:jc w:val="center"/>
              <w:ind w:right="3139"/>
              <w:spacing w:after="0"/>
              <w:rPr>
                <w:sz w:val="20"/>
                <w:szCs w:val="20"/>
                <w:color w:val="auto"/>
              </w:rPr>
            </w:pPr>
            <w:r>
              <w:rPr>
                <w:rFonts w:ascii="Arial" w:cs="Arial" w:eastAsia="Arial" w:hAnsi="Arial"/>
                <w:sz w:val="14"/>
                <w:szCs w:val="14"/>
                <w:b w:val="1"/>
                <w:bCs w:val="1"/>
                <w:color w:val="auto"/>
                <w:w w:val="93"/>
              </w:rPr>
              <w:t>(State or other jurisdiction of</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(I.R.S. Employer</w:t>
            </w:r>
          </w:p>
        </w:tc>
      </w:tr>
      <w:tr>
        <w:trPr>
          <w:trHeight w:val="270"/>
        </w:trPr>
        <w:tc>
          <w:tcPr>
            <w:tcW w:w="6500" w:type="dxa"/>
            <w:vAlign w:val="bottom"/>
          </w:tcPr>
          <w:p>
            <w:pPr>
              <w:jc w:val="center"/>
              <w:ind w:right="3139"/>
              <w:spacing w:after="0"/>
              <w:rPr>
                <w:sz w:val="20"/>
                <w:szCs w:val="20"/>
                <w:color w:val="auto"/>
              </w:rPr>
            </w:pPr>
            <w:r>
              <w:rPr>
                <w:rFonts w:ascii="Arial" w:cs="Arial" w:eastAsia="Arial" w:hAnsi="Arial"/>
                <w:sz w:val="14"/>
                <w:szCs w:val="14"/>
                <w:b w:val="1"/>
                <w:bCs w:val="1"/>
                <w:color w:val="auto"/>
                <w:w w:val="94"/>
              </w:rPr>
              <w:t>incorporation or organization)</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6"/>
              </w:rPr>
              <w:t>Identification No.)</w:t>
            </w:r>
          </w:p>
        </w:tc>
      </w:tr>
      <w:tr>
        <w:trPr>
          <w:trHeight w:val="444"/>
        </w:trPr>
        <w:tc>
          <w:tcPr>
            <w:tcW w:w="6500" w:type="dxa"/>
            <w:vAlign w:val="bottom"/>
          </w:tcPr>
          <w:p>
            <w:pPr>
              <w:jc w:val="center"/>
              <w:ind w:right="3119"/>
              <w:spacing w:after="0"/>
              <w:rPr>
                <w:sz w:val="20"/>
                <w:szCs w:val="20"/>
                <w:color w:val="auto"/>
              </w:rPr>
            </w:pPr>
            <w:r>
              <w:rPr>
                <w:rFonts w:ascii="Arial" w:cs="Arial" w:eastAsia="Arial" w:hAnsi="Arial"/>
                <w:sz w:val="18"/>
                <w:szCs w:val="18"/>
                <w:b w:val="1"/>
                <w:bCs w:val="1"/>
                <w:color w:val="auto"/>
                <w:w w:val="90"/>
              </w:rPr>
              <w:t>10990 Roe Avenue, Overland Park, Kansas</w:t>
            </w:r>
          </w:p>
        </w:tc>
        <w:tc>
          <w:tcPr>
            <w:tcW w:w="1460" w:type="dxa"/>
            <w:vAlign w:val="bottom"/>
          </w:tcPr>
          <w:p>
            <w:pPr>
              <w:jc w:val="right"/>
              <w:ind w:right="261"/>
              <w:spacing w:after="0"/>
              <w:rPr>
                <w:sz w:val="20"/>
                <w:szCs w:val="20"/>
                <w:color w:val="auto"/>
              </w:rPr>
            </w:pPr>
            <w:r>
              <w:rPr>
                <w:rFonts w:ascii="Arial" w:cs="Arial" w:eastAsia="Arial" w:hAnsi="Arial"/>
                <w:sz w:val="18"/>
                <w:szCs w:val="18"/>
                <w:b w:val="1"/>
                <w:bCs w:val="1"/>
                <w:color w:val="auto"/>
              </w:rPr>
              <w:t>66211</w:t>
            </w:r>
          </w:p>
        </w:tc>
      </w:tr>
      <w:tr>
        <w:trPr>
          <w:trHeight w:val="218"/>
        </w:trPr>
        <w:tc>
          <w:tcPr>
            <w:tcW w:w="6500" w:type="dxa"/>
            <w:vAlign w:val="bottom"/>
          </w:tcPr>
          <w:p>
            <w:pPr>
              <w:jc w:val="center"/>
              <w:ind w:right="31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500" w:type="dxa"/>
            <w:vAlign w:val="bottom"/>
          </w:tcPr>
          <w:p>
            <w:pPr>
              <w:jc w:val="center"/>
              <w:ind w:left="2539"/>
              <w:spacing w:after="0"/>
              <w:rPr>
                <w:sz w:val="20"/>
                <w:szCs w:val="20"/>
                <w:color w:val="auto"/>
              </w:rPr>
            </w:pPr>
            <w:r>
              <w:rPr>
                <w:rFonts w:ascii="Arial" w:cs="Arial" w:eastAsia="Arial" w:hAnsi="Arial"/>
                <w:sz w:val="18"/>
                <w:szCs w:val="18"/>
                <w:b w:val="1"/>
                <w:bCs w:val="1"/>
                <w:color w:val="auto"/>
                <w:w w:val="90"/>
              </w:rPr>
              <w:t>(913) 696-6100</w:t>
            </w:r>
          </w:p>
        </w:tc>
        <w:tc>
          <w:tcPr>
            <w:tcW w:w="1460" w:type="dxa"/>
            <w:vAlign w:val="bottom"/>
          </w:tcPr>
          <w:p>
            <w:pPr>
              <w:spacing w:after="0"/>
              <w:rPr>
                <w:sz w:val="23"/>
                <w:szCs w:val="23"/>
                <w:color w:val="auto"/>
              </w:rPr>
            </w:pPr>
          </w:p>
        </w:tc>
      </w:tr>
      <w:tr>
        <w:trPr>
          <w:trHeight w:val="186"/>
        </w:trPr>
        <w:tc>
          <w:tcPr>
            <w:tcW w:w="6500" w:type="dxa"/>
            <w:vAlign w:val="bottom"/>
          </w:tcPr>
          <w:p>
            <w:pPr>
              <w:jc w:val="center"/>
              <w:ind w:left="25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60" w:type="dxa"/>
            <w:vAlign w:val="bottom"/>
          </w:tcPr>
          <w:p>
            <w:pPr>
              <w:spacing w:after="0"/>
              <w:rPr>
                <w:sz w:val="16"/>
                <w:szCs w:val="16"/>
                <w:color w:val="auto"/>
              </w:rPr>
            </w:pPr>
          </w:p>
        </w:tc>
      </w:tr>
      <w:tr>
        <w:trPr>
          <w:trHeight w:val="289"/>
        </w:trPr>
        <w:tc>
          <w:tcPr>
            <w:tcW w:w="6500" w:type="dxa"/>
            <w:vAlign w:val="bottom"/>
          </w:tcPr>
          <w:p>
            <w:pPr>
              <w:jc w:val="center"/>
              <w:ind w:left="2539"/>
              <w:spacing w:after="0"/>
              <w:rPr>
                <w:sz w:val="20"/>
                <w:szCs w:val="20"/>
                <w:color w:val="auto"/>
              </w:rPr>
            </w:pPr>
            <w:r>
              <w:rPr>
                <w:rFonts w:ascii="Arial" w:cs="Arial" w:eastAsia="Arial" w:hAnsi="Arial"/>
                <w:sz w:val="18"/>
                <w:szCs w:val="18"/>
                <w:b w:val="1"/>
                <w:bCs w:val="1"/>
                <w:color w:val="auto"/>
                <w:w w:val="88"/>
              </w:rPr>
              <w:t>None</w:t>
            </w:r>
          </w:p>
        </w:tc>
        <w:tc>
          <w:tcPr>
            <w:tcW w:w="146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304800</wp:posOffset>
            </wp:positionV>
            <wp:extent cx="1758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84" w:lineRule="exact"/>
        <w:rPr>
          <w:sz w:val="24"/>
          <w:szCs w:val="24"/>
          <w:color w:val="auto"/>
        </w:rPr>
      </w:pPr>
    </w:p>
    <w:p>
      <w:pPr>
        <w:ind w:left="40"/>
        <w:spacing w:after="0" w:line="207" w:lineRule="exact"/>
        <w:tabs>
          <w:tab w:leader="none" w:pos="3220" w:val="left"/>
          <w:tab w:leader="none" w:pos="7900" w:val="left"/>
          <w:tab w:leader="none" w:pos="110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p>
    <w:p>
      <w:pPr>
        <w:spacing w:after="0" w:line="217" w:lineRule="exact"/>
        <w:rPr>
          <w:sz w:val="24"/>
          <w:szCs w:val="24"/>
          <w:color w:val="auto"/>
        </w:rPr>
      </w:pPr>
    </w:p>
    <w:p>
      <w:pPr>
        <w:ind w:left="40"/>
        <w:spacing w:after="0"/>
        <w:tabs>
          <w:tab w:leader="none" w:pos="3220" w:val="left"/>
          <w:tab w:leader="none" w:pos="7900" w:val="left"/>
          <w:tab w:leader="none" w:pos="1108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8"/>
          <w:szCs w:val="18"/>
          <w:color w:val="auto"/>
        </w:rPr>
        <w:t>o (Do not check if a smaller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Arial" w:cs="Arial" w:eastAsia="Arial" w:hAnsi="Arial"/>
          <w:sz w:val="17"/>
          <w:szCs w:val="17"/>
          <w:color w:val="auto"/>
        </w:rPr>
        <w:t>o</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o</w:t>
        <w:tab/>
        <w:t xml:space="preserve">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4" w:lineRule="exact"/>
        <w:rPr>
          <w:sz w:val="24"/>
          <w:szCs w:val="24"/>
          <w:color w:val="auto"/>
        </w:rPr>
      </w:pPr>
    </w:p>
    <w:p>
      <w:pPr>
        <w:ind w:left="2640"/>
        <w:spacing w:after="0"/>
        <w:tabs>
          <w:tab w:leader="none" w:pos="7700" w:val="left"/>
        </w:tabs>
        <w:rPr>
          <w:sz w:val="20"/>
          <w:szCs w:val="20"/>
          <w:color w:val="auto"/>
        </w:rPr>
      </w:pPr>
      <w:r>
        <w:rPr>
          <w:rFonts w:ascii="Arial" w:cs="Arial" w:eastAsia="Arial" w:hAnsi="Arial"/>
          <w:sz w:val="14"/>
          <w:szCs w:val="14"/>
          <w:u w:val="single" w:color="auto"/>
          <w:color w:val="auto"/>
        </w:rPr>
        <w:t>Class</w:t>
      </w:r>
      <w:r>
        <w:rPr>
          <w:sz w:val="20"/>
          <w:szCs w:val="20"/>
          <w:color w:val="auto"/>
        </w:rPr>
        <w:tab/>
      </w:r>
      <w:r>
        <w:rPr>
          <w:rFonts w:ascii="Arial" w:cs="Arial" w:eastAsia="Arial" w:hAnsi="Arial"/>
          <w:sz w:val="14"/>
          <w:szCs w:val="14"/>
          <w:u w:val="single" w:color="auto"/>
          <w:color w:val="auto"/>
        </w:rPr>
        <w:t>Outstanding at July 25, 2014</w:t>
      </w:r>
    </w:p>
    <w:p>
      <w:pPr>
        <w:sectPr>
          <w:pgSz w:w="11900" w:h="16838" w:orient="portrait"/>
          <w:cols w:equalWidth="0" w:num="1">
            <w:col w:w="11420"/>
          </w:cols>
          <w:pgMar w:left="240" w:top="229" w:right="239" w:bottom="1440" w:gutter="0" w:footer="0" w:header="0"/>
        </w:sectPr>
      </w:pPr>
    </w:p>
    <w:p>
      <w:pPr>
        <w:spacing w:after="0" w:line="46" w:lineRule="exact"/>
        <w:rPr>
          <w:sz w:val="24"/>
          <w:szCs w:val="24"/>
          <w:color w:val="auto"/>
        </w:rPr>
      </w:pPr>
    </w:p>
    <w:p>
      <w:pPr>
        <w:ind w:left="1280"/>
        <w:spacing w:after="0"/>
        <w:tabs>
          <w:tab w:leader="none" w:pos="7880" w:val="left"/>
        </w:tabs>
        <w:rPr>
          <w:sz w:val="20"/>
          <w:szCs w:val="20"/>
          <w:color w:val="auto"/>
        </w:rPr>
      </w:pPr>
      <w:r>
        <w:rPr>
          <w:rFonts w:ascii="Arial" w:cs="Arial" w:eastAsia="Arial" w:hAnsi="Arial"/>
          <w:sz w:val="18"/>
          <w:szCs w:val="18"/>
          <w:color w:val="auto"/>
        </w:rPr>
        <w:t>Common Stock, $0.01 par value per share</w:t>
      </w:r>
      <w:r>
        <w:rPr>
          <w:sz w:val="20"/>
          <w:szCs w:val="20"/>
          <w:color w:val="auto"/>
        </w:rPr>
        <w:tab/>
      </w:r>
      <w:r>
        <w:rPr>
          <w:rFonts w:ascii="Arial" w:cs="Arial" w:eastAsia="Arial" w:hAnsi="Arial"/>
          <w:sz w:val="15"/>
          <w:szCs w:val="15"/>
          <w:color w:val="auto"/>
        </w:rPr>
        <w:t>31,242,037 shares</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60" w:type="dxa"/>
            <w:vAlign w:val="bottom"/>
          </w:tcPr>
          <w:p>
            <w:pPr>
              <w:spacing w:after="0"/>
              <w:rPr>
                <w:sz w:val="20"/>
                <w:szCs w:val="20"/>
                <w:color w:val="auto"/>
              </w:rPr>
            </w:pPr>
            <w:r>
              <w:rPr>
                <w:rFonts w:ascii="Arial" w:cs="Arial" w:eastAsia="Arial" w:hAnsi="Arial"/>
                <w:sz w:val="14"/>
                <w:szCs w:val="14"/>
                <w:color w:val="auto"/>
              </w:rPr>
              <w:t>Item</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Page</w:t>
            </w:r>
          </w:p>
        </w:tc>
      </w:tr>
      <w:tr>
        <w:trPr>
          <w:trHeight w:val="189"/>
        </w:trPr>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80" w:type="dxa"/>
            <w:vAlign w:val="bottom"/>
            <w:gridSpan w:val="10"/>
          </w:tcPr>
          <w:p>
            <w:pPr>
              <w:jc w:val="center"/>
              <w:ind w:right="3720"/>
              <w:spacing w:after="0" w:line="189" w:lineRule="exact"/>
              <w:rPr>
                <w:rFonts w:ascii="Arial" w:cs="Arial" w:eastAsia="Arial" w:hAnsi="Arial"/>
                <w:sz w:val="18"/>
                <w:szCs w:val="18"/>
                <w:color w:val="0000FF"/>
                <w:w w:val="97"/>
              </w:rPr>
            </w:pPr>
            <w:hyperlink w:anchor="page2">
              <w:r>
                <w:rPr>
                  <w:rFonts w:ascii="Arial" w:cs="Arial" w:eastAsia="Arial" w:hAnsi="Arial"/>
                  <w:sz w:val="18"/>
                  <w:szCs w:val="18"/>
                  <w:color w:val="0000FF"/>
                  <w:w w:val="97"/>
                </w:rPr>
                <w:t>PART I – FINANCIAL INFORMATION</w:t>
              </w:r>
            </w:hyperlink>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150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Financial Statements</w:t>
              </w:r>
            </w:hyperlink>
          </w:p>
        </w:tc>
        <w:tc>
          <w:tcPr>
            <w:tcW w:w="2180" w:type="dxa"/>
            <w:vAlign w:val="bottom"/>
            <w:gridSpan w:val="3"/>
          </w:tcPr>
          <w:p>
            <w:pPr>
              <w:spacing w:after="0"/>
              <w:rPr>
                <w:sz w:val="22"/>
                <w:szCs w:val="22"/>
                <w:color w:val="auto"/>
              </w:rPr>
            </w:pPr>
          </w:p>
        </w:tc>
        <w:tc>
          <w:tcPr>
            <w:tcW w:w="2960" w:type="dxa"/>
            <w:vAlign w:val="bottom"/>
            <w:tcBorders>
              <w:top w:val="single" w:sz="8" w:color="0000FF"/>
            </w:tcBorders>
            <w:gridSpan w:val="8"/>
          </w:tcPr>
          <w:p>
            <w:pPr>
              <w:spacing w:after="0"/>
              <w:rPr>
                <w:sz w:val="22"/>
                <w:szCs w:val="22"/>
                <w:color w:val="auto"/>
              </w:rPr>
            </w:pPr>
          </w:p>
        </w:tc>
        <w:tc>
          <w:tcPr>
            <w:tcW w:w="3720" w:type="dxa"/>
            <w:vAlign w:val="bottom"/>
            <w:gridSpan w:val="2"/>
          </w:tcPr>
          <w:p>
            <w:pPr>
              <w:spacing w:after="0"/>
              <w:rPr>
                <w:sz w:val="22"/>
                <w:szCs w:val="22"/>
                <w:color w:val="auto"/>
              </w:rPr>
            </w:pPr>
          </w:p>
        </w:tc>
        <w:tc>
          <w:tcPr>
            <w:tcW w:w="4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2"/>
                <w:szCs w:val="22"/>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June 30, 2014 and December 31, 2013</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Statements of Consolidated Comprehensive Loss - Three and Six Months ended June 30, 2014 and 2013</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Statements of Consolidated Cash Flows - Six Months Ended June 30, 2014 and 2013</w:t>
              </w:r>
            </w:hyperlink>
          </w:p>
        </w:tc>
        <w:tc>
          <w:tcPr>
            <w:tcW w:w="1400" w:type="dxa"/>
            <w:vAlign w:val="bottom"/>
            <w:tcBorders>
              <w:top w:val="single" w:sz="8" w:color="0000EE"/>
            </w:tcBorders>
            <w:gridSpan w:val="4"/>
          </w:tcPr>
          <w:p>
            <w:pPr>
              <w:spacing w:after="0"/>
              <w:rPr>
                <w:sz w:val="21"/>
                <w:szCs w:val="21"/>
                <w:color w:val="auto"/>
              </w:rPr>
            </w:pPr>
          </w:p>
        </w:tc>
        <w:tc>
          <w:tcPr>
            <w:tcW w:w="260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4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 of Consolidated Shareholders’ Deficit - Six Months Ended June 30, 2014</w:t>
              </w:r>
            </w:hyperlink>
          </w:p>
        </w:tc>
        <w:tc>
          <w:tcPr>
            <w:tcW w:w="4080" w:type="dxa"/>
            <w:vAlign w:val="bottom"/>
            <w:gridSpan w:val="6"/>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2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Consolidated Financial Statements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6460" w:type="dxa"/>
            <w:vAlign w:val="bottom"/>
            <w:gridSpan w:val="15"/>
          </w:tcPr>
          <w:p>
            <w:pPr>
              <w:spacing w:after="0"/>
              <w:rPr>
                <w:rFonts w:ascii="Arial" w:cs="Arial" w:eastAsia="Arial" w:hAnsi="Arial"/>
                <w:sz w:val="18"/>
                <w:szCs w:val="18"/>
                <w:color w:val="0000FF"/>
                <w:w w:val="90"/>
              </w:rPr>
            </w:pPr>
            <w:hyperlink w:anchor="page18">
              <w:r>
                <w:rPr>
                  <w:rFonts w:ascii="Arial" w:cs="Arial" w:eastAsia="Arial" w:hAnsi="Arial"/>
                  <w:sz w:val="18"/>
                  <w:szCs w:val="18"/>
                  <w:color w:val="0000FF"/>
                  <w:w w:val="90"/>
                </w:rPr>
                <w:t>Management’s Discussion and Analysis of Financial Condition and Results of Operations</w:t>
              </w:r>
            </w:hyperlink>
          </w:p>
        </w:tc>
        <w:tc>
          <w:tcPr>
            <w:tcW w:w="390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19</w:t>
              </w:r>
            </w:hyperlink>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3</w:t>
            </w:r>
          </w:p>
        </w:tc>
        <w:tc>
          <w:tcPr>
            <w:tcW w:w="4360" w:type="dxa"/>
            <w:vAlign w:val="bottom"/>
            <w:gridSpan w:val="11"/>
          </w:tcPr>
          <w:p>
            <w:pPr>
              <w:spacing w:after="0"/>
              <w:rPr>
                <w:rFonts w:ascii="Arial" w:cs="Arial" w:eastAsia="Arial" w:hAnsi="Arial"/>
                <w:sz w:val="18"/>
                <w:szCs w:val="18"/>
                <w:color w:val="0000FF"/>
                <w:w w:val="92"/>
              </w:rPr>
            </w:pPr>
            <w:hyperlink w:anchor="page33">
              <w:r>
                <w:rPr>
                  <w:rFonts w:ascii="Arial" w:cs="Arial" w:eastAsia="Arial" w:hAnsi="Arial"/>
                  <w:sz w:val="18"/>
                  <w:szCs w:val="18"/>
                  <w:color w:val="0000FF"/>
                  <w:w w:val="92"/>
                </w:rPr>
                <w:t>Quantitative and Qualitative Disclosures About Market Risk</w:t>
              </w:r>
            </w:hyperlink>
          </w:p>
        </w:tc>
        <w:tc>
          <w:tcPr>
            <w:tcW w:w="2100" w:type="dxa"/>
            <w:vAlign w:val="bottom"/>
            <w:gridSpan w:val="4"/>
          </w:tcPr>
          <w:p>
            <w:pPr>
              <w:spacing w:after="0"/>
              <w:rPr>
                <w:sz w:val="21"/>
                <w:szCs w:val="21"/>
                <w:color w:val="auto"/>
              </w:rPr>
            </w:pPr>
          </w:p>
        </w:tc>
        <w:tc>
          <w:tcPr>
            <w:tcW w:w="390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4360" w:type="dxa"/>
            <w:vAlign w:val="bottom"/>
            <w:gridSpan w:val="11"/>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Controls and Procedures</w:t>
              </w:r>
            </w:hyperlink>
          </w:p>
        </w:tc>
        <w:tc>
          <w:tcPr>
            <w:tcW w:w="6000" w:type="dxa"/>
            <w:vAlign w:val="bottom"/>
            <w:gridSpan w:val="8"/>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50"/>
        </w:trPr>
        <w:tc>
          <w:tcPr>
            <w:tcW w:w="460" w:type="dxa"/>
            <w:vAlign w:val="bottom"/>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80" w:type="dxa"/>
            <w:vAlign w:val="bottom"/>
            <w:tcBorders>
              <w:bottom w:val="single" w:sz="8" w:color="0000FF"/>
            </w:tcBorders>
            <w:gridSpan w:val="6"/>
          </w:tcPr>
          <w:p>
            <w:pPr>
              <w:jc w:val="center"/>
              <w:spacing w:after="0"/>
              <w:rPr>
                <w:rFonts w:ascii="Arial" w:cs="Arial" w:eastAsia="Arial" w:hAnsi="Arial"/>
                <w:sz w:val="18"/>
                <w:szCs w:val="18"/>
                <w:color w:val="0000FF"/>
                <w:w w:val="96"/>
              </w:rPr>
            </w:pPr>
            <w:hyperlink w:anchor="page34">
              <w:r>
                <w:rPr>
                  <w:rFonts w:ascii="Arial" w:cs="Arial" w:eastAsia="Arial" w:hAnsi="Arial"/>
                  <w:sz w:val="18"/>
                  <w:szCs w:val="18"/>
                  <w:color w:val="0000FF"/>
                  <w:w w:val="96"/>
                </w:rPr>
                <w:t>PART II – OTHER INFORMATION</w:t>
              </w:r>
            </w:hyperlink>
          </w:p>
        </w:tc>
        <w:tc>
          <w:tcPr>
            <w:tcW w:w="386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10360" w:type="dxa"/>
            <w:vAlign w:val="bottom"/>
            <w:gridSpan w:val="1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Legal Proceedings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60" w:type="dxa"/>
            <w:vAlign w:val="bottom"/>
            <w:tcBorders>
              <w:left w:val="single" w:sz="8" w:color="0000FF"/>
            </w:tcBorders>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1A</w:t>
            </w:r>
          </w:p>
        </w:tc>
        <w:tc>
          <w:tcPr>
            <w:tcW w:w="900" w:type="dxa"/>
            <w:vAlign w:val="bottom"/>
            <w:gridSpan w:val="4"/>
          </w:tcPr>
          <w:p>
            <w:pPr>
              <w:spacing w:after="0"/>
              <w:rPr>
                <w:rFonts w:ascii="Arial" w:cs="Arial" w:eastAsia="Arial" w:hAnsi="Arial"/>
                <w:sz w:val="18"/>
                <w:szCs w:val="18"/>
                <w:color w:val="0000FF"/>
                <w:w w:val="87"/>
              </w:rPr>
            </w:pPr>
            <w:hyperlink w:anchor="page35">
              <w:r>
                <w:rPr>
                  <w:rFonts w:ascii="Arial" w:cs="Arial" w:eastAsia="Arial" w:hAnsi="Arial"/>
                  <w:sz w:val="18"/>
                  <w:szCs w:val="18"/>
                  <w:color w:val="0000FF"/>
                  <w:w w:val="87"/>
                </w:rPr>
                <w:t>Risk Factors</w:t>
              </w:r>
            </w:hyperlink>
          </w:p>
        </w:tc>
        <w:tc>
          <w:tcPr>
            <w:tcW w:w="400" w:type="dxa"/>
            <w:vAlign w:val="bottom"/>
          </w:tcPr>
          <w:p>
            <w:pPr>
              <w:spacing w:after="0"/>
              <w:rPr>
                <w:sz w:val="21"/>
                <w:szCs w:val="21"/>
                <w:color w:val="auto"/>
              </w:rPr>
            </w:pPr>
          </w:p>
        </w:tc>
        <w:tc>
          <w:tcPr>
            <w:tcW w:w="906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6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5</w:t>
            </w:r>
          </w:p>
        </w:tc>
        <w:tc>
          <w:tcPr>
            <w:tcW w:w="10360" w:type="dxa"/>
            <w:vAlign w:val="bottom"/>
            <w:gridSpan w:val="1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Other Information</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06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6</w:t>
            </w:r>
          </w:p>
        </w:tc>
        <w:tc>
          <w:tcPr>
            <w:tcW w:w="600" w:type="dxa"/>
            <w:vAlign w:val="bottom"/>
            <w:gridSpan w:val="2"/>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Exhibits</w:t>
              </w:r>
            </w:hyperlink>
          </w:p>
        </w:tc>
        <w:tc>
          <w:tcPr>
            <w:tcW w:w="700" w:type="dxa"/>
            <w:vAlign w:val="bottom"/>
            <w:gridSpan w:val="3"/>
          </w:tcPr>
          <w:p>
            <w:pPr>
              <w:spacing w:after="0"/>
              <w:rPr>
                <w:sz w:val="21"/>
                <w:szCs w:val="21"/>
                <w:color w:val="auto"/>
              </w:rPr>
            </w:pPr>
          </w:p>
        </w:tc>
        <w:tc>
          <w:tcPr>
            <w:tcW w:w="906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FF"/>
                <w:w w:val="85"/>
              </w:rPr>
            </w:pPr>
            <w:hyperlink w:anchor="page36">
              <w:r>
                <w:rPr>
                  <w:rFonts w:ascii="Arial" w:cs="Arial" w:eastAsia="Arial" w:hAnsi="Arial"/>
                  <w:sz w:val="18"/>
                  <w:szCs w:val="18"/>
                  <w:color w:val="0000FF"/>
                  <w:w w:val="85"/>
                </w:rPr>
                <w:t>Signatures</w:t>
              </w:r>
            </w:hyperlink>
          </w:p>
        </w:tc>
        <w:tc>
          <w:tcPr>
            <w:tcW w:w="960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37</w:t>
              </w:r>
            </w:hyperlink>
          </w:p>
        </w:tc>
      </w:tr>
      <w:tr>
        <w:trPr>
          <w:trHeight w:val="723"/>
        </w:trPr>
        <w:tc>
          <w:tcPr>
            <w:tcW w:w="46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5520" w:type="dxa"/>
            <w:vAlign w:val="bottom"/>
            <w:gridSpan w:val="10"/>
          </w:tcPr>
          <w:p>
            <w:pPr>
              <w:jc w:val="right"/>
              <w:ind w:right="10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I—FINANCIAL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(Amounts in millions except share and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June 30,</w:t>
            </w:r>
          </w:p>
        </w:tc>
        <w:tc>
          <w:tcPr>
            <w:tcW w:w="22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8"/>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color w:val="auto"/>
                <w:w w:val="96"/>
              </w:rPr>
              <w:t>2014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Restricted amounts held in escrow</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797.9</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2,844.2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Less – accumulated depreciation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(1,754.4)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2,179.5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2,064.9</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Deficit</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Wages, vacations and employees’ benefits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current and accrued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584.6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1,083.4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1,354.8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Pension and postretirement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359.9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Claims and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Deficit: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$1 par value per share</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$0.01 par value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Capital surplus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2,287.9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1,964.4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(410 shares)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shareholders’ deficit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Shareholders’ Deficit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2,064.9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380"/>
              <w:spacing w:after="0"/>
              <w:rPr>
                <w:sz w:val="20"/>
                <w:szCs w:val="20"/>
                <w:color w:val="auto"/>
              </w:rPr>
            </w:pPr>
            <w:r>
              <w:rPr>
                <w:rFonts w:ascii="Arial" w:cs="Arial" w:eastAsia="Arial" w:hAnsi="Arial"/>
                <w:sz w:val="18"/>
                <w:szCs w:val="18"/>
                <w:color w:val="auto"/>
                <w:w w:val="94"/>
              </w:rPr>
              <w:t>The accompanying notes are an integral part of these statements.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Operating Revenue</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Operating Expenses: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right="3280"/>
        <w:spacing w:after="0"/>
        <w:rPr>
          <w:sz w:val="20"/>
          <w:szCs w:val="20"/>
          <w:color w:val="auto"/>
        </w:rPr>
      </w:pPr>
      <w:r>
        <w:rPr>
          <w:rFonts w:ascii="Arial" w:cs="Arial" w:eastAsia="Arial" w:hAnsi="Arial"/>
          <w:sz w:val="17"/>
          <w:szCs w:val="17"/>
          <w:color w:val="auto"/>
        </w:rPr>
        <w:t>STATEMENTS OF CONSOLIDATED COMPREHENSIVE LOSS</w:t>
      </w:r>
    </w:p>
    <w:p>
      <w:pPr>
        <w:spacing w:after="0" w:line="35" w:lineRule="exact"/>
        <w:rPr>
          <w:sz w:val="20"/>
          <w:szCs w:val="20"/>
          <w:color w:val="auto"/>
        </w:rPr>
      </w:pPr>
    </w:p>
    <w:p>
      <w:pPr>
        <w:jc w:val="center"/>
        <w:ind w:right="3280"/>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3280"/>
        <w:spacing w:after="0"/>
        <w:rPr>
          <w:sz w:val="20"/>
          <w:szCs w:val="20"/>
          <w:color w:val="auto"/>
        </w:rPr>
      </w:pPr>
      <w:r>
        <w:rPr>
          <w:rFonts w:ascii="Arial" w:cs="Arial" w:eastAsia="Arial" w:hAnsi="Arial"/>
          <w:sz w:val="18"/>
          <w:szCs w:val="18"/>
          <w:color w:val="auto"/>
        </w:rPr>
        <w:t>For the Three and Six Months Ended June 30</w:t>
      </w:r>
    </w:p>
    <w:p>
      <w:pPr>
        <w:spacing w:after="0" w:line="9" w:lineRule="exact"/>
        <w:rPr>
          <w:sz w:val="20"/>
          <w:szCs w:val="20"/>
          <w:color w:val="auto"/>
        </w:rPr>
      </w:pPr>
    </w:p>
    <w:p>
      <w:pPr>
        <w:jc w:val="center"/>
        <w:ind w:right="3280"/>
        <w:spacing w:after="0"/>
        <w:rPr>
          <w:sz w:val="20"/>
          <w:szCs w:val="20"/>
          <w:color w:val="auto"/>
        </w:rPr>
      </w:pPr>
      <w:r>
        <w:rPr>
          <w:rFonts w:ascii="Arial" w:cs="Arial" w:eastAsia="Arial" w:hAnsi="Arial"/>
          <w:sz w:val="16"/>
          <w:szCs w:val="16"/>
          <w:color w:val="auto"/>
        </w:rPr>
        <w:t>(Amounts in millions except per share data, shares in thousands)</w:t>
      </w:r>
    </w:p>
    <w:p>
      <w:pPr>
        <w:spacing w:after="0" w:line="32" w:lineRule="exact"/>
        <w:rPr>
          <w:sz w:val="20"/>
          <w:szCs w:val="20"/>
          <w:color w:val="auto"/>
        </w:rPr>
      </w:pPr>
    </w:p>
    <w:p>
      <w:pPr>
        <w:jc w:val="center"/>
        <w:ind w:right="3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1880" w:type="dxa"/>
        <w:tblCellMar>
          <w:top w:w="0" w:type="dxa"/>
          <w:left w:w="0" w:type="dxa"/>
          <w:bottom w:w="0" w:type="dxa"/>
          <w:right w:w="0" w:type="dxa"/>
        </w:tblCellMar>
      </w:tblPr>
      <w:tr>
        <w:trPr>
          <w:trHeight w:val="188"/>
        </w:trPr>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color w:val="auto"/>
              </w:rPr>
              <w:t>Three Months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color w:val="auto"/>
              </w:rPr>
              <w:t>Six Months</w:t>
            </w:r>
          </w:p>
        </w:tc>
        <w:tc>
          <w:tcPr>
            <w:tcW w:w="1020" w:type="dxa"/>
            <w:vAlign w:val="bottom"/>
            <w:tcBorders>
              <w:bottom w:val="single" w:sz="8" w:color="auto"/>
            </w:tcBorders>
          </w:tcPr>
          <w:p>
            <w:pPr>
              <w:spacing w:after="0"/>
              <w:rPr>
                <w:sz w:val="16"/>
                <w:szCs w:val="16"/>
                <w:color w:val="auto"/>
              </w:rPr>
            </w:pPr>
          </w:p>
        </w:tc>
      </w:tr>
      <w:tr>
        <w:trPr>
          <w:trHeight w:val="264"/>
        </w:trPr>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2013</w:t>
            </w:r>
          </w:p>
        </w:tc>
      </w:tr>
      <w:tr>
        <w:trPr>
          <w:trHeight w:val="243"/>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2"/>
              <w:spacing w:after="0"/>
              <w:rPr>
                <w:sz w:val="20"/>
                <w:szCs w:val="20"/>
                <w:color w:val="auto"/>
              </w:rPr>
            </w:pPr>
            <w:r>
              <w:rPr>
                <w:rFonts w:ascii="Arial" w:cs="Arial" w:eastAsia="Arial" w:hAnsi="Arial"/>
                <w:sz w:val="18"/>
                <w:szCs w:val="18"/>
                <w:color w:val="auto"/>
              </w:rPr>
              <w:t>1,317.6</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1,242.5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2"/>
              <w:spacing w:after="0"/>
              <w:rPr>
                <w:sz w:val="20"/>
                <w:szCs w:val="20"/>
                <w:color w:val="auto"/>
              </w:rPr>
            </w:pPr>
            <w:r>
              <w:rPr>
                <w:rFonts w:ascii="Arial" w:cs="Arial" w:eastAsia="Arial" w:hAnsi="Arial"/>
                <w:sz w:val="18"/>
                <w:szCs w:val="18"/>
                <w:color w:val="auto"/>
              </w:rPr>
              <w:t>2,528.5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2,405.0</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-8255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2560" w:space="720"/>
            <w:col w:w="8140"/>
          </w:cols>
          <w:pgMar w:left="240" w:top="122" w:right="239" w:bottom="1440" w:gutter="0" w:footer="0" w:header="0"/>
        </w:sect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Salaries, wages and employees’ benefits</w:t>
            </w:r>
          </w:p>
        </w:tc>
        <w:tc>
          <w:tcPr>
            <w:tcW w:w="4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740.7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717.5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1,466.4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1,398.5</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expenses and supplies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Purchased transportation</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159.8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240.6</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104.2</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1,297.6</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1,228.2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2,540.9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2,380.8</w:t>
            </w: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Operating Income (Loss)</w:t>
            </w: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Nonoperating Expenses:</w:t>
            </w: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41"/>
        </w:trPr>
        <w:tc>
          <w:tcPr>
            <w:tcW w:w="5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Gain on extinguishment of debt</w:t>
            </w:r>
          </w:p>
        </w:tc>
        <w:tc>
          <w:tcPr>
            <w:tcW w:w="4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Nonoperating expenses, net</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78.3</w:t>
            </w: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beneficial conversion feature on preferred stock</w:t>
            </w:r>
          </w:p>
        </w:tc>
        <w:tc>
          <w:tcPr>
            <w:tcW w:w="4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Loss Attributable to Common Shareholders</w:t>
            </w: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318"/>
        </w:trPr>
        <w:tc>
          <w:tcPr>
            <w:tcW w:w="516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w w:val="98"/>
              </w:rPr>
              <w:t>Comprehensive Loss Attributable to YRC Worldwide Inc.</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Common Shares Outstanding – Basic</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Average Common Shares Outstanding – Diluted</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30,612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8,784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26,501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8,583</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Loss Per Share – Basic</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Loss Per Share – Diluted</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7"/>
        </w:trPr>
        <w:tc>
          <w:tcPr>
            <w:tcW w:w="5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CONSOLIDATED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Ended June 30</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items included in net loss: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87.1</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Paid-in-kind interest on Series A Notes and Series B Notes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of deferred debt costs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premiums and discounts on debt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Equity based compensation expense</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 benefit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Gains on property disposals, net</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extinguishment of debt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noncash items, net</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 net: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operating assets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liabilities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Restricted escrow (deposits) receipts, net</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12.8</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Issuance of long-term debt</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693.0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(795.7)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issuance costs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Equity issuance proceeds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92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165.9</w:t>
            </w:r>
          </w:p>
        </w:tc>
      </w:tr>
      <w:tr>
        <w:trPr>
          <w:trHeight w:val="67"/>
        </w:trPr>
        <w:tc>
          <w:tcPr>
            <w:tcW w:w="834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64"/>
        </w:trPr>
        <w:tc>
          <w:tcPr>
            <w:tcW w:w="8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 refund, net</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CONSOLIDATED SHAREHOLDERS’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Ended 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Preferred Stock:</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preferred stock</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Conversion of preferred shares to common shares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Common Stock:</w:t>
            </w: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9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Issuance of common stock</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common stock upon conversion of Series B Notes</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9940" w:type="dxa"/>
            <w:vAlign w:val="bottom"/>
          </w:tcPr>
          <w:p>
            <w:pPr>
              <w:ind w:left="180"/>
              <w:spacing w:after="0"/>
              <w:rPr>
                <w:sz w:val="20"/>
                <w:szCs w:val="20"/>
                <w:color w:val="auto"/>
              </w:rPr>
            </w:pPr>
            <w:r>
              <w:rPr>
                <w:rFonts w:ascii="Arial" w:cs="Arial" w:eastAsia="Arial" w:hAnsi="Arial"/>
                <w:sz w:val="18"/>
                <w:szCs w:val="18"/>
                <w:color w:val="auto"/>
              </w:rPr>
              <w:t>Ending balance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Surplus: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1,964.4</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equity, net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249.3</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Conversion of preferred shares to common shares</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Beneficial conversion feature on preferred stock</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Share-based compensation</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equity upon conversion and exchange of Series B Notes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Equity issuance costs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2,287.9</w:t>
            </w:r>
          </w:p>
        </w:tc>
      </w:tr>
      <w:tr>
        <w:trPr>
          <w:trHeight w:val="22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Accumulated Deficit:</w:t>
            </w: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9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(2,154.2)</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Amortization of beneficial conversion feature on preferred stock</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37"/>
        </w:trPr>
        <w:tc>
          <w:tcPr>
            <w:tcW w:w="9940" w:type="dxa"/>
            <w:vAlign w:val="bottom"/>
          </w:tcPr>
          <w:p>
            <w:pPr>
              <w:ind w:left="180"/>
              <w:spacing w:after="0"/>
              <w:rPr>
                <w:sz w:val="20"/>
                <w:szCs w:val="20"/>
                <w:color w:val="auto"/>
              </w:rPr>
            </w:pPr>
            <w:r>
              <w:rPr>
                <w:rFonts w:ascii="Arial" w:cs="Arial" w:eastAsia="Arial" w:hAnsi="Arial"/>
                <w:sz w:val="18"/>
                <w:szCs w:val="18"/>
                <w:color w:val="auto"/>
              </w:rPr>
              <w:t>Ending balance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(2,247.4)</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(315.0)</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of net pension actuarial losses to net loss, net of tax</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r>
      <w:tr>
        <w:trPr>
          <w:trHeight w:val="22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Treasury Stock, At Cost:</w:t>
            </w: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9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and 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Total Shareholders’ Deficit</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(362.4)</w:t>
            </w:r>
          </w:p>
        </w:tc>
      </w:tr>
      <w:tr>
        <w:trPr>
          <w:trHeight w:val="27"/>
        </w:trPr>
        <w:tc>
          <w:tcPr>
            <w:tcW w:w="99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these Notes to Consolidated Financial Statements contain forward-looking statements, as described in “Management’s Discussion and Analysis of Financial Condition and Results of Operations — Cautionary Note Regarding Forward-Looking Statements.”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Description of Business</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YRC Worldwide Inc. (also referred to as “YRC Worldwide,” the “Company,” “we,” “us” or “our”), one of the largest transportation service providers, is a holding company that, through wholly owned operating subsidiaries and its interest in a Chinese joint venture, offers its customers a wide range of transportation services. We have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73" w:lineRule="exact"/>
        <w:rPr>
          <w:sz w:val="20"/>
          <w:szCs w:val="20"/>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YRC Freight is the reporting segment that focuses on longer haul business opportunities in national, regional and international services. YRC Freight provides for the movement of industrial, commercial and retail goods, primarily through centralized management and customer facing organizations. This reporting segment includes our LTL subsidiary YRC Inc. (our YRC Freight operations in the United States) and Reimer Express, a subsidiary located in Canada that specializes in shipments into, across and out of Canada. In addition to the United States and Canada, YRC Freight also serves parts of Mexico, Puerto Rico and Guam.</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Transportation is the reporting segment for our transportation service providers focused on business opportunities in the regional and next-day delivery markets. Regional Transportation is comprised of USF Holland Inc. (“Holland”), New Penn Motor Express, Inc. (“New Penn”) and USF Reddaway Inc. (“Reddaway”). These companies each provide regional, next-day ground services in their respective regions through a network of facilities located across the United States, Canada, Mexico and Puerto Rico.</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At June 30, 2014, approximately 78% of our labor force is subject to collective bargaining agreements, which predominantly expire in March 2019.</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Principles of Consolidation</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accompanying Consolidated Financial Statements include the accounts of YRC Worldwide and its wholly owned subsidiaries. All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 Our investment in our non-majority owned affiliate is accounted for on the equity method.</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make estimates and assumptions that affect the amounts reported in the Consolidated Financial Statements and notes. Actual results could differ from those estimates. We have prepared the Consolidated Financial Statements, without audit, pursuant to the rules and regulations of the Securities and Exchange Commission (“SEC”). In our opinion, all normal recurring adjustments necessary for a fair statement of the financial position, results of operations and cash flows for the interim periods included in these financial statements herein have been made. Certain information and note disclosures normally included in financial statements prepared in accordance with generally accepted accounting principles (“GAAP”) have been condensed or omitted from these statements pursuant to SEC rules and regulations. Accordingly, the accompanying Consolidated Financial Statements should be read in conjunction with the Consolidated Financial Statements included in our Annual Report on Form 10-K for the year ended December 31,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we plan to dispose of property or equipment by sale, the asset is recorded in the financial statements at the lower of the carrying amount or estimated fair value, less cost to sell, and is reclassified to assets held for sale. Additionally, after such reclassification, there is no further depreciation taken on the asset. For an asset to be classified as held for sale, management must approve and commit to a formal plan, the sale should be anticipated during the ensuing year and the asset must be actively marketed,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 available for immediate sale, and meet certain other specified criteria. We use level 3 inputs to determine the fair value of each property considered held for sale.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June 30, 2014 and December 31, 2013, the net book value of assets held for sale was $16.7 million and $17.2 million, respectively. This amount is included in “Property and Equipment” in the accompanying consolidated balance sheets. We recorded charges of$1.0 million and $1.6 million for the three and six months ended June 30, 2014, respectively, and $2.0 million and $2.6 million for the three and six months ended June 30, 2013, respectively, to reduce properties held for sale to estimated fair value, less cost to sell. These charges are included in “(Gains) losses on property disposals, net” in the accompanying statements of consolidated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fair value hierarchy of our financial assets and liabilities carried at fair value on a recurring basis as of June 30, 2014:</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964"/>
              <w:spacing w:after="0"/>
              <w:rPr>
                <w:sz w:val="20"/>
                <w:szCs w:val="20"/>
                <w:color w:val="auto"/>
              </w:rPr>
            </w:pPr>
            <w:r>
              <w:rPr>
                <w:rFonts w:ascii="Arial" w:cs="Arial" w:eastAsia="Arial" w:hAnsi="Arial"/>
                <w:sz w:val="14"/>
                <w:szCs w:val="14"/>
                <w:b w:val="1"/>
                <w:bCs w:val="1"/>
                <w:color w:val="auto"/>
                <w:w w:val="95"/>
              </w:rPr>
              <w:t>Fair Value Measurement Hierarchy</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Quoted prices</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3"/>
                <w:szCs w:val="13"/>
                <w:color w:val="auto"/>
              </w:rPr>
            </w:pPr>
          </w:p>
        </w:tc>
        <w:tc>
          <w:tcPr>
            <w:tcW w:w="1180" w:type="dxa"/>
            <w:vAlign w:val="bottom"/>
          </w:tcPr>
          <w:p>
            <w:pPr>
              <w:jc w:val="center"/>
              <w:ind w:right="204"/>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Total 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300" w:type="dxa"/>
            <w:vAlign w:val="bottom"/>
          </w:tcPr>
          <w:p>
            <w:pPr>
              <w:spacing w:after="0"/>
              <w:rPr>
                <w:sz w:val="12"/>
                <w:szCs w:val="12"/>
                <w:color w:val="auto"/>
              </w:rPr>
            </w:pPr>
          </w:p>
        </w:tc>
        <w:tc>
          <w:tcPr>
            <w:tcW w:w="118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 active market</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300" w:type="dxa"/>
            <w:vAlign w:val="bottom"/>
          </w:tcPr>
          <w:p>
            <w:pPr>
              <w:spacing w:after="0"/>
              <w:rPr>
                <w:sz w:val="12"/>
                <w:szCs w:val="12"/>
                <w:color w:val="auto"/>
              </w:rPr>
            </w:pPr>
          </w:p>
        </w:tc>
        <w:tc>
          <w:tcPr>
            <w:tcW w:w="118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41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3"/>
              </w:rPr>
              <w:t>inputs (Level 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escrow-current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Restricted amounts held in escrow are invested in money market accounts and are recorded at fair value based on quoted market prices. The carrying value of cash and cash equivalents, accounts receivable and accounts payable approximates their fair value due to the short-term nature of these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Out of Accumulated Other Comprehensive Loss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and six months ended June 30, 2014, we reclassified the amortization of our net pension loss totaling $1.9 million and $3.9 million, respectively, net of tax, from accumulated other comprehensive loss to net loss. For the three and six months ended June 30, 2013, we reclassified the amortization of our net pension loss totaling $3.7 million and $7.4 million, respectively, net of tax, from accumulated other comprehensive loss to net loss. This reclassification is a component of net periodic pension cost and is discussed in the “Employees’ Benefits” footnote.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Recently Issued Accounting Standards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issued new authoritative literature,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issuance is part of a joint effort by the FASB and the International Accounting Standards Board (IASB) to enhance financial reporting by creating common revenue recognition guidance for U.S. GAAP and, thereby, improving the consistency of requirements, comparability of practices and usefulness of disclosures. The new standard will supersede much of the existing authoritative literature for revenue recognition. The standard and related amendments will be effective for the Company for its annual reporting period ending December 31, 2017, including interim periods within that reporting period. Early application is not permitted. Entities are allowed to transition to the new standard by either recasting prior periods or recognizing the cumulative effect. While we do not believe the newly issued guidance will have a significant impact on our Consolidated Financial Statements, the Company is currently evaluating the newly issued guidance, including which transition approach will be applied.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2014 Financing Transactions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31, 2014, we issued 14,333,334 shares of our Common Stock and 583,334 shares of our Convertible Preferred Stock pursuant to certain stock purchase agreements, dated as of December 22, 2013 (the “Stock Purchase Agreements”), for an aggregate $250.0 million in cash. We used the proceeds from these transactions to, among other things, (i) repay our 6% Convertible Senior Notes (“6% Notes”) at their maturity on February 15, 2014 and (ii) repurchase $90.9 million of our Series A Convertible Senior Secured Notes (“Series A Notes”). The Company will redeem the remaining Series A Notes on August 5, 2014. In February 2014, the Company deposited $89.6 million with the trustee in order to fund the redemption (including accrued interest), and thereby discharged the indenture governing the Series A Notes.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on January 31, 2014, certain holders of our 10% Series B Convertible Senior Secured Notes (“Series B Notes”) exchanged their outstanding balances at a conversion price of $15.00 per share, while another holder converted its Series B Notes in accordance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with their terms. We also amended the indenture governing our Series B Notes to eliminate substantially all of the restrictive covenants, certain events of default and other related provisions contained in the indenture and to release and discharge the liens on the collateral securing the Series B Notes.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January 31, 2014, certain of our subsidiaries, various pension funds party thereto, and Wilmington Trust Company, as agent for such pension funds, entered into the Second Amended and Restated Contribution Deferral Agreement (“Second A&amp;R CDA”), which, among other things (i) amended and restated the Amended and Restated Contribution Deferral Agreement (“A&amp;R CDA”), (ii) released the agent’s security interest in third priority collateral on the Collateral Release Date, (iii) limited the value of obligations secured by the collateral to the Secured Obligations and (iv) extended the maturity of deferred pension payments and deferred interest from March 31, 2015 to December 31, 2019.</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13, 2014, we replaced our existing credit facilities with a new $450 million asset-based loan (the “New ABL Facility”) and a new $700 million term loan facility (“New Term Loan”). The New ABL Facility supports our outstanding letters of credit commitments.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refer to transactions described above collectively as the “2014 Financing Transactions.” The table below summarizes the cash flow activity for the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Financing Transactions:</w:t>
      </w:r>
    </w:p>
    <w:p>
      <w:pPr>
        <w:spacing w:after="0" w:line="200" w:lineRule="exact"/>
        <w:rPr>
          <w:sz w:val="20"/>
          <w:szCs w:val="20"/>
          <w:color w:val="auto"/>
        </w:rPr>
      </w:pPr>
    </w:p>
    <w:p>
      <w:pPr>
        <w:spacing w:after="0" w:line="232" w:lineRule="exact"/>
        <w:rPr>
          <w:sz w:val="20"/>
          <w:szCs w:val="20"/>
          <w:color w:val="auto"/>
        </w:rPr>
      </w:pPr>
    </w:p>
    <w:p>
      <w:pPr>
        <w:ind w:left="460"/>
        <w:spacing w:after="0"/>
        <w:tabs>
          <w:tab w:leader="none" w:pos="5840" w:val="left"/>
        </w:tabs>
        <w:rPr>
          <w:sz w:val="20"/>
          <w:szCs w:val="20"/>
          <w:color w:val="auto"/>
        </w:rPr>
      </w:pPr>
      <w:r>
        <w:rPr>
          <w:rFonts w:ascii="Arial" w:cs="Arial" w:eastAsia="Arial" w:hAnsi="Arial"/>
          <w:sz w:val="14"/>
          <w:szCs w:val="14"/>
          <w:b w:val="1"/>
          <w:bCs w:val="1"/>
          <w:color w:val="auto"/>
        </w:rPr>
        <w:t>Cash Sources (in millions)</w:t>
      </w:r>
      <w:r>
        <w:rPr>
          <w:sz w:val="20"/>
          <w:szCs w:val="20"/>
          <w:color w:val="auto"/>
        </w:rPr>
        <w:tab/>
      </w:r>
      <w:r>
        <w:rPr>
          <w:rFonts w:ascii="Arial" w:cs="Arial" w:eastAsia="Arial" w:hAnsi="Arial"/>
          <w:sz w:val="12"/>
          <w:szCs w:val="12"/>
          <w:b w:val="1"/>
          <w:bCs w:val="1"/>
          <w:color w:val="auto"/>
        </w:rPr>
        <w:t>Cash Uses (in millions)</w:t>
      </w: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tbl>
      <w:tblPr>
        <w:tblLayout w:type="fixed"/>
        <w:tblInd w:w="440" w:type="dxa"/>
        <w:tblCellMar>
          <w:top w:w="0" w:type="dxa"/>
          <w:left w:w="0" w:type="dxa"/>
          <w:bottom w:w="0" w:type="dxa"/>
          <w:right w:w="0" w:type="dxa"/>
        </w:tblCellMar>
      </w:tblPr>
      <w:tr>
        <w:trPr>
          <w:trHeight w:val="256"/>
        </w:trPr>
        <w:tc>
          <w:tcPr>
            <w:tcW w:w="4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Term Loan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Proceeds from sale of common stock</w:t>
            </w:r>
          </w:p>
        </w:tc>
        <w:tc>
          <w:tcPr>
            <w:tcW w:w="3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215.0</w:t>
            </w: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convertible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w w:val="93"/>
              </w:rPr>
              <w:t>Cash proceeds from restricted amounts held in escrow -</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existing ABL facility</w:t>
            </w:r>
          </w:p>
        </w:tc>
        <w:tc>
          <w:tcPr>
            <w:tcW w:w="3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46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ABL Facility</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4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70"/>
        </w:trPr>
        <w:tc>
          <w:tcPr>
            <w:tcW w:w="42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-8255</wp:posOffset>
            </wp:positionV>
            <wp:extent cx="330200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00" cy="18034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Total sources</w:t>
            </w:r>
          </w:p>
        </w:tc>
        <w:tc>
          <w:tcPr>
            <w:tcW w:w="2460" w:type="dxa"/>
            <w:vAlign w:val="bottom"/>
          </w:tcPr>
          <w:p>
            <w:pPr>
              <w:jc w:val="right"/>
              <w:spacing w:after="0"/>
              <w:rPr>
                <w:sz w:val="20"/>
                <w:szCs w:val="20"/>
                <w:color w:val="auto"/>
              </w:rPr>
            </w:pPr>
            <w:r>
              <w:rPr>
                <w:rFonts w:ascii="Arial" w:cs="Arial" w:eastAsia="Arial" w:hAnsi="Arial"/>
                <w:sz w:val="18"/>
                <w:szCs w:val="18"/>
                <w:color w:val="auto"/>
              </w:rPr>
              <w:t>$   1,040.0</w:t>
            </w: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4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Extinguish Prior ABL Facility (includes accrued interest)</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326.0</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w w:val="95"/>
              </w:rPr>
              <w:t>Extinguish Prior Term Loan (includes accrued interest)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299.7</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 6% Notes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r>
      <w:tr>
        <w:trPr>
          <w:trHeight w:val="459"/>
        </w:trPr>
        <w:tc>
          <w:tcPr>
            <w:tcW w:w="4200" w:type="dxa"/>
            <w:vAlign w:val="bottom"/>
          </w:tcPr>
          <w:p>
            <w:pPr>
              <w:ind w:left="20"/>
              <w:spacing w:after="0"/>
              <w:rPr>
                <w:sz w:val="20"/>
                <w:szCs w:val="20"/>
                <w:color w:val="auto"/>
              </w:rPr>
            </w:pPr>
            <w:r>
              <w:rPr>
                <w:rFonts w:ascii="Arial" w:cs="Arial" w:eastAsia="Arial" w:hAnsi="Arial"/>
                <w:sz w:val="18"/>
                <w:szCs w:val="18"/>
                <w:color w:val="auto"/>
                <w:w w:val="94"/>
              </w:rPr>
              <w:t>Repurchase Series A Notes (includes accrued interest)</w:t>
            </w:r>
          </w:p>
        </w:tc>
        <w:tc>
          <w:tcPr>
            <w:tcW w:w="2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93.9</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Redeem Series A Notes (on August 5, 2014 and includes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Fees, Expenses and Original Issuance Discount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50.8</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2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Restricted Cash to Balance Sheet </w:t>
            </w:r>
            <w:r>
              <w:rPr>
                <w:rFonts w:ascii="Arial" w:cs="Arial" w:eastAsia="Arial" w:hAnsi="Arial"/>
                <w:sz w:val="25"/>
                <w:szCs w:val="25"/>
                <w:color w:val="auto"/>
                <w:vertAlign w:val="superscript"/>
              </w:rPr>
              <w:t>(a)</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Cash to Balance Sheet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7"/>
        </w:trPr>
        <w:tc>
          <w:tcPr>
            <w:tcW w:w="4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Total uses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-162560</wp:posOffset>
            </wp:positionV>
            <wp:extent cx="3275965"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5965" cy="18034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5640" w:space="200"/>
            <w:col w:w="5580"/>
          </w:cols>
          <w:pgMar w:left="240" w:top="121" w:right="239" w:bottom="1440" w:gutter="0" w:footer="0" w:header="0"/>
          <w:type w:val="continuous"/>
        </w:sectPr>
      </w:pPr>
    </w:p>
    <w:p>
      <w:pPr>
        <w:ind w:left="660" w:hanging="328"/>
        <w:spacing w:after="0"/>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Under the terms of the New ABL facility, this amount was classified as “restricted cash” in the consolidated balance sheet at the closing date of the New ABL Facility.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non-cash activity for the 2014 Financing Transactions:</w:t>
      </w:r>
    </w:p>
    <w:p>
      <w:pPr>
        <w:spacing w:after="0" w:line="200" w:lineRule="exact"/>
        <w:rPr>
          <w:sz w:val="20"/>
          <w:szCs w:val="20"/>
          <w:color w:val="auto"/>
        </w:rPr>
      </w:pPr>
    </w:p>
    <w:p>
      <w:pPr>
        <w:spacing w:after="0" w:line="246" w:lineRule="exact"/>
        <w:rPr>
          <w:sz w:val="20"/>
          <w:szCs w:val="20"/>
          <w:color w:val="auto"/>
        </w:rPr>
      </w:pPr>
    </w:p>
    <w:p>
      <w:pPr>
        <w:ind w:left="1660"/>
        <w:spacing w:after="0"/>
        <w:tabs>
          <w:tab w:leader="none" w:pos="5980" w:val="left"/>
        </w:tabs>
        <w:rPr>
          <w:sz w:val="20"/>
          <w:szCs w:val="20"/>
          <w:color w:val="auto"/>
        </w:rPr>
      </w:pPr>
      <w:r>
        <w:rPr>
          <w:rFonts w:ascii="Arial" w:cs="Arial" w:eastAsia="Arial" w:hAnsi="Arial"/>
          <w:sz w:val="14"/>
          <w:szCs w:val="14"/>
          <w:b w:val="1"/>
          <w:bCs w:val="1"/>
          <w:color w:val="auto"/>
        </w:rPr>
        <w:t>Non-Cash Sources (in millions)</w:t>
      </w:r>
      <w:r>
        <w:rPr>
          <w:sz w:val="20"/>
          <w:szCs w:val="20"/>
          <w:color w:val="auto"/>
        </w:rPr>
        <w:tab/>
      </w:r>
      <w:r>
        <w:rPr>
          <w:rFonts w:ascii="Arial" w:cs="Arial" w:eastAsia="Arial" w:hAnsi="Arial"/>
          <w:sz w:val="12"/>
          <w:szCs w:val="12"/>
          <w:b w:val="1"/>
          <w:bCs w:val="1"/>
          <w:color w:val="auto"/>
        </w:rPr>
        <w:t>Non-Cash Uses (in millions)</w:t>
      </w:r>
    </w:p>
    <w:p>
      <w:pPr>
        <w:sectPr>
          <w:pgSz w:w="11900" w:h="16838" w:orient="portrait"/>
          <w:cols w:equalWidth="0" w:num="1">
            <w:col w:w="11420"/>
          </w:cols>
          <w:pgMar w:left="240" w:top="121" w:right="239" w:bottom="1440" w:gutter="0" w:footer="0" w:header="0"/>
          <w:type w:val="continuous"/>
        </w:sectPr>
      </w:pPr>
    </w:p>
    <w:p>
      <w:pPr>
        <w:spacing w:after="0" w:line="25" w:lineRule="exact"/>
        <w:rPr>
          <w:sz w:val="20"/>
          <w:szCs w:val="20"/>
          <w:color w:val="auto"/>
        </w:rPr>
      </w:pPr>
    </w:p>
    <w:tbl>
      <w:tblPr>
        <w:tblLayout w:type="fixed"/>
        <w:tblInd w:w="1620" w:type="dxa"/>
        <w:tblCellMar>
          <w:top w:w="0" w:type="dxa"/>
          <w:left w:w="0" w:type="dxa"/>
          <w:bottom w:w="0" w:type="dxa"/>
          <w:right w:w="0" w:type="dxa"/>
        </w:tblCellMar>
      </w:tblPr>
      <w:tr>
        <w:trPr>
          <w:trHeight w:val="256"/>
        </w:trPr>
        <w:tc>
          <w:tcPr>
            <w:tcW w:w="34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Second A&amp;R CDA</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459"/>
        </w:trPr>
        <w:tc>
          <w:tcPr>
            <w:tcW w:w="3420" w:type="dxa"/>
            <w:vAlign w:val="bottom"/>
          </w:tcPr>
          <w:p>
            <w:pPr>
              <w:ind w:left="40"/>
              <w:spacing w:after="0"/>
              <w:rPr>
                <w:sz w:val="20"/>
                <w:szCs w:val="20"/>
                <w:color w:val="auto"/>
              </w:rPr>
            </w:pPr>
            <w:r>
              <w:rPr>
                <w:rFonts w:ascii="Arial" w:cs="Arial" w:eastAsia="Arial" w:hAnsi="Arial"/>
                <w:sz w:val="18"/>
                <w:szCs w:val="18"/>
                <w:color w:val="auto"/>
              </w:rPr>
              <w:t>Unsecured Second A&amp;R CDA</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73.2</w:t>
            </w: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9"/>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Exchange/conversion of Series B Notes to</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62"/>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37"/>
        </w:trPr>
        <w:tc>
          <w:tcPr>
            <w:tcW w:w="3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sources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174.8</w:t>
            </w: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3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A&amp;R CDA</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r>
      <w:tr>
        <w:trPr>
          <w:trHeight w:val="229"/>
        </w:trPr>
        <w:tc>
          <w:tcPr>
            <w:tcW w:w="3260" w:type="dxa"/>
            <w:vAlign w:val="bottom"/>
          </w:tcPr>
          <w:p>
            <w:pPr>
              <w:ind w:left="40"/>
              <w:spacing w:after="0"/>
              <w:rPr>
                <w:sz w:val="20"/>
                <w:szCs w:val="20"/>
                <w:color w:val="auto"/>
              </w:rPr>
            </w:pPr>
            <w:r>
              <w:rPr>
                <w:rFonts w:ascii="Arial" w:cs="Arial" w:eastAsia="Arial" w:hAnsi="Arial"/>
                <w:sz w:val="18"/>
                <w:szCs w:val="18"/>
                <w:color w:val="auto"/>
                <w:w w:val="94"/>
              </w:rPr>
              <w:t>Exchange/conversion of Series B Notes to</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32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7"/>
        </w:trPr>
        <w:tc>
          <w:tcPr>
            <w:tcW w:w="3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486"/>
        </w:trPr>
        <w:tc>
          <w:tcPr>
            <w:tcW w:w="32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Total uses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174.8</w:t>
            </w:r>
          </w:p>
        </w:tc>
      </w:tr>
    </w:tbl>
    <w:p>
      <w:pPr>
        <w:spacing w:after="0" w:line="200" w:lineRule="exact"/>
        <w:rPr>
          <w:sz w:val="20"/>
          <w:szCs w:val="20"/>
          <w:color w:val="auto"/>
        </w:rPr>
      </w:pPr>
    </w:p>
    <w:p>
      <w:pPr>
        <w:sectPr>
          <w:pgSz w:w="11900" w:h="16838" w:orient="portrait"/>
          <w:cols w:equalWidth="0" w:num="2">
            <w:col w:w="5780" w:space="180"/>
            <w:col w:w="5460"/>
          </w:cols>
          <w:pgMar w:left="240" w:top="121" w:right="23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accounted for the A&amp;R CDA maturity extension as a debt modification and the remaining transactions as extinguishment of debt and issuance of new debt. We recorded a gain on extinguishment of debt of $11.2 million associated with this transaction during the six months ended June 30, 2014, $16.3 million of which related to the acceleration of net premiums on our old debt, partially offset by $5.1 million of additional expense related to the fair value of the incremental shares provided to those Series B Note holders who exchanged their outstanding balances at a conversion price of $15.00 per share. We recorded, in “interest expense” on the statements of consolidated comprehensive loss, $8.0 million of make-whole interest related to the Series B Notes exchanged during the six months ended June 30, 2014. We paid $43.8 million of fees associated with these transactions of which $26.7 million was recorded as unamortized deferred debt costs in “other assets” in the consolidated balance sheet and will be recognized as interest expense over the term of the New Term Loan and New ABL Facility and $17.1 million offset the equity proceeds of our stock purchase agreements.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14, 2014, the Company held a special meeting of stockholders at which our stockholders approved amending our Certificate of Incorporation to increase the number of authorized shares of Common Stock and to allow an individual investor to own more than 19.99% of outstanding Common Stock. Upon approval of these amendments, each outstanding share of Convertible Preferred Stock automatically converted into four shares of Common Stock and the Company recorded $18.1 million related to the amortization of the beneficial conversion feature on preferred stock on the statements of consolidated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$700 Million First Lien Term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13, 2014, we borrowed in full $700 million, less a 1% discount, from a syndicate of banks and other financial institutions arranged by Credit Suisse Securities (USA) and RBS Citizens, N.A. No amounts under this New Term Loan, once repaid, may be reborrowed. Certain material provisions of the New Term Loan are summarized below:</w:t>
      </w:r>
    </w:p>
    <w:p>
      <w:pPr>
        <w:spacing w:after="0" w:line="181" w:lineRule="exact"/>
        <w:rPr>
          <w:sz w:val="20"/>
          <w:szCs w:val="20"/>
          <w:color w:val="auto"/>
        </w:rPr>
      </w:pPr>
    </w:p>
    <w:p>
      <w:pPr>
        <w:ind w:right="20" w:firstLine="8"/>
        <w:spacing w:after="0" w:line="277" w:lineRule="auto"/>
        <w:tabs>
          <w:tab w:leader="none" w:pos="11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Maturity and Amortization</w:t>
      </w:r>
      <w:r>
        <w:rPr>
          <w:rFonts w:ascii="Arial" w:cs="Arial" w:eastAsia="Arial" w:hAnsi="Arial"/>
          <w:sz w:val="18"/>
          <w:szCs w:val="18"/>
          <w:color w:val="auto"/>
        </w:rPr>
        <w:t>: The New Term Loan matures on February 13, 2019. The New Term Loan will amortize in equal quarterly installments in an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annual amount equal to 1% of the original principal amount of the New Term Loan.</w:t>
      </w:r>
    </w:p>
    <w:p>
      <w:pPr>
        <w:spacing w:after="0" w:line="170" w:lineRule="exact"/>
        <w:rPr>
          <w:rFonts w:ascii="Arial" w:cs="Arial" w:eastAsia="Arial" w:hAnsi="Arial"/>
          <w:sz w:val="18"/>
          <w:szCs w:val="18"/>
          <w:color w:val="auto"/>
        </w:rPr>
      </w:pPr>
    </w:p>
    <w:p>
      <w:pPr>
        <w:jc w:val="both"/>
        <w:ind w:firstLine="8"/>
        <w:spacing w:after="0" w:line="276" w:lineRule="auto"/>
        <w:tabs>
          <w:tab w:leader="none" w:pos="10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Incremental</w:t>
      </w:r>
      <w:r>
        <w:rPr>
          <w:rFonts w:ascii="Arial" w:cs="Arial" w:eastAsia="Arial" w:hAnsi="Arial"/>
          <w:sz w:val="17"/>
          <w:szCs w:val="17"/>
          <w:color w:val="auto"/>
        </w:rPr>
        <w:t>: Subject to finding current or new lenders willing to provide such commitments, the Company has the right to incur one or more increases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New Term Loan and/or one or more new tranches of term loans (which may be unsecured or secured on a junior basis) to be made available under the New Term Loan credit agreement which shall not exceed (i) $250 million so long as the senior secured leverage ratio on a pro forma basis (defined as consolidated total debt that is secured by a lien as of such date over Consolidated EBITDA as of the twelve months ended the most recent fiscal quarter end for which financial statements are available) does not exceed 3.25 to 1.0, plus (ii) all voluntary prepayments of the New Term Loan.</w:t>
      </w:r>
    </w:p>
    <w:p>
      <w:pPr>
        <w:spacing w:after="0" w:line="172" w:lineRule="exact"/>
        <w:rPr>
          <w:rFonts w:ascii="Arial" w:cs="Arial" w:eastAsia="Arial" w:hAnsi="Arial"/>
          <w:sz w:val="17"/>
          <w:szCs w:val="17"/>
          <w:color w:val="auto"/>
        </w:rPr>
      </w:pPr>
    </w:p>
    <w:p>
      <w:pPr>
        <w:jc w:val="both"/>
        <w:ind w:firstLine="8"/>
        <w:spacing w:after="0" w:line="286" w:lineRule="auto"/>
        <w:tabs>
          <w:tab w:leader="none" w:pos="118"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Interest and Fees</w:t>
      </w:r>
      <w:r>
        <w:rPr>
          <w:rFonts w:ascii="Arial" w:cs="Arial" w:eastAsia="Arial" w:hAnsi="Arial"/>
          <w:sz w:val="17"/>
          <w:szCs w:val="17"/>
          <w:color w:val="auto"/>
        </w:rPr>
        <w:t>: The New Term Loan bears interest, at the election of the borrower, at either the applicable London interbank offer rate (“LIBOR”)</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 floor of 1.00%) plus a margin of 7.00% per annum, or a rate determined by reference to the alternate base rate (the greater of the prime rate established by the administrative agent, the federal fund rate plus 0.50% and one month, LIBOR plus 1.00%) plus a margin of 6.00%.</w:t>
      </w:r>
    </w:p>
    <w:p>
      <w:pPr>
        <w:spacing w:after="0" w:line="165" w:lineRule="exact"/>
        <w:rPr>
          <w:rFonts w:ascii="Arial" w:cs="Arial" w:eastAsia="Arial" w:hAnsi="Arial"/>
          <w:sz w:val="17"/>
          <w:szCs w:val="17"/>
          <w:color w:val="auto"/>
        </w:rPr>
      </w:pPr>
    </w:p>
    <w:p>
      <w:pPr>
        <w:ind w:firstLine="8"/>
        <w:spacing w:after="0" w:line="277" w:lineRule="auto"/>
        <w:tabs>
          <w:tab w:leader="none" w:pos="132"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Guarantors</w:t>
      </w:r>
      <w:r>
        <w:rPr>
          <w:rFonts w:ascii="Arial" w:cs="Arial" w:eastAsia="Arial" w:hAnsi="Arial"/>
          <w:sz w:val="18"/>
          <w:szCs w:val="18"/>
          <w:color w:val="auto"/>
        </w:rPr>
        <w:t>: The obligations of the borrower under the New Term Loan are unconditionally guaranteed by certain wholly owned domestic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of the Company (the “Term Guarantors”).</w:t>
      </w:r>
    </w:p>
    <w:p>
      <w:pPr>
        <w:spacing w:after="0" w:line="170" w:lineRule="exact"/>
        <w:rPr>
          <w:rFonts w:ascii="Arial" w:cs="Arial" w:eastAsia="Arial" w:hAnsi="Arial"/>
          <w:sz w:val="18"/>
          <w:szCs w:val="18"/>
          <w:color w:val="auto"/>
        </w:rPr>
      </w:pPr>
    </w:p>
    <w:p>
      <w:pPr>
        <w:jc w:val="both"/>
        <w:ind w:firstLine="8"/>
        <w:spacing w:after="0" w:line="302" w:lineRule="auto"/>
        <w:tabs>
          <w:tab w:leader="none" w:pos="10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Collateral</w:t>
      </w:r>
      <w:r>
        <w:rPr>
          <w:rFonts w:ascii="Arial" w:cs="Arial" w:eastAsia="Arial" w:hAnsi="Arial"/>
          <w:sz w:val="16"/>
          <w:szCs w:val="16"/>
          <w:color w:val="auto"/>
        </w:rPr>
        <w:t>: The New Term Loan is secured by a perfected first priority security interest in (subject to permitted liens) substantially all assets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guarantors under the New Term Loan (the “Term Guarantors”), except that accounts receivable, cash, deposit accounts and other assets related to accounts receivable are subject to a second priority interest (subject to permitted liens) and certain owned real property securing the obligations under the Second A&amp;R CDA filed January 31, 2014, do not secure the obligations under the New Term Loan credit agreement (the “CDA Collateral”).</w:t>
      </w:r>
    </w:p>
    <w:p>
      <w:pPr>
        <w:spacing w:after="0" w:line="154" w:lineRule="exact"/>
        <w:rPr>
          <w:rFonts w:ascii="Arial" w:cs="Arial" w:eastAsia="Arial" w:hAnsi="Arial"/>
          <w:sz w:val="16"/>
          <w:szCs w:val="16"/>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Mandatory Prepayments</w:t>
      </w:r>
      <w:r>
        <w:rPr>
          <w:rFonts w:ascii="Arial" w:cs="Arial" w:eastAsia="Arial" w:hAnsi="Arial"/>
          <w:sz w:val="18"/>
          <w:szCs w:val="18"/>
          <w:color w:val="auto"/>
        </w:rPr>
        <w:t>: The New Term Loan includes the following mandatory prepayments: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50% of excess cash flow (paid if permitted under the New ABL Facility), subject to step downs to (x) 25% if the total leverage ratio is less than or equal to 3.50 to 1.00 but greater than 3.00 to 1.00 and (y) 0% if the total leverage ratio is less than or equal to 3.00 to 1.00;</w:t>
      </w:r>
    </w:p>
    <w:p>
      <w:pPr>
        <w:ind w:left="660" w:hanging="328"/>
        <w:spacing w:after="0" w:line="250"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100% of the net cash proceeds of all asset sales or similar dispositions outside of the ordinary course of business and casualty events (subject to materiality thresholds and customary reinvestment rights);</w:t>
      </w: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100% of cash proceeds from debt issuances that are not permitted by the New Term Loan documentation.</w:t>
      </w:r>
    </w:p>
    <w:p>
      <w:pPr>
        <w:spacing w:after="0" w:line="210" w:lineRule="exact"/>
        <w:rPr>
          <w:rFonts w:ascii="Arial" w:cs="Arial" w:eastAsia="Arial" w:hAnsi="Arial"/>
          <w:sz w:val="18"/>
          <w:szCs w:val="18"/>
          <w:color w:val="auto"/>
        </w:rPr>
      </w:pPr>
    </w:p>
    <w:p>
      <w:pPr>
        <w:jc w:val="both"/>
        <w:ind w:firstLine="8"/>
        <w:spacing w:after="0" w:line="264" w:lineRule="auto"/>
        <w:tabs>
          <w:tab w:leader="none" w:pos="132"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Events of Default</w:t>
      </w:r>
      <w:r>
        <w:rPr>
          <w:rFonts w:ascii="Arial" w:cs="Arial" w:eastAsia="Arial" w:hAnsi="Arial"/>
          <w:sz w:val="18"/>
          <w:szCs w:val="18"/>
          <w:color w:val="auto"/>
        </w:rPr>
        <w:t>: The New Term Loan documentation contains certain customary events of default, including but not limited to the failure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due under the New Term Loan, breach of and failure to cure the breach of certain covenants, the entry of a final unpaid judgment against any of the Term Guarantors in excess of $30 million, the commencement of certain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insolvency proceedings, liquidations or dissolutions, a cross-default to certain other indebtedness with an outstanding aggregate principal balance of at least $30 million (other than the New ABL Facility), and cross-acceleration to the New ABL Facility.</w:t>
      </w:r>
    </w:p>
    <w:p>
      <w:pPr>
        <w:spacing w:after="0" w:line="170" w:lineRule="exact"/>
        <w:rPr>
          <w:sz w:val="20"/>
          <w:szCs w:val="20"/>
          <w:color w:val="auto"/>
        </w:rPr>
      </w:pPr>
    </w:p>
    <w:p>
      <w:pPr>
        <w:jc w:val="both"/>
        <w:ind w:firstLine="8"/>
        <w:spacing w:after="0" w:line="286" w:lineRule="auto"/>
        <w:tabs>
          <w:tab w:leader="none" w:pos="132"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Covenants</w:t>
      </w:r>
      <w:r>
        <w:rPr>
          <w:rFonts w:ascii="Arial" w:cs="Arial" w:eastAsia="Arial" w:hAnsi="Arial"/>
          <w:sz w:val="17"/>
          <w:szCs w:val="17"/>
          <w:color w:val="auto"/>
        </w:rPr>
        <w:t>: The New Term Loan contains certain customary affirmative and negative covenants, including, among others, covenants restricting the</w:t>
      </w:r>
      <w:r>
        <w:rPr>
          <w:rFonts w:ascii="Arial" w:cs="Arial" w:eastAsia="Arial" w:hAnsi="Arial"/>
          <w:sz w:val="17"/>
          <w:szCs w:val="17"/>
          <w:i w:val="1"/>
          <w:iCs w:val="1"/>
          <w:color w:val="auto"/>
        </w:rPr>
        <w:t xml:space="preserve"> </w:t>
      </w:r>
      <w:r>
        <w:rPr>
          <w:rFonts w:ascii="Arial" w:cs="Arial" w:eastAsia="Arial" w:hAnsi="Arial"/>
          <w:sz w:val="17"/>
          <w:szCs w:val="17"/>
          <w:color w:val="auto"/>
        </w:rPr>
        <w:t>incurrences of debt, liens, the making of investments and repurchases, transactions with affiliates, fundamental changes and asset sales, and prepayments of junior debt. In addition, refer to the “Liquidity” footnote for financial covenants for each of the remaining test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$450 Million ABL Facility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13, 2014, we entered into the New ABL Facility which is an asset-based $450 million loan facility from a syndicate of banks arranged by RBS Citizens, N.A., Merrill Lynch, Pierce, Fenner &amp; Smith and CIT Finance LLC. The New ABL Facility terminates on February 13, 2019. The Company, YRC Inc., USF Reddaway Inc., USF Holland Inc. and New Penn Motor Express, Inc. are borrowers under the New ABL Facility, and certain of the Company’s domestic subsidiaries are guarantors thereunder. Certain material provisions of the New ABL Facility are summarized below and are qualified in their entirety by reference to the definitive documentation:</w:t>
      </w:r>
    </w:p>
    <w:p>
      <w:pPr>
        <w:spacing w:after="0" w:line="188" w:lineRule="exact"/>
        <w:rPr>
          <w:sz w:val="20"/>
          <w:szCs w:val="20"/>
          <w:color w:val="auto"/>
        </w:rPr>
      </w:pPr>
    </w:p>
    <w:p>
      <w:pPr>
        <w:jc w:val="both"/>
        <w:ind w:firstLine="8"/>
        <w:spacing w:after="0" w:line="270" w:lineRule="auto"/>
        <w:tabs>
          <w:tab w:leader="none" w:pos="10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Availability</w:t>
      </w:r>
      <w:r>
        <w:rPr>
          <w:rFonts w:ascii="Arial" w:cs="Arial" w:eastAsia="Arial" w:hAnsi="Arial"/>
          <w:sz w:val="17"/>
          <w:szCs w:val="17"/>
          <w:color w:val="auto"/>
        </w:rPr>
        <w:t>: The aggregate amount available under the New ABL Facility cannot be more than (a) the collateral line cap minus (b) the facility exposure. The</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exposure refers to the aggregate amount of loans and letter of credit outstanding (with an exclusion for certain fees and other amounts owing for letters of credit). The collateral line cap refers to a limit equal to the greater of (a) the commitments by lenders under the facility and (b) the borrowing base. The borrowing base equals the sum of (a) 85% of the sum of (i) Eligible Accounts (as defined in the New ABL Facility) minus without duplication (ii) the Dilution Reserve (as defined in the New ABL Facility relating to reserves for eligible accounts experiencing bad debt write-downs, discounts, allowances and similar dilutive items), plus (b) 100% of Eligible Borrowing Base Cash (as defined in the New ABL Facility and described further below), minus (c) the Deferred Revenue Reserve (as defined in the New ABL Facility which constitutes 85% of the “deferred revenue liability” as reflected on the balance sheet of the Company and its restricted subsidiaries as of the last day of the most recently completed fiscal month), minus (d) the Availability Reserve (as defined in the New ABL Facility) imposed by the agent in its permitted discretion (made in good-faith and using reasonable business judgment) to reduce the amount of the borrowing base in light of pre-determined criteria set forth in the New ABL Facility.</w:t>
      </w:r>
    </w:p>
    <w:p>
      <w:pPr>
        <w:spacing w:after="0" w:line="177" w:lineRule="exact"/>
        <w:rPr>
          <w:rFonts w:ascii="Arial" w:cs="Arial" w:eastAsia="Arial" w:hAnsi="Arial"/>
          <w:sz w:val="17"/>
          <w:szCs w:val="17"/>
          <w:color w:val="auto"/>
        </w:rPr>
      </w:pPr>
    </w:p>
    <w:p>
      <w:pPr>
        <w:jc w:val="both"/>
        <w:ind w:firstLine="8"/>
        <w:spacing w:after="0" w:line="302" w:lineRule="auto"/>
        <w:tabs>
          <w:tab w:leader="none" w:pos="10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Eligible Borrowing Base Cash</w:t>
      </w:r>
      <w:r>
        <w:rPr>
          <w:rFonts w:ascii="Arial" w:cs="Arial" w:eastAsia="Arial" w:hAnsi="Arial"/>
          <w:sz w:val="16"/>
          <w:szCs w:val="16"/>
          <w:color w:val="auto"/>
        </w:rPr>
        <w:t>: The eligible borrowing base cash is cash that is deposited from time to time into a segregated restricted account maintained</w:t>
      </w:r>
      <w:r>
        <w:rPr>
          <w:rFonts w:ascii="Arial" w:cs="Arial" w:eastAsia="Arial" w:hAnsi="Arial"/>
          <w:sz w:val="16"/>
          <w:szCs w:val="16"/>
          <w:i w:val="1"/>
          <w:iCs w:val="1"/>
          <w:color w:val="auto"/>
        </w:rPr>
        <w:t xml:space="preserve"> </w:t>
      </w:r>
      <w:r>
        <w:rPr>
          <w:rFonts w:ascii="Arial" w:cs="Arial" w:eastAsia="Arial" w:hAnsi="Arial"/>
          <w:sz w:val="16"/>
          <w:szCs w:val="16"/>
          <w:color w:val="auto"/>
        </w:rPr>
        <w:t>at the agent over which the agent has dominion. Such cash can only be withdrawn by us from the account if (i) no event of default exists or would arise as a result of the borrowing base cash release and (ii) availability as of the proposed date of such borrowing base cash release is not less than 15% of the collateral line cap. Eligible borrowing base cash is included in ‘Restricted amounts held in escrow’ in the accompanying consolidated balance sheet.</w:t>
      </w:r>
    </w:p>
    <w:p>
      <w:pPr>
        <w:spacing w:after="0" w:line="154" w:lineRule="exact"/>
        <w:rPr>
          <w:rFonts w:ascii="Arial" w:cs="Arial" w:eastAsia="Arial" w:hAnsi="Arial"/>
          <w:sz w:val="16"/>
          <w:szCs w:val="16"/>
          <w:color w:val="auto"/>
        </w:rPr>
      </w:pPr>
    </w:p>
    <w:p>
      <w:pPr>
        <w:jc w:val="both"/>
        <w:ind w:firstLine="8"/>
        <w:spacing w:after="0" w:line="286" w:lineRule="auto"/>
        <w:tabs>
          <w:tab w:leader="none" w:pos="10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Interest</w:t>
      </w:r>
      <w:r>
        <w:rPr>
          <w:rFonts w:ascii="Arial" w:cs="Arial" w:eastAsia="Arial" w:hAnsi="Arial"/>
          <w:sz w:val="17"/>
          <w:szCs w:val="17"/>
          <w:color w:val="auto"/>
        </w:rPr>
        <w:t>: Revolving loans made under the New ABL Facility bear interest, at the Company’s election, of either the applicable LIBOR rate plus 2.5% or the</w:t>
      </w:r>
      <w:r>
        <w:rPr>
          <w:rFonts w:ascii="Arial" w:cs="Arial" w:eastAsia="Arial" w:hAnsi="Arial"/>
          <w:sz w:val="17"/>
          <w:szCs w:val="17"/>
          <w:i w:val="1"/>
          <w:iCs w:val="1"/>
          <w:color w:val="auto"/>
        </w:rPr>
        <w:t xml:space="preserve"> </w:t>
      </w:r>
      <w:r>
        <w:rPr>
          <w:rFonts w:ascii="Arial" w:cs="Arial" w:eastAsia="Arial" w:hAnsi="Arial"/>
          <w:sz w:val="17"/>
          <w:szCs w:val="17"/>
          <w:color w:val="auto"/>
        </w:rPr>
        <w:t>base rate (the greater of the prime rate established by the agent, the federal funds effective rate plus 0.50% and one month LIBOR plus 1.00%). Thereafter, the interest rates will be subject to the following price grid based on the average quarterly excess availability under the revolver:</w:t>
      </w:r>
    </w:p>
    <w:p>
      <w:pPr>
        <w:spacing w:after="0" w:line="32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2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Average Quarterly</w:t>
            </w:r>
          </w:p>
        </w:tc>
        <w:tc>
          <w:tcPr>
            <w:tcW w:w="21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Base Rate</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rPr>
              <w:t>LIBOR</w:t>
            </w:r>
          </w:p>
        </w:tc>
        <w:tc>
          <w:tcPr>
            <w:tcW w:w="0" w:type="dxa"/>
            <w:vAlign w:val="bottom"/>
          </w:tcPr>
          <w:p>
            <w:pPr>
              <w:spacing w:after="0"/>
              <w:rPr>
                <w:sz w:val="1"/>
                <w:szCs w:val="1"/>
                <w:color w:val="auto"/>
              </w:rPr>
            </w:pPr>
          </w:p>
        </w:tc>
      </w:tr>
      <w:tr>
        <w:trPr>
          <w:trHeight w:val="270"/>
        </w:trPr>
        <w:tc>
          <w:tcPr>
            <w:tcW w:w="198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Level</w:t>
            </w:r>
          </w:p>
        </w:tc>
        <w:tc>
          <w:tcPr>
            <w:tcW w:w="2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Excess Capacity</w:t>
            </w:r>
          </w:p>
        </w:tc>
        <w:tc>
          <w:tcPr>
            <w:tcW w:w="21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Plus</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4"/>
              </w:rPr>
              <w:t>Plus</w:t>
            </w:r>
          </w:p>
        </w:tc>
        <w:tc>
          <w:tcPr>
            <w:tcW w:w="0" w:type="dxa"/>
            <w:vAlign w:val="bottom"/>
          </w:tcPr>
          <w:p>
            <w:pPr>
              <w:spacing w:after="0"/>
              <w:rPr>
                <w:sz w:val="1"/>
                <w:szCs w:val="1"/>
                <w:color w:val="auto"/>
              </w:rPr>
            </w:pPr>
          </w:p>
        </w:tc>
      </w:tr>
      <w:tr>
        <w:trPr>
          <w:trHeight w:val="27"/>
        </w:trPr>
        <w:tc>
          <w:tcPr>
            <w:tcW w:w="1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980" w:type="dxa"/>
            <w:vAlign w:val="bottom"/>
            <w:shd w:val="clear" w:color="auto" w:fill="CCEEFF"/>
          </w:tcPr>
          <w:p>
            <w:pPr>
              <w:jc w:val="center"/>
              <w:ind w:left="150"/>
              <w:spacing w:after="0" w:line="196" w:lineRule="exact"/>
              <w:rPr>
                <w:sz w:val="20"/>
                <w:szCs w:val="20"/>
                <w:color w:val="auto"/>
              </w:rPr>
            </w:pPr>
            <w:r>
              <w:rPr>
                <w:rFonts w:ascii="Arial" w:cs="Arial" w:eastAsia="Arial" w:hAnsi="Arial"/>
                <w:sz w:val="18"/>
                <w:szCs w:val="18"/>
                <w:color w:val="auto"/>
              </w:rPr>
              <w:t>I</w:t>
            </w:r>
          </w:p>
        </w:tc>
        <w:tc>
          <w:tcPr>
            <w:tcW w:w="2640" w:type="dxa"/>
            <w:vAlign w:val="bottom"/>
            <w:gridSpan w:val="4"/>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&gt; $140,000,000</w:t>
            </w:r>
          </w:p>
        </w:tc>
        <w:tc>
          <w:tcPr>
            <w:tcW w:w="2100" w:type="dxa"/>
            <w:vAlign w:val="bottom"/>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90"/>
              </w:rPr>
              <w:t>1.00%</w:t>
            </w:r>
          </w:p>
        </w:tc>
        <w:tc>
          <w:tcPr>
            <w:tcW w:w="22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2.00%</w:t>
            </w:r>
          </w:p>
        </w:tc>
        <w:tc>
          <w:tcPr>
            <w:tcW w:w="0" w:type="dxa"/>
            <w:vAlign w:val="bottom"/>
          </w:tcPr>
          <w:p>
            <w:pPr>
              <w:spacing w:after="0"/>
              <w:rPr>
                <w:sz w:val="1"/>
                <w:szCs w:val="1"/>
                <w:color w:val="auto"/>
              </w:rPr>
            </w:pPr>
          </w:p>
        </w:tc>
      </w:tr>
      <w:tr>
        <w:trPr>
          <w:trHeight w:val="48"/>
        </w:trPr>
        <w:tc>
          <w:tcPr>
            <w:tcW w:w="19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980" w:type="dxa"/>
            <w:vAlign w:val="bottom"/>
            <w:vMerge w:val="restart"/>
          </w:tcPr>
          <w:p>
            <w:pPr>
              <w:jc w:val="center"/>
              <w:ind w:left="170"/>
              <w:spacing w:after="0"/>
              <w:rPr>
                <w:sz w:val="20"/>
                <w:szCs w:val="20"/>
                <w:color w:val="auto"/>
              </w:rPr>
            </w:pPr>
            <w:r>
              <w:rPr>
                <w:rFonts w:ascii="Arial" w:cs="Arial" w:eastAsia="Arial" w:hAnsi="Arial"/>
                <w:sz w:val="18"/>
                <w:szCs w:val="18"/>
                <w:color w:val="auto"/>
              </w:rPr>
              <w:t>II</w:t>
            </w:r>
          </w:p>
        </w:tc>
        <w:tc>
          <w:tcPr>
            <w:tcW w:w="800" w:type="dxa"/>
            <w:vAlign w:val="bottom"/>
          </w:tcPr>
          <w:p>
            <w:pPr>
              <w:spacing w:after="0"/>
              <w:rPr>
                <w:sz w:val="17"/>
                <w:szCs w:val="17"/>
                <w:color w:val="auto"/>
              </w:rPr>
            </w:pPr>
          </w:p>
        </w:tc>
        <w:tc>
          <w:tcPr>
            <w:tcW w:w="1840" w:type="dxa"/>
            <w:vAlign w:val="bottom"/>
            <w:gridSpan w:val="3"/>
          </w:tcPr>
          <w:p>
            <w:pPr>
              <w:jc w:val="center"/>
              <w:ind w:right="720"/>
              <w:spacing w:after="0" w:line="202" w:lineRule="exact"/>
              <w:rPr>
                <w:sz w:val="20"/>
                <w:szCs w:val="20"/>
                <w:color w:val="auto"/>
              </w:rPr>
            </w:pPr>
            <w:r>
              <w:rPr>
                <w:rFonts w:ascii="Arial" w:cs="Arial" w:eastAsia="Arial" w:hAnsi="Arial"/>
                <w:sz w:val="18"/>
                <w:szCs w:val="18"/>
                <w:color w:val="auto"/>
                <w:w w:val="93"/>
              </w:rPr>
              <w:t>&gt; $70,000,000</w:t>
            </w:r>
          </w:p>
        </w:tc>
        <w:tc>
          <w:tcPr>
            <w:tcW w:w="2100" w:type="dxa"/>
            <w:vAlign w:val="bottom"/>
            <w:vMerge w:val="restart"/>
          </w:tcPr>
          <w:p>
            <w:pPr>
              <w:jc w:val="center"/>
              <w:ind w:right="110"/>
              <w:spacing w:after="0"/>
              <w:rPr>
                <w:sz w:val="20"/>
                <w:szCs w:val="20"/>
                <w:color w:val="auto"/>
              </w:rPr>
            </w:pPr>
            <w:r>
              <w:rPr>
                <w:rFonts w:ascii="Arial" w:cs="Arial" w:eastAsia="Arial" w:hAnsi="Arial"/>
                <w:sz w:val="18"/>
                <w:szCs w:val="18"/>
                <w:color w:val="auto"/>
                <w:w w:val="90"/>
              </w:rPr>
              <w:t>1.25%</w:t>
            </w:r>
          </w:p>
        </w:tc>
        <w:tc>
          <w:tcPr>
            <w:tcW w:w="2200" w:type="dxa"/>
            <w:vAlign w:val="bottom"/>
            <w:vMerge w:val="restart"/>
          </w:tcPr>
          <w:p>
            <w:pPr>
              <w:jc w:val="center"/>
              <w:spacing w:after="0"/>
              <w:rPr>
                <w:sz w:val="20"/>
                <w:szCs w:val="20"/>
                <w:color w:val="auto"/>
              </w:rPr>
            </w:pPr>
            <w:r>
              <w:rPr>
                <w:rFonts w:ascii="Arial" w:cs="Arial" w:eastAsia="Arial" w:hAnsi="Arial"/>
                <w:sz w:val="18"/>
                <w:szCs w:val="18"/>
                <w:color w:val="auto"/>
                <w:w w:val="90"/>
              </w:rPr>
              <w:t>2.25%</w:t>
            </w:r>
          </w:p>
        </w:tc>
        <w:tc>
          <w:tcPr>
            <w:tcW w:w="0" w:type="dxa"/>
            <w:vAlign w:val="bottom"/>
          </w:tcPr>
          <w:p>
            <w:pPr>
              <w:spacing w:after="0"/>
              <w:rPr>
                <w:sz w:val="1"/>
                <w:szCs w:val="1"/>
                <w:color w:val="auto"/>
              </w:rPr>
            </w:pPr>
          </w:p>
        </w:tc>
      </w:tr>
      <w:tr>
        <w:trPr>
          <w:trHeight w:val="20"/>
        </w:trPr>
        <w:tc>
          <w:tcPr>
            <w:tcW w:w="198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00" w:type="dxa"/>
            <w:vAlign w:val="bottom"/>
            <w:vMerge w:val="continue"/>
          </w:tcPr>
          <w:p>
            <w:pPr>
              <w:spacing w:after="0" w:line="20" w:lineRule="exact"/>
              <w:rPr>
                <w:sz w:val="1"/>
                <w:szCs w:val="1"/>
                <w:color w:val="auto"/>
              </w:rPr>
            </w:pPr>
          </w:p>
        </w:tc>
        <w:tc>
          <w:tcPr>
            <w:tcW w:w="2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80" w:type="dxa"/>
            <w:vAlign w:val="bottom"/>
            <w:vMerge w:val="continue"/>
          </w:tcPr>
          <w:p>
            <w:pPr>
              <w:spacing w:after="0"/>
              <w:rPr>
                <w:sz w:val="13"/>
                <w:szCs w:val="13"/>
                <w:color w:val="auto"/>
              </w:rPr>
            </w:pPr>
          </w:p>
        </w:tc>
        <w:tc>
          <w:tcPr>
            <w:tcW w:w="2640" w:type="dxa"/>
            <w:vAlign w:val="bottom"/>
            <w:gridSpan w:val="4"/>
            <w:vMerge w:val="restart"/>
          </w:tcPr>
          <w:p>
            <w:pPr>
              <w:jc w:val="center"/>
              <w:spacing w:after="0"/>
              <w:rPr>
                <w:sz w:val="20"/>
                <w:szCs w:val="20"/>
                <w:color w:val="auto"/>
              </w:rPr>
            </w:pPr>
            <w:r>
              <w:rPr>
                <w:rFonts w:ascii="Arial" w:cs="Arial" w:eastAsia="Arial" w:hAnsi="Arial"/>
                <w:sz w:val="18"/>
                <w:szCs w:val="18"/>
                <w:color w:val="auto"/>
                <w:w w:val="89"/>
              </w:rPr>
              <w:t>&lt; $140,000,000</w:t>
            </w:r>
          </w:p>
        </w:tc>
        <w:tc>
          <w:tcPr>
            <w:tcW w:w="2100" w:type="dxa"/>
            <w:vAlign w:val="bottom"/>
            <w:vMerge w:val="continue"/>
          </w:tcPr>
          <w:p>
            <w:pPr>
              <w:spacing w:after="0"/>
              <w:rPr>
                <w:sz w:val="13"/>
                <w:szCs w:val="13"/>
                <w:color w:val="auto"/>
              </w:rPr>
            </w:pPr>
          </w:p>
        </w:tc>
        <w:tc>
          <w:tcPr>
            <w:tcW w:w="2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2640" w:type="dxa"/>
            <w:vAlign w:val="bottom"/>
            <w:gridSpan w:val="4"/>
            <w:vMerge w:val="continue"/>
          </w:tcPr>
          <w:p>
            <w:pPr>
              <w:spacing w:after="0"/>
              <w:rPr>
                <w:sz w:val="11"/>
                <w:szCs w:val="11"/>
                <w:color w:val="auto"/>
              </w:rPr>
            </w:pPr>
          </w:p>
        </w:tc>
        <w:tc>
          <w:tcPr>
            <w:tcW w:w="21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98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rPr>
              <w:t>III</w:t>
            </w:r>
          </w:p>
        </w:tc>
        <w:tc>
          <w:tcPr>
            <w:tcW w:w="264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&lt; $70,000,000</w:t>
            </w:r>
          </w:p>
        </w:tc>
        <w:tc>
          <w:tcPr>
            <w:tcW w:w="210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1.50%</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0" w:type="dxa"/>
            <w:vAlign w:val="bottom"/>
          </w:tcPr>
          <w:p>
            <w:pPr>
              <w:spacing w:after="0"/>
              <w:rPr>
                <w:sz w:val="1"/>
                <w:szCs w:val="1"/>
                <w:color w:val="auto"/>
              </w:rPr>
            </w:pPr>
          </w:p>
        </w:tc>
      </w:tr>
      <w:tr>
        <w:trPr>
          <w:trHeight w:val="27"/>
        </w:trPr>
        <w:tc>
          <w:tcPr>
            <w:tcW w:w="19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rates set forth above are subject to a 0.25% reduction during any fiscal quarter for which the Company has a total leverage ratio of less than 2.50 to 1.00.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not drawn on the facility at any time during the three and six months ended June 30, 2014.</w:t>
      </w:r>
    </w:p>
    <w:p>
      <w:pPr>
        <w:spacing w:after="0" w:line="211" w:lineRule="exact"/>
        <w:rPr>
          <w:sz w:val="20"/>
          <w:szCs w:val="20"/>
          <w:color w:val="auto"/>
        </w:rPr>
      </w:pPr>
    </w:p>
    <w:p>
      <w:pPr>
        <w:jc w:val="both"/>
        <w:ind w:firstLine="8"/>
        <w:spacing w:after="0" w:line="257" w:lineRule="auto"/>
        <w:tabs>
          <w:tab w:leader="none" w:pos="10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Letter of Credit Fees</w:t>
      </w:r>
      <w:r>
        <w:rPr>
          <w:rFonts w:ascii="Arial" w:cs="Arial" w:eastAsia="Arial" w:hAnsi="Arial"/>
          <w:sz w:val="18"/>
          <w:szCs w:val="18"/>
          <w:color w:val="auto"/>
        </w:rPr>
        <w:t>: The New ABL Facility has certain specific fees relating to letters of credit which include: (i) fees payable quarterly in arrears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applicable margin in effect for LIBOR loans (which is listed in the “Interest” description immediately above) multiplied by the average daily stated amount of letters of credit (2.5% for the quarter ended June 30,2014); (ii) fronting fees for letters of credit payable quarterly in arrears equal to 0.125% of the stated amount of the letters of credit; and (iii) fees to issuing banks to compensate for customary charges related to the issuance and administration of letters of credit.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8"/>
        <w:spacing w:after="0" w:line="257" w:lineRule="auto"/>
        <w:tabs>
          <w:tab w:leader="none" w:pos="10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Other Fees</w:t>
      </w:r>
      <w:r>
        <w:rPr>
          <w:rFonts w:ascii="Arial" w:cs="Arial" w:eastAsia="Arial" w:hAnsi="Arial"/>
          <w:sz w:val="18"/>
          <w:szCs w:val="18"/>
          <w:color w:val="auto"/>
        </w:rPr>
        <w:t>: Other fees in respect of the New ABL Facility include: (i) an unused line fee payable quarterly in arrears calculated by multiplying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by which the commitments exceed the loans and letters of credit for any calendar quarter by the unused line fee percentage (such unused line fee percentage initially to 0.25% per annum through March 31, 2014, and thereafter 0.375% per annum if the average revolver usage is less than 50% or 0.25% per annum if the average revolver usage is greater than 50%); and (ii) such fees as set forth in the fee letter arrangement dated as of February 13, 2014 by and between the agent and the Company.</w:t>
      </w:r>
    </w:p>
    <w:p>
      <w:pPr>
        <w:spacing w:after="0" w:line="188" w:lineRule="exact"/>
        <w:rPr>
          <w:rFonts w:ascii="Arial" w:cs="Arial" w:eastAsia="Arial" w:hAnsi="Arial"/>
          <w:sz w:val="18"/>
          <w:szCs w:val="18"/>
          <w:color w:val="auto"/>
        </w:rPr>
      </w:pPr>
    </w:p>
    <w:p>
      <w:pPr>
        <w:jc w:val="both"/>
        <w:ind w:firstLine="8"/>
        <w:spacing w:after="0" w:line="312" w:lineRule="auto"/>
        <w:tabs>
          <w:tab w:leader="none" w:pos="105"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Collateral</w:t>
      </w:r>
      <w:r>
        <w:rPr>
          <w:rFonts w:ascii="Arial" w:cs="Arial" w:eastAsia="Arial" w:hAnsi="Arial"/>
          <w:sz w:val="16"/>
          <w:szCs w:val="16"/>
          <w:color w:val="auto"/>
        </w:rPr>
        <w:t>: The obligations under the New ABL Facility are secured by a perfected first priority security interest in (subject to permitted liens) all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 cash, deposit accounts and other assets related to accounts receivable of the Company and the other loan parties and an additional second priority security interest in (subject to permitted liens) substantially all remaining assets of the borrowers and the guarantors other than CDA Collateral.</w:t>
      </w:r>
    </w:p>
    <w:p>
      <w:pPr>
        <w:spacing w:after="0" w:line="146" w:lineRule="exact"/>
        <w:rPr>
          <w:rFonts w:ascii="Arial" w:cs="Arial" w:eastAsia="Arial" w:hAnsi="Arial"/>
          <w:sz w:val="16"/>
          <w:szCs w:val="16"/>
          <w:color w:val="auto"/>
        </w:rPr>
      </w:pPr>
    </w:p>
    <w:p>
      <w:pPr>
        <w:ind w:firstLine="8"/>
        <w:spacing w:after="0" w:line="277" w:lineRule="auto"/>
        <w:tabs>
          <w:tab w:leader="none" w:pos="118"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Incremental</w:t>
      </w:r>
      <w:r>
        <w:rPr>
          <w:rFonts w:ascii="Arial" w:cs="Arial" w:eastAsia="Arial" w:hAnsi="Arial"/>
          <w:sz w:val="18"/>
          <w:szCs w:val="18"/>
          <w:color w:val="auto"/>
        </w:rPr>
        <w:t>: The New ABL Facility provides for a $100 million uncommitted accordion to increase the revolving commitment in the future to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 base growth.</w:t>
      </w:r>
    </w:p>
    <w:p>
      <w:pPr>
        <w:spacing w:after="0" w:line="170" w:lineRule="exact"/>
        <w:rPr>
          <w:rFonts w:ascii="Arial" w:cs="Arial" w:eastAsia="Arial" w:hAnsi="Arial"/>
          <w:sz w:val="18"/>
          <w:szCs w:val="18"/>
          <w:color w:val="auto"/>
        </w:rPr>
      </w:pPr>
    </w:p>
    <w:p>
      <w:pPr>
        <w:jc w:val="both"/>
        <w:ind w:firstLine="8"/>
        <w:spacing w:after="0" w:line="279" w:lineRule="auto"/>
        <w:tabs>
          <w:tab w:leader="none" w:pos="10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Events of Default</w:t>
      </w:r>
      <w:r>
        <w:rPr>
          <w:rFonts w:ascii="Arial" w:cs="Arial" w:eastAsia="Arial" w:hAnsi="Arial"/>
          <w:sz w:val="17"/>
          <w:szCs w:val="17"/>
          <w:color w:val="auto"/>
        </w:rPr>
        <w:t>: The New ABL Facility contains certain customary events of default, including but not limited to the failure to make payments due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New ABL Facility, breach of and failure to cure the breach of certain covenants, the entry of a final unpaid judgment against any of the New ABL Facility loan parties in excess of $30 million, the commencement of any insolvency proceeding, liquidation or dissolution, and a cross-default to certain other indebtedness with an outstanding aggregate principal balance of at least $30 million (including the New Term Loan).</w:t>
      </w:r>
    </w:p>
    <w:p>
      <w:pPr>
        <w:spacing w:after="0" w:line="171" w:lineRule="exact"/>
        <w:rPr>
          <w:rFonts w:ascii="Arial" w:cs="Arial" w:eastAsia="Arial" w:hAnsi="Arial"/>
          <w:sz w:val="17"/>
          <w:szCs w:val="17"/>
          <w:color w:val="auto"/>
        </w:rPr>
      </w:pPr>
    </w:p>
    <w:p>
      <w:pPr>
        <w:jc w:val="both"/>
        <w:ind w:firstLine="8"/>
        <w:spacing w:after="0" w:line="268" w:lineRule="auto"/>
        <w:tabs>
          <w:tab w:leader="none" w:pos="132"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Covenants</w:t>
      </w:r>
      <w:r>
        <w:rPr>
          <w:rFonts w:ascii="Arial" w:cs="Arial" w:eastAsia="Arial" w:hAnsi="Arial"/>
          <w:sz w:val="17"/>
          <w:szCs w:val="17"/>
          <w:color w:val="auto"/>
        </w:rPr>
        <w:t>: The New ABL Facility contains certain customary affirmative and negative covenants (including certain customary provisions regarding</w:t>
      </w:r>
      <w:r>
        <w:rPr>
          <w:rFonts w:ascii="Arial" w:cs="Arial" w:eastAsia="Arial" w:hAnsi="Arial"/>
          <w:sz w:val="17"/>
          <w:szCs w:val="17"/>
          <w:i w:val="1"/>
          <w:iCs w:val="1"/>
          <w:color w:val="auto"/>
        </w:rPr>
        <w:t xml:space="preserve"> </w:t>
      </w:r>
      <w:r>
        <w:rPr>
          <w:rFonts w:ascii="Arial" w:cs="Arial" w:eastAsia="Arial" w:hAnsi="Arial"/>
          <w:sz w:val="17"/>
          <w:szCs w:val="17"/>
          <w:color w:val="auto"/>
        </w:rPr>
        <w:t>borrowing base reporting, and including, among others, covenants restricting the incurrences of debt, liens, the making of investments and repurchases, transactions with affiliates, fundamental changes and asset sales, and prepayments of junior debt). Certain of the covenants relating to investments, restricted payments and capital expenditures are relaxed upon meeting specified payment conditions or debt repayment conditions, as applicable. Payment conditions include (i) the absence of an event of default arising from such transaction, (ii) liquidity of at least $100 million or availability of at least $67.5 million and (iii) the Consolidated Fixed Charge Coverage Ratio (as defined below) for the most recent term period on a pro forma basis is equal to or greater than 1.10 to 1.00. Debt repayment conditions include (i) the absence of an event of default from repaying such debt and (ii) availability on the date of repayment is not less than $67.5 million. During any period commencing when the New ABL Facility borrowers fail to maintain availability in an amount at least equal to 10% of the collateral line cap and until the borrowers have maintained availability of at least 10% of the collateral line cap for 30 consecutive calendar days, the New ABL Facility loan parties are required to maintain a Consolidated Fixed Charge Coverage Ratio (as defined below) of at least 1.10 to 1.00. The “Consolidated Fixed Charge Coverage Ratio” is defined as (a) (i) Consolidated EBITDA (as defined in the New ABL Facility) calculated on a pro forma basis for such period, minus (ii) Capital Expenditures (as defined in the New ABL Facility) made during such period, minus (iii) the aggregate amount of net cash taxes paid in cash during such period, minus (iv) the amount, if any, by which the cash pension contribution for such period exceeds the pension expense for such period, and plus (v) the amount, if any, by which the pension expense for such period exceeds the cash pension contribution for such period, divided by (b) the Consolidated Fixed Charges (as defined in the New ABL Facility) for such period. In addition, refer to the “Liquidity” footnote for covenants for each of the remaining test periods.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Debt and Financing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debt as of June 30, 2014 and December 31, 2013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June 30, 2014 (in millions)</w:t>
            </w:r>
          </w:p>
        </w:tc>
        <w:tc>
          <w:tcPr>
            <w:tcW w:w="240" w:type="dxa"/>
            <w:vAlign w:val="bottom"/>
          </w:tcPr>
          <w:p>
            <w:pPr>
              <w:spacing w:after="0"/>
              <w:rPr>
                <w:sz w:val="14"/>
                <w:szCs w:val="14"/>
                <w:color w:val="auto"/>
              </w:rPr>
            </w:pPr>
          </w:p>
        </w:tc>
        <w:tc>
          <w:tcPr>
            <w:tcW w:w="11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Discount</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32"/>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540" w:type="dxa"/>
            <w:vAlign w:val="bottom"/>
            <w:gridSpan w:val="2"/>
          </w:tcPr>
          <w:p>
            <w:pPr>
              <w:ind w:left="520"/>
              <w:spacing w:after="0"/>
              <w:rPr>
                <w:sz w:val="20"/>
                <w:szCs w:val="20"/>
                <w:color w:val="auto"/>
              </w:rPr>
            </w:pPr>
            <w:r>
              <w:rPr>
                <w:rFonts w:ascii="Arial" w:cs="Arial" w:eastAsia="Arial" w:hAnsi="Arial"/>
                <w:sz w:val="14"/>
                <w:szCs w:val="14"/>
                <w:b w:val="1"/>
                <w:bCs w:val="1"/>
                <w:color w:val="auto"/>
              </w:rPr>
              <w:t>Stated</w:t>
            </w:r>
          </w:p>
        </w:tc>
        <w:tc>
          <w:tcPr>
            <w:tcW w:w="1440" w:type="dxa"/>
            <w:vAlign w:val="bottom"/>
          </w:tcPr>
          <w:p>
            <w:pPr>
              <w:jc w:val="right"/>
              <w:ind w:right="354"/>
              <w:spacing w:after="0"/>
              <w:rPr>
                <w:sz w:val="20"/>
                <w:szCs w:val="20"/>
                <w:color w:val="auto"/>
              </w:rPr>
            </w:pPr>
            <w:r>
              <w:rPr>
                <w:rFonts w:ascii="Arial" w:cs="Arial" w:eastAsia="Arial" w:hAnsi="Arial"/>
                <w:sz w:val="14"/>
                <w:szCs w:val="14"/>
                <w:b w:val="1"/>
                <w:bCs w:val="1"/>
                <w:color w:val="auto"/>
              </w:rPr>
              <w:t>Effective</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Term Loan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690.0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0"/>
        </w:trPr>
        <w:tc>
          <w:tcPr>
            <w:tcW w:w="4040" w:type="dxa"/>
            <w:vAlign w:val="bottom"/>
          </w:tcPr>
          <w:p>
            <w:pPr>
              <w:ind w:left="40"/>
              <w:spacing w:after="0" w:line="270" w:lineRule="exact"/>
              <w:rPr>
                <w:sz w:val="20"/>
                <w:szCs w:val="20"/>
                <w:color w:val="auto"/>
              </w:rPr>
            </w:pPr>
            <w:r>
              <w:rPr>
                <w:rFonts w:ascii="Arial" w:cs="Arial" w:eastAsia="Arial" w:hAnsi="Arial"/>
                <w:sz w:val="18"/>
                <w:szCs w:val="18"/>
                <w:color w:val="auto"/>
              </w:rPr>
              <w:t>New ABL Facility</w:t>
            </w:r>
            <w:r>
              <w:rPr>
                <w:rFonts w:ascii="Arial" w:cs="Arial" w:eastAsia="Arial" w:hAnsi="Arial"/>
                <w:sz w:val="25"/>
                <w:szCs w:val="25"/>
                <w:color w:val="auto"/>
                <w:vertAlign w:val="superscript"/>
              </w:rPr>
              <w:t>(a)</w:t>
            </w:r>
          </w:p>
        </w:tc>
        <w:tc>
          <w:tcPr>
            <w:tcW w:w="2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540" w:type="dxa"/>
            <w:vAlign w:val="bottom"/>
            <w:gridSpan w:val="2"/>
          </w:tcPr>
          <w:p>
            <w:pPr>
              <w:ind w:left="1000"/>
              <w:spacing w:after="0"/>
              <w:rPr>
                <w:sz w:val="20"/>
                <w:szCs w:val="20"/>
                <w:color w:val="auto"/>
              </w:rPr>
            </w:pPr>
            <w:r>
              <w:rPr>
                <w:rFonts w:ascii="Arial" w:cs="Arial" w:eastAsia="Arial" w:hAnsi="Arial"/>
                <w:sz w:val="18"/>
                <w:szCs w:val="18"/>
                <w:color w:val="auto"/>
              </w:rPr>
              <w:t>NA</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Series B Notes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Second A&amp;R CDA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w:t>
            </w:r>
          </w:p>
        </w:tc>
        <w:tc>
          <w:tcPr>
            <w:tcW w:w="15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3.3-18.3%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Unsecured Second A&amp;R CDA</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73.2</w:t>
            </w:r>
          </w:p>
        </w:tc>
        <w:tc>
          <w:tcPr>
            <w:tcW w:w="1540" w:type="dxa"/>
            <w:vAlign w:val="bottom"/>
            <w:gridSpan w:val="2"/>
          </w:tcPr>
          <w:p>
            <w:pPr>
              <w:jc w:val="right"/>
              <w:ind w:right="102"/>
              <w:spacing w:after="0"/>
              <w:rPr>
                <w:sz w:val="20"/>
                <w:szCs w:val="20"/>
                <w:color w:val="auto"/>
              </w:rPr>
            </w:pPr>
            <w:r>
              <w:rPr>
                <w:rFonts w:ascii="Arial" w:cs="Arial" w:eastAsia="Arial" w:hAnsi="Arial"/>
                <w:sz w:val="18"/>
                <w:szCs w:val="18"/>
                <w:color w:val="auto"/>
              </w:rPr>
              <w:t>3.3-18.3%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financing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285.5</w:t>
            </w:r>
          </w:p>
        </w:tc>
        <w:tc>
          <w:tcPr>
            <w:tcW w:w="15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10.0-18.2%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1,195.2</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New Term Loan</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Series A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Series B Notes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other</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1,083.4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200" w:right="20" w:hanging="192"/>
        <w:spacing w:after="0" w:line="290" w:lineRule="auto"/>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3"/>
          <w:szCs w:val="13"/>
          <w:color w:val="auto"/>
        </w:rPr>
        <w:t>As of June 30, 2014, the borrowing base and availability on our New ABL Facility were $446.8 million and $79.3 million, respectively. The availability is calculated in accordance with the terms of the New ABL Facility and is derived by reducing the borrowing base by our $367.5 million of outstanding letters of credit as of June 30, 2014. The amount which is actually able to be drawn is limited by certain financial covenants in the New ABL Facility to $35.5 million. In comparison, the borrowing base, availability and amount able to be drawn as of March 31, 2014 were $450.0 million, $82.5 million and $42.7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-560070</wp:posOffset>
            </wp:positionV>
            <wp:extent cx="2735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2013 (in millions)</w:t>
            </w:r>
          </w:p>
        </w:tc>
        <w:tc>
          <w:tcPr>
            <w:tcW w:w="240" w:type="dxa"/>
            <w:vAlign w:val="bottom"/>
          </w:tcPr>
          <w:p>
            <w:pPr>
              <w:spacing w:after="0"/>
              <w:rPr>
                <w:sz w:val="14"/>
                <w:szCs w:val="14"/>
                <w:color w:val="auto"/>
              </w:rPr>
            </w:pPr>
          </w:p>
        </w:tc>
        <w:tc>
          <w:tcPr>
            <w:tcW w:w="11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Premium/</w:t>
            </w:r>
          </w:p>
        </w:tc>
        <w:tc>
          <w:tcPr>
            <w:tcW w:w="300" w:type="dxa"/>
            <w:vAlign w:val="bottom"/>
          </w:tcPr>
          <w:p>
            <w:pPr>
              <w:spacing w:after="0"/>
              <w:rPr>
                <w:sz w:val="14"/>
                <w:szCs w:val="14"/>
                <w:color w:val="auto"/>
              </w:rPr>
            </w:pPr>
          </w:p>
        </w:tc>
        <w:tc>
          <w:tcPr>
            <w:tcW w:w="1060" w:type="dxa"/>
            <w:vAlign w:val="bottom"/>
          </w:tcPr>
          <w:p>
            <w:pPr>
              <w:jc w:val="right"/>
              <w:ind w:right="432"/>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540" w:type="dxa"/>
            <w:vAlign w:val="bottom"/>
            <w:gridSpan w:val="2"/>
          </w:tcPr>
          <w:p>
            <w:pPr>
              <w:ind w:left="520"/>
              <w:spacing w:after="0"/>
              <w:rPr>
                <w:sz w:val="20"/>
                <w:szCs w:val="20"/>
                <w:color w:val="auto"/>
              </w:rPr>
            </w:pPr>
            <w:r>
              <w:rPr>
                <w:rFonts w:ascii="Arial" w:cs="Arial" w:eastAsia="Arial" w:hAnsi="Arial"/>
                <w:sz w:val="14"/>
                <w:szCs w:val="14"/>
                <w:b w:val="1"/>
                <w:bCs w:val="1"/>
                <w:color w:val="auto"/>
              </w:rPr>
              <w:t>Stated</w:t>
            </w:r>
          </w:p>
        </w:tc>
        <w:tc>
          <w:tcPr>
            <w:tcW w:w="1440" w:type="dxa"/>
            <w:vAlign w:val="bottom"/>
          </w:tcPr>
          <w:p>
            <w:pPr>
              <w:jc w:val="right"/>
              <w:ind w:right="354"/>
              <w:spacing w:after="0"/>
              <w:rPr>
                <w:sz w:val="20"/>
                <w:szCs w:val="20"/>
                <w:color w:val="auto"/>
              </w:rPr>
            </w:pPr>
            <w:r>
              <w:rPr>
                <w:rFonts w:ascii="Arial" w:cs="Arial" w:eastAsia="Arial" w:hAnsi="Arial"/>
                <w:sz w:val="14"/>
                <w:szCs w:val="14"/>
                <w:b w:val="1"/>
                <w:bCs w:val="1"/>
                <w:color w:val="auto"/>
              </w:rPr>
              <w:t>Effective</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(Discount)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Restructured Term Loan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tcPr>
          <w:p>
            <w:pPr>
              <w:ind w:left="40"/>
              <w:spacing w:after="0"/>
              <w:rPr>
                <w:sz w:val="20"/>
                <w:szCs w:val="20"/>
                <w:color w:val="auto"/>
              </w:rPr>
            </w:pPr>
            <w:r>
              <w:rPr>
                <w:rFonts w:ascii="Arial" w:cs="Arial" w:eastAsia="Arial" w:hAnsi="Arial"/>
                <w:sz w:val="18"/>
                <w:szCs w:val="18"/>
                <w:color w:val="auto"/>
              </w:rPr>
              <w:t>Term A Facility (capacity $175.0, borrowing base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$156.5, availability $51.5)</w:t>
            </w:r>
          </w:p>
        </w:tc>
        <w:tc>
          <w:tcPr>
            <w:tcW w:w="2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102.9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B Facility (capacity $219.9, borrowing base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$219.9, availability $0.0)</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Series A Notes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B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6% Notes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68.3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A&amp;R CDA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124.0</w:t>
            </w:r>
          </w:p>
        </w:tc>
        <w:tc>
          <w:tcPr>
            <w:tcW w:w="15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3.25-18.3%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Lease financing obligations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297.5</w:t>
            </w:r>
          </w:p>
        </w:tc>
        <w:tc>
          <w:tcPr>
            <w:tcW w:w="1540" w:type="dxa"/>
            <w:vAlign w:val="bottom"/>
            <w:gridSpan w:val="2"/>
          </w:tcPr>
          <w:p>
            <w:pPr>
              <w:jc w:val="right"/>
              <w:ind w:right="108"/>
              <w:spacing w:after="0"/>
              <w:rPr>
                <w:sz w:val="20"/>
                <w:szCs w:val="20"/>
                <w:color w:val="auto"/>
              </w:rPr>
            </w:pPr>
            <w:r>
              <w:rPr>
                <w:rFonts w:ascii="Arial" w:cs="Arial" w:eastAsia="Arial" w:hAnsi="Arial"/>
                <w:sz w:val="18"/>
                <w:szCs w:val="18"/>
                <w:color w:val="auto"/>
              </w:rPr>
              <w:t>10.0-18.2%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1,361.3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1,363.4</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other</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1,354.8</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Series A Notes were convertible into our common stock beginning July 22, 2013 at the conversion price per share of $34.0059 and a conversion rate of 29.4067 common shares per $1,000 of Series A Notes. As discussed in the “2014 Financing Transactions” footnote, in February 2014, the Company deposited $89.6 million with the trustee in order to fund the redemption of our outstanding Series A Notes on August 5, 2014.</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Series B Notes are convertible into our common stock, at any time at the conversion price per share of approximately $18.5334 and a conversion rate of 53.9567 common shares per $1,000 of the Series B Notes (such conversion price and conversion rate applying also to the Series B Notes make whole premium). As of June 30, 2014, the effective conversion price and conversion rate for our Series B Notes (after taking into account the make whole premium) was $16.8103 and 59.4873 common shares per $1,000 of Series B Notes, respectively.</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June 30, 2014, there was $16.9 million in aggregate principal amount of Series B Notes outstanding that are convertible into approximately 981,000 shares of our common stock (after taking into account the make whole premium). As discussed in the “2014 Financing Transactions” footnote, on January 31, 2014, certain holders of our Series B Notes exchanged their outstanding notes as part of an exchange agreement. Outside of these exchange agreements, during the six months ended June 30, 2014 and 2013, $1.2 million and $16.7 million of aggregate principal amount of Series B Notes were converted into 75,900 and 1.1 million shares of our common stock, which includes the make whole premium. Upon conversion, during the six months ended June 30, 2014, we recorded $0.4 million of additional interest expense representing the $0.2 million make whole premium and $0.2 million of accelerated amortization of the discount on converted Series B Notes. There were no conversions during the three months ended June 30, 2014. During the three months ended June 30, 2013, we recorded $5.6 million of additional interest expense representing the $2.3 million make whole premium and $3.3 million of accelerated amortization of the discount on converted Series B Notes. During the six months ended June 30, 2013, we recorded $9.0 million of additional interest expense representing the $3.9 million make whole premium and $5.1 million of accelerated amortization of the discount on converted Series B Notes. There were no Series B Note conversions from June 30, 2014 through July 25,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amounts and estimated fair values of our long-term debt, including current maturities and other financial instruments, are summarized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2014</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December 31, 2013</w:t>
            </w: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Carrying amount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w w:val="97"/>
              </w:rPr>
              <w:t>Fair Value</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Carrying amount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Fair Value</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Term Loan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Restructured Term Loan</w:t>
            </w:r>
          </w:p>
        </w:tc>
        <w:tc>
          <w:tcPr>
            <w:tcW w:w="18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289.2</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ABL Facility</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Series A Notes and Series B Notes</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225.8</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financing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179.8</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1,195.2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1,318.4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the New Term Loan, New ABL Facility, Restructured Term Loan, ABL Facility, Series A Notes, Series B Notes, 6% Notes (included in “Other” above) Secured and Unsecured A&amp;R CDA (included in “Other” above) and A&amp;R CDA (included in “Other” above) were estimated based on observable prices (level two inputs for fair value measurements). The fair value of the lease financing obligations is estimated using a publicly traded secured loan with similar characteristics (level three input for fair value measurement).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Liquidity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For a description of our outstanding debt as of June 30, 2014, please refer to the “Debt and Financing” footnote in our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13, 2014, we completed our 2014 Financing Transactions and refinanced the debt associated with our prior credit facilities. We entered into a New Term Loan credit agreement with new financial covenants that, among other things, restricts certain capital expenditures and requires us to maintain a maximum total leverage ratio (defined as Consolidated Total Debt divided by Consolidated Adjusted EBITDA as defined below) for future test periods as follows:</w:t>
      </w:r>
    </w:p>
    <w:p>
      <w:pPr>
        <w:spacing w:after="0" w:line="328"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160" w:type="dxa"/>
            <w:vAlign w:val="bottom"/>
          </w:tcPr>
          <w:p>
            <w:pPr>
              <w:spacing w:after="0"/>
              <w:rPr>
                <w:sz w:val="14"/>
                <w:szCs w:val="14"/>
                <w:color w:val="auto"/>
              </w:rPr>
            </w:pPr>
          </w:p>
        </w:tc>
        <w:tc>
          <w:tcPr>
            <w:tcW w:w="27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2014</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6.00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September 30, 2014</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5.00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September 30,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3.50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4.50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March 31, 2015</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4.00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March 31, 2017</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September 30, 2015</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September 30, 2017</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December 31, 2017 and thereafter</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3.00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March 31,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3.50 to 1.00</w:t>
            </w:r>
          </w:p>
        </w:tc>
        <w:tc>
          <w:tcPr>
            <w:tcW w:w="1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Adjusted EBITDA, as defined in our New Term Loan credit agreement, is a measure that reflects our earnings before interest, taxes, depreciation, and amortization expense, and is further adjusted for, among other things, letter of credit fees, equity-based compensation expense, net gains or losses on property disposals and certain other items, including restructuring professional fees, expenses associated with certain lump sum payments to our IBT employees and the results of permitted dispositions and discontinued operations. Consolidated Total Debt, as defined in our New Term Loan credit agreement, is the aggregate principal amount of indebtedness outstanding excluding our fully discharged Series A Notes. Our total leverage ratio for the four consecutive fiscal quarters ending June 30, 2014 was 5.42 to 1.00.</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for us to maintain compliance with the maximum total leverage ratio over the term of the agreement, we must achieve operating results which reflect continuing improvements over our second quarter 2014 results. While we presently expect that our results of operations will be sufficient to allow us to comply with the covenants in our new credit agreement, fund our operations, increase working capital as necessary to support our planned revenue growth and fund capital expenditures for the next twelve months, our financial forecasts indicate our total leverage ratio will be closest to the maximum total leverage ratio in the third and fourth quarters of 2014. A significant departure from our financial forecasts would have an adverse impact on our ability to comply with our maximum total leverage ratio covenant.</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ability to satisfy our liquidity needs and meet future stepped-up covenants is primarily dependent on improvement in YRC Freight’s profitability. These profitability improvements primarily include continued successful implementation and realization of productivity and efficiency initiatives including those identified in the modified labor agreement and pricing improvements. Some of these improvements are outside of our control.</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event our operating results indicate we may not meet our maximum total leverage ratio, we will take action to improve our maximum total leverage ratio which could include, among other actions, paying down our outstanding indebtedness with either cash on hand or from cash proceeds from equity issuances. Our ability to obtain proceeds from the issuance of equity is largely outside of our control and there can be no assurance that we will be able to issue additional equity at terms that are agreeable to us or that we would have sufficient cash on hand to meet the maximum total leverage ratio.</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event that we fail to comply with any New Term Loan covenant or any New ABL Facility covenant, we would be considered in default, which would enable applicable lenders to accelerate the repayment of amounts outstanding, require the cash collateralization of letters of credit (in the case of the New ABL Facility) and exercise remedies with respect to collateral and we would need to seek an amendment or waiver from the applicable lender groups. In the event that our lenders under our New Term Loan or New ABL Facility demand payment or cash collateralization (in the case of the New ABL Facility), we will not have sufficient cash to repay such indebtedness. In addition, a default under our New Term Loan or New ABL Facility or the applicable lenders exercising their remedies thereunder would trigger cross-default provisions in our other indebtedness and certain other operating agreements. Our ability to amend our New Term Loan or our New ABL Facility or otherwise obtain waivers from the applicable lenders depends on matters that are outside of our control and there can be no assurance that we will be successful in that regard.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 Regarding Future Liquidity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principal sources of liquidity are cash and cash equivalents, available borrowings under our New ABL facility and any prospective net operating cash flows from operations. As of June 30, 2014, we had cash and cash equivalents and availability under our New ABL facility totaling $253.2 million, and cash and cash equivalents and amounts able to be drawn totaling $209.4 million. The amount which is actually able to be drawn is limited by certain financial covenants in the New ABL facility. For comparison, as of March 31, 2014, we had cash and cash equivalents and availability of $223.0 million, and cash and cash equivalents and amounts able to be drawn totaling $183.2 million. For the six months ended June 30, 2014, we used net cash of $55.6 million for our operating activities.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uses of cash are to fund our operations, including making contributions to our single-employer pension plans and various multi-employer pension funds, and to meet our other cash obligations including, but not limited to, paying cash interest and principal on our funded debt, payments on our equipment leases, letter of credit fees under our credit facilities and funding capital expenditures.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13, 2014, we also entered into the New ABL Facility credit agreement which, among other things, restricts certain capital expenditures and requires that the Company, in effect, maintain availability of at least 10% of the lesser of the aggregate amount of commitments from all lenders or the borrowing base.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considerable amount of indebtedness. As of June 30, 2014, we had $1,208.9 million in aggregate par value of outstanding indebtedness, the majority of which matures in 2019. We also have considerable future funding obligations for our single-employer pension plans and various multi-employer pension funds. We expect our funding obligations for the remainder of 2014 for our single-employer pension plans and multi-employer pension funds will be $49.4 million and $46.1 million, respectively. In addition, we have, and will continue to have, substantial operating lease obligations. As of June 30, 2014, our minimum rental expense under operating leases for the remainder of the year is $28.8 million. As of June 30, 2014, our operating lease obligations through 2025 totaled $154.8 million and is expected to increase as we lease additional revenue equipment.</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capital expenditures for the six months ended June 30, 2014 and 2013 were $24.7 million and $39.1 million, respectively. These amounts were principally used to fund replacement engines and trailer refurbishments for our revenue fleet and capitalized costs for our network facilities and technology infrastructure. Additionally, for the six months ended June 30, 2014, we entered into new operating leases for revenue equipment for $7.0 million, payable over the average lease term of three years. In light of our operating results and liquidity needs, we have deferred certain capital expenditures and expect to continue to do so for the remainder of 2014. As a result, the average age of our fleet is increasing, which may affect our maintenance costs and operational efficiency unless we are able to obtain suitable lease financing to meet our replacement equipment needs.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Employees’ Benefits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company-sponsored pension costs for the three and six months ended June 30:</w:t>
      </w:r>
    </w:p>
    <w:p>
      <w:pPr>
        <w:spacing w:after="0" w:line="200" w:lineRule="exact"/>
        <w:rPr>
          <w:sz w:val="20"/>
          <w:szCs w:val="20"/>
          <w:color w:val="auto"/>
        </w:rPr>
      </w:pP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188"/>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w:t>
            </w:r>
          </w:p>
        </w:tc>
        <w:tc>
          <w:tcPr>
            <w:tcW w:w="700" w:type="dxa"/>
            <w:vAlign w:val="bottom"/>
            <w:tcBorders>
              <w:bottom w:val="single" w:sz="8" w:color="auto"/>
            </w:tcBorders>
          </w:tcPr>
          <w:p>
            <w:pPr>
              <w:spacing w:after="0"/>
              <w:rPr>
                <w:sz w:val="16"/>
                <w:szCs w:val="16"/>
                <w:color w:val="auto"/>
              </w:rPr>
            </w:pPr>
          </w:p>
        </w:tc>
      </w:tr>
      <w:tr>
        <w:trPr>
          <w:trHeight w:val="264"/>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w w:val="83"/>
              </w:rPr>
              <w:t>2013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2013</w:t>
            </w: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28.1</w:t>
            </w:r>
          </w:p>
        </w:tc>
      </w:tr>
      <w:tr>
        <w:trPr>
          <w:trHeight w:val="27"/>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Amortization of net loss</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7.4</w:t>
            </w:r>
          </w:p>
        </w:tc>
      </w:tr>
      <w:tr>
        <w:trPr>
          <w:trHeight w:val="27"/>
        </w:trPr>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periodic pension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contribute $79.9 million to our company-sponsored pension plans in 2014 of which we have contributed $30.5 million through June 30, 2014.</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Income Taxes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for the three and six months ended June 30, 2014 was 61.7% and 13.8%, compared to 39.8% and 26.8%, for the three and six months ended June 30, 2013. The significant items impacting the 2014 rate include a net state and foreign tax provision, certain permanent items, an intraperiod tax allocation required by ASC 740, “Income Taxes”, and a change in the valuation allowance established for the net deferred tax asset balance projected for December 31, 2014. We recognize valuation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allowances on deferred tax assets if, based on the weight of the evidence, we determine it is more likely than not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June 30, 2014 and December 31, 2013, substantially all of our net deferred tax assets were subject to a valuation allowance.</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Concurrent with the financing transactions of January 31, 2014 described in the "2014 Financing Transactions" footnote, the Company experienced a change of ownership as described in Section 382 of the Internal Revenue Code. The impact of the 2014 ownership change on the Company’s ability to utilize its Net Operating Loss carryforwards and other tax attributes is not expected to be material, as the carryforwards to which this ownership change would apply already have been significantly limited by previous ownership changes occurring in 2011 and 2013.</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Shareholders’ Deficit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the activity in the shares of our common stock for the six months ended June 30, 2014:</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(shares in thousands)</w:t>
            </w:r>
          </w:p>
        </w:tc>
        <w:tc>
          <w:tcPr>
            <w:tcW w:w="14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2014</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10,173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Conversion of preferred stock to common stock</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2,333</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14,333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Issuance of equity awards</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312</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upon conversion or exchange of Series B Notes</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3,470</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30,621</w:t>
            </w:r>
          </w:p>
        </w:tc>
      </w:tr>
      <w:tr>
        <w:trPr>
          <w:trHeight w:val="27"/>
        </w:trPr>
        <w:tc>
          <w:tcPr>
            <w:tcW w:w="99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Loss Per Share</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our net loss position for the three and six months ended June 30, 2014 and June 30, 2013, there were no dilutive securities included in average common shares used in our calculation of diluted net loss per share.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Anti-dilutive options and share units were 671,500 and 835,900 at June 30, 2014 and 2013, respectively. Anti-dilutive Series A Note conversion shares were 2,612,000 and 4,979,000 at June 30, 2014 and 2013, respectively. Anti-dilutive Series B Note conversion shares, including the make whole premiums, were 981,500 and 5,037,000 at June 30, 2014 and 2013,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Business Segments</w:t>
      </w:r>
    </w:p>
    <w:p>
      <w:pPr>
        <w:spacing w:after="0" w:line="2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report financial and descriptive information about our reporting segments on a basis consistent with that used internally for evaluating segment performance and allocating resources to segments. We evaluate segment performance primarily on external revenue and operating income (loss).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We have the following reportable segments, which are strategic business units that offer complementary transportation services to our customers:</w:t>
      </w:r>
    </w:p>
    <w:p>
      <w:pPr>
        <w:spacing w:after="0" w:line="233" w:lineRule="exact"/>
        <w:rPr>
          <w:sz w:val="20"/>
          <w:szCs w:val="20"/>
          <w:color w:val="auto"/>
        </w:rPr>
      </w:pPr>
    </w:p>
    <w:p>
      <w:pPr>
        <w:jc w:val="both"/>
        <w:ind w:left="660" w:hanging="328"/>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YRC Freight </w:t>
      </w:r>
      <w:r>
        <w:rPr>
          <w:rFonts w:ascii="Arial" w:cs="Arial" w:eastAsia="Arial" w:hAnsi="Arial"/>
          <w:sz w:val="18"/>
          <w:szCs w:val="18"/>
          <w:color w:val="auto"/>
        </w:rPr>
        <w:t>is the reporting segment for our transportation service providers focused on business opportunities in national,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services. YRC Freight provides for the movement of industrial, commercial and retail goods, primarily through centralized management and customer facing organizations. This unit includes our LTL subsidiary YRC Inc. (our YRC Freight operations in the United States) and Reimer Express, a subsidiary located in Canada that specializes in shipments into, across and out of Canada. In addition to the United States and Canada, YRC Freight also serves parts of Mexico, Puerto Rico and Guam.</w:t>
      </w:r>
    </w:p>
    <w:p>
      <w:pPr>
        <w:spacing w:after="0" w:line="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Regional Transportation </w:t>
      </w:r>
      <w:r>
        <w:rPr>
          <w:rFonts w:ascii="Arial" w:cs="Arial" w:eastAsia="Arial" w:hAnsi="Arial"/>
          <w:sz w:val="18"/>
          <w:szCs w:val="18"/>
          <w:color w:val="auto"/>
        </w:rPr>
        <w:t>is the reporting segment for our transportation service providers focused on business opportunities in the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next-day delivery markets. The Regional Transportation companies each provide regional, next-day ground services in their respective regions through a network of facilities located across the United States, Canada, Mexico and Puerto Rico.</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We charge management fees and other corporate service fees to our reportable segments based on the direct benefits received or an overhead allocation basis.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Corporate and other operating losses represent residual operating expenses of the holding company.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Corporate identifiable assets primarily consist of cash, cash equivalents, an investment in an equity method affiliate and deferred debt issuance costs.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Intersegment revenue primarily relates to transportation services between our segments.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operations by business segment:</w:t>
      </w:r>
    </w:p>
    <w:p>
      <w:pPr>
        <w:spacing w:after="0" w:line="34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Regional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Corporate/</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8"/>
        </w:trPr>
        <w:tc>
          <w:tcPr>
            <w:tcW w:w="36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4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color w:val="auto"/>
              </w:rPr>
              <w:t>YRC Freight</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Transportation</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color w:val="auto"/>
                <w:w w:val="98"/>
              </w:rPr>
              <w:t>Eliminations</w:t>
            </w:r>
          </w:p>
        </w:tc>
        <w:tc>
          <w:tcPr>
            <w:tcW w:w="200" w:type="dxa"/>
            <w:vAlign w:val="bottom"/>
          </w:tcPr>
          <w:p>
            <w:pPr>
              <w:spacing w:after="0"/>
              <w:rPr>
                <w:sz w:val="16"/>
                <w:szCs w:val="16"/>
                <w:color w:val="auto"/>
              </w:rPr>
            </w:pPr>
          </w:p>
        </w:tc>
        <w:tc>
          <w:tcPr>
            <w:tcW w:w="1140" w:type="dxa"/>
            <w:vAlign w:val="bottom"/>
          </w:tcPr>
          <w:p>
            <w:pPr>
              <w:jc w:val="right"/>
              <w:ind w:right="212"/>
              <w:spacing w:after="0"/>
              <w:rPr>
                <w:sz w:val="20"/>
                <w:szCs w:val="20"/>
                <w:color w:val="auto"/>
              </w:rPr>
            </w:pPr>
            <w:r>
              <w:rPr>
                <w:rFonts w:ascii="Arial" w:cs="Arial" w:eastAsia="Arial" w:hAnsi="Arial"/>
                <w:sz w:val="14"/>
                <w:szCs w:val="14"/>
                <w:color w:val="auto"/>
              </w:rPr>
              <w:t>Consolidated</w:t>
            </w:r>
          </w:p>
        </w:tc>
      </w:tr>
      <w:tr>
        <w:trPr>
          <w:trHeight w:val="250"/>
        </w:trPr>
        <w:tc>
          <w:tcPr>
            <w:tcW w:w="36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June 30, 2014</w:t>
            </w: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Identifiable assets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1,545.5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743.1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2,179.5</w:t>
            </w: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2013</w:t>
            </w:r>
          </w:p>
        </w:tc>
        <w:tc>
          <w:tcPr>
            <w:tcW w:w="1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Identifiable assets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1,513.4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698.4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2,064.9</w:t>
            </w: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2014</w:t>
            </w:r>
          </w:p>
        </w:tc>
        <w:tc>
          <w:tcPr>
            <w:tcW w:w="1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External revenue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475.5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1,317.6</w:t>
            </w: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Six Months Ended June 30, 2014</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External revenue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2,528.5</w:t>
            </w: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2013</w:t>
            </w:r>
          </w:p>
        </w:tc>
        <w:tc>
          <w:tcPr>
            <w:tcW w:w="1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External revenue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444.9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1,242.5</w:t>
            </w: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Six Months Ended June 30, 2013</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External revenue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2,405.0</w:t>
            </w: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24.2</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Commitments, Contingencies and Uncertainties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Bryant Holdings Securities Litigation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7, 2011, a putative class action was filed by Bryant Holdings LLC in the U.S. District Court for the District of Kansas on behalf of purchasers of our common stock between April 24, 2008 and November 2, 2009, inclusive (the “Class Period”), seeking damages under the federal securities laws for statements and/or omissions allegedly made by us and the individual defendants during the Class Period which plaintiffs claimed to be false and misleading.</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individual defendants are former officers of our Company. No current officers or directors were named in the lawsuit. The parties participated in voluntary mediation between March 11, 2013 and April 15, 2013. The mediation resulted in the execution of a mutually acceptable settlement agreement by the parties, which agreement remains subject to approval by the court. Court approval cannot be assured. Substantially all of the payments contemplated by the settlement will be covered by our liability insurance. The self-insured retention on this matter has been accrued as of June 30, 2014.</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19, 2013, the Court entered an Order denying plaintiffs’ Motion for Preliminary Approval of the Settlement. Plaintiffs filed an Amended Motion for Preliminary Approval and, on November 18, 2013, the Court denied that Motion. Each denial was based primarily on deficiencies that the Court perceived in the plan that plaintiffs proposed for allocation of the settlement proceeds among class members. Plaintiffs have revised the plan of allocation and, on February 18, 2014, filed a Second Amended Motion for Preliminary Approval.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Matters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involved in other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financial statements, we believe that our financial statements include adequate provisions for estimated costs and losses that may be incurred within the litigation and proceedings to which we are a party.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Management’s Discussion and Analysis of Financial Condition and Results of Operations (“MD&amp;A”) should be read in conjunction with the Consolidated Financial Statements and the Notes to Consolidated Financial Statements included elsewhere in this report. MD&amp;A and certain Notes to the Consolidated Financial Statements include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“project,” “forecast,” “propose,” “plan,” “designed,” “estimate,” “enable” and similar expressions. Forward-looking statements are inherently uncertain and are subject to significant business, economic, competitive, regulatory and other risks, uncertainties and contingencies, known and unknown, many of which are beyond our control. Readers are cautioned not to place undue reliance on any forward-looking statements. Our future financial condition and results could differ materially from those predicted in such forward-looking statements because of a number of factors, including (without limitation):</w:t>
      </w:r>
    </w:p>
    <w:p>
      <w:pPr>
        <w:spacing w:after="0" w:line="20" w:lineRule="exact"/>
        <w:rPr>
          <w:sz w:val="20"/>
          <w:szCs w:val="20"/>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generate sufficient liquidity to satisfy our cash needs and future cash commitments, including (without limitation) our obligations related to our indebtedness and lease and pension funding requirements, and our ability to achieve increased cash flows through improvement in operations;</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pace of recovery in the overall economy, including (without limitation) customer demand in the retail and manufacturing sectors;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our management team in implementing its strategic plan and operational and productivity improvements, including (without limitation) our continued ability to meet high on-time and quality delivery performance standards and our ability to increase volume and yield, and the impact of those improvements on our future liquidity and profitability;</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comply with scheduled increases in financial performance-related debt covenants;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finance the maintenance, acquisition and replacement of revenue equipment and other necessary capital expenditures;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our information technology systems in our network operations and the production of accurate information, and the risk of system failure, inadequacy or security breach;</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equity and debt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inclement weather;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of fuel;</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sudden changes in the cost of fuel or the index upon which we base our fuel surcharge and the effectiveness of our fuel surcharge program in protecting us against fuel price volatility;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and competitive pressure on pricing;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expense volatility, including (without limitation) volatility due to changes in purchased transportation service or pricing for purchased transportation;</w:t>
      </w:r>
    </w:p>
    <w:p>
      <w:pPr>
        <w:spacing w:after="0" w:line="86" w:lineRule="exact"/>
        <w:rPr>
          <w:rFonts w:ascii="Arial" w:cs="Arial" w:eastAsia="Arial" w:hAnsi="Arial"/>
          <w:sz w:val="16"/>
          <w:szCs w:val="16"/>
          <w:color w:val="auto"/>
        </w:rPr>
      </w:pPr>
    </w:p>
    <w:p>
      <w:pPr>
        <w:ind w:left="660" w:right="20" w:hanging="328"/>
        <w:spacing w:after="0" w:line="29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comply and the cost of compliance with federal, state, local and foreign laws and regulations, including (without limitation) laws and regulations for the protection of employee safety and health (including new hours-of-service regulations) and the environment;</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terrorist attack;</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labor relations, including (without limitation) our ability to attract and retain qualified drivers, the continued support of our union employees for our strategic plan, the impact of work rules, work stoppages, strikes or other disruptions, our obligations to multi-employer health, welfare and pension plans, wage requirements and employee satisfaction;</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claims and litigation to which we are or may become exposed; and</w:t>
      </w:r>
    </w:p>
    <w:p>
      <w:pPr>
        <w:spacing w:after="0" w:line="6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 risks and contingencies, including (without limitation) the risk factors that are included in our reports filed with the SEC, including those described under “Risk Factors” in our annual report on Form 10-K and quarterly reports on Form 10-Q, including this quarterly report.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MD&amp;A includes the following sections: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Our Business </w:t>
      </w:r>
      <w:r>
        <w:rPr>
          <w:rFonts w:ascii="Arial" w:cs="Arial" w:eastAsia="Arial" w:hAnsi="Arial"/>
          <w:sz w:val="18"/>
          <w:szCs w:val="18"/>
          <w:color w:val="auto"/>
        </w:rPr>
        <w:t>— a brief description of our business and a discussion of how we assess our operating results.</w:t>
      </w:r>
    </w:p>
    <w:p>
      <w:pPr>
        <w:spacing w:after="0" w:line="185"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Consolidated Results of Operations </w:t>
      </w:r>
      <w:r>
        <w:rPr>
          <w:rFonts w:ascii="Arial" w:cs="Arial" w:eastAsia="Arial" w:hAnsi="Arial"/>
          <w:sz w:val="18"/>
          <w:szCs w:val="18"/>
          <w:color w:val="auto"/>
        </w:rPr>
        <w:t>— an analysis of our consolidated results of operations for the three and six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2014 and 2013.</w:t>
      </w:r>
    </w:p>
    <w:p>
      <w:pPr>
        <w:spacing w:after="0" w:line="1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Reporting Segment Results of Operations </w:t>
      </w:r>
      <w:r>
        <w:rPr>
          <w:rFonts w:ascii="Arial" w:cs="Arial" w:eastAsia="Arial" w:hAnsi="Arial"/>
          <w:sz w:val="18"/>
          <w:szCs w:val="18"/>
          <w:color w:val="auto"/>
        </w:rPr>
        <w:t>— an analysis of our results of operations for the three and six months ended June 30, 2014</w:t>
      </w:r>
      <w:r>
        <w:rPr>
          <w:rFonts w:ascii="Arial" w:cs="Arial" w:eastAsia="Arial" w:hAnsi="Arial"/>
          <w:sz w:val="18"/>
          <w:szCs w:val="18"/>
          <w:b w:val="1"/>
          <w:bCs w:val="1"/>
          <w:color w:val="auto"/>
        </w:rPr>
        <w:t xml:space="preserve"> </w:t>
      </w:r>
      <w:r>
        <w:rPr>
          <w:rFonts w:ascii="Arial" w:cs="Arial" w:eastAsia="Arial" w:hAnsi="Arial"/>
          <w:sz w:val="18"/>
          <w:szCs w:val="18"/>
          <w:color w:val="auto"/>
        </w:rPr>
        <w:t>and 2013 for our YRC Freight and Regional Transportation reporting segments.</w:t>
      </w:r>
    </w:p>
    <w:p>
      <w:pPr>
        <w:spacing w:after="0" w:line="1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Certain Non-GAAP Financial Measures </w:t>
      </w:r>
      <w:r>
        <w:rPr>
          <w:rFonts w:ascii="Arial" w:cs="Arial" w:eastAsia="Arial" w:hAnsi="Arial"/>
          <w:sz w:val="18"/>
          <w:szCs w:val="18"/>
          <w:color w:val="auto"/>
        </w:rPr>
        <w:t>— an analysis of selected non-GAAP financial measures for the three and six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2014 and 2013.</w:t>
      </w:r>
    </w:p>
    <w:p>
      <w:pPr>
        <w:spacing w:after="0" w:line="1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Financial Condition/Liquidity and Capital Resources </w:t>
      </w:r>
      <w:r>
        <w:rPr>
          <w:rFonts w:ascii="Arial" w:cs="Arial" w:eastAsia="Arial" w:hAnsi="Arial"/>
          <w:sz w:val="18"/>
          <w:szCs w:val="18"/>
          <w:color w:val="auto"/>
        </w:rPr>
        <w:t>— a discussion of our major sources and uses of cash and an analysis of our cash</w:t>
      </w:r>
      <w:r>
        <w:rPr>
          <w:rFonts w:ascii="Arial" w:cs="Arial" w:eastAsia="Arial" w:hAnsi="Arial"/>
          <w:sz w:val="18"/>
          <w:szCs w:val="18"/>
          <w:b w:val="1"/>
          <w:bCs w:val="1"/>
          <w:color w:val="auto"/>
        </w:rPr>
        <w:t xml:space="preserve"> </w:t>
      </w:r>
      <w:r>
        <w:rPr>
          <w:rFonts w:ascii="Arial" w:cs="Arial" w:eastAsia="Arial" w:hAnsi="Arial"/>
          <w:sz w:val="18"/>
          <w:szCs w:val="18"/>
          <w:color w:val="auto"/>
        </w:rPr>
        <w:t>flows and aggregate contractual obligations and commercial commitments.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“second quarter” and “first half” of the years discussed below refer to the three and six months ended June 30,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holding company that, through wholly owned operating subsidiaries and our interest in a Chinese joint venture, offers our customers a wide range of transportation services. We have one of the largest, most comprehensive less-than-truckload (“LTL”) networks in North America with local, regional, national and international capabilities. Through our team of experienced service professionals, we offer industry-leading expertise in LTL shipments and flexible supply chain solutions, ensuring customers can ship industrial, commercial and retail goods with confidence.</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measure the performance of our business on both a consolidated basis and a reporting segment basis. We use several performance metrics, but rely primarily upon (without limitation) operating revenue, operating income (loss), and operating ratio. We also use certain non-GAAP financial measures as secondary measures to assess our operating performance.</w:t>
      </w:r>
    </w:p>
    <w:p>
      <w:pPr>
        <w:spacing w:after="0" w:line="137" w:lineRule="exact"/>
        <w:rPr>
          <w:sz w:val="20"/>
          <w:szCs w:val="20"/>
          <w:color w:val="auto"/>
        </w:rPr>
      </w:pPr>
    </w:p>
    <w:p>
      <w:pPr>
        <w:jc w:val="both"/>
        <w:ind w:left="660" w:hanging="328"/>
        <w:spacing w:after="0" w:line="289"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Operating Revenue: </w:t>
      </w:r>
      <w:r>
        <w:rPr>
          <w:rFonts w:ascii="Arial" w:cs="Arial" w:eastAsia="Arial" w:hAnsi="Arial"/>
          <w:sz w:val="16"/>
          <w:szCs w:val="16"/>
          <w:color w:val="auto"/>
        </w:rPr>
        <w:t>Our operating revenue has two primary components: volume (commonly evaluated using number of shipments and weight per</w:t>
      </w:r>
      <w:r>
        <w:rPr>
          <w:rFonts w:ascii="Arial" w:cs="Arial" w:eastAsia="Arial" w:hAnsi="Arial"/>
          <w:sz w:val="16"/>
          <w:szCs w:val="16"/>
          <w:b w:val="1"/>
          <w:bCs w:val="1"/>
          <w:color w:val="auto"/>
        </w:rPr>
        <w:t xml:space="preserve"> </w:t>
      </w:r>
      <w:r>
        <w:rPr>
          <w:rFonts w:ascii="Arial" w:cs="Arial" w:eastAsia="Arial" w:hAnsi="Arial"/>
          <w:sz w:val="16"/>
          <w:szCs w:val="16"/>
          <w:color w:val="auto"/>
        </w:rPr>
        <w:t>shipment) and yield or price (commonly evaluated on a dollar per hundred weight basis and a dollar per shipment basis). Yield includes fuel surcharge revenue, which is common in the trucking industry and represents an amount charged to customers that adjusts with changing fuel prices. We base our fuel surcharges on a published national index and adjust them weekly. Rapid material changes in the index or our cost of fuel can positively or negatively impact our revenue and operating income versus prior periods, as there is a lag in our adjustment of base rates in response to changes in fuel surcharge. We believe that fuel surcharge is an accepted and important component of the overall pricing of our services to our customers. Without an industry accepted fuel surcharge program, our base pricing for our transportation services would require numerous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w:t>
      </w:r>
    </w:p>
    <w:p>
      <w:pPr>
        <w:spacing w:after="0" w:line="161" w:lineRule="exact"/>
        <w:rPr>
          <w:rFonts w:ascii="Arial" w:cs="Arial" w:eastAsia="Arial" w:hAnsi="Arial"/>
          <w:sz w:val="16"/>
          <w:szCs w:val="16"/>
          <w:color w:val="auto"/>
        </w:rPr>
      </w:pPr>
    </w:p>
    <w:p>
      <w:pPr>
        <w:ind w:left="660" w:hanging="328"/>
        <w:spacing w:after="0" w:line="313"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Operating income (loss) is our operating revenue less operating expenses. Our consolidated operating income (loss)</w:t>
      </w:r>
      <w:r>
        <w:rPr>
          <w:rFonts w:ascii="Arial" w:cs="Arial" w:eastAsia="Arial" w:hAnsi="Arial"/>
          <w:sz w:val="17"/>
          <w:szCs w:val="17"/>
          <w:b w:val="1"/>
          <w:bCs w:val="1"/>
          <w:color w:val="auto"/>
        </w:rPr>
        <w:t xml:space="preserve"> </w:t>
      </w:r>
      <w:r>
        <w:rPr>
          <w:rFonts w:ascii="Arial" w:cs="Arial" w:eastAsia="Arial" w:hAnsi="Arial"/>
          <w:sz w:val="17"/>
          <w:szCs w:val="17"/>
          <w:color w:val="auto"/>
        </w:rPr>
        <w:t>includes certain corporate charges that are not allocated to our YRC Freight and Regional Transportation reporting segments.</w:t>
      </w:r>
    </w:p>
    <w:p>
      <w:pPr>
        <w:spacing w:after="0" w:line="138" w:lineRule="exact"/>
        <w:rPr>
          <w:rFonts w:ascii="Arial" w:cs="Arial" w:eastAsia="Arial" w:hAnsi="Arial"/>
          <w:sz w:val="17"/>
          <w:szCs w:val="17"/>
          <w:color w:val="auto"/>
        </w:rPr>
      </w:pPr>
    </w:p>
    <w:p>
      <w:pPr>
        <w:jc w:val="both"/>
        <w:ind w:left="660" w:hanging="328"/>
        <w:spacing w:after="0" w:line="26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Operating Ratio: </w:t>
      </w:r>
      <w:r>
        <w:rPr>
          <w:rFonts w:ascii="Arial" w:cs="Arial" w:eastAsia="Arial" w:hAnsi="Arial"/>
          <w:sz w:val="18"/>
          <w:szCs w:val="18"/>
          <w:color w:val="auto"/>
        </w:rPr>
        <w:t>Operating ratio is a common operating performance metric used in the trucking industry. It is calculated as (i) 100 percent (ii)</w:t>
      </w:r>
      <w:r>
        <w:rPr>
          <w:rFonts w:ascii="Arial" w:cs="Arial" w:eastAsia="Arial" w:hAnsi="Arial"/>
          <w:sz w:val="18"/>
          <w:szCs w:val="18"/>
          <w:b w:val="1"/>
          <w:bCs w:val="1"/>
          <w:color w:val="auto"/>
        </w:rPr>
        <w:t xml:space="preserve"> </w:t>
      </w:r>
      <w:r>
        <w:rPr>
          <w:rFonts w:ascii="Arial" w:cs="Arial" w:eastAsia="Arial" w:hAnsi="Arial"/>
          <w:sz w:val="18"/>
          <w:szCs w:val="18"/>
          <w:color w:val="auto"/>
        </w:rPr>
        <w:t>minus the result of dividing operating income by operating revenue or (iii) plus the result of dividing operating loss by operating revenue, and expressed as a percentage.</w:t>
      </w:r>
    </w:p>
    <w:p>
      <w:pPr>
        <w:spacing w:after="0" w:line="17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Non-GAAP Financial Measures: </w:t>
      </w:r>
      <w:r>
        <w:rPr>
          <w:rFonts w:ascii="Arial" w:cs="Arial" w:eastAsia="Arial" w:hAnsi="Arial"/>
          <w:sz w:val="18"/>
          <w:szCs w:val="18"/>
          <w:color w:val="auto"/>
        </w:rPr>
        <w:t>We use certain non-GAAP financial measures to assess our performance. These include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EBITDA and adjusted free cash flow (deficit):</w:t>
      </w:r>
    </w:p>
    <w:p>
      <w:pPr>
        <w:spacing w:after="0" w:line="165"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 non-GAAP measure that reflects our earnings before interest, taxes, depreciation, and amortization expense, and</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adjusted for letter of credit fees, equity-based compensation expense, net gains or losses on property disposals and certain other items, including restructuring professional fees, expenses associated with certain lump sum payments to our IBT employees and the results of permitted dispositions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1300" w:right="20"/>
        <w:spacing w:after="0" w:line="298" w:lineRule="auto"/>
        <w:rPr>
          <w:sz w:val="20"/>
          <w:szCs w:val="20"/>
          <w:color w:val="auto"/>
        </w:rPr>
      </w:pPr>
      <w:r>
        <w:rPr>
          <w:rFonts w:ascii="Arial" w:cs="Arial" w:eastAsia="Arial" w:hAnsi="Arial"/>
          <w:sz w:val="17"/>
          <w:szCs w:val="17"/>
          <w:color w:val="auto"/>
        </w:rPr>
        <w:t>discontinued operations as defined in our credit facilities. Adjusted EBITDA is used for internal management purposes as a financial measure that reflects our core operating performance and to measure compliance with financial covenants in our credit facilities.</w:t>
      </w:r>
    </w:p>
    <w:p>
      <w:pPr>
        <w:spacing w:after="0" w:line="2" w:lineRule="exact"/>
        <w:rPr>
          <w:sz w:val="20"/>
          <w:szCs w:val="20"/>
          <w:color w:val="auto"/>
        </w:rPr>
      </w:pPr>
    </w:p>
    <w:p>
      <w:pPr>
        <w:ind w:left="1300" w:hanging="320"/>
        <w:spacing w:after="0" w:line="276"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Adjusted Free Cash Flow (Deficit): </w:t>
      </w:r>
      <w:r>
        <w:rPr>
          <w:rFonts w:ascii="Arial" w:cs="Arial" w:eastAsia="Arial" w:hAnsi="Arial"/>
          <w:sz w:val="18"/>
          <w:szCs w:val="18"/>
          <w:color w:val="auto"/>
        </w:rPr>
        <w:t>a non-GAAP measure that reflects our net cash provided by (used in) operating activities minus gross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and excludes restructuring professional fees included in operating cash flow.</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non-GAAP financial measures have the following limitations:</w:t>
      </w:r>
    </w:p>
    <w:p>
      <w:pPr>
        <w:spacing w:after="0" w:line="185" w:lineRule="exact"/>
        <w:rPr>
          <w:sz w:val="20"/>
          <w:szCs w:val="20"/>
          <w:color w:val="auto"/>
        </w:rPr>
      </w:pPr>
    </w:p>
    <w:p>
      <w:pPr>
        <w:jc w:val="both"/>
        <w:ind w:left="1300" w:hanging="320"/>
        <w:spacing w:after="0" w:line="256"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fund restructuring professional fees, letter of credit fees, service interest, principal payments on our outstanding debt or lump sum payments to our IBT employees required under the modified labor agreement;</w:t>
      </w:r>
    </w:p>
    <w:p>
      <w:pPr>
        <w:ind w:left="1300" w:hanging="320"/>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ind w:left="1300" w:hanging="320"/>
        <w:spacing w:after="0" w:line="265"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Equity-based compensation is an element of our long-term incentive compensation package, although adjusted EBITDA excludes employee equity-based compensation expense when presenting our ongoing operating performance for a particular period;</w:t>
      </w:r>
    </w:p>
    <w:p>
      <w:pPr>
        <w:ind w:left="1300" w:hanging="320"/>
        <w:spacing w:after="0" w:line="265"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Adjusted free cash flow (deficit) excludes the cash usage by our restructuring professional fees, debt issuance costs, equity issuance costs and principal payments on our outstanding debt and the resulting reduction in our liquidity position from those cash outflows; and</w:t>
      </w:r>
    </w:p>
    <w:p>
      <w:pPr>
        <w:ind w:left="1300" w:hanging="320"/>
        <w:spacing w:after="0" w:line="261"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and adjusted free cash flow (deficit) differently than we do, potentially limiting their usefulness as comparative measures.</w:t>
      </w:r>
    </w:p>
    <w:p>
      <w:pPr>
        <w:spacing w:after="0" w:line="184"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results include the consolidated results of our YRC Freight and Regional Transportation reporting segments as well as any unallocated corporate charges. A more detailed discussion of the operating results of our segments is presented in the “Reporting Segment Results of Operations” section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summary consolidated financial information for the second quarter and first half of 2014 and 2013:</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w w:val="91"/>
              </w:rPr>
              <w:t>Second Quarter</w:t>
            </w:r>
          </w:p>
        </w:tc>
        <w:tc>
          <w:tcPr>
            <w:tcW w:w="1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First Half</w:t>
            </w:r>
          </w:p>
        </w:tc>
        <w:tc>
          <w:tcPr>
            <w:tcW w:w="148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34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2"/>
                <w:szCs w:val="22"/>
                <w:color w:val="auto"/>
              </w:rPr>
            </w:pPr>
          </w:p>
        </w:tc>
        <w:tc>
          <w:tcPr>
            <w:tcW w:w="840" w:type="dxa"/>
            <w:vAlign w:val="bottom"/>
          </w:tcPr>
          <w:p>
            <w:pPr>
              <w:jc w:val="right"/>
              <w:ind w:right="334"/>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336"/>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22"/>
                <w:szCs w:val="22"/>
                <w:color w:val="auto"/>
              </w:rPr>
            </w:pPr>
          </w:p>
        </w:tc>
        <w:tc>
          <w:tcPr>
            <w:tcW w:w="1600" w:type="dxa"/>
            <w:vAlign w:val="bottom"/>
            <w:gridSpan w:val="2"/>
          </w:tcPr>
          <w:p>
            <w:pPr>
              <w:ind w:left="300"/>
              <w:spacing w:after="0"/>
              <w:rPr>
                <w:sz w:val="20"/>
                <w:szCs w:val="20"/>
                <w:color w:val="auto"/>
              </w:rPr>
            </w:pPr>
            <w:r>
              <w:rPr>
                <w:rFonts w:ascii="Arial" w:cs="Arial" w:eastAsia="Arial" w:hAnsi="Arial"/>
                <w:sz w:val="14"/>
                <w:szCs w:val="14"/>
                <w:color w:val="auto"/>
              </w:rPr>
              <w:t>Percent Change</w:t>
            </w:r>
          </w:p>
        </w:tc>
        <w:tc>
          <w:tcPr>
            <w:tcW w:w="260" w:type="dxa"/>
            <w:vAlign w:val="bottom"/>
          </w:tcPr>
          <w:p>
            <w:pPr>
              <w:spacing w:after="0"/>
              <w:rPr>
                <w:sz w:val="22"/>
                <w:szCs w:val="22"/>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336"/>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2"/>
                <w:szCs w:val="22"/>
                <w:color w:val="auto"/>
              </w:rPr>
            </w:pPr>
          </w:p>
        </w:tc>
        <w:tc>
          <w:tcPr>
            <w:tcW w:w="1480" w:type="dxa"/>
            <w:vAlign w:val="bottom"/>
          </w:tcPr>
          <w:p>
            <w:pPr>
              <w:jc w:val="right"/>
              <w:ind w:right="194"/>
              <w:spacing w:after="0"/>
              <w:rPr>
                <w:sz w:val="20"/>
                <w:szCs w:val="20"/>
                <w:color w:val="auto"/>
              </w:rPr>
            </w:pPr>
            <w:r>
              <w:rPr>
                <w:rFonts w:ascii="Arial" w:cs="Arial" w:eastAsia="Arial" w:hAnsi="Arial"/>
                <w:sz w:val="14"/>
                <w:szCs w:val="14"/>
                <w:color w:val="auto"/>
              </w:rPr>
              <w:t>Percent Change</w:t>
            </w:r>
          </w:p>
        </w:tc>
      </w:tr>
      <w:tr>
        <w:trPr>
          <w:trHeight w:val="243"/>
        </w:trPr>
        <w:tc>
          <w:tcPr>
            <w:tcW w:w="20" w:type="dxa"/>
            <w:vAlign w:val="bottom"/>
          </w:tcPr>
          <w:p>
            <w:pPr>
              <w:spacing w:after="0"/>
              <w:rPr>
                <w:sz w:val="21"/>
                <w:szCs w:val="21"/>
                <w:color w:val="auto"/>
              </w:rPr>
            </w:pPr>
          </w:p>
        </w:tc>
        <w:tc>
          <w:tcPr>
            <w:tcW w:w="3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Operating revenue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1,317.6</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1,242.5</w:t>
            </w:r>
          </w:p>
        </w:tc>
        <w:tc>
          <w:tcPr>
            <w:tcW w:w="100" w:type="dxa"/>
            <w:vAlign w:val="bottom"/>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2,528.5</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2,405.0</w:t>
            </w:r>
          </w:p>
        </w:tc>
        <w:tc>
          <w:tcPr>
            <w:tcW w:w="120" w:type="dxa"/>
            <w:vAlign w:val="bottom"/>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5.1 %</w:t>
            </w:r>
          </w:p>
        </w:tc>
      </w:tr>
      <w:tr>
        <w:trPr>
          <w:trHeight w:val="27"/>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r>
      <w:tr>
        <w:trPr>
          <w:trHeight w:val="243"/>
        </w:trPr>
        <w:tc>
          <w:tcPr>
            <w:tcW w:w="2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Nonoperating expenses,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182"/>
        </w:trPr>
        <w:tc>
          <w:tcPr>
            <w:tcW w:w="20" w:type="dxa"/>
            <w:vAlign w:val="bottom"/>
          </w:tcPr>
          <w:p>
            <w:pPr>
              <w:spacing w:after="0"/>
              <w:rPr>
                <w:sz w:val="15"/>
                <w:szCs w:val="15"/>
                <w:color w:val="auto"/>
              </w:rPr>
            </w:pPr>
          </w:p>
        </w:tc>
        <w:tc>
          <w:tcPr>
            <w:tcW w:w="3400" w:type="dxa"/>
            <w:vAlign w:val="bottom"/>
          </w:tcPr>
          <w:p>
            <w:pPr>
              <w:spacing w:after="0"/>
              <w:rPr>
                <w:sz w:val="20"/>
                <w:szCs w:val="20"/>
                <w:color w:val="auto"/>
              </w:rPr>
            </w:pPr>
            <w:r>
              <w:rPr>
                <w:rFonts w:ascii="Arial" w:cs="Arial" w:eastAsia="Arial" w:hAnsi="Arial"/>
                <w:sz w:val="14"/>
                <w:szCs w:val="14"/>
                <w:color w:val="auto"/>
              </w:rPr>
              <w:t>*Not meaningful</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of 2014 Compared to the Second Quarter of 2013</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operating revenue increased 6.0% during the second quarter of 2014 compared to the same period in 2013. The increase in revenue is primarily attributable to higher total shipments over the comparable prior year period due to the improvement of the overall economic environment as well as increased shipper confidence due to the finalization of our 2014 Financing Transactions and modified labor agreement.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for the second quarter of 2014 increased $69.4 million, or 5.7% compared to the same period in 2013. The increase in operating expenses was driven by increased costs associated with higher total shipments and improving our service. These resulted in a $34.1 million, or 27.1%, increase in purchased transportation and a $23.2 million, or 3.2%, increase in salaries, wages and employees’ benefits. We also experienced a $16.2 million, or 29.8%, increase in other operating expenses.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660" w:hanging="328"/>
        <w:spacing w:after="0" w:line="25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$34.1 million increase in purchased transportation was primarily driven by increased total shipments and the use of additional high cost purchased rail and local cartage transportation to balance our networks. We also experienced an increase in purchased road miles as we began to utilize our new over-the-road purchased transportation option as permitted in our modified labor agreement that went into effect in February 2014. Finally, we had higher vehicle rent expense as our percentage of leased units has increased since last year due to our current strategy of using operating leases to acquire new revenue equipment.</w:t>
      </w:r>
    </w:p>
    <w:p>
      <w:pPr>
        <w:spacing w:after="0" w:line="3"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$23.2 million increase in salaries, wages and employees’ benefits in the second quarter of 2014 was primarily the result of a $21.2 million increase in wages and benefits in the second quarter of 2014 compared to the second quarter of 2013. This increase was largely driven by higher total shipments and lower productivity levels.</w:t>
      </w:r>
    </w:p>
    <w:p>
      <w:pPr>
        <w:spacing w:after="0" w:line="1"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$16.2 million increase in other operating expenses was primarily driven by an $11.2 million increase in our bodily injury and property damage claims expense. The increase was driven by more outstanding claims and unfavorable development of prior year claims compared to favorable development recognized in the second quarter of 2013. The increase was also driven by a $4.3 million increase in cargo claims expense, which was primarily driven by an increase in the frequency and severity of our claims.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Nonoperating expenses decreased $6.6 million in the second quarter of 2014 compared to the second quarter of 2013. The decrease in nonoperating expenses was largely driven by the decrease in interest expense as a result of the first quarter 2014 Financing Transactions which reduced our outstanding debt and lowered the weighted average interest rate on our debt.</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effective tax rate for the second quarter of 2014 and 2013 was 61.7% and 39.8%, respectively. Significant items impacting the second quarter of 2014 rate include a net state and foreign tax provision, certain permanent items, an intraperiod tax allocation required by ASC 740, “Income Taxes”, and a change in the valuation allowance established for the net deferred tax asset balance projected for December 31, 2014.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June 30, 2014 and December 31, 2013, substantially all of our net deferred tax assets are subject to a valuation allowance.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Half of 2014 Compared to the First Half of 2013</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operating revenue increased 5.1% during the first half of 2014 compared to the same period in 2013. The increase in revenue is primarily attributable to higher total shipments over the comparable prior year.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for the first half of 2014 increased $160.1 million, or 6.7% compared to the same period in 2013, primarily related to a $67.9 million, or 4.9%, increase in salaries, wages and employees’ benefits, a $51.1 million, or 21.2%, increase in purchased transportation, a $27.2 million, or 26.1%, increase in other operating expenses and a $22.1 million, or 4.0%, increase in operating expenses and supplies.</w:t>
      </w:r>
    </w:p>
    <w:p>
      <w:pPr>
        <w:spacing w:after="0" w:line="181" w:lineRule="exact"/>
        <w:rPr>
          <w:sz w:val="20"/>
          <w:szCs w:val="20"/>
          <w:color w:val="auto"/>
        </w:rPr>
      </w:pPr>
    </w:p>
    <w:p>
      <w:pPr>
        <w:jc w:val="both"/>
        <w:ind w:left="660" w:hanging="328"/>
        <w:spacing w:after="0" w:line="25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$67.9 million increase in salaries, wages and employees’ benefits was primarily due to a $57.2 million increase in wages and benefits in the first half of 2014 compared to the first half of 2013. This increase was largely driven by higher total shipments and by the negative impact the severe winter weather had on the productivity of our workforce which, among other things, increased our overtime and linehaul delay pay in the first quarter of 2014.</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$51.1 million increase in purchased transportation was primarily driven by increased total shipments and the use of additional high cost purchased rail and local cartage transportation to balance our networks and in response to the service disruptions related to the severe winter weather experienced during the first quarter. We also experienced an increase in purchased road miles in part due to the changes in our purchased transportation options as permitted in our modified labor agreement that went into effect in February 2014. Finally, we had higher vehicle rental expense as our percentage of leased units has increased since last year due to our current strategy of using operating leases to acquire new revenue equipment.</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$27.2 million increase in other operating expenses was primarily driven by a $19.2 million increase in our bodily injury and property damage claims expense, which was driven by an increase in the number of outstanding claims and unfavorable development of prior year claims. The increase was also driven by a $7.4 million increase in cargo claims expense, which was primarily driven by an increase in the frequency and severity of our claims.</w:t>
      </w:r>
    </w:p>
    <w:p>
      <w:pPr>
        <w:spacing w:after="0" w:line="1" w:lineRule="exact"/>
        <w:rPr>
          <w:rFonts w:ascii="Arial" w:cs="Arial" w:eastAsia="Arial" w:hAnsi="Arial"/>
          <w:sz w:val="18"/>
          <w:szCs w:val="18"/>
          <w:color w:val="auto"/>
        </w:rPr>
      </w:pPr>
    </w:p>
    <w:p>
      <w:pPr>
        <w:jc w:val="both"/>
        <w:ind w:left="660" w:right="20" w:hanging="328"/>
        <w:spacing w:after="0" w:line="277"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$22.1 million increase in operating expenses and supplies was primarily driven by higher fuel expense of $11.8 million and an increase in vehicle maintenance of $9.6 million. The increase in fuel expense is primarily a result of increased use due to higher total shipments. The increase in vehicle maintenance is primarily driven by higher costs needed to support our aging fleet and an increase in miles driven.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Nonoperating expenses decreased $3.6 million in the first half of 2014 compared to the first half of 2013. The decrease was primarily driven by the $11.2 million gain we recorded on our extinguishment of debt in the first quarter of 2014, $16.3 million of which related to the acceleration of net premiums on our old debt, partially offset by $5.1 million of additional expense related to the fair value of the incremental shares provided to those Series B Note holders who exchanged their outstanding balances at a conversion price of $15.00 per share. This decrease was partially offset by an $8.8 million increase in interest expense which was driven by the acceleration of the amortization of the deferred debt costs on our Prior Term Loan and Prior ABL Facility when they were extinguished in the first quarter of 2014, which was partially offset by by the decrease in interest expense as a result of the first quarter 2014 Financing Transactions which reduced our outstanding debt and lowered the weighted average interest rate on our debt.</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effective tax rate for the first half of 2014 and 2013 was 13.8% and 26.8%, respectively. Significant items impacting the first half of 2014 rate include a net state and foreign tax provision, certain permanent items, an intraperiod tax allocation required by ASC 740, “Income Taxes”, and a change in the valuation allowance established for the net deferred tax asset balance projected for December 31, 2014.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June 30, 2014 and December 31, 2013, substantially all of our net deferred tax assets are subject to a valuation allowance.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Reporting Segment 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evaluate our operating performance using our YRC Freight and Regional Transportation reporting segments:</w:t>
      </w:r>
    </w:p>
    <w:p>
      <w:pPr>
        <w:spacing w:after="0" w:line="221" w:lineRule="exact"/>
        <w:rPr>
          <w:sz w:val="20"/>
          <w:szCs w:val="20"/>
          <w:color w:val="auto"/>
        </w:rPr>
      </w:pPr>
    </w:p>
    <w:p>
      <w:pPr>
        <w:jc w:val="both"/>
        <w:ind w:left="660" w:hanging="328"/>
        <w:spacing w:after="0" w:line="25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YRC Freight </w:t>
      </w:r>
      <w:r>
        <w:rPr>
          <w:rFonts w:ascii="Arial" w:cs="Arial" w:eastAsia="Arial" w:hAnsi="Arial"/>
          <w:sz w:val="18"/>
          <w:szCs w:val="18"/>
          <w:color w:val="auto"/>
        </w:rPr>
        <w:t>is the reporting segment for our transportation service providers focused on business opportunities in national,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services. YRC Freight provides for the movement of industrial, commercial and retail goods, primarily through centralized management and customer facing organizations. This unit includes our LTL subsidiary YRC Inc. and Reimer Express, a subsidiary located in Canada that specializes in shipments into, across and out of Canada. In addition to the United States and Canada, YRC Freight also serves parts of Mexico, Puerto Rico and Guam.</w:t>
      </w:r>
    </w:p>
    <w:p>
      <w:pPr>
        <w:spacing w:after="0" w:line="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Regional Transportation </w:t>
      </w:r>
      <w:r>
        <w:rPr>
          <w:rFonts w:ascii="Arial" w:cs="Arial" w:eastAsia="Arial" w:hAnsi="Arial"/>
          <w:sz w:val="18"/>
          <w:szCs w:val="18"/>
          <w:color w:val="auto"/>
        </w:rPr>
        <w:t>is the reporting segment for our transportation service providers focused on business opportunities in the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next-day delivery markets. The Regional Transportation companies each provide regional, next-day ground services in their respective regions through a network of facilities located across the United States, Canada, Mexico and Puerto Rico.</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YRC Freight Results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YRC Freight represented 64% of our consolidated operating revenue for both the second quarter of 2014 and the second quarter of 2013. YRC Freight represented 63% of consolidated operating revenue for the first half of 2014 compared to 65% for the first half of 2013. The table below provides summary financial information for YRC Freight for the second quarter and first half of 2014 and 2013:</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Second Quarter</w:t>
            </w:r>
          </w:p>
        </w:tc>
        <w:tc>
          <w:tcPr>
            <w:tcW w:w="1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First Half</w:t>
            </w:r>
          </w:p>
        </w:tc>
        <w:tc>
          <w:tcPr>
            <w:tcW w:w="1220" w:type="dxa"/>
            <w:vAlign w:val="bottom"/>
            <w:tcBorders>
              <w:bottom w:val="single" w:sz="8" w:color="auto"/>
            </w:tcBorders>
          </w:tcPr>
          <w:p>
            <w:pPr>
              <w:spacing w:after="0"/>
              <w:rPr>
                <w:sz w:val="16"/>
                <w:szCs w:val="16"/>
                <w:color w:val="auto"/>
              </w:rPr>
            </w:pPr>
          </w:p>
        </w:tc>
      </w:tr>
      <w:tr>
        <w:trPr>
          <w:trHeight w:val="156"/>
        </w:trPr>
        <w:tc>
          <w:tcPr>
            <w:tcW w:w="3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ind w:left="460"/>
              <w:spacing w:after="0" w:line="157" w:lineRule="exact"/>
              <w:rPr>
                <w:sz w:val="20"/>
                <w:szCs w:val="20"/>
                <w:color w:val="auto"/>
              </w:rPr>
            </w:pPr>
            <w:r>
              <w:rPr>
                <w:rFonts w:ascii="Arial" w:cs="Arial" w:eastAsia="Arial" w:hAnsi="Arial"/>
                <w:sz w:val="14"/>
                <w:szCs w:val="14"/>
                <w:color w:val="auto"/>
              </w:rPr>
              <w:t>Percent</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316"/>
              <w:spacing w:after="0" w:line="157" w:lineRule="exact"/>
              <w:rPr>
                <w:sz w:val="20"/>
                <w:szCs w:val="20"/>
                <w:color w:val="auto"/>
              </w:rPr>
            </w:pPr>
            <w:r>
              <w:rPr>
                <w:rFonts w:ascii="Arial" w:cs="Arial" w:eastAsia="Arial" w:hAnsi="Arial"/>
                <w:sz w:val="14"/>
                <w:szCs w:val="14"/>
                <w:color w:val="auto"/>
              </w:rPr>
              <w:t>Percent</w:t>
            </w:r>
          </w:p>
        </w:tc>
      </w:tr>
      <w:tr>
        <w:trPr>
          <w:trHeight w:val="188"/>
        </w:trPr>
        <w:tc>
          <w:tcPr>
            <w:tcW w:w="35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77"/>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1460" w:type="dxa"/>
            <w:vAlign w:val="bottom"/>
            <w:gridSpan w:val="2"/>
          </w:tcPr>
          <w:p>
            <w:pPr>
              <w:ind w:left="460"/>
              <w:spacing w:after="0"/>
              <w:rPr>
                <w:sz w:val="20"/>
                <w:szCs w:val="20"/>
                <w:color w:val="auto"/>
              </w:rPr>
            </w:pPr>
            <w:r>
              <w:rPr>
                <w:rFonts w:ascii="Arial" w:cs="Arial" w:eastAsia="Arial" w:hAnsi="Arial"/>
                <w:sz w:val="14"/>
                <w:szCs w:val="14"/>
                <w:color w:val="auto"/>
              </w:rPr>
              <w:t>Change</w:t>
            </w:r>
          </w:p>
        </w:tc>
        <w:tc>
          <w:tcPr>
            <w:tcW w:w="28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57"/>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6"/>
                <w:szCs w:val="16"/>
                <w:color w:val="auto"/>
              </w:rPr>
            </w:pPr>
          </w:p>
        </w:tc>
        <w:tc>
          <w:tcPr>
            <w:tcW w:w="1220" w:type="dxa"/>
            <w:vAlign w:val="bottom"/>
          </w:tcPr>
          <w:p>
            <w:pPr>
              <w:jc w:val="right"/>
              <w:ind w:right="316"/>
              <w:spacing w:after="0"/>
              <w:rPr>
                <w:sz w:val="20"/>
                <w:szCs w:val="20"/>
                <w:color w:val="auto"/>
              </w:rPr>
            </w:pPr>
            <w:r>
              <w:rPr>
                <w:rFonts w:ascii="Arial" w:cs="Arial" w:eastAsia="Arial" w:hAnsi="Arial"/>
                <w:sz w:val="14"/>
                <w:szCs w:val="14"/>
                <w:color w:val="auto"/>
              </w:rPr>
              <w:t>Change</w:t>
            </w:r>
          </w:p>
        </w:tc>
      </w:tr>
      <w:tr>
        <w:trPr>
          <w:trHeight w:val="243"/>
        </w:trPr>
        <w:tc>
          <w:tcPr>
            <w:tcW w:w="3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revenue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842.1</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7"/>
              <w:spacing w:after="0"/>
              <w:rPr>
                <w:sz w:val="20"/>
                <w:szCs w:val="20"/>
                <w:color w:val="auto"/>
              </w:rPr>
            </w:pPr>
            <w:r>
              <w:rPr>
                <w:rFonts w:ascii="Arial" w:cs="Arial" w:eastAsia="Arial" w:hAnsi="Arial"/>
                <w:sz w:val="18"/>
                <w:szCs w:val="18"/>
                <w:color w:val="auto"/>
              </w:rPr>
              <w:t>797.6</w:t>
            </w:r>
          </w:p>
        </w:tc>
        <w:tc>
          <w:tcPr>
            <w:tcW w:w="100" w:type="dxa"/>
            <w:vAlign w:val="bottom"/>
          </w:tcPr>
          <w:p>
            <w:pPr>
              <w:spacing w:after="0"/>
              <w:rPr>
                <w:sz w:val="21"/>
                <w:szCs w:val="21"/>
                <w:color w:val="auto"/>
              </w:rPr>
            </w:pPr>
          </w:p>
        </w:tc>
        <w:tc>
          <w:tcPr>
            <w:tcW w:w="13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1,598.9</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rPr>
              <w:t>1,551.4</w:t>
            </w:r>
          </w:p>
        </w:tc>
        <w:tc>
          <w:tcPr>
            <w:tcW w:w="120" w:type="dxa"/>
            <w:vAlign w:val="bottom"/>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3.1 %</w:t>
            </w: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96.5%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r>
      <w:tr>
        <w:trPr>
          <w:trHeight w:val="229"/>
        </w:trPr>
        <w:tc>
          <w:tcPr>
            <w:tcW w:w="3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96"/>
              <w:spacing w:after="0"/>
              <w:rPr>
                <w:sz w:val="20"/>
                <w:szCs w:val="20"/>
                <w:color w:val="auto"/>
              </w:rPr>
            </w:pPr>
            <w:r>
              <w:rPr>
                <w:rFonts w:ascii="Arial" w:cs="Arial" w:eastAsia="Arial" w:hAnsi="Arial"/>
                <w:sz w:val="18"/>
                <w:szCs w:val="18"/>
                <w:color w:val="auto"/>
              </w:rPr>
              <w:t>)</w:t>
            </w:r>
          </w:p>
        </w:tc>
      </w:tr>
      <w:tr>
        <w:trPr>
          <w:trHeight w:val="251"/>
        </w:trPr>
        <w:tc>
          <w:tcPr>
            <w:tcW w:w="3580" w:type="dxa"/>
            <w:vAlign w:val="bottom"/>
          </w:tcPr>
          <w:p>
            <w:pPr>
              <w:ind w:left="40"/>
              <w:spacing w:after="0" w:line="251" w:lineRule="exact"/>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(a)</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1460" w:type="dxa"/>
            <w:vAlign w:val="bottom"/>
            <w:gridSpan w:val="2"/>
          </w:tcPr>
          <w:p>
            <w:pPr>
              <w:ind w:left="860"/>
              <w:spacing w:after="0"/>
              <w:rPr>
                <w:sz w:val="20"/>
                <w:szCs w:val="20"/>
                <w:color w:val="auto"/>
              </w:rPr>
            </w:pPr>
            <w:r>
              <w:rPr>
                <w:rFonts w:ascii="Arial" w:cs="Arial" w:eastAsia="Arial" w:hAnsi="Arial"/>
                <w:sz w:val="18"/>
                <w:szCs w:val="18"/>
                <w:color w:val="auto"/>
              </w:rPr>
              <w:t>1.1 pp</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(1.7pp</w:t>
            </w:r>
          </w:p>
        </w:tc>
      </w:tr>
    </w:tbl>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of 2014 Compared to the Second Quarter of 2013</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YRC Freight reported operating revenue of $842.1 million in the second quarter of 2014, an increase of $44.5 million, or 5.6% compared to the same period in 2013. The table below summarizes the key revenue metrics for the YRC Freight reporting segment for the second quarter of 2014 compared to the second quarter of 2013:</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right"/>
              <w:ind w:right="313"/>
              <w:spacing w:after="0"/>
              <w:rPr>
                <w:sz w:val="20"/>
                <w:szCs w:val="20"/>
                <w:color w:val="auto"/>
              </w:rPr>
            </w:pPr>
            <w:r>
              <w:rPr>
                <w:rFonts w:ascii="Arial" w:cs="Arial" w:eastAsia="Arial" w:hAnsi="Arial"/>
                <w:sz w:val="14"/>
                <w:szCs w:val="14"/>
                <w:b w:val="1"/>
                <w:bCs w:val="1"/>
                <w:color w:val="auto"/>
                <w:w w:val="95"/>
              </w:rPr>
              <w:t>Second Quarter</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264"/>
        </w:trPr>
        <w:tc>
          <w:tcPr>
            <w:tcW w:w="480" w:type="dxa"/>
            <w:vAlign w:val="bottom"/>
            <w:tcBorders>
              <w:bottom w:val="single" w:sz="8" w:color="auto"/>
            </w:tcBorders>
          </w:tcPr>
          <w:p>
            <w:pPr>
              <w:spacing w:after="0"/>
              <w:rPr>
                <w:sz w:val="22"/>
                <w:szCs w:val="22"/>
                <w:color w:val="auto"/>
              </w:rPr>
            </w:pPr>
          </w:p>
        </w:tc>
        <w:tc>
          <w:tcPr>
            <w:tcW w:w="39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4"/>
              </w:rPr>
              <w:t>Percent Change</w:t>
            </w:r>
            <w:r>
              <w:rPr>
                <w:rFonts w:ascii="Arial" w:cs="Arial" w:eastAsia="Arial" w:hAnsi="Arial"/>
                <w:sz w:val="8"/>
                <w:szCs w:val="8"/>
                <w:b w:val="1"/>
                <w:bCs w:val="1"/>
                <w:color w:val="auto"/>
                <w:w w:val="94"/>
              </w:rPr>
              <w:t>(b)</w:t>
            </w: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5"/>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324"/>
        </w:trPr>
        <w:tc>
          <w:tcPr>
            <w:tcW w:w="4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70"/>
        </w:trPr>
        <w:tc>
          <w:tcPr>
            <w:tcW w:w="44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Total picked up revenue (in millions) </w:t>
            </w:r>
            <w:r>
              <w:rPr>
                <w:rFonts w:ascii="Arial" w:cs="Arial" w:eastAsia="Arial" w:hAnsi="Arial"/>
                <w:sz w:val="25"/>
                <w:szCs w:val="25"/>
                <w:color w:val="auto"/>
                <w:vertAlign w:val="superscript"/>
              </w:rPr>
              <w:t>(a)</w:t>
            </w:r>
          </w:p>
        </w:tc>
        <w:tc>
          <w:tcPr>
            <w:tcW w:w="76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839.2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Total tonnage (in thousands)</w:t>
            </w:r>
          </w:p>
        </w:tc>
        <w:tc>
          <w:tcPr>
            <w:tcW w:w="76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8"/>
              </w:rPr>
              <w:t>1,796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r>
      <w:tr>
        <w:trPr>
          <w:trHeight w:val="27"/>
        </w:trPr>
        <w:tc>
          <w:tcPr>
            <w:tcW w:w="4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tonnage per day (in thousands)</w:t>
            </w: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28.29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Total shipments (in thousands)</w:t>
            </w:r>
          </w:p>
        </w:tc>
        <w:tc>
          <w:tcPr>
            <w:tcW w:w="76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8"/>
              </w:rPr>
              <w:t>3,070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2,952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r>
      <w:tr>
        <w:trPr>
          <w:trHeight w:val="27"/>
        </w:trPr>
        <w:tc>
          <w:tcPr>
            <w:tcW w:w="4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shipments per day (in thousands)</w:t>
            </w: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48.35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8"/>
              </w:rPr>
              <w:t>23.36</w:t>
            </w:r>
          </w:p>
        </w:tc>
        <w:tc>
          <w:tcPr>
            <w:tcW w:w="10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23.32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r>
      <w:tr>
        <w:trPr>
          <w:trHeight w:val="27"/>
        </w:trPr>
        <w:tc>
          <w:tcPr>
            <w:tcW w:w="4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picked up revenue per shipment</w:t>
            </w: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Total weight per shipment (in pounds)</w:t>
            </w:r>
          </w:p>
        </w:tc>
        <w:tc>
          <w:tcPr>
            <w:tcW w:w="76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8"/>
              </w:rPr>
              <w:t>1,170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r>
      <w:tr>
        <w:trPr>
          <w:trHeight w:val="642"/>
        </w:trPr>
        <w:tc>
          <w:tcPr>
            <w:tcW w:w="4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w w:val="93"/>
              </w:rPr>
              <w:t>Second Quarter</w:t>
            </w:r>
          </w:p>
        </w:tc>
        <w:tc>
          <w:tcPr>
            <w:tcW w:w="8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264"/>
        </w:trPr>
        <w:tc>
          <w:tcPr>
            <w:tcW w:w="480" w:type="dxa"/>
            <w:vAlign w:val="bottom"/>
          </w:tcPr>
          <w:p>
            <w:pPr>
              <w:spacing w:after="0"/>
              <w:rPr>
                <w:sz w:val="22"/>
                <w:szCs w:val="22"/>
                <w:color w:val="auto"/>
              </w:rPr>
            </w:pP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2013</w:t>
            </w:r>
          </w:p>
        </w:tc>
        <w:tc>
          <w:tcPr>
            <w:tcW w:w="500" w:type="dxa"/>
            <w:vAlign w:val="bottom"/>
          </w:tcPr>
          <w:p>
            <w:pPr>
              <w:spacing w:after="0"/>
              <w:rPr>
                <w:sz w:val="22"/>
                <w:szCs w:val="22"/>
                <w:color w:val="auto"/>
              </w:rPr>
            </w:pPr>
          </w:p>
        </w:tc>
      </w:tr>
      <w:tr>
        <w:trPr>
          <w:trHeight w:val="270"/>
        </w:trPr>
        <w:tc>
          <w:tcPr>
            <w:tcW w:w="480" w:type="dxa"/>
            <w:vAlign w:val="bottom"/>
          </w:tcPr>
          <w:p>
            <w:pPr>
              <w:spacing w:after="0"/>
              <w:rPr>
                <w:sz w:val="23"/>
                <w:szCs w:val="23"/>
                <w:color w:val="auto"/>
              </w:rPr>
            </w:pPr>
          </w:p>
        </w:tc>
        <w:tc>
          <w:tcPr>
            <w:tcW w:w="5280" w:type="dxa"/>
            <w:vAlign w:val="bottom"/>
            <w:gridSpan w:val="5"/>
            <w:shd w:val="clear" w:color="auto" w:fill="CCEEFF"/>
          </w:tcPr>
          <w:p>
            <w:pPr>
              <w:ind w:left="20"/>
              <w:spacing w:after="0" w:line="270" w:lineRule="exact"/>
              <w:rPr>
                <w:sz w:val="20"/>
                <w:szCs w:val="20"/>
                <w:color w:val="auto"/>
              </w:rPr>
            </w:pPr>
            <w:r>
              <w:rPr>
                <w:rFonts w:ascii="Arial" w:cs="Arial" w:eastAsia="Arial" w:hAnsi="Arial"/>
                <w:sz w:val="25"/>
                <w:szCs w:val="25"/>
                <w:color w:val="auto"/>
                <w:vertAlign w:val="superscript"/>
              </w:rPr>
              <w:t>(a)</w:t>
            </w:r>
            <w:r>
              <w:rPr>
                <w:rFonts w:ascii="Arial" w:cs="Arial" w:eastAsia="Arial" w:hAnsi="Arial"/>
                <w:sz w:val="18"/>
                <w:szCs w:val="18"/>
                <w:color w:val="auto"/>
              </w:rPr>
              <w:t>Reconciliation of operating revenue to total picked up revenue:</w:t>
            </w: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00" w:type="dxa"/>
            <w:vAlign w:val="bottom"/>
          </w:tcPr>
          <w:p>
            <w:pPr>
              <w:spacing w:after="0"/>
              <w:rPr>
                <w:sz w:val="23"/>
                <w:szCs w:val="23"/>
                <w:color w:val="auto"/>
              </w:rPr>
            </w:pPr>
          </w:p>
        </w:tc>
      </w:tr>
      <w:tr>
        <w:trPr>
          <w:trHeight w:val="243"/>
        </w:trPr>
        <w:tc>
          <w:tcPr>
            <w:tcW w:w="480" w:type="dxa"/>
            <w:vAlign w:val="bottom"/>
          </w:tcPr>
          <w:p>
            <w:pPr>
              <w:spacing w:after="0"/>
              <w:rPr>
                <w:sz w:val="21"/>
                <w:szCs w:val="21"/>
                <w:color w:val="auto"/>
              </w:rPr>
            </w:pPr>
          </w:p>
        </w:tc>
        <w:tc>
          <w:tcPr>
            <w:tcW w:w="3940" w:type="dxa"/>
            <w:vAlign w:val="bottom"/>
          </w:tcPr>
          <w:p>
            <w:pPr>
              <w:ind w:left="260"/>
              <w:spacing w:after="0"/>
              <w:rPr>
                <w:sz w:val="20"/>
                <w:szCs w:val="20"/>
                <w:color w:val="auto"/>
              </w:rPr>
            </w:pPr>
            <w:r>
              <w:rPr>
                <w:rFonts w:ascii="Arial" w:cs="Arial" w:eastAsia="Arial" w:hAnsi="Arial"/>
                <w:sz w:val="18"/>
                <w:szCs w:val="18"/>
                <w:color w:val="auto"/>
              </w:rPr>
              <w:t>Operating revenue</w:t>
            </w:r>
          </w:p>
        </w:tc>
        <w:tc>
          <w:tcPr>
            <w:tcW w:w="760" w:type="dxa"/>
            <w:vAlign w:val="bottom"/>
          </w:tcPr>
          <w:p>
            <w:pPr>
              <w:spacing w:after="0"/>
              <w:rPr>
                <w:sz w:val="21"/>
                <w:szCs w:val="21"/>
                <w:color w:val="auto"/>
              </w:rPr>
            </w:pP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842.1</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797.6</w:t>
            </w:r>
          </w:p>
        </w:tc>
        <w:tc>
          <w:tcPr>
            <w:tcW w:w="50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480" w:type="dxa"/>
            <w:vAlign w:val="bottom"/>
          </w:tcPr>
          <w:p>
            <w:pPr>
              <w:spacing w:after="0"/>
              <w:rPr>
                <w:sz w:val="23"/>
                <w:szCs w:val="23"/>
                <w:color w:val="auto"/>
              </w:rPr>
            </w:pPr>
          </w:p>
        </w:tc>
        <w:tc>
          <w:tcPr>
            <w:tcW w:w="3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 in revenue deferral and other</w:t>
            </w:r>
          </w:p>
        </w:tc>
        <w:tc>
          <w:tcPr>
            <w:tcW w:w="7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23"/>
                <w:szCs w:val="23"/>
                <w:color w:val="auto"/>
              </w:rPr>
            </w:pPr>
          </w:p>
        </w:tc>
      </w:tr>
      <w:tr>
        <w:trPr>
          <w:trHeight w:val="250"/>
        </w:trPr>
        <w:tc>
          <w:tcPr>
            <w:tcW w:w="480" w:type="dxa"/>
            <w:vAlign w:val="bottom"/>
          </w:tcPr>
          <w:p>
            <w:pPr>
              <w:spacing w:after="0"/>
              <w:rPr>
                <w:sz w:val="21"/>
                <w:szCs w:val="21"/>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Total picked up revenue</w:t>
            </w: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839.2</w:t>
            </w:r>
          </w:p>
        </w:tc>
        <w:tc>
          <w:tcPr>
            <w:tcW w:w="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797.5</w:t>
            </w:r>
          </w:p>
        </w:tc>
        <w:tc>
          <w:tcPr>
            <w:tcW w:w="5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8890</wp:posOffset>
            </wp:positionV>
            <wp:extent cx="16897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5" w:lineRule="exact"/>
        <w:rPr>
          <w:sz w:val="20"/>
          <w:szCs w:val="20"/>
          <w:color w:val="auto"/>
        </w:rPr>
      </w:pPr>
    </w:p>
    <w:p>
      <w:pPr>
        <w:ind w:left="1020" w:hanging="202"/>
        <w:spacing w:after="0"/>
        <w:tabs>
          <w:tab w:leader="none" w:pos="10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20" w:hanging="202"/>
        <w:spacing w:after="0"/>
        <w:tabs>
          <w:tab w:leader="none" w:pos="10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-208915</wp:posOffset>
            </wp:positionV>
            <wp:extent cx="16897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increases in the volume metrics above were primarily attributable to higher total shipments over the comparable prior year period due to the improvement of the overall economic environment as well as increased shipper confidence due to the finalization of our 2014 Financing Transactions and modified labor agreement.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loss for YRC Freight was $0.3 million in the second quarter of 2014 compared to $8.5 million in the same period in 2013. Operating revenue in the second quarter of 2014 was higher by $44.5 million while total costs increased by $36.3 million, or 4.5%. The cost increases consisted primarily of a $24.2 million, or 23.0%, increase in purchased transportation, a $13.0 million, or 2.9%, increase in salaries, wages and employees’ benefits and a $10.5 million, or 31.6%, increase in other operating expenses.</w:t>
      </w:r>
    </w:p>
    <w:p>
      <w:pPr>
        <w:spacing w:after="0" w:line="187" w:lineRule="exact"/>
        <w:rPr>
          <w:sz w:val="20"/>
          <w:szCs w:val="20"/>
          <w:color w:val="auto"/>
        </w:rPr>
      </w:pPr>
    </w:p>
    <w:p>
      <w:pPr>
        <w:jc w:val="both"/>
        <w:ind w:left="660" w:hanging="328"/>
        <w:spacing w:after="0" w:line="25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$24.2 million increase in purchased transportation was primarily driven by less than optimal use of purchased transportation in response to increased total shipments. We also experienced an increase in purchased road miles as we began to utilize our new over-the-road purchased transportation option as permitted in our modified labor agreement that went into effect in February 2014. Finally, we had higher vehicle rent expense as our percentage of leased units has increased since last year due to our current strategy of using operating leases to acquire new revenue equipment.</w:t>
      </w:r>
    </w:p>
    <w:p>
      <w:pPr>
        <w:spacing w:after="0" w:line="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$13.0 million increase in salaries, wages and employees’ benefits in the second quarter of 2014 was primarily the result of a $12.7 million increase in wages and benefits. This increase was largely driven by higher total shipments and lower productivity levels.</w:t>
      </w:r>
    </w:p>
    <w:p>
      <w:pPr>
        <w:jc w:val="both"/>
        <w:ind w:left="660" w:hanging="328"/>
        <w:spacing w:after="0" w:line="25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$10.5 million increase in other operating expenses in the second quarter of 2014 was primarily driven by a $7.5 million increase in our bodily injury and property damage expense due to more claims outstanding compared as well as unfavorable development of prior year claims. Additionally, the $10.5 million increase in other operating expense was driven by a $2.9 million increase in cargo claims expense due to an increase in the frequency and severity of our claims.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Half of 2014 Compared to the First Half of 2013</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YRC Freight reported operating revenue of $1,598.9 million in the first half of 2014, an increase of $47.5 million, or 3.1%, compared to the same period in 2013. The table below summarizes the key revenue metrics for the YRC Freight reporting segment for the first half of 2014 compared to the first half of 2013:</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First Half</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264"/>
        </w:trPr>
        <w:tc>
          <w:tcPr>
            <w:tcW w:w="480" w:type="dxa"/>
            <w:vAlign w:val="bottom"/>
            <w:tcBorders>
              <w:bottom w:val="single" w:sz="8" w:color="auto"/>
            </w:tcBorders>
          </w:tcPr>
          <w:p>
            <w:pPr>
              <w:spacing w:after="0"/>
              <w:rPr>
                <w:sz w:val="22"/>
                <w:szCs w:val="22"/>
                <w:color w:val="auto"/>
              </w:rPr>
            </w:pPr>
          </w:p>
        </w:tc>
        <w:tc>
          <w:tcPr>
            <w:tcW w:w="39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324"/>
        </w:trPr>
        <w:tc>
          <w:tcPr>
            <w:tcW w:w="4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70"/>
        </w:trPr>
        <w:tc>
          <w:tcPr>
            <w:tcW w:w="44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Total picked up revenue (in millions) </w:t>
            </w:r>
            <w:r>
              <w:rPr>
                <w:rFonts w:ascii="Arial" w:cs="Arial" w:eastAsia="Arial" w:hAnsi="Arial"/>
                <w:sz w:val="25"/>
                <w:szCs w:val="25"/>
                <w:color w:val="auto"/>
                <w:vertAlign w:val="superscript"/>
              </w:rPr>
              <w:t>(a)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1,554.4</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2.6 %</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tonnage (in thousands)</w:t>
            </w:r>
          </w:p>
        </w:tc>
        <w:tc>
          <w:tcPr>
            <w:tcW w:w="3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3,315</w:t>
            </w: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3.8 %</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tonnage per day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3.8 %</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shipments (in thousands)</w:t>
            </w:r>
          </w:p>
        </w:tc>
        <w:tc>
          <w:tcPr>
            <w:tcW w:w="3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5,716</w:t>
            </w: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2.2 %</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shipments per day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2.2 %</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23.44</w:t>
            </w: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picked up revenue per shipment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0.4 %</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weight per shipment (in pounds)</w:t>
            </w:r>
          </w:p>
        </w:tc>
        <w:tc>
          <w:tcPr>
            <w:tcW w:w="3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1.6 %</w:t>
            </w:r>
          </w:p>
        </w:tc>
      </w:tr>
      <w:tr>
        <w:trPr>
          <w:trHeight w:val="642"/>
        </w:trPr>
        <w:tc>
          <w:tcPr>
            <w:tcW w:w="4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First Half</w:t>
            </w:r>
          </w:p>
        </w:tc>
        <w:tc>
          <w:tcPr>
            <w:tcW w:w="9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264"/>
        </w:trPr>
        <w:tc>
          <w:tcPr>
            <w:tcW w:w="480" w:type="dxa"/>
            <w:vAlign w:val="bottom"/>
          </w:tcPr>
          <w:p>
            <w:pPr>
              <w:spacing w:after="0"/>
              <w:rPr>
                <w:sz w:val="22"/>
                <w:szCs w:val="22"/>
                <w:color w:val="auto"/>
              </w:rPr>
            </w:pP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22"/>
                <w:szCs w:val="22"/>
                <w:color w:val="auto"/>
              </w:rPr>
            </w:pPr>
          </w:p>
        </w:tc>
      </w:tr>
      <w:tr>
        <w:trPr>
          <w:trHeight w:val="270"/>
        </w:trPr>
        <w:tc>
          <w:tcPr>
            <w:tcW w:w="480" w:type="dxa"/>
            <w:vAlign w:val="bottom"/>
          </w:tcPr>
          <w:p>
            <w:pPr>
              <w:spacing w:after="0"/>
              <w:rPr>
                <w:sz w:val="23"/>
                <w:szCs w:val="23"/>
                <w:color w:val="auto"/>
              </w:rPr>
            </w:pPr>
          </w:p>
        </w:tc>
        <w:tc>
          <w:tcPr>
            <w:tcW w:w="5300" w:type="dxa"/>
            <w:vAlign w:val="bottom"/>
            <w:gridSpan w:val="5"/>
          </w:tcPr>
          <w:p>
            <w:pPr>
              <w:jc w:val="right"/>
              <w:ind w:right="580"/>
              <w:spacing w:after="0" w:line="270" w:lineRule="exact"/>
              <w:rPr>
                <w:sz w:val="20"/>
                <w:szCs w:val="20"/>
                <w:color w:val="auto"/>
              </w:rPr>
            </w:pPr>
            <w:r>
              <w:rPr>
                <w:rFonts w:ascii="Arial" w:cs="Arial" w:eastAsia="Arial" w:hAnsi="Arial"/>
                <w:sz w:val="25"/>
                <w:szCs w:val="25"/>
                <w:color w:val="auto"/>
                <w:w w:val="90"/>
                <w:vertAlign w:val="superscript"/>
              </w:rPr>
              <w:t>(a)</w:t>
            </w:r>
            <w:r>
              <w:rPr>
                <w:rFonts w:ascii="Arial" w:cs="Arial" w:eastAsia="Arial" w:hAnsi="Arial"/>
                <w:sz w:val="18"/>
                <w:szCs w:val="18"/>
                <w:color w:val="auto"/>
                <w:w w:val="90"/>
              </w:rPr>
              <w:t>Reconciliation of operating revenue to total picked up revenue:</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0"/>
        </w:trPr>
        <w:tc>
          <w:tcPr>
            <w:tcW w:w="48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revenue</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1,598.9</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1,551.4</w:t>
            </w:r>
          </w:p>
        </w:tc>
        <w:tc>
          <w:tcPr>
            <w:tcW w:w="500" w:type="dxa"/>
            <w:vAlign w:val="bottom"/>
          </w:tcPr>
          <w:p>
            <w:pPr>
              <w:spacing w:after="0"/>
              <w:rPr>
                <w:sz w:val="21"/>
                <w:szCs w:val="21"/>
                <w:color w:val="auto"/>
              </w:rPr>
            </w:pPr>
          </w:p>
        </w:tc>
      </w:tr>
      <w:tr>
        <w:trPr>
          <w:trHeight w:val="243"/>
        </w:trPr>
        <w:tc>
          <w:tcPr>
            <w:tcW w:w="480" w:type="dxa"/>
            <w:vAlign w:val="bottom"/>
          </w:tcPr>
          <w:p>
            <w:pPr>
              <w:spacing w:after="0"/>
              <w:rPr>
                <w:sz w:val="21"/>
                <w:szCs w:val="21"/>
                <w:color w:val="auto"/>
              </w:rPr>
            </w:pPr>
          </w:p>
        </w:tc>
        <w:tc>
          <w:tcPr>
            <w:tcW w:w="3960" w:type="dxa"/>
            <w:vAlign w:val="bottom"/>
          </w:tcPr>
          <w:p>
            <w:pPr>
              <w:ind w:left="260"/>
              <w:spacing w:after="0"/>
              <w:rPr>
                <w:sz w:val="20"/>
                <w:szCs w:val="20"/>
                <w:color w:val="auto"/>
              </w:rPr>
            </w:pPr>
            <w:r>
              <w:rPr>
                <w:rFonts w:ascii="Arial" w:cs="Arial" w:eastAsia="Arial" w:hAnsi="Arial"/>
                <w:sz w:val="18"/>
                <w:szCs w:val="18"/>
                <w:color w:val="auto"/>
              </w:rPr>
              <w:t>Change in revenue deferral and other</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7"/>
        </w:trPr>
        <w:tc>
          <w:tcPr>
            <w:tcW w:w="480" w:type="dxa"/>
            <w:vAlign w:val="bottom"/>
          </w:tcPr>
          <w:p>
            <w:pPr>
              <w:spacing w:after="0"/>
              <w:rPr>
                <w:sz w:val="22"/>
                <w:szCs w:val="22"/>
                <w:color w:val="auto"/>
              </w:rPr>
            </w:pPr>
          </w:p>
        </w:tc>
        <w:tc>
          <w:tcPr>
            <w:tcW w:w="3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picked up revenue</w:t>
            </w:r>
          </w:p>
        </w:tc>
        <w:tc>
          <w:tcPr>
            <w:tcW w:w="3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1,595.2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1,554.4</w:t>
            </w:r>
          </w:p>
        </w:tc>
        <w:tc>
          <w:tcPr>
            <w:tcW w:w="500" w:type="dxa"/>
            <w:vAlign w:val="bottom"/>
          </w:tcPr>
          <w:p>
            <w:pPr>
              <w:spacing w:after="0"/>
              <w:rPr>
                <w:sz w:val="22"/>
                <w:szCs w:val="22"/>
                <w:color w:val="auto"/>
              </w:rPr>
            </w:pPr>
          </w:p>
        </w:tc>
      </w:tr>
    </w:tbl>
    <w:p>
      <w:pPr>
        <w:spacing w:after="0" w:line="8" w:lineRule="exact"/>
        <w:rPr>
          <w:sz w:val="20"/>
          <w:szCs w:val="20"/>
          <w:color w:val="auto"/>
        </w:rPr>
      </w:pPr>
    </w:p>
    <w:p>
      <w:pPr>
        <w:ind w:left="1020" w:hanging="202"/>
        <w:spacing w:after="0"/>
        <w:tabs>
          <w:tab w:leader="none" w:pos="10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20" w:hanging="202"/>
        <w:spacing w:after="0"/>
        <w:tabs>
          <w:tab w:leader="none" w:pos="10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-208915</wp:posOffset>
            </wp:positionV>
            <wp:extent cx="16725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increases in the volume metrics above were primarily driven by higher total shipments over the comparable prior year period due to the improvement of the overall economic environment as well as increased shipper confidence due to the finalization of our 2014 Financing Transactions and modified labor agreement.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loss for YRC Freight was $32.8 million in the first half of 2014 compared to $6.1 million in the same period in 2013. Operating revenue in the first half of 2014 was higher by $47.5 million while total costs increased by $74.2 million, or 4.8%. The cost increases consisted primarily of a $35.2 million, or 17.4%, increase in purchased transportation, a $28.0 million, or 3.2%, increase in salaries, wages and employees’ benefits and a $17.5 million, or 28.6%, increase in other operating expenses.</w:t>
      </w:r>
    </w:p>
    <w:p>
      <w:pPr>
        <w:spacing w:after="0" w:line="187" w:lineRule="exact"/>
        <w:rPr>
          <w:sz w:val="20"/>
          <w:szCs w:val="20"/>
          <w:color w:val="auto"/>
        </w:rPr>
      </w:pPr>
    </w:p>
    <w:p>
      <w:pPr>
        <w:jc w:val="both"/>
        <w:ind w:left="660" w:hanging="328"/>
        <w:spacing w:after="0" w:line="285"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$35.2 million increase in purchased transportation was primarily driven by less than optimal use of purchased transportation in response to increased total shipments and in response to the service disruptions related to the severe winter weather experienced during the first quarter. We also experienced an increase in purchased road miles as we began to utilize our new over-the-road purchased transportation option as permitted in our modified labor agreement that went into effect in February 2014. Finally, we had higher vehicle rent expense as our percentage of leased units has increased since last year due to our current strategy of using operating leases to acquire new revenue equipment.</w:t>
      </w:r>
    </w:p>
    <w:p>
      <w:pPr>
        <w:spacing w:after="0" w:line="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$28.0 million increase in salaries, wages and employees’ benefits in the first half of 2014 was primarily the result of a $24.5 million increase in wages and benefits. This increase was largely driven by higher total shipments and the negative impact the severe winter weather had on the productivity of our workforce which, among other things, increased our overtime and linehaul delay pay in the first quarter of 2014. The increase in salaries, wages and employees’ benefits was also driven by a $4.5 million increase in workers’ compensation expense, which was driven, in large part, by an increase in outstanding claims.</w:t>
      </w:r>
    </w:p>
    <w:p>
      <w:pPr>
        <w:spacing w:after="0" w:line="2"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$17.5 million increase in other operating expenses in the first half of 2014 was primarily driven by a $13.8 million increase in our bodily injury and property damage expense due to more outstanding claims as well as unfavorable development of prior year claims. Additionally, the $17.5 million increase in other operating expense was driven by a $4.7 million increase in cargo claims expense due to an increase in the frequency and severity of our claims.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Transportation Results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Regional Transportation represented 36% of consolidated revenue in both the second quarter of 2014 and the second quarter of 2013. Regional Transportation represented 37% of consolidated revenue in the first half of 2014 compared to 35% in the first half of 2013. The table below provides summary financial information for Regional Transportation for the second quarter and the first half of 2014 and 2013:</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Second Quarter</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First Half</w:t>
            </w:r>
          </w:p>
        </w:tc>
        <w:tc>
          <w:tcPr>
            <w:tcW w:w="1440" w:type="dxa"/>
            <w:vAlign w:val="bottom"/>
            <w:tcBorders>
              <w:bottom w:val="single" w:sz="8" w:color="auto"/>
            </w:tcBorders>
          </w:tcPr>
          <w:p>
            <w:pPr>
              <w:spacing w:after="0"/>
              <w:rPr>
                <w:sz w:val="16"/>
                <w:szCs w:val="16"/>
                <w:color w:val="auto"/>
              </w:rPr>
            </w:pPr>
          </w:p>
        </w:tc>
      </w:tr>
      <w:tr>
        <w:trPr>
          <w:trHeight w:val="156"/>
        </w:trPr>
        <w:tc>
          <w:tcPr>
            <w:tcW w:w="3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ind w:left="440"/>
              <w:spacing w:after="0" w:line="157" w:lineRule="exact"/>
              <w:rPr>
                <w:sz w:val="20"/>
                <w:szCs w:val="20"/>
                <w:color w:val="auto"/>
              </w:rPr>
            </w:pPr>
            <w:r>
              <w:rPr>
                <w:rFonts w:ascii="Arial" w:cs="Arial" w:eastAsia="Arial" w:hAnsi="Arial"/>
                <w:sz w:val="14"/>
                <w:szCs w:val="14"/>
                <w:color w:val="auto"/>
              </w:rPr>
              <w:t>Percent</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ind w:left="500"/>
              <w:spacing w:after="0" w:line="157" w:lineRule="exact"/>
              <w:rPr>
                <w:sz w:val="20"/>
                <w:szCs w:val="20"/>
                <w:color w:val="auto"/>
              </w:rPr>
            </w:pPr>
            <w:r>
              <w:rPr>
                <w:rFonts w:ascii="Arial" w:cs="Arial" w:eastAsia="Arial" w:hAnsi="Arial"/>
                <w:sz w:val="14"/>
                <w:szCs w:val="14"/>
                <w:color w:val="auto"/>
              </w:rPr>
              <w:t>Percent</w:t>
            </w:r>
          </w:p>
        </w:tc>
      </w:tr>
      <w:tr>
        <w:trPr>
          <w:trHeight w:val="188"/>
        </w:trPr>
        <w:tc>
          <w:tcPr>
            <w:tcW w:w="34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57"/>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6"/>
                <w:szCs w:val="16"/>
                <w:color w:val="auto"/>
              </w:rPr>
            </w:pPr>
          </w:p>
        </w:tc>
        <w:tc>
          <w:tcPr>
            <w:tcW w:w="1420" w:type="dxa"/>
            <w:vAlign w:val="bottom"/>
            <w:gridSpan w:val="2"/>
          </w:tcPr>
          <w:p>
            <w:pPr>
              <w:ind w:left="440"/>
              <w:spacing w:after="0"/>
              <w:rPr>
                <w:sz w:val="20"/>
                <w:szCs w:val="20"/>
                <w:color w:val="auto"/>
              </w:rPr>
            </w:pPr>
            <w:r>
              <w:rPr>
                <w:rFonts w:ascii="Arial" w:cs="Arial" w:eastAsia="Arial" w:hAnsi="Arial"/>
                <w:sz w:val="14"/>
                <w:szCs w:val="14"/>
                <w:color w:val="auto"/>
              </w:rPr>
              <w:t>Change</w:t>
            </w:r>
          </w:p>
        </w:tc>
        <w:tc>
          <w:tcPr>
            <w:tcW w:w="28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7"/>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1440" w:type="dxa"/>
            <w:vAlign w:val="bottom"/>
          </w:tcPr>
          <w:p>
            <w:pPr>
              <w:ind w:left="500"/>
              <w:spacing w:after="0"/>
              <w:rPr>
                <w:sz w:val="20"/>
                <w:szCs w:val="20"/>
                <w:color w:val="auto"/>
              </w:rPr>
            </w:pPr>
            <w:r>
              <w:rPr>
                <w:rFonts w:ascii="Arial" w:cs="Arial" w:eastAsia="Arial" w:hAnsi="Arial"/>
                <w:sz w:val="14"/>
                <w:szCs w:val="14"/>
                <w:color w:val="auto"/>
              </w:rPr>
              <w:t>Change</w:t>
            </w:r>
          </w:p>
        </w:tc>
      </w:tr>
      <w:tr>
        <w:trPr>
          <w:trHeight w:val="243"/>
        </w:trPr>
        <w:tc>
          <w:tcPr>
            <w:tcW w:w="3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revenue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475.5</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rPr>
              <w:t>444.9</w:t>
            </w:r>
          </w:p>
        </w:tc>
        <w:tc>
          <w:tcPr>
            <w:tcW w:w="120" w:type="dxa"/>
            <w:vAlign w:val="bottom"/>
          </w:tcPr>
          <w:p>
            <w:pPr>
              <w:spacing w:after="0"/>
              <w:rPr>
                <w:sz w:val="21"/>
                <w:szCs w:val="21"/>
                <w:color w:val="auto"/>
              </w:rPr>
            </w:pPr>
          </w:p>
        </w:tc>
        <w:tc>
          <w:tcPr>
            <w:tcW w:w="13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929.6</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rPr>
              <w:t>853.6</w:t>
            </w:r>
          </w:p>
        </w:tc>
        <w:tc>
          <w:tcPr>
            <w:tcW w:w="100" w:type="dxa"/>
            <w:vAlign w:val="bottom"/>
          </w:tcPr>
          <w:p>
            <w:pPr>
              <w:spacing w:after="0"/>
              <w:rPr>
                <w:sz w:val="21"/>
                <w:szCs w:val="21"/>
                <w:color w:val="auto"/>
              </w:rPr>
            </w:pPr>
          </w:p>
        </w:tc>
        <w:tc>
          <w:tcPr>
            <w:tcW w:w="14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8.9%</w:t>
            </w: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(16.4)%</w:t>
            </w:r>
          </w:p>
        </w:tc>
      </w:tr>
      <w:tr>
        <w:trPr>
          <w:trHeight w:val="229"/>
        </w:trPr>
        <w:tc>
          <w:tcPr>
            <w:tcW w:w="3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ind w:left="1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ind w:left="1220"/>
              <w:spacing w:after="0"/>
              <w:rPr>
                <w:sz w:val="20"/>
                <w:szCs w:val="20"/>
                <w:color w:val="auto"/>
              </w:rPr>
            </w:pPr>
            <w:r>
              <w:rPr>
                <w:rFonts w:ascii="Arial" w:cs="Arial" w:eastAsia="Arial" w:hAnsi="Arial"/>
                <w:sz w:val="18"/>
                <w:szCs w:val="18"/>
                <w:color w:val="auto"/>
              </w:rPr>
              <w:t>)</w:t>
            </w:r>
          </w:p>
        </w:tc>
      </w:tr>
      <w:tr>
        <w:trPr>
          <w:trHeight w:val="251"/>
        </w:trPr>
        <w:tc>
          <w:tcPr>
            <w:tcW w:w="342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Operating ratio </w:t>
            </w:r>
            <w:r>
              <w:rPr>
                <w:rFonts w:ascii="Arial" w:cs="Arial" w:eastAsia="Arial" w:hAnsi="Arial"/>
                <w:sz w:val="25"/>
                <w:szCs w:val="25"/>
                <w:color w:val="auto"/>
                <w:vertAlign w:val="superscript"/>
              </w:rPr>
              <w:t>(a)</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21"/>
                <w:szCs w:val="21"/>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(0.8pp</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1440" w:type="dxa"/>
            <w:vAlign w:val="bottom"/>
          </w:tcPr>
          <w:p>
            <w:pPr>
              <w:ind w:left="940"/>
              <w:spacing w:after="0"/>
              <w:rPr>
                <w:sz w:val="20"/>
                <w:szCs w:val="20"/>
                <w:color w:val="auto"/>
              </w:rPr>
            </w:pPr>
            <w:r>
              <w:rPr>
                <w:rFonts w:ascii="Arial" w:cs="Arial" w:eastAsia="Arial" w:hAnsi="Arial"/>
                <w:sz w:val="18"/>
                <w:szCs w:val="18"/>
                <w:color w:val="auto"/>
                <w:w w:val="93"/>
              </w:rPr>
              <w:t>(1.1pp</w:t>
            </w:r>
          </w:p>
        </w:tc>
      </w:tr>
    </w:tbl>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of 2014 Compared to the Second Quarter of 2013</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Regional Transportation reported operating revenue of $475.5 million for the second quarter of 2014, an increase of $30.6 million, or 6.9%, from the second quarter of 2013. The table below summarizes the key revenue metrics for the Regional Transportation reporting segment for the second quarter of 2014 compared to the second quarter of 2013:</w:t>
      </w:r>
    </w:p>
    <w:p>
      <w:pPr>
        <w:spacing w:after="0" w:line="200" w:lineRule="exact"/>
        <w:rPr>
          <w:sz w:val="20"/>
          <w:szCs w:val="20"/>
          <w:color w:val="auto"/>
        </w:rPr>
      </w:pPr>
    </w:p>
    <w:p>
      <w:pPr>
        <w:spacing w:after="0" w:line="202"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Second Quarter</w:t>
            </w: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264"/>
        </w:trPr>
        <w:tc>
          <w:tcPr>
            <w:tcW w:w="480" w:type="dxa"/>
            <w:vAlign w:val="bottom"/>
            <w:tcBorders>
              <w:bottom w:val="single" w:sz="8" w:color="auto"/>
            </w:tcBorders>
          </w:tcPr>
          <w:p>
            <w:pPr>
              <w:spacing w:after="0"/>
              <w:rPr>
                <w:sz w:val="22"/>
                <w:szCs w:val="22"/>
                <w:color w:val="auto"/>
              </w:rPr>
            </w:pPr>
          </w:p>
        </w:tc>
        <w:tc>
          <w:tcPr>
            <w:tcW w:w="39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2013</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2"/>
              </w:rPr>
              <w:t>Percent Change</w:t>
            </w:r>
            <w:r>
              <w:rPr>
                <w:rFonts w:ascii="Arial" w:cs="Arial" w:eastAsia="Arial" w:hAnsi="Arial"/>
                <w:sz w:val="8"/>
                <w:szCs w:val="8"/>
                <w:b w:val="1"/>
                <w:bCs w:val="1"/>
                <w:color w:val="auto"/>
                <w:w w:val="92"/>
              </w:rPr>
              <w:t>(b)</w:t>
            </w: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324"/>
        </w:trPr>
        <w:tc>
          <w:tcPr>
            <w:tcW w:w="4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70"/>
        </w:trPr>
        <w:tc>
          <w:tcPr>
            <w:tcW w:w="44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Total picked up revenue (in millions) </w:t>
            </w:r>
            <w:r>
              <w:rPr>
                <w:rFonts w:ascii="Arial" w:cs="Arial" w:eastAsia="Arial" w:hAnsi="Arial"/>
                <w:sz w:val="25"/>
                <w:szCs w:val="25"/>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Total tonnage (in thousands)</w:t>
            </w:r>
          </w:p>
        </w:tc>
        <w:tc>
          <w:tcPr>
            <w:tcW w:w="2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1,970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r>
      <w:tr>
        <w:trPr>
          <w:trHeight w:val="27"/>
        </w:trPr>
        <w:tc>
          <w:tcPr>
            <w:tcW w:w="4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tonnage per day (in thousands)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Total shipments (in thousands)</w:t>
            </w:r>
          </w:p>
        </w:tc>
        <w:tc>
          <w:tcPr>
            <w:tcW w:w="2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2,710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r>
      <w:tr>
        <w:trPr>
          <w:trHeight w:val="27"/>
        </w:trPr>
        <w:tc>
          <w:tcPr>
            <w:tcW w:w="4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shipments per day (in thousands)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21"/>
                <w:szCs w:val="21"/>
                <w:color w:val="auto"/>
              </w:rPr>
            </w:pP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r>
      <w:tr>
        <w:trPr>
          <w:trHeight w:val="27"/>
        </w:trPr>
        <w:tc>
          <w:tcPr>
            <w:tcW w:w="4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picked up revenue per shipment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Total weight per shipment (in pounds)</w:t>
            </w:r>
          </w:p>
        </w:tc>
        <w:tc>
          <w:tcPr>
            <w:tcW w:w="2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r>
      <w:tr>
        <w:trPr>
          <w:trHeight w:val="642"/>
        </w:trPr>
        <w:tc>
          <w:tcPr>
            <w:tcW w:w="4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Second Quarter</w:t>
            </w:r>
          </w:p>
        </w:tc>
        <w:tc>
          <w:tcPr>
            <w:tcW w:w="78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264"/>
        </w:trPr>
        <w:tc>
          <w:tcPr>
            <w:tcW w:w="480" w:type="dxa"/>
            <w:vAlign w:val="bottom"/>
          </w:tcPr>
          <w:p>
            <w:pPr>
              <w:spacing w:after="0"/>
              <w:rPr>
                <w:sz w:val="22"/>
                <w:szCs w:val="22"/>
                <w:color w:val="auto"/>
              </w:rPr>
            </w:pP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2013</w:t>
            </w:r>
          </w:p>
        </w:tc>
        <w:tc>
          <w:tcPr>
            <w:tcW w:w="500" w:type="dxa"/>
            <w:vAlign w:val="bottom"/>
          </w:tcPr>
          <w:p>
            <w:pPr>
              <w:spacing w:after="0"/>
              <w:rPr>
                <w:sz w:val="22"/>
                <w:szCs w:val="22"/>
                <w:color w:val="auto"/>
              </w:rPr>
            </w:pPr>
          </w:p>
        </w:tc>
      </w:tr>
      <w:tr>
        <w:trPr>
          <w:trHeight w:val="270"/>
        </w:trPr>
        <w:tc>
          <w:tcPr>
            <w:tcW w:w="480" w:type="dxa"/>
            <w:vAlign w:val="bottom"/>
          </w:tcPr>
          <w:p>
            <w:pPr>
              <w:spacing w:after="0"/>
              <w:rPr>
                <w:sz w:val="23"/>
                <w:szCs w:val="23"/>
                <w:color w:val="auto"/>
              </w:rPr>
            </w:pPr>
          </w:p>
        </w:tc>
        <w:tc>
          <w:tcPr>
            <w:tcW w:w="5280" w:type="dxa"/>
            <w:vAlign w:val="bottom"/>
            <w:gridSpan w:val="5"/>
            <w:shd w:val="clear" w:color="auto" w:fill="CCEEFF"/>
          </w:tcPr>
          <w:p>
            <w:pPr>
              <w:ind w:left="20"/>
              <w:spacing w:after="0" w:line="270" w:lineRule="exact"/>
              <w:rPr>
                <w:sz w:val="20"/>
                <w:szCs w:val="20"/>
                <w:color w:val="auto"/>
              </w:rPr>
            </w:pPr>
            <w:r>
              <w:rPr>
                <w:rFonts w:ascii="Arial" w:cs="Arial" w:eastAsia="Arial" w:hAnsi="Arial"/>
                <w:sz w:val="25"/>
                <w:szCs w:val="25"/>
                <w:color w:val="auto"/>
                <w:vertAlign w:val="superscript"/>
              </w:rPr>
              <w:t>(a)</w:t>
            </w:r>
            <w:r>
              <w:rPr>
                <w:rFonts w:ascii="Arial" w:cs="Arial" w:eastAsia="Arial" w:hAnsi="Arial"/>
                <w:sz w:val="18"/>
                <w:szCs w:val="18"/>
                <w:color w:val="auto"/>
              </w:rPr>
              <w:t>Reconciliation of operating revenue to total picked up revenue:</w:t>
            </w:r>
          </w:p>
        </w:tc>
        <w:tc>
          <w:tcPr>
            <w:tcW w:w="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500" w:type="dxa"/>
            <w:vAlign w:val="bottom"/>
          </w:tcPr>
          <w:p>
            <w:pPr>
              <w:spacing w:after="0"/>
              <w:rPr>
                <w:sz w:val="23"/>
                <w:szCs w:val="23"/>
                <w:color w:val="auto"/>
              </w:rPr>
            </w:pPr>
          </w:p>
        </w:tc>
      </w:tr>
      <w:tr>
        <w:trPr>
          <w:trHeight w:val="243"/>
        </w:trPr>
        <w:tc>
          <w:tcPr>
            <w:tcW w:w="480" w:type="dxa"/>
            <w:vAlign w:val="bottom"/>
          </w:tcPr>
          <w:p>
            <w:pPr>
              <w:spacing w:after="0"/>
              <w:rPr>
                <w:sz w:val="21"/>
                <w:szCs w:val="21"/>
                <w:color w:val="auto"/>
              </w:rPr>
            </w:pPr>
          </w:p>
        </w:tc>
        <w:tc>
          <w:tcPr>
            <w:tcW w:w="3940" w:type="dxa"/>
            <w:vAlign w:val="bottom"/>
          </w:tcPr>
          <w:p>
            <w:pPr>
              <w:ind w:left="260"/>
              <w:spacing w:after="0"/>
              <w:rPr>
                <w:sz w:val="20"/>
                <w:szCs w:val="20"/>
                <w:color w:val="auto"/>
              </w:rPr>
            </w:pPr>
            <w:r>
              <w:rPr>
                <w:rFonts w:ascii="Arial" w:cs="Arial" w:eastAsia="Arial" w:hAnsi="Arial"/>
                <w:sz w:val="18"/>
                <w:szCs w:val="18"/>
                <w:color w:val="auto"/>
              </w:rPr>
              <w:t>Operating revenue</w:t>
            </w:r>
          </w:p>
        </w:tc>
        <w:tc>
          <w:tcPr>
            <w:tcW w:w="280" w:type="dxa"/>
            <w:vAlign w:val="bottom"/>
          </w:tcPr>
          <w:p>
            <w:pPr>
              <w:spacing w:after="0"/>
              <w:rPr>
                <w:sz w:val="21"/>
                <w:szCs w:val="21"/>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475.5</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444.9</w:t>
            </w:r>
          </w:p>
        </w:tc>
        <w:tc>
          <w:tcPr>
            <w:tcW w:w="50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480" w:type="dxa"/>
            <w:vAlign w:val="bottom"/>
          </w:tcPr>
          <w:p>
            <w:pPr>
              <w:spacing w:after="0"/>
              <w:rPr>
                <w:sz w:val="23"/>
                <w:szCs w:val="23"/>
                <w:color w:val="auto"/>
              </w:rPr>
            </w:pPr>
          </w:p>
        </w:tc>
        <w:tc>
          <w:tcPr>
            <w:tcW w:w="3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 in revenue deferral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00" w:type="dxa"/>
            <w:vAlign w:val="bottom"/>
          </w:tcPr>
          <w:p>
            <w:pPr>
              <w:spacing w:after="0"/>
              <w:rPr>
                <w:sz w:val="23"/>
                <w:szCs w:val="23"/>
                <w:color w:val="auto"/>
              </w:rPr>
            </w:pPr>
          </w:p>
        </w:tc>
      </w:tr>
      <w:tr>
        <w:trPr>
          <w:trHeight w:val="250"/>
        </w:trPr>
        <w:tc>
          <w:tcPr>
            <w:tcW w:w="480" w:type="dxa"/>
            <w:vAlign w:val="bottom"/>
          </w:tcPr>
          <w:p>
            <w:pPr>
              <w:spacing w:after="0"/>
              <w:rPr>
                <w:sz w:val="21"/>
                <w:szCs w:val="21"/>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Total picked up revenue</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475.6</w:t>
            </w:r>
          </w:p>
        </w:tc>
        <w:tc>
          <w:tcPr>
            <w:tcW w:w="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445.1</w:t>
            </w:r>
          </w:p>
        </w:tc>
        <w:tc>
          <w:tcPr>
            <w:tcW w:w="5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8890</wp:posOffset>
            </wp:positionV>
            <wp:extent cx="16465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5" w:lineRule="exact"/>
        <w:rPr>
          <w:sz w:val="20"/>
          <w:szCs w:val="20"/>
          <w:color w:val="auto"/>
        </w:rPr>
      </w:pPr>
    </w:p>
    <w:p>
      <w:pPr>
        <w:ind w:left="1020" w:hanging="202"/>
        <w:spacing w:after="0"/>
        <w:tabs>
          <w:tab w:leader="none" w:pos="10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00" w:hanging="182"/>
        <w:spacing w:after="0"/>
        <w:tabs>
          <w:tab w:leader="none" w:pos="10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-208915</wp:posOffset>
            </wp:positionV>
            <wp:extent cx="16465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increases in the volume metrics above were primarily attributable to higher total shipments over the comparable prior year period due to the improvement of the overall economic environment as well as increased shipper confidence due to the finalization of our 2014 Financing Transactions and modified labor agreement. These were partially offset by 1.5 fewer workdays in the second quarter of 2014 compared to the second quarter of 2013.</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income for Regional Transportation was $23.2 million for the second quarter of 2014, a decrease of $2.0 million from the same period in 2013, consisting of the $30.6 million increase in revenue offset by a $32.6 million, or 7.7%, increase in total costs. The increase in total costs was primarily driven by a $10.6 million, or 4.2%, increase in salaries, wages and employees'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benefits, a $9.8 million, or 48.4%, increase in purchased transportation, a $6.4 million, or 5.9%, increase in operating expenses and supplies and a $4.9 million, or 23.4%, increase in other operating expenses.</w:t>
      </w:r>
    </w:p>
    <w:p>
      <w:pPr>
        <w:spacing w:after="0" w:line="170" w:lineRule="exact"/>
        <w:rPr>
          <w:sz w:val="20"/>
          <w:szCs w:val="20"/>
          <w:color w:val="auto"/>
        </w:rPr>
      </w:pPr>
    </w:p>
    <w:p>
      <w:pPr>
        <w:jc w:val="both"/>
        <w:ind w:left="660" w:hanging="328"/>
        <w:spacing w:after="0" w:line="256"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$10.6 million increase in salaries, wages and employees’ benefits in the second quarter of 2014 was primarily the result of a $8.5 million increase in wages and benefits in the second quarter of 2014 compared to the second quarter of 2013. This increase was largely driven by higher total shipments.</w:t>
      </w:r>
    </w:p>
    <w:p>
      <w:pPr>
        <w:jc w:val="both"/>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$9.8 million increase in purchased transportation was primarily driven by an increase in purchased local cartage and short-term revenue equipment rentals to handle the increased total shipments. We also had higher vehicle rent expense as our percentage of leased units has increased since last year due to our strategy of using operating leases to acquire new revenue equipment.</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$6.4 million increase in operating expenses and supplies in the second quarter of 2014 was primarily driven by a $3.5 million increase in fuel expense primarily the result of increased use due to higher total shipments and a $1.8 million increase in vehicle maintenance primarily due to an increase in miles driven and higher costs used to support our aging fleet.</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$4.9 million increase in other operating expenses in the second quarter of 2014 was primarily driven by a $3.0 million increase in our bodily injury and property damage expense due to more outstanding claims as well as unfavorable development of prior year claims, and a $1.4 million increase in cargo claims, which was primarily driven by an increase in total shipments.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Half of 2014 Compared to the First Half of 2013</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Regional Transportation reported operating revenue of $929.6 million for the first half of 2014, an increase of $76.0 million, or 8.9%, from the first half of 2013. The table below summarizes the key revenue metrics for the Regional Transportation reporting segment for the first half of 2014 compared to the first half of 2013:</w:t>
      </w:r>
    </w:p>
    <w:p>
      <w:pPr>
        <w:spacing w:after="0" w:line="200" w:lineRule="exact"/>
        <w:rPr>
          <w:sz w:val="20"/>
          <w:szCs w:val="20"/>
          <w:color w:val="auto"/>
        </w:rPr>
      </w:pPr>
    </w:p>
    <w:p>
      <w:pPr>
        <w:spacing w:after="0" w:line="202"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rPr>
              <w:t>First Half</w:t>
            </w: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264"/>
        </w:trPr>
        <w:tc>
          <w:tcPr>
            <w:tcW w:w="480" w:type="dxa"/>
            <w:vAlign w:val="bottom"/>
            <w:tcBorders>
              <w:bottom w:val="single" w:sz="8" w:color="auto"/>
            </w:tcBorders>
          </w:tcPr>
          <w:p>
            <w:pPr>
              <w:spacing w:after="0"/>
              <w:rPr>
                <w:sz w:val="22"/>
                <w:szCs w:val="22"/>
                <w:color w:val="auto"/>
              </w:rPr>
            </w:pPr>
          </w:p>
        </w:tc>
        <w:tc>
          <w:tcPr>
            <w:tcW w:w="39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2013</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5"/>
              </w:rPr>
              <w:t>Percent Change</w:t>
            </w:r>
            <w:r>
              <w:rPr>
                <w:rFonts w:ascii="Arial" w:cs="Arial" w:eastAsia="Arial" w:hAnsi="Arial"/>
                <w:sz w:val="8"/>
                <w:szCs w:val="8"/>
                <w:b w:val="1"/>
                <w:bCs w:val="1"/>
                <w:color w:val="auto"/>
                <w:w w:val="95"/>
              </w:rPr>
              <w:t>(b)</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Workdays</w:t>
            </w:r>
          </w:p>
        </w:tc>
        <w:tc>
          <w:tcPr>
            <w:tcW w:w="2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324"/>
        </w:trPr>
        <w:tc>
          <w:tcPr>
            <w:tcW w:w="480" w:type="dxa"/>
            <w:vAlign w:val="bottom"/>
            <w:shd w:val="clear" w:color="auto" w:fill="CCEEFF"/>
          </w:tcPr>
          <w:p>
            <w:pPr>
              <w:spacing w:after="0"/>
              <w:rPr>
                <w:sz w:val="24"/>
                <w:szCs w:val="24"/>
                <w:color w:val="auto"/>
              </w:rPr>
            </w:pPr>
          </w:p>
        </w:tc>
        <w:tc>
          <w:tcPr>
            <w:tcW w:w="39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60" w:type="dxa"/>
            <w:vAlign w:val="bottom"/>
            <w:gridSpan w:val="2"/>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70"/>
        </w:trPr>
        <w:tc>
          <w:tcPr>
            <w:tcW w:w="44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Total picked up revenue (in millions) </w:t>
            </w:r>
            <w:r>
              <w:rPr>
                <w:rFonts w:ascii="Arial" w:cs="Arial" w:eastAsia="Arial" w:hAnsi="Arial"/>
                <w:sz w:val="25"/>
                <w:szCs w:val="25"/>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930.0</w:t>
            </w:r>
          </w:p>
        </w:tc>
        <w:tc>
          <w:tcPr>
            <w:tcW w:w="100" w:type="dxa"/>
            <w:vAlign w:val="bottom"/>
          </w:tcPr>
          <w:p>
            <w:pPr>
              <w:spacing w:after="0"/>
              <w:rPr>
                <w:sz w:val="23"/>
                <w:szCs w:val="23"/>
                <w:color w:val="auto"/>
              </w:rPr>
            </w:pP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854.1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tonnage (in thousands)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Total tonnage per day (in thousands)</w:t>
            </w:r>
          </w:p>
        </w:tc>
        <w:tc>
          <w:tcPr>
            <w:tcW w:w="2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30.05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r>
      <w:tr>
        <w:trPr>
          <w:trHeight w:val="27"/>
        </w:trPr>
        <w:tc>
          <w:tcPr>
            <w:tcW w:w="4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shipments (in thousands)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5,190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Total shipments per day (in thousands)</w:t>
            </w:r>
          </w:p>
        </w:tc>
        <w:tc>
          <w:tcPr>
            <w:tcW w:w="2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41.03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r>
      <w:tr>
        <w:trPr>
          <w:trHeight w:val="27"/>
        </w:trPr>
        <w:tc>
          <w:tcPr>
            <w:tcW w:w="4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Total picked up revenue per shipment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1"/>
                <w:szCs w:val="21"/>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86"/>
              </w:rPr>
              <w:t>165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r>
      <w:tr>
        <w:trPr>
          <w:trHeight w:val="27"/>
        </w:trPr>
        <w:tc>
          <w:tcPr>
            <w:tcW w:w="4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weight per shipment (in pounds)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r>
      <w:tr>
        <w:trPr>
          <w:trHeight w:val="615"/>
        </w:trPr>
        <w:tc>
          <w:tcPr>
            <w:tcW w:w="4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First Quarter</w:t>
            </w:r>
          </w:p>
        </w:tc>
        <w:tc>
          <w:tcPr>
            <w:tcW w:w="82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264"/>
        </w:trPr>
        <w:tc>
          <w:tcPr>
            <w:tcW w:w="480" w:type="dxa"/>
            <w:vAlign w:val="bottom"/>
          </w:tcPr>
          <w:p>
            <w:pPr>
              <w:spacing w:after="0"/>
              <w:rPr>
                <w:sz w:val="22"/>
                <w:szCs w:val="22"/>
                <w:color w:val="auto"/>
              </w:rPr>
            </w:pP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22"/>
                <w:szCs w:val="22"/>
                <w:color w:val="auto"/>
              </w:rPr>
            </w:pPr>
          </w:p>
        </w:tc>
      </w:tr>
      <w:tr>
        <w:trPr>
          <w:trHeight w:val="270"/>
        </w:trPr>
        <w:tc>
          <w:tcPr>
            <w:tcW w:w="480" w:type="dxa"/>
            <w:vAlign w:val="bottom"/>
          </w:tcPr>
          <w:p>
            <w:pPr>
              <w:spacing w:after="0"/>
              <w:rPr>
                <w:sz w:val="23"/>
                <w:szCs w:val="23"/>
                <w:color w:val="auto"/>
              </w:rPr>
            </w:pPr>
          </w:p>
        </w:tc>
        <w:tc>
          <w:tcPr>
            <w:tcW w:w="5280" w:type="dxa"/>
            <w:vAlign w:val="bottom"/>
            <w:gridSpan w:val="5"/>
          </w:tcPr>
          <w:p>
            <w:pPr>
              <w:ind w:left="20"/>
              <w:spacing w:after="0" w:line="270" w:lineRule="exact"/>
              <w:rPr>
                <w:sz w:val="20"/>
                <w:szCs w:val="20"/>
                <w:color w:val="auto"/>
              </w:rPr>
            </w:pPr>
            <w:r>
              <w:rPr>
                <w:rFonts w:ascii="Arial" w:cs="Arial" w:eastAsia="Arial" w:hAnsi="Arial"/>
                <w:sz w:val="25"/>
                <w:szCs w:val="25"/>
                <w:color w:val="auto"/>
                <w:vertAlign w:val="superscript"/>
              </w:rPr>
              <w:t>(a)</w:t>
            </w:r>
            <w:r>
              <w:rPr>
                <w:rFonts w:ascii="Arial" w:cs="Arial" w:eastAsia="Arial" w:hAnsi="Arial"/>
                <w:sz w:val="18"/>
                <w:szCs w:val="18"/>
                <w:color w:val="auto"/>
              </w:rPr>
              <w:t>Reconciliation of operating revenue to total picked up revenue:</w:t>
            </w: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0"/>
        </w:trPr>
        <w:tc>
          <w:tcPr>
            <w:tcW w:w="48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revenue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929.6</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500" w:type="dxa"/>
            <w:vAlign w:val="bottom"/>
          </w:tcPr>
          <w:p>
            <w:pPr>
              <w:spacing w:after="0"/>
              <w:rPr>
                <w:sz w:val="21"/>
                <w:szCs w:val="21"/>
                <w:color w:val="auto"/>
              </w:rPr>
            </w:pPr>
          </w:p>
        </w:tc>
      </w:tr>
      <w:tr>
        <w:trPr>
          <w:trHeight w:val="243"/>
        </w:trPr>
        <w:tc>
          <w:tcPr>
            <w:tcW w:w="480" w:type="dxa"/>
            <w:vAlign w:val="bottom"/>
          </w:tcPr>
          <w:p>
            <w:pPr>
              <w:spacing w:after="0"/>
              <w:rPr>
                <w:sz w:val="21"/>
                <w:szCs w:val="21"/>
                <w:color w:val="auto"/>
              </w:rPr>
            </w:pPr>
          </w:p>
        </w:tc>
        <w:tc>
          <w:tcPr>
            <w:tcW w:w="3940" w:type="dxa"/>
            <w:vAlign w:val="bottom"/>
          </w:tcPr>
          <w:p>
            <w:pPr>
              <w:ind w:left="260"/>
              <w:spacing w:after="0"/>
              <w:rPr>
                <w:sz w:val="20"/>
                <w:szCs w:val="20"/>
                <w:color w:val="auto"/>
              </w:rPr>
            </w:pPr>
            <w:r>
              <w:rPr>
                <w:rFonts w:ascii="Arial" w:cs="Arial" w:eastAsia="Arial" w:hAnsi="Arial"/>
                <w:sz w:val="18"/>
                <w:szCs w:val="18"/>
                <w:color w:val="auto"/>
              </w:rPr>
              <w:t>Change in revenue deferral and other</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50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7"/>
        </w:trPr>
        <w:tc>
          <w:tcPr>
            <w:tcW w:w="480" w:type="dxa"/>
            <w:vAlign w:val="bottom"/>
          </w:tcPr>
          <w:p>
            <w:pPr>
              <w:spacing w:after="0"/>
              <w:rPr>
                <w:sz w:val="22"/>
                <w:szCs w:val="22"/>
                <w:color w:val="auto"/>
              </w:rPr>
            </w:pPr>
          </w:p>
        </w:tc>
        <w:tc>
          <w:tcPr>
            <w:tcW w:w="3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picked up revenue</w:t>
            </w: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930.0</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854.1</w:t>
            </w:r>
          </w:p>
        </w:tc>
        <w:tc>
          <w:tcPr>
            <w:tcW w:w="500" w:type="dxa"/>
            <w:vAlign w:val="bottom"/>
          </w:tcPr>
          <w:p>
            <w:pPr>
              <w:spacing w:after="0"/>
              <w:rPr>
                <w:sz w:val="22"/>
                <w:szCs w:val="22"/>
                <w:color w:val="auto"/>
              </w:rPr>
            </w:pPr>
          </w:p>
        </w:tc>
      </w:tr>
    </w:tbl>
    <w:p>
      <w:pPr>
        <w:spacing w:after="0" w:line="8" w:lineRule="exact"/>
        <w:rPr>
          <w:sz w:val="20"/>
          <w:szCs w:val="20"/>
          <w:color w:val="auto"/>
        </w:rPr>
      </w:pPr>
    </w:p>
    <w:p>
      <w:pPr>
        <w:ind w:left="1020" w:hanging="202"/>
        <w:spacing w:after="0"/>
        <w:tabs>
          <w:tab w:leader="none" w:pos="10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00" w:hanging="182"/>
        <w:spacing w:after="0"/>
        <w:tabs>
          <w:tab w:leader="none" w:pos="1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Percent change is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-208915</wp:posOffset>
            </wp:positionV>
            <wp:extent cx="16465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increases in the volume metrics above were primarily attributable to higher total shipments over the comparable prior year period due to the improvement of the overall economic environment as well as increased shipper confidence due to the finalization of our 2014 Financing Transactions and modified labor agreement and the additional 3.0 workdays in the first half of 2014 compared to the first half of 2013.</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income for Regional Transportation was $31.1 million for the first half of 2014, a decrease of $6.1 million from the same period in 2013, consisting of the $76.0 million increase in revenue offset by a $82.1 million, or 10.0% increase in total costs. The increase in total costs was primarily driven by a $36.4 million, or 7.4%, increase in salaries, wages and employees’ benefits, a $17.2 million, or 8.0%, increase in operating expenses and supplies, a $15.9 million, or 41.3%, increase in purchased transportation and a $10.5 million, or 25.7%, increase in other operating expenses.</w:t>
      </w:r>
    </w:p>
    <w:p>
      <w:pPr>
        <w:spacing w:after="0" w:line="171" w:lineRule="exact"/>
        <w:rPr>
          <w:sz w:val="20"/>
          <w:szCs w:val="20"/>
          <w:color w:val="auto"/>
        </w:rPr>
      </w:pPr>
    </w:p>
    <w:p>
      <w:pPr>
        <w:jc w:val="both"/>
        <w:ind w:left="660" w:hanging="328"/>
        <w:spacing w:after="0" w:line="25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$36.4 million increase in salaries, wages and employees’ benefits in the first half of 2014 was primarily the result of a $33.0 million increase in wages and benefits in the first half of 2014 compared to the first half of 2013. This increase was largely driven by higher total shipments and by the negative impact the severe winter weather had on the productivity of our workforce in the first quarter which, among other things, increased our overtime and linehaul delay pay.</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$17.2 million increase in operating expenses and supplies in the first half of 2014 was primarily driven by a $9.8 million increase in fuel expense primarily the result of increased use due to higher total shipments and a $3.0 million increase in vehicle maintenance primarily due to an increase in miles driven and higher costs to support our aging fleet.</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$15.9 million increase in purchased transportation was primarily driven by an increase in purchased local cartage and short-term revenue equipment rentals to handle the increased total shipments. We also had higher vehicle rent expense as our percentage of leased units has increased since last year due to our strategy of using operating leases to acquire new revenue equipment.</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$10.5 million increase in other operating expenses in the first half of 2014 was primarily driven by a $6.4 million increase in our bodily injury and property damage expense due to more outstanding claims as well as unfavorable development of prior year claims and a $2.7 million increase in cargo claims, which was primarily driven by an increase in total shipments.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Non-GAAP Financial Measures</w:t>
      </w:r>
    </w:p>
    <w:p>
      <w:pPr>
        <w:spacing w:after="0" w:line="2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Adjusted EBITDA</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reconciliation of operating income (loss) to adjusted EBITDA (as defined in our New Term Loan credit agreement) for the second quarter and first half of 2014 and 2013, and the trailing twelve months ended June 30, 2014,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4"/>
              <w:spacing w:after="0"/>
              <w:rPr>
                <w:sz w:val="20"/>
                <w:szCs w:val="20"/>
                <w:color w:val="auto"/>
              </w:rPr>
            </w:pPr>
            <w:r>
              <w:rPr>
                <w:rFonts w:ascii="Arial" w:cs="Arial" w:eastAsia="Arial" w:hAnsi="Arial"/>
                <w:sz w:val="14"/>
                <w:szCs w:val="14"/>
                <w:color w:val="auto"/>
                <w:w w:val="91"/>
              </w:rPr>
              <w:t>Four Consecutive</w:t>
            </w:r>
          </w:p>
        </w:tc>
      </w:tr>
      <w:tr>
        <w:trPr>
          <w:trHeight w:val="188"/>
        </w:trPr>
        <w:tc>
          <w:tcPr>
            <w:tcW w:w="5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300"/>
              <w:spacing w:after="0"/>
              <w:rPr>
                <w:sz w:val="20"/>
                <w:szCs w:val="20"/>
                <w:color w:val="auto"/>
              </w:rPr>
            </w:pPr>
            <w:r>
              <w:rPr>
                <w:rFonts w:ascii="Arial" w:cs="Arial" w:eastAsia="Arial" w:hAnsi="Arial"/>
                <w:sz w:val="14"/>
                <w:szCs w:val="14"/>
                <w:color w:val="auto"/>
              </w:rPr>
              <w:t>Second Quarter</w:t>
            </w:r>
          </w:p>
        </w:tc>
        <w:tc>
          <w:tcPr>
            <w:tcW w:w="20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First Half</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4"/>
              <w:spacing w:after="0"/>
              <w:rPr>
                <w:sz w:val="20"/>
                <w:szCs w:val="20"/>
                <w:color w:val="auto"/>
              </w:rPr>
            </w:pPr>
            <w:r>
              <w:rPr>
                <w:rFonts w:ascii="Arial" w:cs="Arial" w:eastAsia="Arial" w:hAnsi="Arial"/>
                <w:sz w:val="14"/>
                <w:szCs w:val="14"/>
                <w:color w:val="auto"/>
                <w:w w:val="94"/>
              </w:rPr>
              <w:t>Quarters Ending</w:t>
            </w:r>
          </w:p>
        </w:tc>
      </w:tr>
      <w:tr>
        <w:trPr>
          <w:trHeight w:val="264"/>
        </w:trPr>
        <w:tc>
          <w:tcPr>
            <w:tcW w:w="5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color w:val="auto"/>
              </w:rPr>
              <w:t>2014</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color w:val="auto"/>
              </w:rPr>
              <w:t>2014</w:t>
            </w: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color w:val="auto"/>
                <w:w w:val="96"/>
              </w:rPr>
              <w:t>2013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center"/>
              <w:ind w:right="74"/>
              <w:spacing w:after="0"/>
              <w:rPr>
                <w:sz w:val="20"/>
                <w:szCs w:val="20"/>
                <w:color w:val="auto"/>
              </w:rPr>
            </w:pPr>
            <w:r>
              <w:rPr>
                <w:rFonts w:ascii="Arial" w:cs="Arial" w:eastAsia="Arial" w:hAnsi="Arial"/>
                <w:sz w:val="14"/>
                <w:szCs w:val="14"/>
                <w:color w:val="auto"/>
                <w:w w:val="90"/>
              </w:rPr>
              <w:t>June 30, 2014</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Reconciliation of operating income (loss) to adjusted EBITDA:</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167.2</w:t>
            </w:r>
          </w:p>
        </w:tc>
      </w:tr>
      <w:tr>
        <w:trPr>
          <w:trHeight w:val="27"/>
        </w:trPr>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color w:val="auto"/>
              </w:rPr>
              <w:t>Letter of credit expense</w:t>
            </w: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23.4</w:t>
            </w:r>
          </w:p>
        </w:tc>
      </w:tr>
      <w:tr>
        <w:trPr>
          <w:trHeight w:val="27"/>
        </w:trPr>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professional fees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color w:val="auto"/>
              </w:rPr>
              <w:t>Permitted dispositions and other</w:t>
            </w: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1.8</w:t>
            </w:r>
          </w:p>
        </w:tc>
      </w:tr>
      <w:tr>
        <w:trPr>
          <w:trHeight w:val="27"/>
        </w:trPr>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color w:val="auto"/>
              </w:rPr>
              <w:t>Amortization of ratification bonus</w:t>
            </w: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5.2</w:t>
            </w:r>
          </w:p>
        </w:tc>
      </w:tr>
      <w:tr>
        <w:trPr>
          <w:trHeight w:val="27"/>
        </w:trPr>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6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nonoperating, net</w:t>
            </w:r>
            <w:r>
              <w:rPr>
                <w:rFonts w:ascii="Arial" w:cs="Arial" w:eastAsia="Arial" w:hAnsi="Arial"/>
                <w:sz w:val="25"/>
                <w:szCs w:val="25"/>
                <w:color w:val="auto"/>
                <w:vertAlign w:val="superscript"/>
              </w:rPr>
              <w:t>(a)</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206.5</w:t>
            </w:r>
          </w:p>
        </w:tc>
      </w:tr>
      <w:tr>
        <w:trPr>
          <w:trHeight w:val="27"/>
        </w:trPr>
        <w:tc>
          <w:tcPr>
            <w:tcW w:w="5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Other nonoperating, net excludes the impact of earnings (loss) of our equity method investment as well as all non-cash foreign currency gains or losses.</w:t>
      </w:r>
    </w:p>
    <w:p>
      <w:pPr>
        <w:spacing w:after="0" w:line="221" w:lineRule="exact"/>
        <w:rPr>
          <w:rFonts w:ascii="Arial" w:cs="Arial" w:eastAsia="Arial" w:hAnsi="Arial"/>
          <w:sz w:val="18"/>
          <w:szCs w:val="18"/>
          <w:color w:val="auto"/>
          <w:vertAlign w:val="superscript"/>
        </w:rPr>
      </w:pPr>
    </w:p>
    <w:p>
      <w:pPr>
        <w:ind w:left="5620"/>
        <w:spacing w:after="0"/>
        <w:rPr>
          <w:rFonts w:ascii="Arial" w:cs="Arial" w:eastAsia="Arial" w:hAnsi="Arial"/>
          <w:sz w:val="18"/>
          <w:szCs w:val="18"/>
          <w:color w:val="auto"/>
          <w:vertAlign w:val="superscript"/>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Adjusted Free Cash Flow (Deficit)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reconciliation of adjusted EBITDA (as defined in our New Term Loan credit agreement) to adjusted free cash flow (deficit) for the second quarter and first half of 2014 and 2013 including the reconciliation to adjusted free cash flow (deficit) is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color w:val="auto"/>
              </w:rPr>
              <w:t>First Half</w:t>
            </w:r>
          </w:p>
        </w:tc>
        <w:tc>
          <w:tcPr>
            <w:tcW w:w="80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2013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134.3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restructuring professional fees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Cash paid for interest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letter of credit fees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Working Capital cash flows excluding income tax, net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(89.3)</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Cash (paid) received for income taxes, net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11.8</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Acquisition of property and equipment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restructuring professional fees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Adjusted Free Cash Flow (Deficit)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w:t>
      </w:r>
    </w:p>
    <w:p>
      <w:pPr>
        <w:spacing w:after="0" w:line="22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following represents adjusted EBITDA (as defined in our New Term Loan credit agreement) by segment for the second quarter and first half of 2014 and 2013:</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color w:val="auto"/>
              </w:rPr>
              <w:t>First Half</w:t>
            </w:r>
          </w:p>
        </w:tc>
        <w:tc>
          <w:tcPr>
            <w:tcW w:w="80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2013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Adjusted EBITDA by segment: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YRC Freight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63.6</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Regional Transportation</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71.5</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and 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134.3</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reconciliation of operating income (loss), by segment, to adjusted EBITDA (as defined in our New Term Loan credit agreement) for the second quarter and first half of 2014 and 2013 is as follows: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color w:val="auto"/>
              </w:rPr>
              <w:t>First Half</w:t>
            </w:r>
          </w:p>
        </w:tc>
        <w:tc>
          <w:tcPr>
            <w:tcW w:w="80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YRC Freight segment (in millions)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2013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Reconciliation of operating loss to adjusted EBITDA:</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55.9</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Letter of credit expense</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ratification bonus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652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Other nonoperating expenses, net</w:t>
            </w:r>
            <w:r>
              <w:rPr>
                <w:rFonts w:ascii="Arial" w:cs="Arial" w:eastAsia="Arial" w:hAnsi="Arial"/>
                <w:sz w:val="25"/>
                <w:szCs w:val="25"/>
                <w:color w:val="auto"/>
                <w:vertAlign w:val="superscript"/>
              </w:rPr>
              <w:t>(a)</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w:t>
            </w: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w:t>
            </w:r>
          </w:p>
        </w:tc>
      </w:tr>
      <w:tr>
        <w:trPr>
          <w:trHeight w:val="20"/>
        </w:trPr>
        <w:tc>
          <w:tcPr>
            <w:tcW w:w="65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8890</wp:posOffset>
            </wp:positionV>
            <wp:extent cx="31127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200" w:hanging="151"/>
        <w:spacing w:after="0"/>
        <w:tabs>
          <w:tab w:leader="none" w:pos="20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Other nonoperating, net excludes the impact of non-cash foreign currency gains or losses.</w:t>
      </w:r>
    </w:p>
    <w:p>
      <w:pPr>
        <w:spacing w:after="0" w:line="221" w:lineRule="exact"/>
        <w:rPr>
          <w:rFonts w:ascii="Arial" w:cs="Arial" w:eastAsia="Arial" w:hAnsi="Arial"/>
          <w:sz w:val="18"/>
          <w:szCs w:val="18"/>
          <w:color w:val="auto"/>
          <w:vertAlign w:val="superscript"/>
        </w:rPr>
      </w:pPr>
    </w:p>
    <w:p>
      <w:pPr>
        <w:ind w:left="5620"/>
        <w:spacing w:after="0"/>
        <w:rPr>
          <w:rFonts w:ascii="Arial" w:cs="Arial" w:eastAsia="Arial" w:hAnsi="Arial"/>
          <w:sz w:val="18"/>
          <w:szCs w:val="18"/>
          <w:color w:val="auto"/>
          <w:vertAlign w:val="superscript"/>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652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5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color w:val="auto"/>
              </w:rPr>
              <w:t>First Half</w:t>
            </w:r>
          </w:p>
        </w:tc>
        <w:tc>
          <w:tcPr>
            <w:tcW w:w="800" w:type="dxa"/>
            <w:vAlign w:val="bottom"/>
            <w:tcBorders>
              <w:bottom w:val="single" w:sz="8" w:color="auto"/>
            </w:tcBorders>
          </w:tcPr>
          <w:p>
            <w:pPr>
              <w:spacing w:after="0"/>
              <w:rPr>
                <w:sz w:val="24"/>
                <w:szCs w:val="24"/>
                <w:color w:val="auto"/>
              </w:rPr>
            </w:pPr>
          </w:p>
        </w:tc>
      </w:tr>
      <w:tr>
        <w:trPr>
          <w:trHeight w:val="264"/>
        </w:trPr>
        <w:tc>
          <w:tcPr>
            <w:tcW w:w="6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Regional Transportation segment (in millions)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2013</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Reconciliation of operating income to adjusted EBITDA:</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w:t>
            </w:r>
          </w:p>
        </w:tc>
      </w:tr>
      <w:tr>
        <w:trPr>
          <w:trHeight w:val="243"/>
        </w:trPr>
        <w:tc>
          <w:tcPr>
            <w:tcW w:w="652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31.1</w:t>
            </w: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Losses on property disposals,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6520" w:type="dxa"/>
            <w:vAlign w:val="bottom"/>
            <w:gridSpan w:val="2"/>
          </w:tcPr>
          <w:p>
            <w:pPr>
              <w:ind w:left="380"/>
              <w:spacing w:after="0"/>
              <w:rPr>
                <w:sz w:val="20"/>
                <w:szCs w:val="20"/>
                <w:color w:val="auto"/>
              </w:rPr>
            </w:pPr>
            <w:r>
              <w:rPr>
                <w:rFonts w:ascii="Arial" w:cs="Arial" w:eastAsia="Arial" w:hAnsi="Arial"/>
                <w:sz w:val="18"/>
                <w:szCs w:val="18"/>
                <w:color w:val="auto"/>
              </w:rPr>
              <w:t>Letter of credit expense</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ratification bonus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gridSpan w:val="2"/>
          </w:tcPr>
          <w:p>
            <w:pPr>
              <w:ind w:left="380"/>
              <w:spacing w:after="0"/>
              <w:rPr>
                <w:sz w:val="20"/>
                <w:szCs w:val="20"/>
                <w:color w:val="auto"/>
              </w:rPr>
            </w:pPr>
            <w:r>
              <w:rPr>
                <w:rFonts w:ascii="Arial" w:cs="Arial" w:eastAsia="Arial" w:hAnsi="Arial"/>
                <w:sz w:val="18"/>
                <w:szCs w:val="18"/>
                <w:color w:val="auto"/>
              </w:rPr>
              <w:t>Other nonoperating expenses, net</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10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71.5</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569"/>
        </w:trPr>
        <w:tc>
          <w:tcPr>
            <w:tcW w:w="10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color w:val="auto"/>
              </w:rPr>
              <w:t>First Half</w:t>
            </w:r>
          </w:p>
        </w:tc>
        <w:tc>
          <w:tcPr>
            <w:tcW w:w="800" w:type="dxa"/>
            <w:vAlign w:val="bottom"/>
            <w:tcBorders>
              <w:bottom w:val="single" w:sz="8" w:color="auto"/>
            </w:tcBorders>
          </w:tcPr>
          <w:p>
            <w:pPr>
              <w:spacing w:after="0"/>
              <w:rPr>
                <w:sz w:val="24"/>
                <w:szCs w:val="24"/>
                <w:color w:val="auto"/>
              </w:rPr>
            </w:pPr>
          </w:p>
        </w:tc>
      </w:tr>
      <w:tr>
        <w:trPr>
          <w:trHeight w:val="264"/>
        </w:trPr>
        <w:tc>
          <w:tcPr>
            <w:tcW w:w="6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Corporate and other segment (in millions)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2013</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Reconciliation of operating loss to adjusted EBITDA:</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652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Losses on property disposals,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r>
      <w:tr>
        <w:trPr>
          <w:trHeight w:val="243"/>
        </w:trPr>
        <w:tc>
          <w:tcPr>
            <w:tcW w:w="6520" w:type="dxa"/>
            <w:vAlign w:val="bottom"/>
            <w:gridSpan w:val="2"/>
          </w:tcPr>
          <w:p>
            <w:pPr>
              <w:ind w:left="380"/>
              <w:spacing w:after="0"/>
              <w:rPr>
                <w:sz w:val="20"/>
                <w:szCs w:val="20"/>
                <w:color w:val="auto"/>
              </w:rPr>
            </w:pPr>
            <w:r>
              <w:rPr>
                <w:rFonts w:ascii="Arial" w:cs="Arial" w:eastAsia="Arial" w:hAnsi="Arial"/>
                <w:sz w:val="18"/>
                <w:szCs w:val="18"/>
                <w:color w:val="auto"/>
              </w:rPr>
              <w:t>Letter of credit expense</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Restructuring professional fees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r>
      <w:tr>
        <w:trPr>
          <w:trHeight w:val="243"/>
        </w:trPr>
        <w:tc>
          <w:tcPr>
            <w:tcW w:w="6520" w:type="dxa"/>
            <w:vAlign w:val="bottom"/>
            <w:gridSpan w:val="2"/>
          </w:tcPr>
          <w:p>
            <w:pPr>
              <w:ind w:left="380"/>
              <w:spacing w:after="0"/>
              <w:rPr>
                <w:sz w:val="20"/>
                <w:szCs w:val="20"/>
                <w:color w:val="auto"/>
              </w:rPr>
            </w:pPr>
            <w:r>
              <w:rPr>
                <w:rFonts w:ascii="Arial" w:cs="Arial" w:eastAsia="Arial" w:hAnsi="Arial"/>
                <w:sz w:val="18"/>
                <w:szCs w:val="18"/>
                <w:color w:val="auto"/>
              </w:rPr>
              <w:t>Permitted dispositions and other</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Equity 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70"/>
        </w:trPr>
        <w:tc>
          <w:tcPr>
            <w:tcW w:w="6520" w:type="dxa"/>
            <w:vAlign w:val="bottom"/>
            <w:tcBorders>
              <w:bottom w:val="single" w:sz="8" w:color="CCEEFF"/>
            </w:tcBorders>
            <w:gridSpan w:val="2"/>
          </w:tcPr>
          <w:p>
            <w:pPr>
              <w:ind w:left="380"/>
              <w:spacing w:after="0" w:line="270" w:lineRule="exact"/>
              <w:rPr>
                <w:sz w:val="20"/>
                <w:szCs w:val="20"/>
                <w:color w:val="auto"/>
              </w:rPr>
            </w:pPr>
            <w:r>
              <w:rPr>
                <w:rFonts w:ascii="Arial" w:cs="Arial" w:eastAsia="Arial" w:hAnsi="Arial"/>
                <w:sz w:val="18"/>
                <w:szCs w:val="18"/>
                <w:color w:val="auto"/>
              </w:rPr>
              <w:t>Other nonoperating income, net</w:t>
            </w:r>
            <w:r>
              <w:rPr>
                <w:rFonts w:ascii="Arial" w:cs="Arial" w:eastAsia="Arial" w:hAnsi="Arial"/>
                <w:sz w:val="25"/>
                <w:szCs w:val="25"/>
                <w:color w:val="auto"/>
                <w:vertAlign w:val="superscript"/>
              </w:rPr>
              <w:t>(a)</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4"/>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1020" w:type="dxa"/>
            <w:vAlign w:val="bottom"/>
            <w:shd w:val="clear" w:color="auto" w:fill="CCEEFF"/>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8890</wp:posOffset>
            </wp:positionV>
            <wp:extent cx="31127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160" w:hanging="152"/>
        <w:spacing w:after="0"/>
        <w:tabs>
          <w:tab w:leader="none" w:pos="16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Other nonoperating, net excludes the impact of earnings (loss) of our equity method investment as well as non-cash foreign currency gains or losses.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Condition/Liquidity and Capital Resources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sources of liquidity are cash and cash equivalents, available borrowings under our New ABL facility and any prospective net operating cash flows from our operations. As of June 30, 2014, we had cash and cash equivalents and availability under the New ABL facility totaling $253.2 million, and cash and cash equivalents and amounts able to be drawn totaling $209.4 million. The amount which is actually able to be drawn is limited by certain financial covenants in the New ABL facility. For comparison, as of March 31, 2014, we had cash and cash equivalents and availability of $223.0 million, and cash and cash equivalents and amounts able to be drawn totaling $183.2 million.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uses of cash are to fund our operations, including making contributions to our single-employer pension plans and various multi-employer pension funds, and to meet our other cash obligations, including paying cash interest and principal on our funded debt, letter of credit fees under our credit facilities and funding capital expenditures. For the six months ended June 30, 2014, we used net cash of $55.6 million for our operating activities.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13, 2014, we also entered into the New ABL Facility credit agreement which, among other things, restricts certain capital expenditures and requires that the Company, in effect, maintain availability of at least 10% of the lesser of the aggregate amount of commitments from all lenders or the borrowing base.</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 considerable amount of indebtedness. As of June 30, 2014, we had $1,208.9 million in aggregate par value of outstanding indebtedness, the majority of which matures in 2019. We also have considerable future funding obligations for our single-employer pension plans and various multi-employer pension funds. We expect our funding obligations for the remainder of 2014 for our single-employer pension plans and multi-employer pension funds will be $49.4 million and $46.1 million, respectively. In addition, we have, and will continue to have, substantial operating lease obligations. As of June 30, 2014, our minimum rental expense under operating leases for the remainder of the year is $28.8 million. As of June 30, 2014, our operating lease obligations through 2025 totaled $154.8 million and is expected to increase as we lease additional revenue equipment. As of June 30, 2014, our Standard &amp; Poor’s Corporate Family Rating was “CCC+” and Moody’s Investor Service Corporate Family Rating was “B3”.</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4"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capital expenditures for the first half of 2014 and 2013 were $24.7 million and $39.1 million, respectively. These amounts were principally used to fund replacement engines and trailer refurbishments for our revenue fleet, capitalized costs for our network facilities and technology infrastructure. Additionally, for the first half of 2014, we entered into new operating leases for revenue equipment for $7.0 million, payable over the average lease term of three years. In light of our operating results and liquidity needs, we have deferred certain capital expenditures and expect to continue to do so for the remainder of 2014. As a result, the average age of our fleet is increasing, which may affect our maintenance costs and operational efficiency unless we are able to obtain suitable lease financing to meet our replacement equipment needs.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13, 2014, we completed our 2014 Financing Transactions and refinanced the debt associated with our prior credit facilities. We entered into a New Term Loan credit agreement with new financial covenants that, among other things, restricts certain capital expenditures and requires us to maintain a maximum total leverage ratio (defined as Consolidated Total Debt divided by Consolidated Adjusted EBITDA as defined below) for future test periods as follows:</w:t>
      </w:r>
    </w:p>
    <w:p>
      <w:pPr>
        <w:spacing w:after="0" w:line="328"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160" w:type="dxa"/>
            <w:vAlign w:val="bottom"/>
          </w:tcPr>
          <w:p>
            <w:pPr>
              <w:spacing w:after="0"/>
              <w:rPr>
                <w:sz w:val="14"/>
                <w:szCs w:val="14"/>
                <w:color w:val="auto"/>
              </w:rPr>
            </w:pPr>
          </w:p>
        </w:tc>
        <w:tc>
          <w:tcPr>
            <w:tcW w:w="27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2014</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6.00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September 30, 2014</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5.00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September 30,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3.50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4.50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March 31, 2015</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4.00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March 31, 2017</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September 30, 2015</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September 30, 2017</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December 31, 2017 and thereafter</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3.00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March 31,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3.50 to 1.00</w:t>
            </w:r>
          </w:p>
        </w:tc>
        <w:tc>
          <w:tcPr>
            <w:tcW w:w="1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Adjusted EBITDA, as defined in our New Term Loan credit agreement, is a measure that reflects our earnings before interest, taxes, depreciation, and amortization expense, and is further adjusted for, among other things, letter of credit fees, equity-based compensation expense, net gains or losses on property disposals and certain other items, including restructuring professional fees, expenses associated with certain lump sum payments to our IBT employees and the results of permitted dispositions and discontinued operations. Consolidated Total Debt, as defined in our New Term Loan credit agreement, is the aggregate principal amount of indebtedness outstanding excluding our fully discharged Series A Notes. Our total leverage ratio for the four consecutive fiscal quarters ending June 30, 2014 was 5.42 to 1.00.</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for us to maintain compliance with the maximum total leverage ratio over the term of the agreement, we must achieve operating results which reflect continuing improvements over our second quarter 2014 results. While we presently expect that our results of operations will be sufficient to allow us to comply with the covenants in our new credit agreement, fund our operations, increase working capital as necessary to support our planned revenue growth and fund capital expenditures for the next twelve months, our financial forecasts indicate our total leverage ratio will be closest to the maximum total leverage ratio in the third and fourth quarters of 2014. A significant departure from our financial forecasts would have an adverse impact on our ability to comply with our maximum total leverage ratio covenant.</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ability to satisfy our liquidity needs and meet future stepped-up covenants is primarily dependent on improvement in YRC Freight’s profitability. These profitability improvements primarily include continued successful implementation and realization of productivity and efficiency initiatives including those identified in the modified labor agreement and pricing improvements. Some of these improvements are outside of our control.</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event our operating results indicate we may not meet our maximum total leverage ratio, we will take action to improve our maximum total leverage ratio which could include, among other actions, paying down our outstanding indebtedness with either cash on hand or from cash proceeds from equity issuances. Our ability to obtain proceeds from the issuance of equity is largely outside of our control and there can be no assurance that we will be able to issue additional equity at terms that are agreeable to us or that we would have sufficient cash on hand to meet the maximum total leverage ratio.</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we fail to comply with any New Term Loan covenant or any New ABL Facility covenant, we would be considered in default, which would enable applicable lenders to accelerate the repayment of amounts outstanding, require the cash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collateralization of letters of credit (in the case of the New ABL Facility) and exercise remedies with respect to collateral and we would need to seek an amendment or waiver from the applicable lender groups. In the event that our lenders under our New Term Loan or New ABL Facility demand payment or cash collateralization (in the case of the New ABL Facility), we will not have sufficient cash to repay such indebtedness. In addition, a default under our New Term Loan or New ABL Facility or the applicable lenders exercising their remedies thereunder would trigger cross-default provisions in our other indebtedness and certain other operating agreements. Our ability to amend our New Term Loan or our New ABL Facility or otherwise obtain waivers from the applicable lenders depends on matters that are outside of our control and there can be no assurance that we will be successful in that regard.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operating activities was $55.6 million in the first half of 2014 compared to $18.2 million in the first half of 2013. This increase in cash utilization is primarily attributable to a $35.5 million year-over-year increase in net losses driven by an increase in 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Investing cash flows decreased by $29.3 million during the first half of 2014 compared to the same period in 2013, largely driven by a net $37.5 million in restricted escrow deposits made in 2014, compared to $12.8 million in proceeds in 2013. The 2014 restricted escrow deposits consist mostly of $38.6 million for the New ABL Facility and $89.6 million for the Series A Notes defeasance, offset by the receipt of $90.0 million for the Prior ABL Facility. This was partially offset by a $14.4 million decrease in the acquisition of property and equipment as we plan to use operating leases to procure our revenue equipment in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provided by financing activities for the first half of 2014 was $102.8 million compared to net cash used in financing activities of $4.3 million in the first half of 2013. The cash provided during the first half of 2014 was driven by the issuance of $693.0 million in long-term debt for the New Term Loan and $250.0 million equity issuance proceeds. These were offset by $795.7 million of repayments on our long-term debt. The repayments primarily consisted of $298.1 million for the Prior Term Loan, $324.9 million for the Prior ABL Facility, $93.9 million repurchase of Series A Notes and $69.4 million for the 6% Notes. We also had $27.4 million in debt issuance costs and $17.1 million in equity issuance costs related to our new debt and equity. During the first half of 2013, the use of cash was driven by $4.6 million of repayments on other long-term debt.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Commercial Commitments</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The following sections provide aggregated information regarding our contractual cash obligations and other commercial commitments as of June 30, 2014.</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Cash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cash outflows that we are contractually obligated to make as of June 30, 2014:</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rPr>
              <w:t>Payments Due by Period</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64"/>
        </w:trPr>
        <w:tc>
          <w:tcPr>
            <w:tcW w:w="37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Less than 1 year</w:t>
            </w:r>
          </w:p>
        </w:tc>
        <w:tc>
          <w:tcPr>
            <w:tcW w:w="26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color w:val="auto"/>
              </w:rPr>
              <w:t>1-3 years</w:t>
            </w:r>
          </w:p>
        </w:tc>
        <w:tc>
          <w:tcPr>
            <w:tcW w:w="26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3-5 years</w:t>
            </w:r>
          </w:p>
        </w:tc>
        <w:tc>
          <w:tcPr>
            <w:tcW w:w="200" w:type="dxa"/>
            <w:vAlign w:val="bottom"/>
          </w:tcPr>
          <w:p>
            <w:pPr>
              <w:spacing w:after="0"/>
              <w:rPr>
                <w:sz w:val="22"/>
                <w:szCs w:val="22"/>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color w:val="auto"/>
              </w:rPr>
              <w:t>After 5 years</w:t>
            </w:r>
          </w:p>
        </w:tc>
        <w:tc>
          <w:tcPr>
            <w:tcW w:w="320" w:type="dxa"/>
            <w:vAlign w:val="bottom"/>
          </w:tcPr>
          <w:p>
            <w:pPr>
              <w:spacing w:after="0"/>
              <w:rPr>
                <w:sz w:val="22"/>
                <w:szCs w:val="22"/>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color w:val="auto"/>
              </w:rPr>
              <w:t>Total</w:t>
            </w:r>
          </w:p>
        </w:tc>
        <w:tc>
          <w:tcPr>
            <w:tcW w:w="380" w:type="dxa"/>
            <w:vAlign w:val="bottom"/>
          </w:tcPr>
          <w:p>
            <w:pPr>
              <w:spacing w:after="0"/>
              <w:rPr>
                <w:sz w:val="22"/>
                <w:szCs w:val="22"/>
                <w:color w:val="auto"/>
              </w:rPr>
            </w:pPr>
          </w:p>
        </w:tc>
      </w:tr>
      <w:tr>
        <w:trPr>
          <w:trHeight w:val="270"/>
        </w:trPr>
        <w:tc>
          <w:tcPr>
            <w:tcW w:w="374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Balance sheet obligations:</w:t>
            </w:r>
            <w:r>
              <w:rPr>
                <w:rFonts w:ascii="Arial" w:cs="Arial" w:eastAsia="Arial" w:hAnsi="Arial"/>
                <w:sz w:val="25"/>
                <w:szCs w:val="25"/>
                <w:color w:val="auto"/>
                <w:vertAlign w:val="superscript"/>
              </w:rPr>
              <w:t>(a)</w:t>
            </w:r>
          </w:p>
        </w:tc>
        <w:tc>
          <w:tcPr>
            <w:tcW w:w="1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r>
      <w:tr>
        <w:trPr>
          <w:trHeight w:val="229"/>
        </w:trPr>
        <w:tc>
          <w:tcPr>
            <w:tcW w:w="3740" w:type="dxa"/>
            <w:vAlign w:val="bottom"/>
          </w:tcPr>
          <w:p>
            <w:pPr>
              <w:ind w:left="380"/>
              <w:spacing w:after="0"/>
              <w:rPr>
                <w:sz w:val="20"/>
                <w:szCs w:val="20"/>
                <w:color w:val="auto"/>
              </w:rPr>
            </w:pPr>
            <w:r>
              <w:rPr>
                <w:rFonts w:ascii="Arial" w:cs="Arial" w:eastAsia="Arial" w:hAnsi="Arial"/>
                <w:sz w:val="18"/>
                <w:szCs w:val="18"/>
                <w:color w:val="auto"/>
              </w:rPr>
              <w:t>ABL borrowings, including interest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0"/>
        </w:trPr>
        <w:tc>
          <w:tcPr>
            <w:tcW w:w="3740" w:type="dxa"/>
            <w:vAlign w:val="bottom"/>
          </w:tcPr>
          <w:p>
            <w:pPr>
              <w:ind w:left="380"/>
              <w:spacing w:after="0"/>
              <w:rPr>
                <w:sz w:val="20"/>
                <w:szCs w:val="20"/>
                <w:color w:val="auto"/>
              </w:rPr>
            </w:pPr>
            <w:r>
              <w:rPr>
                <w:rFonts w:ascii="Arial" w:cs="Arial" w:eastAsia="Arial" w:hAnsi="Arial"/>
                <w:sz w:val="18"/>
                <w:szCs w:val="18"/>
                <w:color w:val="auto"/>
              </w:rPr>
              <w:t>unused line fees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including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1,181.2</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Lease financing obligations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229.6</w:t>
            </w:r>
          </w:p>
        </w:tc>
        <w:tc>
          <w:tcPr>
            <w:tcW w:w="380" w:type="dxa"/>
            <w:vAlign w:val="bottom"/>
          </w:tcPr>
          <w:p>
            <w:pPr>
              <w:ind w:left="80"/>
              <w:spacing w:after="0"/>
              <w:rPr>
                <w:sz w:val="20"/>
                <w:szCs w:val="20"/>
                <w:color w:val="auto"/>
              </w:rPr>
            </w:pPr>
            <w:r>
              <w:rPr>
                <w:rFonts w:ascii="Arial" w:cs="Arial" w:eastAsia="Arial" w:hAnsi="Arial"/>
                <w:sz w:val="13"/>
                <w:szCs w:val="13"/>
                <w:color w:val="auto"/>
              </w:rPr>
              <w:t>(b)</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29"/>
        </w:trPr>
        <w:tc>
          <w:tcPr>
            <w:tcW w:w="3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Multi-employer pension deferral obligations,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37"/>
        </w:trPr>
        <w:tc>
          <w:tcPr>
            <w:tcW w:w="3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including interest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380" w:type="dxa"/>
            <w:vAlign w:val="bottom"/>
            <w:tcBorders>
              <w:bottom w:val="single" w:sz="8" w:color="CCEEFF"/>
            </w:tcBorders>
            <w:shd w:val="clear" w:color="auto" w:fill="CCEEFF"/>
          </w:tcPr>
          <w:p>
            <w:pPr>
              <w:spacing w:after="0"/>
              <w:rPr>
                <w:sz w:val="20"/>
                <w:szCs w:val="20"/>
                <w:color w:val="auto"/>
              </w:rPr>
            </w:pPr>
          </w:p>
        </w:tc>
      </w:tr>
      <w:tr>
        <w:trPr>
          <w:trHeight w:val="229"/>
        </w:trPr>
        <w:tc>
          <w:tcPr>
            <w:tcW w:w="3740" w:type="dxa"/>
            <w:vAlign w:val="bottom"/>
          </w:tcPr>
          <w:p>
            <w:pPr>
              <w:ind w:left="380"/>
              <w:spacing w:after="0"/>
              <w:rPr>
                <w:sz w:val="20"/>
                <w:szCs w:val="20"/>
                <w:color w:val="auto"/>
              </w:rPr>
            </w:pPr>
            <w:r>
              <w:rPr>
                <w:rFonts w:ascii="Arial" w:cs="Arial" w:eastAsia="Arial" w:hAnsi="Arial"/>
                <w:sz w:val="18"/>
                <w:szCs w:val="18"/>
                <w:color w:val="auto"/>
                <w:w w:val="90"/>
              </w:rPr>
              <w:t>Workers’ compensation, property damage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0"/>
        </w:trPr>
        <w:tc>
          <w:tcPr>
            <w:tcW w:w="3740" w:type="dxa"/>
            <w:vAlign w:val="bottom"/>
          </w:tcPr>
          <w:p>
            <w:pPr>
              <w:ind w:left="380"/>
              <w:spacing w:after="0"/>
              <w:rPr>
                <w:sz w:val="20"/>
                <w:szCs w:val="20"/>
                <w:color w:val="auto"/>
              </w:rPr>
            </w:pPr>
            <w:r>
              <w:rPr>
                <w:rFonts w:ascii="Arial" w:cs="Arial" w:eastAsia="Arial" w:hAnsi="Arial"/>
                <w:sz w:val="18"/>
                <w:szCs w:val="18"/>
                <w:color w:val="auto"/>
              </w:rPr>
              <w:t>liability claims obligations</w:t>
            </w:r>
          </w:p>
        </w:tc>
        <w:tc>
          <w:tcPr>
            <w:tcW w:w="1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362.0</w:t>
            </w:r>
          </w:p>
        </w:tc>
        <w:tc>
          <w:tcPr>
            <w:tcW w:w="380" w:type="dxa"/>
            <w:vAlign w:val="bottom"/>
          </w:tcPr>
          <w:p>
            <w:pPr>
              <w:ind w:left="80"/>
              <w:spacing w:after="0"/>
              <w:rPr>
                <w:sz w:val="20"/>
                <w:szCs w:val="20"/>
                <w:color w:val="auto"/>
              </w:rPr>
            </w:pPr>
            <w:r>
              <w:rPr>
                <w:rFonts w:ascii="Arial" w:cs="Arial" w:eastAsia="Arial" w:hAnsi="Arial"/>
                <w:sz w:val="13"/>
                <w:szCs w:val="13"/>
                <w:color w:val="auto"/>
              </w:rPr>
              <w:t>(c)</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 balance sheet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154.8</w:t>
            </w:r>
          </w:p>
        </w:tc>
        <w:tc>
          <w:tcPr>
            <w:tcW w:w="38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fees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21"/>
                <w:szCs w:val="2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9"/>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2,141.5</w:t>
            </w:r>
          </w:p>
        </w:tc>
        <w:tc>
          <w:tcPr>
            <w:tcW w:w="380" w:type="dxa"/>
            <w:vAlign w:val="bottom"/>
            <w:tcBorders>
              <w:bottom w:val="single" w:sz="8" w:color="CCEEFF"/>
            </w:tcBorders>
            <w:shd w:val="clear" w:color="auto" w:fill="CCEEFF"/>
          </w:tcPr>
          <w:p>
            <w:pPr>
              <w:spacing w:after="0"/>
              <w:rPr>
                <w:sz w:val="22"/>
                <w:szCs w:val="22"/>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40" w:hanging="332"/>
        <w:spacing w:after="0" w:line="250"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Total liabilities for unrecognized tax benefits as of June 30, 2014 were $25.8 million and are classified on our consolidated balance sheet within “Claims and Other Liabilities” and are excluded from the table above.</w:t>
      </w:r>
    </w:p>
    <w:p>
      <w:pPr>
        <w:ind w:left="340" w:hanging="332"/>
        <w:spacing w:after="0" w:line="24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$229.6 million of lease financing obligation payments represent interest payments of $171.2 million and principal payments of $58.4 million. The remaining principle obligation is offset by the estimated book value of leased property at the expiration date of each lease agreement.</w:t>
      </w:r>
    </w:p>
    <w:p>
      <w:pPr>
        <w:ind w:left="340" w:right="20" w:hanging="332"/>
        <w:spacing w:after="0" w:line="255"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workers’ compensation, property damage and liability claims obligations represent our undiscounted estimate of future payments for these obligations, not all of which are contractually required.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2014, we entered into new operating leases for revenue equipment of $7.0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Commercial Commitments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other commercial commitments or potential cash outflows that may result from a contingent event, such as a need to borrow short-term funds due to insufficient free cash flow.</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color w:val="auto"/>
              </w:rPr>
              <w:t>Amount of Commitment Expiration Per Period</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Less than 1 year</w:t>
            </w:r>
          </w:p>
        </w:tc>
        <w:tc>
          <w:tcPr>
            <w:tcW w:w="20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color w:val="auto"/>
              </w:rPr>
              <w:t>1-3 years</w:t>
            </w:r>
          </w:p>
        </w:tc>
        <w:tc>
          <w:tcPr>
            <w:tcW w:w="260" w:type="dxa"/>
            <w:vAlign w:val="bottom"/>
          </w:tcPr>
          <w:p>
            <w:pPr>
              <w:spacing w:after="0"/>
              <w:rPr>
                <w:sz w:val="22"/>
                <w:szCs w:val="22"/>
                <w:color w:val="auto"/>
              </w:rPr>
            </w:pPr>
          </w:p>
        </w:tc>
        <w:tc>
          <w:tcPr>
            <w:tcW w:w="1100" w:type="dxa"/>
            <w:vAlign w:val="bottom"/>
          </w:tcPr>
          <w:p>
            <w:pPr>
              <w:jc w:val="right"/>
              <w:ind w:right="334"/>
              <w:spacing w:after="0"/>
              <w:rPr>
                <w:sz w:val="20"/>
                <w:szCs w:val="20"/>
                <w:color w:val="auto"/>
              </w:rPr>
            </w:pPr>
            <w:r>
              <w:rPr>
                <w:rFonts w:ascii="Arial" w:cs="Arial" w:eastAsia="Arial" w:hAnsi="Arial"/>
                <w:sz w:val="14"/>
                <w:szCs w:val="14"/>
                <w:color w:val="auto"/>
              </w:rPr>
              <w:t>3-5 years</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color w:val="auto"/>
              </w:rPr>
              <w:t>After 5 years</w:t>
            </w:r>
          </w:p>
        </w:tc>
        <w:tc>
          <w:tcPr>
            <w:tcW w:w="340" w:type="dxa"/>
            <w:vAlign w:val="bottom"/>
          </w:tcPr>
          <w:p>
            <w:pPr>
              <w:spacing w:after="0"/>
              <w:rPr>
                <w:sz w:val="22"/>
                <w:szCs w:val="22"/>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color w:val="auto"/>
              </w:rPr>
              <w:t>Total</w:t>
            </w: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Unused line of credit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4120" w:type="dxa"/>
            <w:vAlign w:val="bottom"/>
          </w:tcPr>
          <w:p>
            <w:pPr>
              <w:ind w:left="360"/>
              <w:spacing w:after="0" w:line="270" w:lineRule="exact"/>
              <w:rPr>
                <w:sz w:val="20"/>
                <w:szCs w:val="20"/>
                <w:color w:val="auto"/>
              </w:rPr>
            </w:pPr>
            <w:r>
              <w:rPr>
                <w:rFonts w:ascii="Arial" w:cs="Arial" w:eastAsia="Arial" w:hAnsi="Arial"/>
                <w:sz w:val="18"/>
                <w:szCs w:val="18"/>
                <w:color w:val="auto"/>
              </w:rPr>
              <w:t>New ABL Facility</w:t>
            </w:r>
            <w:r>
              <w:rPr>
                <w:rFonts w:ascii="Arial" w:cs="Arial" w:eastAsia="Arial" w:hAnsi="Arial"/>
                <w:sz w:val="25"/>
                <w:szCs w:val="25"/>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79.3</w:t>
            </w:r>
          </w:p>
        </w:tc>
        <w:tc>
          <w:tcPr>
            <w:tcW w:w="340" w:type="dxa"/>
            <w:vAlign w:val="bottom"/>
          </w:tcPr>
          <w:p>
            <w:pPr>
              <w:ind w:left="120"/>
              <w:spacing w:after="0"/>
              <w:rPr>
                <w:sz w:val="20"/>
                <w:szCs w:val="20"/>
                <w:color w:val="auto"/>
              </w:rPr>
            </w:pPr>
            <w:r>
              <w:rPr>
                <w:rFonts w:ascii="Arial" w:cs="Arial" w:eastAsia="Arial" w:hAnsi="Arial"/>
                <w:sz w:val="13"/>
                <w:szCs w:val="13"/>
                <w:color w:val="auto"/>
              </w:rPr>
              <w:t>(b)</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79.3</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367.4</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367.4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Surety bonds</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123.5</w:t>
            </w: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commercial commitments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446.7</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570.2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At June 30, 2014 we held $38.6 million in restricted escrow, which represents cash collateral on our New ABL Facility.</w:t>
      </w:r>
    </w:p>
    <w:p>
      <w:pPr>
        <w:spacing w:after="0" w:line="13" w:lineRule="exact"/>
        <w:rPr>
          <w:rFonts w:ascii="Arial" w:cs="Arial" w:eastAsia="Arial" w:hAnsi="Arial"/>
          <w:sz w:val="14"/>
          <w:szCs w:val="14"/>
          <w:color w:val="auto"/>
        </w:rPr>
      </w:pPr>
    </w:p>
    <w:p>
      <w:pPr>
        <w:ind w:left="340" w:hanging="332"/>
        <w:spacing w:after="0" w:line="255"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unused line of credit that may actually be drawn is limited by certain financial covenants in the New ABL facility. As of June 30, 2014, the amount that actually may be drawn on the New ABL Facility is $35.5 million.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primarily exposed to the market risk associated with unfavorable movements in interest rates, foreign currencies, and fuel price volatility. The risk inherent in our market risk sensitive instruments and positions is the potential loss or increased expense arising from adverse changes in those factors. There have been no material changes to our market risk policies or our market risk sensitive instruments and positions as described in our annual report on Form 10-K for the year ended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June 30, 2014 and have concluded that our disclosure controls and procedures were effective as of June 30, 2014.</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ended June 30, 2014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II—OTHER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discuss legal proceedings in the “Commitments, Contingencies and Uncertainties” note to our Consolidated Financial Statements included with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the risk factor detailed below, there were no material changes during the quarter to the risk factors disclosed in Part I, Item 1A - “Risk Factors” in our Annual Report on Form 10-K for the year ended December 31, 2013.</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Difficulties attracting and retaining qualified drivers could result in increases in driver compensation and purchased transportation costs and could adversely affect our profitability and our ability to maintain or grow our fleet.</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Like many in the trucking industry, we are experiencing difficulty in attracting and retaining sufficient numbers of qualified drivers. Due in part to the time commitment, the physical strains of the work and the current industry conditions, including the higher cost of fuel, insurance and tractors, the available pool of employee drivers and independent contractors has been declining. Regulatory requirements, including the Compliance, Safety, Accountability program of the Federal Motor Carrier Safety Administration, have also reduced the number of eligible employee drivers and independent contractors and may continue to do so in the future. Because of the shortage of qualified drivers and intense competition for drivers from other trucking companies, we expect to continue to face difficulty increasing our number of drivers. Driver shortages may result in less than optimal use of purchased transportation, which may result in higher costs to the Company. The compensation we offer our drivers is subject to market conditions, and we may find it necessary to continue to increase driver compensation in future periods. In addition, we and our industry suffer from a high driver turnover rate. Driver turnover requires us to continually recruit a substantial number of drivers in order to operate existing revenue equipment. If we are unable to continue to attract and retain drivers, we could be required to adjust our compensation packages, increase our use of purchased transportation, let tractors sit idle, or operate with fewer tractors and face difficulty meeting customer demands, any of which would adversely affect our growth and profitability.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Other Information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July 11, 2014, the Company filed a Current Report on Form 8-K (the “Davidson Form 8-K”) to announce that the Board approved the appointment by the International Brotherhood of Teamsters of William R. Davidson as a director of the Company effective July 8, 2014. This Item 5 amends and supplements the Davidson Form 8-K to reflect that effective as of July 29, 2014, the Board appointed Mr. Davidson as a member of its Governance Committee and Compensation Committee. All other contents of the Item 5.02 disclosure in the Davidson Form 8-K are incorporated herein by reference.</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gridSpan w:val="4"/>
          </w:tcPr>
          <w:p>
            <w:pPr>
              <w:spacing w:after="0"/>
              <w:rPr>
                <w:sz w:val="20"/>
                <w:szCs w:val="20"/>
                <w:color w:val="auto"/>
              </w:rPr>
            </w:pPr>
            <w:r>
              <w:rPr>
                <w:rFonts w:ascii="Arial" w:cs="Arial" w:eastAsia="Arial" w:hAnsi="Arial"/>
                <w:sz w:val="18"/>
                <w:szCs w:val="18"/>
                <w:color w:val="auto"/>
              </w:rPr>
              <w:t>Item 6. Exhibits</w:t>
            </w:r>
          </w:p>
        </w:tc>
        <w:tc>
          <w:tcPr>
            <w:tcW w:w="10080" w:type="dxa"/>
            <w:vAlign w:val="bottom"/>
          </w:tcPr>
          <w:p>
            <w:pPr>
              <w:spacing w:after="0"/>
              <w:rPr>
                <w:sz w:val="18"/>
                <w:szCs w:val="18"/>
                <w:color w:val="auto"/>
              </w:rPr>
            </w:pPr>
          </w:p>
        </w:tc>
      </w:tr>
      <w:tr>
        <w:trPr>
          <w:trHeight w:val="573"/>
        </w:trPr>
        <w:tc>
          <w:tcPr>
            <w:tcW w:w="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w w:val="94"/>
              </w:rPr>
              <w:t>Certification of James L. Welch filed pursuant to Exchange Act Rules 13a-14 and 15d-14, as adopted pursuant to Section 302 of the</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r>
      <w:tr>
        <w:trPr>
          <w:trHeight w:val="256"/>
        </w:trPr>
        <w:tc>
          <w:tcPr>
            <w:tcW w:w="520" w:type="dxa"/>
            <w:vAlign w:val="bottom"/>
          </w:tcPr>
          <w:p>
            <w:pPr>
              <w:ind w:left="4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w w:val="93"/>
              </w:rPr>
              <w:t>Certification of Jamie G. Pierson filed pursuant to Exchange Act Rules 13a-14 and 15d-14, as adopted pursuant to Section 302 of the</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r>
      <w:tr>
        <w:trPr>
          <w:trHeight w:val="256"/>
        </w:trPr>
        <w:tc>
          <w:tcPr>
            <w:tcW w:w="520" w:type="dxa"/>
            <w:vAlign w:val="bottom"/>
          </w:tcPr>
          <w:p>
            <w:pPr>
              <w:ind w:left="4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w w:val="90"/>
              </w:rPr>
              <w:t>Certification of James L. Welch furnished pursuant to 18 U.S.C. Section 1350, as adopted pursuant to Section 906 of the Sarbanes-Oxley</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rPr>
              <w:t>Act of 2002.</w:t>
            </w:r>
          </w:p>
        </w:tc>
      </w:tr>
      <w:tr>
        <w:trPr>
          <w:trHeight w:val="256"/>
        </w:trPr>
        <w:tc>
          <w:tcPr>
            <w:tcW w:w="520" w:type="dxa"/>
            <w:vAlign w:val="bottom"/>
          </w:tcPr>
          <w:p>
            <w:pPr>
              <w:ind w:left="40"/>
              <w:spacing w:after="0"/>
              <w:rPr>
                <w:sz w:val="20"/>
                <w:szCs w:val="20"/>
                <w:color w:val="auto"/>
              </w:rPr>
            </w:pPr>
            <w:r>
              <w:rPr>
                <w:rFonts w:ascii="Arial" w:cs="Arial" w:eastAsia="Arial" w:hAnsi="Arial"/>
                <w:sz w:val="18"/>
                <w:szCs w:val="18"/>
                <w:color w:val="auto"/>
              </w:rPr>
              <w:t>32.2*</w:t>
            </w: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w w:val="89"/>
              </w:rPr>
              <w:t>Certification of Jamie G. Pierson furnished pursuant to 18 U.S.C. Section 1350, as adopted pursuant to Section 906 of the Sarbanes-Oxley</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rPr>
              <w:t>Act of 2002.</w:t>
            </w:r>
          </w:p>
        </w:tc>
      </w:tr>
      <w:tr>
        <w:trPr>
          <w:trHeight w:val="500"/>
        </w:trPr>
        <w:tc>
          <w:tcPr>
            <w:tcW w:w="1280" w:type="dxa"/>
            <w:vAlign w:val="bottom"/>
            <w:gridSpan w:val="4"/>
          </w:tcPr>
          <w:p>
            <w:pPr>
              <w:ind w:left="40"/>
              <w:spacing w:after="0"/>
              <w:rPr>
                <w:sz w:val="20"/>
                <w:szCs w:val="20"/>
                <w:color w:val="auto"/>
              </w:rPr>
            </w:pPr>
            <w:r>
              <w:rPr>
                <w:rFonts w:ascii="Arial" w:cs="Arial" w:eastAsia="Arial" w:hAnsi="Arial"/>
                <w:sz w:val="18"/>
                <w:szCs w:val="18"/>
                <w:color w:val="auto"/>
              </w:rPr>
              <w:t>101.INS**</w:t>
            </w:r>
          </w:p>
        </w:tc>
        <w:tc>
          <w:tcPr>
            <w:tcW w:w="1008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270"/>
        </w:trPr>
        <w:tc>
          <w:tcPr>
            <w:tcW w:w="1280" w:type="dxa"/>
            <w:vAlign w:val="bottom"/>
            <w:gridSpan w:val="4"/>
          </w:tcPr>
          <w:p>
            <w:pPr>
              <w:ind w:left="40"/>
              <w:spacing w:after="0"/>
              <w:rPr>
                <w:sz w:val="20"/>
                <w:szCs w:val="20"/>
                <w:color w:val="auto"/>
              </w:rPr>
            </w:pPr>
            <w:r>
              <w:rPr>
                <w:rFonts w:ascii="Arial" w:cs="Arial" w:eastAsia="Arial" w:hAnsi="Arial"/>
                <w:sz w:val="18"/>
                <w:szCs w:val="18"/>
                <w:color w:val="auto"/>
              </w:rPr>
              <w:t>101.SCH**</w:t>
            </w:r>
          </w:p>
        </w:tc>
        <w:tc>
          <w:tcPr>
            <w:tcW w:w="10080" w:type="dxa"/>
            <w:vAlign w:val="bottom"/>
          </w:tcPr>
          <w:p>
            <w:pPr>
              <w:ind w:left="140"/>
              <w:spacing w:after="0"/>
              <w:rPr>
                <w:sz w:val="20"/>
                <w:szCs w:val="20"/>
                <w:color w:val="auto"/>
              </w:rPr>
            </w:pPr>
            <w:r>
              <w:rPr>
                <w:rFonts w:ascii="Arial" w:cs="Arial" w:eastAsia="Arial" w:hAnsi="Arial"/>
                <w:sz w:val="18"/>
                <w:szCs w:val="18"/>
                <w:color w:val="auto"/>
              </w:rPr>
              <w:t>XBRL Taxonomy Extension Schema</w:t>
            </w:r>
          </w:p>
        </w:tc>
      </w:tr>
      <w:tr>
        <w:trPr>
          <w:trHeight w:val="270"/>
        </w:trPr>
        <w:tc>
          <w:tcPr>
            <w:tcW w:w="1280" w:type="dxa"/>
            <w:vAlign w:val="bottom"/>
            <w:gridSpan w:val="4"/>
          </w:tcPr>
          <w:p>
            <w:pPr>
              <w:ind w:left="40"/>
              <w:spacing w:after="0"/>
              <w:rPr>
                <w:sz w:val="20"/>
                <w:szCs w:val="20"/>
                <w:color w:val="auto"/>
              </w:rPr>
            </w:pPr>
            <w:r>
              <w:rPr>
                <w:rFonts w:ascii="Arial" w:cs="Arial" w:eastAsia="Arial" w:hAnsi="Arial"/>
                <w:sz w:val="18"/>
                <w:szCs w:val="18"/>
                <w:color w:val="auto"/>
              </w:rPr>
              <w:t>101.CAL**</w:t>
            </w:r>
          </w:p>
        </w:tc>
        <w:tc>
          <w:tcPr>
            <w:tcW w:w="1008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w:t>
            </w:r>
          </w:p>
        </w:tc>
      </w:tr>
      <w:tr>
        <w:trPr>
          <w:trHeight w:val="270"/>
        </w:trPr>
        <w:tc>
          <w:tcPr>
            <w:tcW w:w="1280" w:type="dxa"/>
            <w:vAlign w:val="bottom"/>
            <w:gridSpan w:val="4"/>
          </w:tcPr>
          <w:p>
            <w:pPr>
              <w:ind w:left="40"/>
              <w:spacing w:after="0"/>
              <w:rPr>
                <w:sz w:val="20"/>
                <w:szCs w:val="20"/>
                <w:color w:val="auto"/>
              </w:rPr>
            </w:pPr>
            <w:r>
              <w:rPr>
                <w:rFonts w:ascii="Arial" w:cs="Arial" w:eastAsia="Arial" w:hAnsi="Arial"/>
                <w:sz w:val="18"/>
                <w:szCs w:val="18"/>
                <w:color w:val="auto"/>
              </w:rPr>
              <w:t>101.DEF**</w:t>
            </w:r>
          </w:p>
        </w:tc>
        <w:tc>
          <w:tcPr>
            <w:tcW w:w="1008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w:t>
            </w:r>
          </w:p>
        </w:tc>
      </w:tr>
      <w:tr>
        <w:trPr>
          <w:trHeight w:val="270"/>
        </w:trPr>
        <w:tc>
          <w:tcPr>
            <w:tcW w:w="1280" w:type="dxa"/>
            <w:vAlign w:val="bottom"/>
            <w:gridSpan w:val="4"/>
          </w:tcPr>
          <w:p>
            <w:pPr>
              <w:ind w:left="40"/>
              <w:spacing w:after="0"/>
              <w:rPr>
                <w:sz w:val="20"/>
                <w:szCs w:val="20"/>
                <w:color w:val="auto"/>
              </w:rPr>
            </w:pPr>
            <w:r>
              <w:rPr>
                <w:rFonts w:ascii="Arial" w:cs="Arial" w:eastAsia="Arial" w:hAnsi="Arial"/>
                <w:sz w:val="18"/>
                <w:szCs w:val="18"/>
                <w:color w:val="auto"/>
              </w:rPr>
              <w:t>101.LAB**</w:t>
            </w:r>
          </w:p>
        </w:tc>
        <w:tc>
          <w:tcPr>
            <w:tcW w:w="10080" w:type="dxa"/>
            <w:vAlign w:val="bottom"/>
          </w:tcPr>
          <w:p>
            <w:pPr>
              <w:ind w:left="14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1280" w:type="dxa"/>
            <w:vAlign w:val="bottom"/>
            <w:gridSpan w:val="4"/>
          </w:tcPr>
          <w:p>
            <w:pPr>
              <w:ind w:left="40"/>
              <w:spacing w:after="0"/>
              <w:rPr>
                <w:sz w:val="20"/>
                <w:szCs w:val="20"/>
                <w:color w:val="auto"/>
              </w:rPr>
            </w:pPr>
            <w:r>
              <w:rPr>
                <w:rFonts w:ascii="Arial" w:cs="Arial" w:eastAsia="Arial" w:hAnsi="Arial"/>
                <w:sz w:val="18"/>
                <w:szCs w:val="18"/>
                <w:color w:val="auto"/>
              </w:rPr>
              <w:t>101.PRE**</w:t>
            </w:r>
          </w:p>
        </w:tc>
        <w:tc>
          <w:tcPr>
            <w:tcW w:w="1008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Indicates documents filed herewith</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34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 11 or 12 of the Securities Act of 1933, is deemed not filed for purposes of section 18 of the Securities Exchange Act of 1934, and otherwise is not subject to liability under these sections.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YRC WORLDWIDE INC.</w:t>
            </w:r>
          </w:p>
        </w:tc>
      </w:tr>
      <w:tr>
        <w:trPr>
          <w:trHeight w:val="918"/>
        </w:trPr>
        <w:tc>
          <w:tcPr>
            <w:tcW w:w="5580" w:type="dxa"/>
            <w:vAlign w:val="bottom"/>
          </w:tcPr>
          <w:p>
            <w:pPr>
              <w:spacing w:after="0"/>
              <w:rPr>
                <w:sz w:val="20"/>
                <w:szCs w:val="20"/>
                <w:color w:val="auto"/>
              </w:rPr>
            </w:pPr>
            <w:r>
              <w:rPr>
                <w:rFonts w:ascii="Arial" w:cs="Arial" w:eastAsia="Arial" w:hAnsi="Arial"/>
                <w:sz w:val="18"/>
                <w:szCs w:val="18"/>
                <w:color w:val="auto"/>
              </w:rPr>
              <w:t>Date: July 31, 2014</w:t>
            </w:r>
          </w:p>
        </w:tc>
        <w:tc>
          <w:tcPr>
            <w:tcW w:w="5800" w:type="dxa"/>
            <w:vAlign w:val="bottom"/>
          </w:tcPr>
          <w:p>
            <w:pPr>
              <w:ind w:left="120"/>
              <w:spacing w:after="0"/>
              <w:rPr>
                <w:sz w:val="20"/>
                <w:szCs w:val="20"/>
                <w:color w:val="auto"/>
              </w:rPr>
            </w:pPr>
            <w:r>
              <w:rPr>
                <w:rFonts w:ascii="Arial" w:cs="Arial" w:eastAsia="Arial" w:hAnsi="Arial"/>
                <w:sz w:val="18"/>
                <w:szCs w:val="18"/>
                <w:color w:val="auto"/>
              </w:rPr>
              <w:t>/s/ James L. Welch</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James L. Welch</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594"/>
        </w:trPr>
        <w:tc>
          <w:tcPr>
            <w:tcW w:w="5580" w:type="dxa"/>
            <w:vAlign w:val="bottom"/>
          </w:tcPr>
          <w:p>
            <w:pPr>
              <w:spacing w:after="0"/>
              <w:rPr>
                <w:sz w:val="20"/>
                <w:szCs w:val="20"/>
                <w:color w:val="auto"/>
              </w:rPr>
            </w:pPr>
            <w:r>
              <w:rPr>
                <w:rFonts w:ascii="Arial" w:cs="Arial" w:eastAsia="Arial" w:hAnsi="Arial"/>
                <w:sz w:val="18"/>
                <w:szCs w:val="18"/>
                <w:color w:val="auto"/>
              </w:rPr>
              <w:t>Date: July 31, 2014</w:t>
            </w:r>
          </w:p>
        </w:tc>
        <w:tc>
          <w:tcPr>
            <w:tcW w:w="5800" w:type="dxa"/>
            <w:vAlign w:val="bottom"/>
          </w:tcPr>
          <w:p>
            <w:pPr>
              <w:ind w:left="120"/>
              <w:spacing w:after="0"/>
              <w:rPr>
                <w:sz w:val="20"/>
                <w:szCs w:val="20"/>
                <w:color w:val="auto"/>
              </w:rPr>
            </w:pPr>
            <w:r>
              <w:rPr>
                <w:rFonts w:ascii="Arial" w:cs="Arial" w:eastAsia="Arial" w:hAnsi="Arial"/>
                <w:sz w:val="18"/>
                <w:szCs w:val="18"/>
                <w:color w:val="auto"/>
              </w:rPr>
              <w:t>/s/ Jamie G. Pierson</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Jamie G. Pierson</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486"/>
        </w:trPr>
        <w:tc>
          <w:tcPr>
            <w:tcW w:w="558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James L. Welch, certify that:</w:t>
      </w:r>
    </w:p>
    <w:p>
      <w:pPr>
        <w:spacing w:after="0" w:line="90"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July 31, 2014</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Jamie G. Pierson, certify that:</w:t>
      </w:r>
    </w:p>
    <w:p>
      <w:pPr>
        <w:spacing w:after="0" w:line="90"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July 31, 2014</w:t>
      </w:r>
      <w:r>
        <w:rPr>
          <w:sz w:val="20"/>
          <w:szCs w:val="20"/>
          <w:color w:val="auto"/>
        </w:rPr>
        <w:tab/>
      </w:r>
      <w:r>
        <w:rPr>
          <w:rFonts w:ascii="Arial" w:cs="Arial" w:eastAsia="Arial" w:hAnsi="Arial"/>
          <w:sz w:val="15"/>
          <w:szCs w:val="15"/>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quarterly report of YRC Worldwide Inc. on Form 10-Q for the period ended June 30, 2014, as filed with the Securities and Exchange Commission on the date hereof (the “Report”), I, James L. Welch, Chief Executive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July 31, 2014</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quarterly report of YRC Worldwide Inc. on Form 10-Q for the period ended June 30, 2014, as filed with the Securities and Exchange Commission on the date hereof (the “Report”), I, Jamie G. Pierson, Chief Financial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July 31, 2014</w:t>
      </w:r>
      <w:r>
        <w:rPr>
          <w:sz w:val="20"/>
          <w:szCs w:val="20"/>
          <w:color w:val="auto"/>
        </w:rPr>
        <w:tab/>
      </w:r>
      <w:r>
        <w:rPr>
          <w:rFonts w:ascii="Arial" w:cs="Arial" w:eastAsia="Arial" w:hAnsi="Arial"/>
          <w:sz w:val="15"/>
          <w:szCs w:val="15"/>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lowerLetter"/>
      <w:start w:val="1"/>
    </w:lvl>
  </w:abstractNum>
  <w:abstractNum w:abstractNumId="4">
    <w:nsid w:val="721DA317"/>
    <w:multiLevelType w:val="hybridMultilevel"/>
    <w:lvl w:ilvl="0">
      <w:lvlJc w:val="left"/>
      <w:lvlText w:val="-"/>
      <w:numFmt w:val="bullet"/>
      <w:start w:val="1"/>
    </w:lvl>
    <w:lvl w:ilvl="1">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lowerLetter"/>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lvl w:ilvl="1">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2019-12-05T19:34:10Z</dcterms:created>
  <dcterms:modified xsi:type="dcterms:W3CDTF">2019-12-05T19:34:10Z</dcterms:modified>
</cp:coreProperties>
</file>