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240" w:type="dxa"/>
        <w:tblCellMar>
          <w:top w:w="0" w:type="dxa"/>
          <w:left w:w="0" w:type="dxa"/>
          <w:bottom w:w="0" w:type="dxa"/>
          <w:right w:w="0" w:type="dxa"/>
        </w:tblCellMar>
      </w:tblPr>
      <w:tr>
        <w:trPr>
          <w:trHeight w:val="24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724"/>
              <w:spacing w:after="0"/>
              <w:rPr>
                <w:sz w:val="20"/>
                <w:szCs w:val="20"/>
                <w:color w:val="auto"/>
              </w:rPr>
            </w:pPr>
            <w:r>
              <w:rPr>
                <w:rFonts w:ascii="Arial" w:cs="Arial" w:eastAsia="Arial" w:hAnsi="Arial"/>
                <w:sz w:val="18"/>
                <w:szCs w:val="18"/>
                <w:b w:val="1"/>
                <w:bCs w:val="1"/>
                <w:color w:val="auto"/>
              </w:rPr>
              <w:t>0-12255</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48-0948788</w:t>
            </w:r>
          </w:p>
        </w:tc>
      </w:tr>
      <w:tr>
        <w:trPr>
          <w:trHeight w:val="166"/>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87"/>
              </w:rPr>
              <w:t>10990 Roe Avenue</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Overland Park, Kansas</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66211</w:t>
            </w:r>
          </w:p>
        </w:tc>
      </w:tr>
      <w:tr>
        <w:trPr>
          <w:trHeight w:val="173"/>
        </w:trPr>
        <w:tc>
          <w:tcPr>
            <w:tcW w:w="3260" w:type="dxa"/>
            <w:vAlign w:val="bottom"/>
          </w:tcPr>
          <w:p>
            <w:pPr>
              <w:jc w:val="center"/>
              <w:ind w:right="102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913) 696-6100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YELL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ind w:right="30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Board Member Appointment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November 9, 2021, the Board of Directors (the “Board”) of Yellow Corporation (the “Company”) appointed Javier Evans to the Board, to serve until the 2022 Annual Meeting of Stockholders. The Board anticipates that Mr. Evans will be nominated by the Board for election by the stockholders at that meeting and going forward.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Board has appointed Mr. Evans to serve on the Compensation Committee. There are no arrangements or understanding that exist between Mr. Evans and any other persons pursuant to which he was selected as a director. In addition, there are no transactions between Mr. Evans and the Company that would be reportable under Item 404(a) of Regulation S-K.</w:t>
      </w:r>
    </w:p>
    <w:p>
      <w:pPr>
        <w:spacing w:after="0" w:line="19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Mr. Evans will receive the same cash and equity compensation as the other non-employee directors serving on the Board pursuant to the Company’s Fourth Amended and Restated Director Compensation Plan (the “Plan”), as amended, which has been filed as Exhibit 10.5.1 to the Company’s Annual Report on Form 10-K for the year ended December 31, 2019 and incorporated herein by reference. Pursuant to the Plan, Mr. Evans will receive an annual cash retainer of $190,000, paid quarterly. In addition, Mr. Evans will be entitled to receive an annual grant of restricted stock units equal to $60,000 divided by the 30-day average closing price of the Company’s common stock on the grant date, which initial grant date for him will be in February 2022.</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and Mr. Evans will enter into the Company’s standard form of indemnification agreement for directors and officers, a copy of which was previously filed as Exhibit 10.5 to the Company’s Current Report on Form 8-K filed on March 15, 2007 and is incorporated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Number</w:t>
            </w:r>
          </w:p>
        </w:tc>
        <w:tc>
          <w:tcPr>
            <w:tcW w:w="9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Description</w:t>
            </w: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9500" w:type="dxa"/>
            <w:vAlign w:val="bottom"/>
          </w:tcPr>
          <w:p>
            <w:pPr>
              <w:ind w:left="5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7"/>
        </w:trPr>
        <w:tc>
          <w:tcPr>
            <w:tcW w:w="17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YELLOW CORPORATION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2021-11-12T10:46:30Z</dcterms:created>
  <dcterms:modified xsi:type="dcterms:W3CDTF">2021-11-12T10:46:30Z</dcterms:modified>
</cp:coreProperties>
</file>