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55880</wp:posOffset>
            </wp:positionV>
            <wp:extent cx="11144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-139700</wp:posOffset>
            </wp:positionV>
            <wp:extent cx="1114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-100330</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-100330</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sectPr>
      </w:pPr>
    </w:p>
    <w:p>
      <w:pPr>
        <w:spacing w:after="0" w:line="151"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00" w:lineRule="exact"/>
        <w:rPr>
          <w:sz w:val="24"/>
          <w:szCs w:val="24"/>
          <w:color w:val="auto"/>
        </w:rPr>
      </w:pPr>
    </w:p>
    <w:p>
      <w:pPr>
        <w:sectPr>
          <w:pgSz w:w="11900" w:h="16838" w:orient="portrait"/>
          <w:cols w:equalWidth="0" w:num="2">
            <w:col w:w="6460" w:space="720"/>
            <w:col w:w="4080"/>
          </w:cols>
          <w:pgMar w:left="320" w:top="422"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Commission file number: 0-12255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100330</wp:posOffset>
            </wp:positionV>
            <wp:extent cx="1114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type w:val="continuous"/>
        </w:sectPr>
      </w:pP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YRC Worldwide Inc.</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69215</wp:posOffset>
            </wp:positionV>
            <wp:extent cx="1114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5"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5040" w:type="dxa"/>
            <w:vAlign w:val="bottom"/>
          </w:tcPr>
          <w:p>
            <w:pPr>
              <w:jc w:val="center"/>
              <w:ind w:right="1641"/>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jc w:val="right"/>
              <w:ind w:right="41"/>
              <w:spacing w:after="0"/>
              <w:rPr>
                <w:sz w:val="20"/>
                <w:szCs w:val="20"/>
                <w:color w:val="auto"/>
              </w:rPr>
            </w:pPr>
            <w:r>
              <w:rPr>
                <w:rFonts w:ascii="Arial" w:cs="Arial" w:eastAsia="Arial" w:hAnsi="Arial"/>
                <w:sz w:val="18"/>
                <w:szCs w:val="18"/>
                <w:b w:val="1"/>
                <w:bCs w:val="1"/>
                <w:color w:val="auto"/>
              </w:rPr>
              <w:t>48-0948788</w:t>
            </w:r>
          </w:p>
        </w:tc>
      </w:tr>
      <w:tr>
        <w:trPr>
          <w:trHeight w:val="149"/>
        </w:trPr>
        <w:tc>
          <w:tcPr>
            <w:tcW w:w="5040" w:type="dxa"/>
            <w:vAlign w:val="bottom"/>
          </w:tcPr>
          <w:p>
            <w:pPr>
              <w:jc w:val="center"/>
              <w:ind w:right="16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jc w:val="center"/>
              <w:ind w:left="16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4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jc w:val="center"/>
              <w:ind w:left="1641"/>
              <w:spacing w:after="0"/>
              <w:rPr>
                <w:sz w:val="20"/>
                <w:szCs w:val="20"/>
                <w:color w:val="auto"/>
              </w:rPr>
            </w:pPr>
            <w:r>
              <w:rPr>
                <w:rFonts w:ascii="Arial" w:cs="Arial" w:eastAsia="Arial" w:hAnsi="Arial"/>
                <w:sz w:val="14"/>
                <w:szCs w:val="14"/>
                <w:b w:val="1"/>
                <w:bCs w:val="1"/>
                <w:color w:val="auto"/>
                <w:w w:val="94"/>
              </w:rPr>
              <w:t>Identification No.)</w:t>
            </w:r>
          </w:p>
        </w:tc>
      </w:tr>
      <w:tr>
        <w:trPr>
          <w:trHeight w:val="219"/>
        </w:trPr>
        <w:tc>
          <w:tcPr>
            <w:tcW w:w="5040" w:type="dxa"/>
            <w:vAlign w:val="bottom"/>
          </w:tcPr>
          <w:p>
            <w:pPr>
              <w:jc w:val="center"/>
              <w:ind w:right="1661"/>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284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186"/>
        </w:trPr>
        <w:tc>
          <w:tcPr>
            <w:tcW w:w="5040" w:type="dxa"/>
            <w:vAlign w:val="bottom"/>
          </w:tcPr>
          <w:p>
            <w:pPr>
              <w:jc w:val="center"/>
              <w:ind w:right="16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tcPr>
          <w:p>
            <w:pPr>
              <w:jc w:val="center"/>
              <w:ind w:left="164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(913) 696-6100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Title of each class</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YRCW</w:t>
            </w:r>
          </w:p>
        </w:tc>
        <w:tc>
          <w:tcPr>
            <w:tcW w:w="12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59690</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4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422" w:right="31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140" w:space="720"/>
            <w:col w:w="4340" w:space="720"/>
            <w:col w:w="2280" w:space="720"/>
            <w:col w:w="340"/>
          </w:cols>
          <w:pgMar w:left="320" w:top="422" w:right="31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6">
            <w:col w:w="2140" w:space="720"/>
            <w:col w:w="160" w:space="260"/>
            <w:col w:w="3560" w:space="720"/>
            <w:col w:w="160" w:space="200"/>
            <w:col w:w="2280" w:space="720"/>
            <w:col w:w="340"/>
          </w:cols>
          <w:pgMar w:left="320" w:top="422" w:right="31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9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240" w:type="dxa"/>
            <w:vAlign w:val="bottom"/>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Outstanding at May 7, 2020</w:t>
            </w:r>
          </w:p>
        </w:tc>
        <w:tc>
          <w:tcPr>
            <w:tcW w:w="20" w:type="dxa"/>
            <w:vAlign w:val="bottom"/>
          </w:tcPr>
          <w:p>
            <w:pPr>
              <w:spacing w:after="0"/>
              <w:rPr>
                <w:sz w:val="14"/>
                <w:szCs w:val="14"/>
                <w:color w:val="auto"/>
              </w:rPr>
            </w:pP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24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7"/>
              </w:rPr>
              <w:t>37,145,903 shares</w:t>
            </w:r>
          </w:p>
        </w:tc>
        <w:tc>
          <w:tcPr>
            <w:tcW w:w="20" w:type="dxa"/>
            <w:vAlign w:val="bottom"/>
          </w:tcPr>
          <w:p>
            <w:pPr>
              <w:spacing w:after="0"/>
              <w:rPr>
                <w:sz w:val="19"/>
                <w:szCs w:val="19"/>
                <w:color w:val="auto"/>
              </w:rPr>
            </w:pPr>
          </w:p>
        </w:tc>
      </w:tr>
      <w:tr>
        <w:trPr>
          <w:trHeight w:val="634"/>
        </w:trPr>
        <w:tc>
          <w:tcPr>
            <w:tcW w:w="55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INDEX</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360" w:type="dxa"/>
            <w:vAlign w:val="bottom"/>
          </w:tcPr>
          <w:p>
            <w:pPr>
              <w:spacing w:after="0"/>
              <w:rPr>
                <w:sz w:val="20"/>
                <w:szCs w:val="20"/>
                <w:color w:val="auto"/>
              </w:rPr>
            </w:pPr>
            <w:r>
              <w:rPr>
                <w:rFonts w:ascii="Arial" w:cs="Arial" w:eastAsia="Arial" w:hAnsi="Arial"/>
                <w:sz w:val="14"/>
                <w:szCs w:val="14"/>
                <w:color w:val="auto"/>
              </w:rPr>
              <w:t>Item</w:t>
            </w:r>
          </w:p>
        </w:tc>
        <w:tc>
          <w:tcPr>
            <w:tcW w:w="10260" w:type="dxa"/>
            <w:vAlign w:val="bottom"/>
            <w:vMerge w:val="restart"/>
          </w:tcPr>
          <w:p>
            <w:pPr>
              <w:ind w:left="36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10260" w:type="dxa"/>
            <w:vAlign w:val="bottom"/>
          </w:tcPr>
          <w:p>
            <w:pPr>
              <w:ind w:left="1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260" w:type="dxa"/>
            <w:vAlign w:val="bottom"/>
          </w:tcPr>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 March 31, 2020 and December 31,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260" w:type="dxa"/>
            <w:vAlign w:val="bottom"/>
          </w:tcPr>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Consolidated Comprehensive Income (Loss) - Three Months Ended March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260" w:type="dxa"/>
            <w:vAlign w:val="bottom"/>
          </w:tcPr>
          <w:p>
            <w:pPr>
              <w:ind w:left="3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Consolidated Cash Flows - Three Months Ended March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260" w:type="dxa"/>
            <w:vAlign w:val="bottom"/>
          </w:tcPr>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Consolidated Shareholders’ Deficit - Three Months Ended March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260" w:type="dxa"/>
            <w:vAlign w:val="bottom"/>
          </w:tcPr>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10260" w:type="dxa"/>
            <w:vAlign w:val="bottom"/>
          </w:tcPr>
          <w:p>
            <w:pPr>
              <w:ind w:left="10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10260" w:type="dxa"/>
            <w:vAlign w:val="bottom"/>
          </w:tcPr>
          <w:p>
            <w:pPr>
              <w:ind w:left="1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10260" w:type="dxa"/>
            <w:vAlign w:val="bottom"/>
          </w:tcPr>
          <w:p>
            <w:pPr>
              <w:ind w:left="1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260" w:type="dxa"/>
            <w:vAlign w:val="bottom"/>
          </w:tcPr>
          <w:p>
            <w:pPr>
              <w:ind w:left="38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PART II – OTHER INFORMATION</w:t>
              </w:r>
            </w:hyperlink>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10260" w:type="dxa"/>
            <w:vAlign w:val="bottom"/>
          </w:tcPr>
          <w:p>
            <w:pPr>
              <w:ind w:lef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1A</w:t>
            </w:r>
          </w:p>
        </w:tc>
        <w:tc>
          <w:tcPr>
            <w:tcW w:w="10260" w:type="dxa"/>
            <w:vAlign w:val="bottom"/>
          </w:tcPr>
          <w:p>
            <w:pPr>
              <w:ind w:lef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ind w:left="520" w:hanging="45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7"/>
          <w:szCs w:val="17"/>
          <w:color w:val="auto"/>
        </w:rPr>
        <w:t>Not Applicable</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7"/>
          <w:szCs w:val="17"/>
          <w:color w:val="auto"/>
        </w:rPr>
        <w:t>Not Applicable</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Not Applicable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308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Exhibits</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40" w:type="dxa"/>
            <w:vAlign w:val="bottom"/>
          </w:tcPr>
          <w:p>
            <w:pPr>
              <w:spacing w:after="0"/>
              <w:rPr>
                <w:sz w:val="20"/>
                <w:szCs w:val="20"/>
                <w:color w:val="auto"/>
              </w:rPr>
            </w:pPr>
          </w:p>
        </w:tc>
        <w:tc>
          <w:tcPr>
            <w:tcW w:w="308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Signatures</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648"/>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40" w:type="dxa"/>
            <w:vAlign w:val="bottom"/>
          </w:tcPr>
          <w:p>
            <w:pPr>
              <w:jc w:val="right"/>
              <w:ind w:right="5510"/>
              <w:spacing w:after="0"/>
              <w:rPr>
                <w:sz w:val="20"/>
                <w:szCs w:val="20"/>
                <w:color w:val="auto"/>
              </w:rPr>
            </w:pPr>
            <w:r>
              <w:rPr>
                <w:rFonts w:ascii="Arial" w:cs="Arial" w:eastAsia="Arial" w:hAnsi="Arial"/>
                <w:sz w:val="18"/>
                <w:szCs w:val="18"/>
                <w:color w:val="auto"/>
              </w:rPr>
              <w:t>2</w:t>
            </w:r>
          </w:p>
        </w:tc>
      </w:tr>
      <w:tr>
        <w:trPr>
          <w:trHeight w:val="115"/>
        </w:trPr>
        <w:tc>
          <w:tcPr>
            <w:tcW w:w="3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7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Restricted amounts held in escrow</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691.1</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2,728.9</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Less – accumulated depreciation</w:t>
            </w:r>
          </w:p>
        </w:tc>
        <w:tc>
          <w:tcPr>
            <w:tcW w:w="22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(1,990.0)</w:t>
            </w:r>
          </w:p>
        </w:tc>
        <w:tc>
          <w:tcPr>
            <w:tcW w:w="2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(1,991.3)</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1,853.0</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194.7</w:t>
            </w:r>
          </w:p>
        </w:tc>
        <w:tc>
          <w:tcPr>
            <w:tcW w:w="3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Wages, vacations and employee benefits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Claims and insurance accruals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Other accrued taxes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and accrued liabilities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704.5</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and financing, less current portion</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Pension and postretirement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Claims and other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5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Shareholders’ Deficit: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preferred stock, $1 par value per share</w:t>
            </w:r>
          </w:p>
        </w:tc>
        <w:tc>
          <w:tcPr>
            <w:tcW w:w="220" w:type="dxa"/>
            <w:vAlign w:val="bottom"/>
            <w:shd w:val="clear" w:color="auto" w:fill="CFF0FC"/>
          </w:tcPr>
          <w:p>
            <w:pPr>
              <w:spacing w:after="0"/>
              <w:rPr>
                <w:sz w:val="19"/>
                <w:szCs w:val="19"/>
                <w:color w:val="auto"/>
              </w:rPr>
            </w:pPr>
          </w:p>
        </w:tc>
        <w:tc>
          <w:tcPr>
            <w:tcW w:w="15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Common stock, $0.01 par value per share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surplus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2,334.7</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(2,308.1)</w:t>
            </w:r>
          </w:p>
        </w:tc>
        <w:tc>
          <w:tcPr>
            <w:tcW w:w="2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(2,312.4)</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5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(368.0)</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Treasury stock, at cost (410 shares)</w:t>
            </w:r>
          </w:p>
        </w:tc>
        <w:tc>
          <w:tcPr>
            <w:tcW w:w="22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shareholders’ deficit</w:t>
            </w: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(433.8)</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23"/>
        </w:trPr>
        <w:tc>
          <w:tcPr>
            <w:tcW w:w="782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Shareholders’ Deficit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1,853.0</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Revenue</w:t>
            </w:r>
          </w:p>
        </w:tc>
        <w:tc>
          <w:tcPr>
            <w:tcW w:w="20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1,150.4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wages and employee benefits</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Fuel, operating expenses and supplies</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Purchased transportation</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expenses</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(Gains) losses on property disposals, net</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1,122.4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Operating Income (Loss)</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w:t>
            </w: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Nonoperating Expenses:</w:t>
            </w:r>
          </w:p>
        </w:tc>
        <w:tc>
          <w:tcPr>
            <w:tcW w:w="2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Non-union pension and postretirement benefits</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Nonoperating expenses, net</w:t>
            </w:r>
          </w:p>
        </w:tc>
        <w:tc>
          <w:tcPr>
            <w:tcW w:w="20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Income tax benefit</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w:t>
            </w:r>
          </w:p>
        </w:tc>
        <w:tc>
          <w:tcPr>
            <w:tcW w:w="20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Comprehensive Income (Loss)</w:t>
            </w:r>
          </w:p>
        </w:tc>
        <w:tc>
          <w:tcPr>
            <w:tcW w:w="20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Common Shares Outstanding - Basic</w:t>
            </w: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b w:val="1"/>
                <w:bCs w:val="1"/>
                <w:color w:val="auto"/>
              </w:rPr>
              <w:t>Average Common Shares Outstanding - Diluted</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b w:val="1"/>
                <w:bCs w:val="1"/>
                <w:color w:val="auto"/>
              </w:rPr>
              <w:t>Earnings (Loss) Per Share - Basic</w:t>
            </w:r>
          </w:p>
        </w:tc>
        <w:tc>
          <w:tcPr>
            <w:tcW w:w="29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Per Share - Diluted</w:t>
            </w:r>
          </w:p>
        </w:tc>
        <w:tc>
          <w:tcPr>
            <w:tcW w:w="298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44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44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cash flows from operating activities:</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 amortization and accretion expense</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500"/>
              <w:spacing w:after="0"/>
              <w:rPr>
                <w:sz w:val="20"/>
                <w:szCs w:val="20"/>
                <w:color w:val="auto"/>
              </w:rPr>
            </w:pPr>
            <w:r>
              <w:rPr>
                <w:rFonts w:ascii="Arial" w:cs="Arial" w:eastAsia="Arial" w:hAnsi="Arial"/>
                <w:sz w:val="18"/>
                <w:szCs w:val="18"/>
                <w:color w:val="auto"/>
              </w:rPr>
              <w:t>Lease payments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and employee benefits expense</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500"/>
              <w:spacing w:after="0"/>
              <w:rPr>
                <w:sz w:val="20"/>
                <w:szCs w:val="20"/>
                <w:color w:val="auto"/>
              </w:rPr>
            </w:pPr>
            <w:r>
              <w:rPr>
                <w:rFonts w:ascii="Arial" w:cs="Arial" w:eastAsia="Arial" w:hAnsi="Arial"/>
                <w:sz w:val="18"/>
                <w:szCs w:val="18"/>
                <w:color w:val="auto"/>
              </w:rPr>
              <w:t>(Gains) losses on property disposals, net</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charges</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Deferred income tax benefit, net</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noncash items, net</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Changes in assets and liabilities, net:</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operating assets</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300" w:type="dxa"/>
            <w:vAlign w:val="bottom"/>
          </w:tcPr>
          <w:p>
            <w:pPr>
              <w:ind w:left="500"/>
              <w:spacing w:after="0"/>
              <w:rPr>
                <w:sz w:val="20"/>
                <w:szCs w:val="20"/>
                <w:color w:val="auto"/>
              </w:rPr>
            </w:pPr>
            <w:r>
              <w:rPr>
                <w:rFonts w:ascii="Arial" w:cs="Arial" w:eastAsia="Arial" w:hAnsi="Arial"/>
                <w:sz w:val="18"/>
                <w:szCs w:val="18"/>
                <w:color w:val="auto"/>
              </w:rPr>
              <w:t>Other operating liabilities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300" w:type="dxa"/>
            <w:vAlign w:val="bottom"/>
            <w:vMerge w:val="restart"/>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disposal of property and equipment</w:t>
            </w:r>
          </w:p>
        </w:tc>
        <w:tc>
          <w:tcPr>
            <w:tcW w:w="4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Payments for tax withheld on equity-based compensation</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4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 and Restricted Amounts Held in Escrow</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Cash and Cash Equivalents and Restricted Amounts Held in Escrow, Beginning of Period</w:t>
            </w:r>
          </w:p>
        </w:tc>
        <w:tc>
          <w:tcPr>
            <w:tcW w:w="4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Amounts Held in Escrow, End of Period</w:t>
            </w:r>
          </w:p>
        </w:tc>
        <w:tc>
          <w:tcPr>
            <w:tcW w:w="42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44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payment</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STATEMENT OF CONSOLIDATED SHAREHOLDERS’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8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Preferred</w:t>
            </w: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6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FF0FC"/>
            </w:tcBorders>
            <w:gridSpan w:val="2"/>
          </w:tcPr>
          <w:p>
            <w:pPr>
              <w:spacing w:after="0"/>
              <w:rPr>
                <w:sz w:val="14"/>
                <w:szCs w:val="14"/>
                <w:color w:val="auto"/>
              </w:rPr>
            </w:pPr>
          </w:p>
        </w:tc>
        <w:tc>
          <w:tcPr>
            <w:tcW w:w="66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Stock</w:t>
            </w:r>
          </w:p>
        </w:tc>
        <w:tc>
          <w:tcPr>
            <w:tcW w:w="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Surplus</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85"/>
              </w:rPr>
              <w:t>Loss</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Stock, At Cost</w:t>
            </w: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(2,312.4)</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1"/>
              </w:rPr>
              <w:t>(369.3)</w:t>
            </w:r>
          </w:p>
        </w:tc>
        <w:tc>
          <w:tcPr>
            <w:tcW w:w="120" w:type="dxa"/>
            <w:vAlign w:val="bottom"/>
            <w:shd w:val="clear" w:color="auto" w:fill="CFF0FC"/>
          </w:tcPr>
          <w:p>
            <w:pPr>
              <w:jc w:val="right"/>
              <w:ind w:right="41"/>
              <w:spacing w:after="0"/>
              <w:rPr>
                <w:sz w:val="20"/>
                <w:szCs w:val="20"/>
                <w:color w:val="auto"/>
              </w:rPr>
            </w:pPr>
            <w:r>
              <w:rPr>
                <w:rFonts w:ascii="Arial" w:cs="Arial" w:eastAsia="Arial" w:hAnsi="Arial"/>
                <w:sz w:val="4"/>
                <w:szCs w:val="4"/>
                <w:color w:val="auto"/>
                <w:w w:val="87"/>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Pension, net of tax: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prior net losses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20" w:type="dxa"/>
            <w:vAlign w:val="bottom"/>
            <w:gridSpan w:val="2"/>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Balances at March 31, 2020</w:t>
            </w: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w:t>
            </w:r>
            <w:r>
              <w:rPr>
                <w:rFonts w:ascii="Arial" w:cs="Arial" w:eastAsia="Arial" w:hAnsi="Arial"/>
                <w:sz w:val="18"/>
                <w:szCs w:val="18"/>
                <w:u w:val="single" w:color="auto"/>
                <w:color w:val="auto"/>
              </w:rPr>
              <w:t>7</w:t>
            </w:r>
          </w:p>
        </w:tc>
        <w:tc>
          <w:tcPr>
            <w:tcW w:w="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(2,308.1</w:t>
            </w: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(368.0)</w:t>
            </w:r>
          </w:p>
        </w:tc>
        <w:tc>
          <w:tcPr>
            <w:tcW w:w="120" w:type="dxa"/>
            <w:vAlign w:val="bottom"/>
          </w:tcPr>
          <w:p>
            <w:pPr>
              <w:jc w:val="right"/>
              <w:ind w:right="41"/>
              <w:spacing w:after="0"/>
              <w:rPr>
                <w:sz w:val="20"/>
                <w:szCs w:val="20"/>
                <w:color w:val="auto"/>
              </w:rPr>
            </w:pPr>
            <w:r>
              <w:rPr>
                <w:rFonts w:ascii="Arial" w:cs="Arial" w:eastAsia="Arial" w:hAnsi="Arial"/>
                <w:sz w:val="4"/>
                <w:szCs w:val="4"/>
                <w:color w:val="auto"/>
                <w:w w:val="87"/>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4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vMerge w:val="restart"/>
          </w:tcPr>
          <w:p>
            <w:pPr>
              <w:jc w:val="right"/>
              <w:ind w:right="147"/>
              <w:spacing w:after="0"/>
              <w:rPr>
                <w:sz w:val="20"/>
                <w:szCs w:val="20"/>
                <w:color w:val="auto"/>
              </w:rPr>
            </w:pPr>
            <w:r>
              <w:rPr>
                <w:rFonts w:ascii="Arial" w:cs="Arial" w:eastAsia="Arial" w:hAnsi="Arial"/>
                <w:sz w:val="14"/>
                <w:szCs w:val="14"/>
                <w:b w:val="1"/>
                <w:bCs w:val="1"/>
                <w:color w:val="auto"/>
                <w:w w:val="93"/>
              </w:rPr>
              <w:t>Accumulated</w:t>
            </w: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24"/>
                <w:szCs w:val="24"/>
                <w:color w:val="auto"/>
              </w:rPr>
            </w:pPr>
          </w:p>
        </w:tc>
        <w:tc>
          <w:tcPr>
            <w:tcW w:w="7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86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Stock, At</w:t>
            </w:r>
          </w:p>
        </w:tc>
        <w:tc>
          <w:tcPr>
            <w:tcW w:w="4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Stock</w:t>
            </w: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Surplus</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2,327.6</w:t>
            </w:r>
          </w:p>
        </w:tc>
        <w:tc>
          <w:tcPr>
            <w:tcW w:w="120" w:type="dxa"/>
            <w:vAlign w:val="bottom"/>
            <w:gridSpan w:val="2"/>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(2,208.4)</w:t>
            </w: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ind w:right="21"/>
              <w:spacing w:after="0"/>
              <w:rPr>
                <w:sz w:val="20"/>
                <w:szCs w:val="20"/>
                <w:color w:val="auto"/>
              </w:rPr>
            </w:pPr>
            <w:r>
              <w:rPr>
                <w:rFonts w:ascii="Arial" w:cs="Arial" w:eastAsia="Arial" w:hAnsi="Arial"/>
                <w:sz w:val="18"/>
                <w:szCs w:val="18"/>
                <w:color w:val="auto"/>
              </w:rPr>
              <w:t>(332.3)</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6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6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Pension, net of tax: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prior net losses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60" w:type="dxa"/>
            <w:vAlign w:val="bottom"/>
            <w:gridSpan w:val="3"/>
          </w:tcPr>
          <w:p>
            <w:pPr>
              <w:jc w:val="right"/>
              <w:ind w:right="21"/>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80" w:type="dxa"/>
            <w:vAlign w:val="bottom"/>
            <w:tcBorders>
              <w:left w:val="single" w:sz="8" w:color="CFF0FC"/>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tcBorders>
              <w:left w:val="single" w:sz="8" w:color="CFF0FC"/>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Balances at March 31, 2019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2,329.</w:t>
            </w:r>
            <w:r>
              <w:rPr>
                <w:rFonts w:ascii="Arial" w:cs="Arial" w:eastAsia="Arial" w:hAnsi="Arial"/>
                <w:sz w:val="18"/>
                <w:szCs w:val="18"/>
                <w:u w:val="single" w:color="auto"/>
                <w:color w:val="auto"/>
              </w:rPr>
              <w:t>2</w:t>
            </w:r>
          </w:p>
        </w:tc>
        <w:tc>
          <w:tcPr>
            <w:tcW w:w="120" w:type="dxa"/>
            <w:vAlign w:val="bottom"/>
            <w:gridSpan w:val="2"/>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(2,257.5)</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1"/>
              <w:spacing w:after="0"/>
              <w:rPr>
                <w:sz w:val="20"/>
                <w:szCs w:val="20"/>
                <w:color w:val="auto"/>
              </w:rPr>
            </w:pPr>
            <w:r>
              <w:rPr>
                <w:rFonts w:ascii="Arial" w:cs="Arial" w:eastAsia="Arial" w:hAnsi="Arial"/>
                <w:sz w:val="18"/>
                <w:szCs w:val="18"/>
                <w:color w:val="auto"/>
              </w:rPr>
              <w:t>(328.8)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YRC Worldwide provides for the movement of industrial, commercial and retail goods through our LTL subsidiaries including USF Holland LLC (“Holland”), New Penn Motor Express LLC (“New Penn”), USF Reddaway Inc. (“Reddaway”), YRC Inc. and YRC Freight Canada Company (both doing business as, and herein referred to as, “YRC Freight”). Our LTL companies provide regional, national and international services through a consolidated network of facilities located across the United States, Canada, and Puerto Rico. We also offer services through HNRY Logistics, Inc. (“HNRY Logistics”), our customer-specific logistics solutions provider, specializing in truckload, residential, and warehouse solutions.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2020, approximately 79% of our labor force is subject to collective bargaining agreements, which predominantly expire on March 31, 2024.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Basis of Presentation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significant intercompany accounts and transactions have been eliminated in consolidation. We report on a calendar year basis. The quarters of Holland and Reddaway consist of thirteen weeks that end on a Saturday either before or after the end of March, June and September, whereas all other companies’ quarters end on the natural calendar quarter 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 Liquidity, and Ability to Continue as a Going Concern</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consolidated financial statements have been prepared on the going concern basis of accounting, which assumes the Company will continue to operate as a going concern and which contemplates the realization of assets and the satisfaction of liabilities and commitments in the normal course of business. However, absent governmental assistance or a meaningful stabilization of the economy in the near-term, our ability to comply with our debt covenants for a period of one year from the date these financial statements have been issued, and our ability to generate sufficient cash flows and liquidity to fund operations raises substantial doubt about our ability to continue as a going concern, as defined in Accounting Standards Codification (“ASC”) 205-40, </w:t>
      </w:r>
      <w:r>
        <w:rPr>
          <w:rFonts w:ascii="Arial" w:cs="Arial" w:eastAsia="Arial" w:hAnsi="Arial"/>
          <w:sz w:val="16"/>
          <w:szCs w:val="16"/>
          <w:i w:val="1"/>
          <w:iCs w:val="1"/>
          <w:color w:val="auto"/>
        </w:rPr>
        <w:t>Going Concern</w:t>
      </w:r>
      <w:r>
        <w:rPr>
          <w:rFonts w:ascii="Arial" w:cs="Arial" w:eastAsia="Arial" w:hAnsi="Arial"/>
          <w:sz w:val="16"/>
          <w:szCs w:val="16"/>
          <w:color w:val="auto"/>
        </w:rPr>
        <w:t>. This interim financial information does not include any adjustments that might result from the outcome of this uncertainty.</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2019, the freight industry experienced a recession. This recession appeared to have stabilized in the first quarter of 2020. However, beginning the last two weeks of March our industry and the economy at-large experienced a precipitous and significant decline in economic activity due to the impact that the 2019 novel coronavirus disease (“COVID-19”). The COVID-19 pandemic and related economic repercussions have created significant uncertainty and has resulted in a significant decrease in the volume that was expected during 2020 by both the Company and the industry as a whole. As COVID-19 is expected to negatively impact our liquidity levels, in order to maintain adequate liquidity to fund our operations, the Company began taking liquidity preservation actions in late March and early April including layoffs, furloughs, further eliminations of short-term incentive compensation and reductions in capital expenditures, and we have sought deferment of payments to various parties. As discussed further in Note 3, we also amended our New Term Loan Agreement to eliminate the vast majority of interest owed in cash for the first half of 2020. Further, we benefited from the support afforded to us under the Coronavirus Aid, Relief, and Economic Security Act (“CARES Act”) which has provided temporary relief related to the payment of employer payroll taxes and non-union pension payments. Further actions are currently being pursued to preserve liquidity as necessary over the duration of the current economic downturn. Not all of these actions are within our control. Given the significant uncertainty arising from the COVID-19 pandemic and the related economic repercussions, there can be no assurance that our efforts to maintain adequate liquidity will be achieved.</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New Term Loan, we are required to maintain at least $200.0 million in Adjusted EBITDA on a trailing-twelve-month (“TTM”) basis measured each quarter until maturity. For the TTM period ended March 31, 2020, we achieved Adjusted EBITDA of $214.6 million. In April 2020, we amended the New Term Loan to waive the Adjusted EBITDA covenant for every quarter of the year through and including December 31, 2020. While we obtained relief from this covenant for the duration of 2020, based on current projections and primarily as a result that COVID-19 had on our business, we do not believe that our results of operations will allow us to comply with the minimum Adjusted EBITDA covenant at March 31, 2021, which is within twelve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months of the issuance date of these financial statements. We intend to amend the New Term Loan again; however, obtaining an amendment is not within our control. If we are unable to comply with our covenants, the New Term Loan lenders may exercise their rights available to them under the New Term Loan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Segments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in our 2019 annual report on Form 10-K, our Chief Operating Decision Maker began evaluating performance and business results, as well as making resource and operating decisions under the single segment view as a result of the business transformation that began during 2019. As such, a single segment view is presented in this Form 10-Q. See further details in our 2019 annual report as filed March 11,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Disaggregation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considered the disclosure requirements for revenue disaggregation guidance in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noted that our business transformation has led to one consolidated LTL network as we joined our national and regional operations and no longer measure revenues by geographies. The following table presents disaggregated revenue by revenue source between LTL shipments and total. LTL shipments are defined as shipments less than 10,000 pounds that move in our network.</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Disaggregated Revenue (in millions)</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Three Months</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LTL revenue</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1,150.4</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have been made to prior year’s balances to conform with current year presentation, including lease payments previously reported in “Change in other operating liabilities” operating cash flows in the statement of consolidated cash flows are now reported in “Lease payments” in the operating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Recently-Issued Accounting Standards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While there are recently issued accounting standards that are applicable to the Company, none of these standards are expected to have a material impact on our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Debt and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March 31, 2020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As of March 31, 2020 (in millions)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Par Value</w:t>
            </w:r>
          </w:p>
        </w:tc>
        <w:tc>
          <w:tcPr>
            <w:tcW w:w="22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Discount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Issuance</w:t>
            </w:r>
          </w:p>
        </w:tc>
        <w:tc>
          <w:tcPr>
            <w:tcW w:w="12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Book Value</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Costs</w:t>
            </w:r>
          </w:p>
        </w:tc>
        <w:tc>
          <w:tcPr>
            <w:tcW w:w="200" w:type="dxa"/>
            <w:vAlign w:val="bottom"/>
            <w:tcBorders>
              <w:bottom w:val="single" w:sz="8" w:color="CFF0FC"/>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New Term Loan</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5"/>
                <w:szCs w:val="15"/>
                <w:color w:val="auto"/>
                <w:w w:val="97"/>
              </w:rPr>
              <w:t>(a)</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ABL Facility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Secured Second A&amp;R CDA</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Unsecured Second A&amp;R CDA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Current maturities of Unsecured Second A&amp;R CDA</w:t>
            </w: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Current maturities of lease financing obligations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w:t>
            </w:r>
          </w:p>
        </w:tc>
        <w:tc>
          <w:tcPr>
            <w:tcW w:w="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0" w:hanging="392"/>
        <w:spacing w:after="0" w:line="253"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Variable interest rate of 1, 3 or 6-month LIBOR, with a floor of 1.0%, plus a fixed margin of 7.5%. After entering into Amendment No. 1 of the New Term Loan on April 7, 2020, the interest rate was adjusted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-211455</wp:posOffset>
            </wp:positionV>
            <wp:extent cx="2914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2019, the Company and certain of its subsidiaries, as guarantors (the “Term Guarantors”), amended and restated the existing credit facilities under the credit agreement dated February 13, 2014 (the “Prior Term Loan Agreement”) and entered into a $600.0 million term loan agreement (“New Term Loan”) with funds managed by Apollo Global Management, LLC acting collectively as lead lender, and Cortland Products Corp, as administrative agent and collateral agent. The obligations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Company under the agreement governing (the “New Term Loan Agreement”) are unconditionally guaranteed by the Term Guarantors.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New Term Loan has a maturity date of June 30, 2024, with a single payment due at maturity of the outstanding balance. The New Term Loan bears interest at LIBOR (subject to a floor of 1.0%) plus a margin of 7.5% per annum, payable at least quarterly in cash, subject to a 1.0% margin step down in the event the Company achieves greater than $400.0 million in trailing-twelve-month Adjusted EBITDA (defined in the New Term Loan Agreement as “Consolidated EBITDA”). Obligations under the New Term Loan are secured by a perfected first priority security interest in (subject to permitted liens) assets of the Company and the Term Guarantors, including but not limited to all of the Company’s wholly owned terminals, tractors and trailers, subject to certain limited exceptions.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7, 2020, the Company and certain of its subsidiaries entered into Amendment No. 1 (the “Amendment”) to the New Term Loan Agreement as a result of expected future covenant and liquidity tightening due to unprecedented economic deterioration resulting from COVID-19 pandemic and shelter-in-place orders made across North America by various governmental entities and private enterprises. The Amendment principally provides additional liquidity allowing the Company to defer quarterly interest payments for the quarter ended March 31, 2020 and the quarter ending June 30, 2020 with almost all of such interest to be paid-in-kind. The Amendment also provides for a waiver with respect to the Consolidated EBITDA financial covenant during each fiscal quarter during the fiscal year ending December 31, 2020. The interest rate was reset to a fixed 14% during the first six months of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principal sources of liquidity are cash and cash equivalents, available borrowings under our asset-based loan facility (the “ABL Facility”) and any prospective net cash flow from operations. As of March 31, 2020, our maximum availability under our ABL Facility was $59.2 million, and our managed accessibility was $19.1 million. Maximum availability is derived by reducing the amount that may be advanced against eligible receivables plus eligible borrowing base cash by certain reserves imposed by the ABL Agent and our $341.3 million of outstanding letters of credit. Our Managed Accessibility of $19.1 million represents the maximum amount we would access on the ABL Facility and is adjusted for eligible receivables plus eligible borrowing base cash measured at March 31, 2020. The credit agreement governing the ABL Facility permits adjustments from eligible borrowing base cash to restricted cash prior to the compliance measurement date of April 15, 2020. As of April 15, 2020, we moved $5.0 million of cash into restricted cash, as permitted under the ABL Facility, which effectively put our cash and cash equivalents and Managed Accessibility to $118.0 million as of March 31, 2020.</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December 31, 2019 borrowing base certificate, which was filed in January of 2020, we transferred $29.0 million of cash into restricted cash to maintain the 10% threshold, as permitted under the ABL Facility, which transfer effectively put our cash and cash equivalents and Managed Accessibility to $80.4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cash and cash equivalents and Managed Accessibility as of March 31, 2020 and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Less: amounts placed into restricted cash subsequent to period end</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Accessibility</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r>
      <w:tr>
        <w:trPr>
          <w:trHeight w:val="224"/>
        </w:trPr>
        <w:tc>
          <w:tcPr>
            <w:tcW w:w="7720" w:type="dxa"/>
            <w:vAlign w:val="bottom"/>
            <w:gridSpan w:val="2"/>
          </w:tcPr>
          <w:p>
            <w:pPr>
              <w:spacing w:after="0"/>
              <w:rPr>
                <w:sz w:val="20"/>
                <w:szCs w:val="20"/>
                <w:color w:val="auto"/>
              </w:rPr>
            </w:pPr>
            <w:r>
              <w:rPr>
                <w:rFonts w:ascii="Arial" w:cs="Arial" w:eastAsia="Arial" w:hAnsi="Arial"/>
                <w:sz w:val="18"/>
                <w:szCs w:val="18"/>
                <w:color w:val="auto"/>
              </w:rPr>
              <w:t>Total cash and cash equivalents and Managed Accessibility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New Term Loan Agreement includes a financial covenant requirement for the Company to maintain a minimum of $200.0 million trailing-twelve-month (“TTM”) Adjusted EBITDA, measured quarterly. Consolidated Adjusted EBITDA, defined in our New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integration costs, severance, non-recurring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The definition was further modified under the New Term Loan Agreement such that certain expenses that qualify as adjustments are capped at 10.0% of the trailing-twelve-month Adjusted EBITDA, in aggregate.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SEC filings,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accordance with its definition in the Prior Term Loan Agreement, will not be included in the calculation of Adjusted EBITDA under the New Term Loan Agreement.</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Amendment provides for a waiver of the minimum Consolidated EBITDA financial covenant for the testing periods ending on each fiscal quarter in the fiscal year ending December 31, 2020. The Amendment, however, requires that for the period commencing on the effective date of the Amendment and through the first fiscal quarter reporting period after January 1, 2021 in which Consolidated EBITDA for the TTM period ending as of the last day of such fiscal quarter is greater than $200.0 million (the “Specified Period”), the Company maintain $55.0 million of “Liquidity” (such amount being calculated as the Company’s and New Term Loan’s guarantors’ unrestricted cash on hand plus the amount of “Availability” (as defined in the loan agreement for the ABL Facility) to the extent such Availability could be borrowed under the ABL Facility) measured twice each week, also referred to herein as the “Liquidity covenant.” The Amendment also provides for certain anti-cash hoarding covenants, which require mandatory prepayments of the term loans with the amount of any cash on the Company’s balance sheet in excess of $200.0 million to the extent the condition to make voluntary prepayments of term loans under the ABL Facility is satisfied, which prepayments could adversely affect our cash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Compliance with Credit Facility Financial Covenants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New Term Loan, we are required to maintain at least $200.0 million in Adjusted EBITDA on a TTM basis measured each quarter until maturity in June 2024. For the TTM period ended March 31, 2020, we achieved Adjusted EBITDA of $214.6 million. While we obtained relief from the minimum Adjusted EBITDA covenant for the duration of 2020 as a result of the Amendment, we do not believe that our results of operations will allow us to comply with this covenant at March 31, 2021, which is inside the next twelve months beyond the issuance date of these financial statements.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cannot provide assurances that we will be able to comply with the Liquidity financial covenant during the Specified Period provided for in the Amendment. While a number of actions are being taken to manage liquidity, the duration of the current economic slowdown is uncertain, and these actions may not be sufficient if the economic environment is impacted for a sustained period of time.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book value and estimated fair values of our long-term debt, including current maturities and other financial instruments, are summarized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620" w:type="dxa"/>
            <w:vAlign w:val="bottom"/>
            <w:gridSpan w:val="5"/>
          </w:tcPr>
          <w:p>
            <w:pPr>
              <w:ind w:left="6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250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Book Value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9"/>
              </w:rPr>
              <w:t>Book Value</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New Term Loan</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ABL Facility</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Second A&amp;R CDA</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the New Term Loan and Second Amended and Restated Contribution Deferral Agreement (the “Second A&amp;R CDA”) were estimated based on observable prices (level two inputs for fair value measurements). The fair value of the lease financing obligations are estimated using a publicly traded secured loan with similar characteristics (level three input for fair value measurement).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4. Leases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Arial" w:cs="Arial" w:eastAsia="Arial" w:hAnsi="Arial"/>
                <w:sz w:val="14"/>
                <w:szCs w:val="14"/>
                <w:b w:val="1"/>
                <w:bCs w:val="1"/>
                <w:color w:val="auto"/>
              </w:rPr>
              <w:t>Leases (in millions)</w:t>
            </w:r>
          </w:p>
        </w:tc>
        <w:tc>
          <w:tcPr>
            <w:tcW w:w="4260" w:type="dxa"/>
            <w:vAlign w:val="bottom"/>
          </w:tcPr>
          <w:p>
            <w:pPr>
              <w:ind w:left="860"/>
              <w:spacing w:after="0"/>
              <w:rPr>
                <w:sz w:val="20"/>
                <w:szCs w:val="20"/>
                <w:color w:val="auto"/>
              </w:rPr>
            </w:pPr>
            <w:r>
              <w:rPr>
                <w:rFonts w:ascii="Arial" w:cs="Arial" w:eastAsia="Arial" w:hAnsi="Arial"/>
                <w:sz w:val="14"/>
                <w:szCs w:val="14"/>
                <w:b w:val="1"/>
                <w:bCs w:val="1"/>
                <w:color w:val="auto"/>
              </w:rPr>
              <w:t>Classification</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260" w:type="dxa"/>
            <w:vAlign w:val="bottom"/>
          </w:tcPr>
          <w:p>
            <w:pPr>
              <w:ind w:left="860"/>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4260" w:type="dxa"/>
            <w:vAlign w:val="bottom"/>
            <w:shd w:val="clear" w:color="auto" w:fill="CFF0FC"/>
          </w:tcPr>
          <w:p>
            <w:pPr>
              <w:ind w:left="860"/>
              <w:spacing w:after="0"/>
              <w:rPr>
                <w:sz w:val="20"/>
                <w:szCs w:val="20"/>
                <w:color w:val="auto"/>
              </w:rPr>
            </w:pPr>
            <w:r>
              <w:rPr>
                <w:rFonts w:ascii="Arial" w:cs="Arial" w:eastAsia="Arial" w:hAnsi="Arial"/>
                <w:sz w:val="18"/>
                <w:szCs w:val="18"/>
                <w:color w:val="auto"/>
              </w:rPr>
              <w:t>Net property and equipment</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3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leased assets</w:t>
            </w:r>
          </w:p>
        </w:tc>
        <w:tc>
          <w:tcPr>
            <w:tcW w:w="426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Current</w:t>
            </w:r>
          </w:p>
        </w:tc>
        <w:tc>
          <w:tcPr>
            <w:tcW w:w="4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w:t>
            </w:r>
          </w:p>
        </w:tc>
        <w:tc>
          <w:tcPr>
            <w:tcW w:w="4260" w:type="dxa"/>
            <w:vAlign w:val="bottom"/>
            <w:shd w:val="clear" w:color="auto" w:fill="CFF0FC"/>
          </w:tcPr>
          <w:p>
            <w:pPr>
              <w:ind w:left="860"/>
              <w:spacing w:after="0"/>
              <w:rPr>
                <w:sz w:val="20"/>
                <w:szCs w:val="20"/>
                <w:color w:val="auto"/>
              </w:rPr>
            </w:pPr>
            <w:r>
              <w:rPr>
                <w:rFonts w:ascii="Arial" w:cs="Arial" w:eastAsia="Arial" w:hAnsi="Arial"/>
                <w:sz w:val="18"/>
                <w:szCs w:val="18"/>
                <w:color w:val="auto"/>
              </w:rPr>
              <w:t>Current operating lease liabilities</w:t>
            </w:r>
          </w:p>
        </w:tc>
        <w:tc>
          <w:tcPr>
            <w:tcW w:w="9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Finance</w:t>
            </w:r>
          </w:p>
        </w:tc>
        <w:tc>
          <w:tcPr>
            <w:tcW w:w="4260" w:type="dxa"/>
            <w:vAlign w:val="bottom"/>
          </w:tcPr>
          <w:p>
            <w:pPr>
              <w:ind w:left="860"/>
              <w:spacing w:after="0"/>
              <w:rPr>
                <w:sz w:val="20"/>
                <w:szCs w:val="20"/>
                <w:color w:val="auto"/>
              </w:rPr>
            </w:pPr>
            <w:r>
              <w:rPr>
                <w:rFonts w:ascii="Arial" w:cs="Arial" w:eastAsia="Arial" w:hAnsi="Arial"/>
                <w:sz w:val="18"/>
                <w:szCs w:val="18"/>
                <w:color w:val="auto"/>
              </w:rPr>
              <w:t>Other current and accrued liabilities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4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4260" w:type="dxa"/>
            <w:vAlign w:val="bottom"/>
          </w:tcPr>
          <w:p>
            <w:pPr>
              <w:ind w:left="860"/>
              <w:spacing w:after="0"/>
              <w:rPr>
                <w:sz w:val="20"/>
                <w:szCs w:val="20"/>
                <w:color w:val="auto"/>
              </w:rPr>
            </w:pPr>
            <w:r>
              <w:rPr>
                <w:rFonts w:ascii="Arial" w:cs="Arial" w:eastAsia="Arial" w:hAnsi="Arial"/>
                <w:sz w:val="18"/>
                <w:szCs w:val="18"/>
                <w:color w:val="auto"/>
              </w:rPr>
              <w:t>Operating lease liabilities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4260" w:type="dxa"/>
            <w:vAlign w:val="bottom"/>
            <w:shd w:val="clear" w:color="auto" w:fill="CFF0FC"/>
          </w:tcPr>
          <w:p>
            <w:pPr>
              <w:ind w:left="860"/>
              <w:spacing w:after="0"/>
              <w:rPr>
                <w:sz w:val="20"/>
                <w:szCs w:val="20"/>
                <w:color w:val="auto"/>
              </w:rPr>
            </w:pPr>
            <w:r>
              <w:rPr>
                <w:rFonts w:ascii="Arial" w:cs="Arial" w:eastAsia="Arial" w:hAnsi="Arial"/>
                <w:sz w:val="18"/>
                <w:szCs w:val="18"/>
                <w:color w:val="auto"/>
              </w:rPr>
              <w:t>Claims and other liabilities</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4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Lease Cost (in millions)</w:t>
            </w:r>
          </w:p>
        </w:tc>
        <w:tc>
          <w:tcPr>
            <w:tcW w:w="42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Classification</w:t>
            </w:r>
          </w:p>
        </w:tc>
        <w:tc>
          <w:tcPr>
            <w:tcW w:w="284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2380" w:type="dxa"/>
            <w:vAlign w:val="bottom"/>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tbl>
      <w:tblPr>
        <w:tblLayout w:type="fixed"/>
        <w:tblInd w:w="0" w:type="dxa"/>
        <w:tblCellMar>
          <w:top w:w="0" w:type="dxa"/>
          <w:left w:w="0" w:type="dxa"/>
          <w:bottom w:w="0" w:type="dxa"/>
          <w:right w:w="0" w:type="dxa"/>
        </w:tblCellMar>
      </w:tblPr>
      <w:tr>
        <w:trPr>
          <w:trHeight w:val="214"/>
        </w:trPr>
        <w:tc>
          <w:tcPr>
            <w:tcW w:w="2700" w:type="dxa"/>
            <w:vAlign w:val="bottom"/>
          </w:tcPr>
          <w:p>
            <w:pPr>
              <w:spacing w:after="0"/>
              <w:rPr>
                <w:sz w:val="20"/>
                <w:szCs w:val="20"/>
                <w:color w:val="auto"/>
              </w:rPr>
            </w:pPr>
            <w:r>
              <w:rPr>
                <w:rFonts w:ascii="Arial" w:cs="Arial" w:eastAsia="Arial" w:hAnsi="Arial"/>
                <w:sz w:val="18"/>
                <w:szCs w:val="18"/>
                <w:color w:val="auto"/>
              </w:rPr>
              <w:t>Operating lease cost(a)</w:t>
            </w:r>
          </w:p>
        </w:tc>
        <w:tc>
          <w:tcPr>
            <w:tcW w:w="4120" w:type="dxa"/>
            <w:vAlign w:val="bottom"/>
          </w:tcPr>
          <w:p>
            <w:pPr>
              <w:ind w:left="460"/>
              <w:spacing w:after="0"/>
              <w:rPr>
                <w:sz w:val="20"/>
                <w:szCs w:val="20"/>
                <w:color w:val="auto"/>
              </w:rPr>
            </w:pPr>
            <w:r>
              <w:rPr>
                <w:rFonts w:ascii="Arial" w:cs="Arial" w:eastAsia="Arial" w:hAnsi="Arial"/>
                <w:sz w:val="18"/>
                <w:szCs w:val="18"/>
                <w:color w:val="auto"/>
                <w:w w:val="88"/>
              </w:rPr>
              <w:t>Purchased transportation; Fuel, operating expenses</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4120" w:type="dxa"/>
            <w:vAlign w:val="bottom"/>
          </w:tcPr>
          <w:p>
            <w:pPr>
              <w:ind w:left="460"/>
              <w:spacing w:after="0"/>
              <w:rPr>
                <w:sz w:val="20"/>
                <w:szCs w:val="20"/>
                <w:color w:val="auto"/>
              </w:rPr>
            </w:pPr>
            <w:r>
              <w:rPr>
                <w:rFonts w:ascii="Arial" w:cs="Arial" w:eastAsia="Arial" w:hAnsi="Arial"/>
                <w:sz w:val="18"/>
                <w:szCs w:val="18"/>
                <w:color w:val="auto"/>
              </w:rPr>
              <w:t>and supplies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Short-term cost</w:t>
            </w:r>
          </w:p>
        </w:tc>
        <w:tc>
          <w:tcPr>
            <w:tcW w:w="4120" w:type="dxa"/>
            <w:vAlign w:val="bottom"/>
          </w:tcPr>
          <w:p>
            <w:pPr>
              <w:ind w:left="460"/>
              <w:spacing w:after="0"/>
              <w:rPr>
                <w:sz w:val="20"/>
                <w:szCs w:val="20"/>
                <w:color w:val="auto"/>
              </w:rPr>
            </w:pPr>
            <w:r>
              <w:rPr>
                <w:rFonts w:ascii="Arial" w:cs="Arial" w:eastAsia="Arial" w:hAnsi="Arial"/>
                <w:sz w:val="18"/>
                <w:szCs w:val="18"/>
                <w:color w:val="auto"/>
                <w:w w:val="88"/>
              </w:rPr>
              <w:t>Purchased transportation; Fuel, operating expenses</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4120" w:type="dxa"/>
            <w:vAlign w:val="bottom"/>
          </w:tcPr>
          <w:p>
            <w:pPr>
              <w:ind w:left="460"/>
              <w:spacing w:after="0"/>
              <w:rPr>
                <w:sz w:val="20"/>
                <w:szCs w:val="20"/>
                <w:color w:val="auto"/>
              </w:rPr>
            </w:pPr>
            <w:r>
              <w:rPr>
                <w:rFonts w:ascii="Arial" w:cs="Arial" w:eastAsia="Arial" w:hAnsi="Arial"/>
                <w:sz w:val="18"/>
                <w:szCs w:val="18"/>
                <w:color w:val="auto"/>
              </w:rPr>
              <w:t>and supplies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Variable lease cost</w:t>
            </w:r>
          </w:p>
        </w:tc>
        <w:tc>
          <w:tcPr>
            <w:tcW w:w="4120" w:type="dxa"/>
            <w:vAlign w:val="bottom"/>
          </w:tcPr>
          <w:p>
            <w:pPr>
              <w:ind w:left="460"/>
              <w:spacing w:after="0"/>
              <w:rPr>
                <w:sz w:val="20"/>
                <w:szCs w:val="20"/>
                <w:color w:val="auto"/>
              </w:rPr>
            </w:pPr>
            <w:r>
              <w:rPr>
                <w:rFonts w:ascii="Arial" w:cs="Arial" w:eastAsia="Arial" w:hAnsi="Arial"/>
                <w:sz w:val="18"/>
                <w:szCs w:val="18"/>
                <w:color w:val="auto"/>
                <w:w w:val="88"/>
              </w:rPr>
              <w:t>Purchased transportation; Fuel, operating expenses</w:t>
            </w:r>
          </w:p>
        </w:tc>
        <w:tc>
          <w:tcPr>
            <w:tcW w:w="0" w:type="dxa"/>
            <w:vAlign w:val="bottom"/>
          </w:tcPr>
          <w:p>
            <w:pPr>
              <w:spacing w:after="0"/>
              <w:rPr>
                <w:sz w:val="1"/>
                <w:szCs w:val="1"/>
                <w:color w:val="auto"/>
              </w:rPr>
            </w:pPr>
          </w:p>
        </w:tc>
      </w:tr>
      <w:tr>
        <w:trPr>
          <w:trHeight w:val="230"/>
        </w:trPr>
        <w:tc>
          <w:tcPr>
            <w:tcW w:w="270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4120" w:type="dxa"/>
            <w:vAlign w:val="bottom"/>
          </w:tcPr>
          <w:p>
            <w:pPr>
              <w:ind w:left="460"/>
              <w:spacing w:after="0"/>
              <w:rPr>
                <w:sz w:val="20"/>
                <w:szCs w:val="20"/>
                <w:color w:val="auto"/>
              </w:rPr>
            </w:pPr>
            <w:r>
              <w:rPr>
                <w:rFonts w:ascii="Arial" w:cs="Arial" w:eastAsia="Arial" w:hAnsi="Arial"/>
                <w:sz w:val="18"/>
                <w:szCs w:val="18"/>
                <w:color w:val="auto"/>
              </w:rPr>
              <w:t>and supplies</w:t>
            </w: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140"/>
              <w:spacing w:after="0"/>
              <w:rPr>
                <w:sz w:val="20"/>
                <w:szCs w:val="20"/>
                <w:color w:val="auto"/>
              </w:rPr>
            </w:pPr>
            <w:r>
              <w:rPr>
                <w:rFonts w:ascii="Arial" w:cs="Arial" w:eastAsia="Arial" w:hAnsi="Arial"/>
                <w:sz w:val="18"/>
                <w:szCs w:val="18"/>
                <w:color w:val="auto"/>
              </w:rPr>
              <w:t>Amortization of leased assets</w:t>
            </w:r>
          </w:p>
        </w:tc>
        <w:tc>
          <w:tcPr>
            <w:tcW w:w="41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0" w:type="dxa"/>
            <w:vAlign w:val="bottom"/>
          </w:tcPr>
          <w:p>
            <w:pPr>
              <w:spacing w:after="0"/>
              <w:rPr>
                <w:sz w:val="1"/>
                <w:szCs w:val="1"/>
                <w:color w:val="auto"/>
              </w:rPr>
            </w:pPr>
          </w:p>
        </w:tc>
      </w:tr>
      <w:tr>
        <w:trPr>
          <w:trHeight w:val="230"/>
        </w:trPr>
        <w:tc>
          <w:tcPr>
            <w:tcW w:w="270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412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0"/>
                <w:szCs w:val="20"/>
                <w:color w:val="auto"/>
              </w:rPr>
            </w:pPr>
            <w:r>
              <w:rPr>
                <w:rFonts w:ascii="Arial" w:cs="Arial" w:eastAsia="Arial" w:hAnsi="Arial"/>
                <w:sz w:val="18"/>
                <w:szCs w:val="18"/>
                <w:color w:val="auto"/>
              </w:rPr>
              <w:t>Total lease cost</w:t>
            </w:r>
          </w:p>
        </w:tc>
        <w:tc>
          <w:tcPr>
            <w:tcW w:w="4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43.1</w:t>
      </w:r>
    </w:p>
    <w:p>
      <w:pPr>
        <w:spacing w:after="0" w:line="26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2.0</w:t>
      </w:r>
    </w:p>
    <w:p>
      <w:pPr>
        <w:spacing w:after="0" w:line="25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2.4</w:t>
      </w:r>
    </w:p>
    <w:p>
      <w:pPr>
        <w:spacing w:after="0" w:line="37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0.1</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0.1</w:t>
      </w:r>
    </w:p>
    <w:p>
      <w:pPr>
        <w:spacing w:after="0" w:line="47"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47.7</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1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41.2</w:t>
      </w:r>
    </w:p>
    <w:p>
      <w:pPr>
        <w:spacing w:after="0" w:line="273"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3.5</w:t>
      </w:r>
    </w:p>
    <w:p>
      <w:pPr>
        <w:spacing w:after="0" w:line="273"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1.5</w:t>
      </w:r>
    </w:p>
    <w:p>
      <w:pPr>
        <w:spacing w:after="0" w:line="395"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0.2</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0.1</w:t>
      </w:r>
    </w:p>
    <w:p>
      <w:pPr>
        <w:spacing w:after="0" w:line="70" w:lineRule="exact"/>
        <w:rPr>
          <w:sz w:val="20"/>
          <w:szCs w:val="20"/>
          <w:color w:val="auto"/>
        </w:rPr>
      </w:pPr>
    </w:p>
    <w:p>
      <w:pPr>
        <w:spacing w:after="0"/>
        <w:tabs>
          <w:tab w:leader="none" w:pos="1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46.5</w:t>
      </w:r>
    </w:p>
    <w:p>
      <w:pPr>
        <w:spacing w:after="0" w:line="79" w:lineRule="exact"/>
        <w:rPr>
          <w:sz w:val="20"/>
          <w:szCs w:val="20"/>
          <w:color w:val="auto"/>
        </w:rPr>
      </w:pPr>
    </w:p>
    <w:p>
      <w:pPr>
        <w:sectPr>
          <w:pgSz w:w="11900" w:h="16838" w:orient="portrait"/>
          <w:cols w:equalWidth="0" w:num="3">
            <w:col w:w="6820" w:space="420"/>
            <w:col w:w="1740" w:space="400"/>
            <w:col w:w="1860"/>
          </w:cols>
          <w:pgMar w:left="320" w:top="549" w:right="339" w:bottom="1440" w:gutter="0" w:footer="0" w:header="0"/>
          <w:type w:val="continuous"/>
        </w:sectPr>
      </w:pPr>
    </w:p>
    <w:p>
      <w:pPr>
        <w:ind w:left="400" w:hanging="392"/>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Operating lease cost represents non-cash amortization of ROU assets and accretion of the discounted lease liabilities and is segregated on the statement of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-90805</wp:posOffset>
            </wp:positionV>
            <wp:extent cx="245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color w:val="auto"/>
              </w:rPr>
              <w:t>Remaining Maturities of Lease Liabilities</w:t>
            </w:r>
          </w:p>
        </w:tc>
        <w:tc>
          <w:tcPr>
            <w:tcW w:w="240" w:type="dxa"/>
            <w:vAlign w:val="bottom"/>
          </w:tcPr>
          <w:p>
            <w:pPr>
              <w:spacing w:after="0"/>
              <w:rPr>
                <w:sz w:val="14"/>
                <w:szCs w:val="14"/>
                <w:color w:val="auto"/>
              </w:rPr>
            </w:pPr>
          </w:p>
        </w:tc>
        <w:tc>
          <w:tcPr>
            <w:tcW w:w="19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6"/>
              </w:rPr>
              <w:t>Operating Leases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Finance Leases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2024</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920" w:type="dxa"/>
            <w:vAlign w:val="bottom"/>
          </w:tcPr>
          <w:p>
            <w:pPr>
              <w:spacing w:after="0"/>
              <w:rPr>
                <w:sz w:val="20"/>
                <w:szCs w:val="20"/>
                <w:color w:val="auto"/>
              </w:rPr>
            </w:pPr>
            <w:r>
              <w:rPr>
                <w:rFonts w:ascii="Arial" w:cs="Arial" w:eastAsia="Arial" w:hAnsi="Arial"/>
                <w:sz w:val="14"/>
                <w:szCs w:val="14"/>
                <w:b w:val="1"/>
                <w:bCs w:val="1"/>
                <w:color w:val="auto"/>
              </w:rPr>
              <w:t>Lease Term and Discount Rate</w:t>
            </w:r>
          </w:p>
        </w:tc>
        <w:tc>
          <w:tcPr>
            <w:tcW w:w="240" w:type="dxa"/>
            <w:vAlign w:val="bottom"/>
          </w:tcPr>
          <w:p>
            <w:pPr>
              <w:spacing w:after="0"/>
              <w:rPr>
                <w:sz w:val="24"/>
                <w:szCs w:val="24"/>
                <w:color w:val="auto"/>
              </w:rPr>
            </w:pPr>
          </w:p>
        </w:tc>
        <w:tc>
          <w:tcPr>
            <w:tcW w:w="3400" w:type="dxa"/>
            <w:vAlign w:val="bottom"/>
            <w:gridSpan w:val="8"/>
          </w:tcPr>
          <w:p>
            <w:pPr>
              <w:ind w:left="540"/>
              <w:spacing w:after="0"/>
              <w:rPr>
                <w:sz w:val="20"/>
                <w:szCs w:val="20"/>
                <w:color w:val="auto"/>
              </w:rPr>
            </w:pPr>
            <w:r>
              <w:rPr>
                <w:rFonts w:ascii="Arial" w:cs="Arial" w:eastAsia="Arial" w:hAnsi="Arial"/>
                <w:sz w:val="14"/>
                <w:szCs w:val="14"/>
                <w:b w:val="1"/>
                <w:bCs w:val="1"/>
                <w:color w:val="auto"/>
              </w:rPr>
              <w:t>Weighted-Average Remaining Lease</w:t>
            </w:r>
          </w:p>
        </w:tc>
        <w:tc>
          <w:tcPr>
            <w:tcW w:w="2680" w:type="dxa"/>
            <w:vAlign w:val="bottom"/>
            <w:gridSpan w:val="9"/>
            <w:vMerge w:val="restart"/>
          </w:tcPr>
          <w:p>
            <w:pPr>
              <w:ind w:left="300"/>
              <w:spacing w:after="0"/>
              <w:rPr>
                <w:sz w:val="20"/>
                <w:szCs w:val="20"/>
                <w:color w:val="auto"/>
              </w:rPr>
            </w:pPr>
            <w:r>
              <w:rPr>
                <w:rFonts w:ascii="Arial" w:cs="Arial" w:eastAsia="Arial" w:hAnsi="Arial"/>
                <w:sz w:val="14"/>
                <w:szCs w:val="14"/>
                <w:b w:val="1"/>
                <w:bCs w:val="1"/>
                <w:color w:val="auto"/>
              </w:rPr>
              <w:t>Weighted-Average Discount Rate</w:t>
            </w:r>
          </w:p>
        </w:tc>
        <w:tc>
          <w:tcPr>
            <w:tcW w:w="0" w:type="dxa"/>
            <w:vAlign w:val="bottom"/>
          </w:tcPr>
          <w:p>
            <w:pPr>
              <w:spacing w:after="0"/>
              <w:rPr>
                <w:sz w:val="1"/>
                <w:szCs w:val="1"/>
                <w:color w:val="auto"/>
              </w:rPr>
            </w:pPr>
          </w:p>
        </w:tc>
      </w:tr>
      <w:tr>
        <w:trPr>
          <w:trHeight w:val="10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(years and percent)</w:t>
            </w:r>
          </w:p>
        </w:tc>
        <w:tc>
          <w:tcPr>
            <w:tcW w:w="240" w:type="dxa"/>
            <w:vAlign w:val="bottom"/>
          </w:tcPr>
          <w:p>
            <w:pPr>
              <w:spacing w:after="0"/>
              <w:rPr>
                <w:sz w:val="9"/>
                <w:szCs w:val="9"/>
                <w:color w:val="auto"/>
              </w:rPr>
            </w:pPr>
          </w:p>
        </w:tc>
        <w:tc>
          <w:tcPr>
            <w:tcW w:w="1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Term</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92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932"/>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0"/>
                <w:szCs w:val="20"/>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932"/>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Other Information (in millions)</w:t>
            </w: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gridSpan w:val="7"/>
          </w:tcPr>
          <w:p>
            <w:pPr>
              <w:jc w:val="center"/>
              <w:ind w:left="56"/>
              <w:spacing w:after="0"/>
              <w:rPr>
                <w:sz w:val="20"/>
                <w:szCs w:val="20"/>
                <w:color w:val="auto"/>
              </w:rPr>
            </w:pPr>
            <w:r>
              <w:rPr>
                <w:rFonts w:ascii="Arial" w:cs="Arial" w:eastAsia="Arial" w:hAnsi="Arial"/>
                <w:sz w:val="14"/>
                <w:szCs w:val="14"/>
                <w:b w:val="1"/>
                <w:bCs w:val="1"/>
                <w:color w:val="auto"/>
                <w:w w:val="94"/>
              </w:rPr>
              <w:t>Three Months Ended March</w:t>
            </w:r>
          </w:p>
        </w:tc>
        <w:tc>
          <w:tcPr>
            <w:tcW w:w="120" w:type="dxa"/>
            <w:vAlign w:val="bottom"/>
          </w:tcPr>
          <w:p>
            <w:pPr>
              <w:spacing w:after="0"/>
              <w:rPr>
                <w:sz w:val="23"/>
                <w:szCs w:val="23"/>
                <w:color w:val="auto"/>
              </w:rPr>
            </w:pPr>
          </w:p>
        </w:tc>
        <w:tc>
          <w:tcPr>
            <w:tcW w:w="19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31, 2020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31, 2019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leases(a)</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w w:val="92"/>
              </w:rPr>
              <w:t>Leased assets obtained in exchange for new operating lease liabilities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00" w:hanging="392"/>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Payments arising from operating leases are reported in operating activities on the statements of consolidated cash flows.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5. Employee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plan costs for the three months ended March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Three Months</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prior net pension loss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Total net periodic pension cost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r>
      <w:tr>
        <w:trPr>
          <w:trHeight w:val="20"/>
        </w:trPr>
        <w:tc>
          <w:tcPr>
            <w:tcW w:w="7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contributed $2.1 million to our Company-sponsored pension plans through March 31, 2020. Under the CARES Act, we will not be making any additional contributions in 2020. The $29.3 million in deferred payments will be required to be made on January 1, 2021.</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Income Taxes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effective tax rate for the three months ended March 31, 2020 was (10.3%) compared to 16.5% for the three months ended March 31, 2019. The significant items impacting the 2020 rate include a benefit recognized due to application of the exception to the rules regarding intraperiod tax allocation, a net state and foreign tax provision, certain permanent items and a change in the valuation allowance established for the net deferred tax asset balance projected for December 31, 2020. The significant items impacting the 2019 rate include a net state and foreign tax provision, certain permanent items and a change in the valuation allowance established for the net deferred tax asset balance that had been projected for December 31, 2019.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March 31, 2020 and December 31, 2019, substantially all of our net deferred tax assets were subject to a valuation allowance.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Earnings (Loss) Per Share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earnings (loss) available to common shareholders by our weighted-average shares outstanding at the end of the period. The calculation for diluted earnings (loss) per share adjusts the weighted average shares outstanding for our dilutive unvested shares and stock units using the treasury stock method. Our calculations for basic and dilutive earnings (loss) per share for three months ended March 31, 2020 and 2019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data; shares and stock units in thousands)</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Three Months</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income (loss) available to common shareholders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 outstanding</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33,791</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Unvested shares and stock units</w:t>
            </w:r>
            <w:r>
              <w:rPr>
                <w:rFonts w:ascii="Arial" w:cs="Arial" w:eastAsia="Arial" w:hAnsi="Arial"/>
                <w:sz w:val="15"/>
                <w:szCs w:val="15"/>
                <w:color w:val="auto"/>
              </w:rPr>
              <w:t>(a)</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weighted average shares outstanding</w:t>
            </w:r>
          </w:p>
        </w:tc>
        <w:tc>
          <w:tcPr>
            <w:tcW w:w="1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35,630</w:t>
            </w:r>
          </w:p>
        </w:tc>
        <w:tc>
          <w:tcPr>
            <w:tcW w:w="30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w:t>
            </w:r>
            <w:r>
              <w:rPr>
                <w:rFonts w:ascii="Arial" w:cs="Arial" w:eastAsia="Arial" w:hAnsi="Arial"/>
                <w:sz w:val="15"/>
                <w:szCs w:val="15"/>
                <w:color w:val="auto"/>
              </w:rPr>
              <w:t>(b)</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15"/>
                <w:szCs w:val="15"/>
                <w:color w:val="auto"/>
              </w:rPr>
              <w:t>(b)</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ind w:left="400" w:hanging="392"/>
        <w:spacing w:after="0" w:line="221"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ind w:left="400" w:hanging="392"/>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Earnings (loss) per share is based on unrounded figures and not the rounded figures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At March 31, 2020 and 2019, our anti-dilutive unvested shares, options, and stock units were approximately 176,000 and 279,000,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8. Commitments, Contingencies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Defense Complaints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December 2018, the United States on behalf of the United States Department of Defense filed a Complaint in Intervention (“Complaint”) against the Company in the U.S. District in the Western District of New York captioned </w:t>
      </w:r>
      <w:r>
        <w:rPr>
          <w:rFonts w:ascii="Arial" w:cs="Arial" w:eastAsia="Arial" w:hAnsi="Arial"/>
          <w:sz w:val="17"/>
          <w:szCs w:val="17"/>
          <w:i w:val="1"/>
          <w:iCs w:val="1"/>
          <w:color w:val="auto"/>
        </w:rPr>
        <w:t>United States ex rel. James Hannum v. YRC Freight, Inc.; Roadway Express,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 and Yellow Transportation, Inc., </w:t>
      </w:r>
      <w:r>
        <w:rPr>
          <w:rFonts w:ascii="Arial" w:cs="Arial" w:eastAsia="Arial" w:hAnsi="Arial"/>
          <w:sz w:val="17"/>
          <w:szCs w:val="17"/>
          <w:color w:val="auto"/>
        </w:rPr>
        <w:t>Civil Action No. 08-0811(A). The Complaint alleges that the Company violated the False Claims Act by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overcharging the Department of Defense for freight carrier services by failing to comply with the contractual terms of freight contracts between the Department of Defense and the Company and related government procurement rules. The Complaint also alleges claims for unjust enrichment and breach of contract. Under the False Claims Act, the Complaint seeks treble damages, civil penalties, attorneys’ fees and costs of suit, all in unspecified amounts. The remaining common causes of action seek an undetermined amount for an alleged breach of contract or alternatively causes constituting unjust enrichment or a payment by mistake. The Company has moved to dismiss the case, and the court heard oral arguments on the motion on August 12, 2019. Management believes the Company has meritorious defenses and intends to vigorously defend this action. We are unable to estimate the possible loss, or range of possible loss, associated with these claims at this time.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Action Securities Complaint</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2019, a purported class action lawsuit captioned </w:t>
      </w:r>
      <w:r>
        <w:rPr>
          <w:rFonts w:ascii="Arial" w:cs="Arial" w:eastAsia="Arial" w:hAnsi="Arial"/>
          <w:sz w:val="16"/>
          <w:szCs w:val="16"/>
          <w:i w:val="1"/>
          <w:iCs w:val="1"/>
          <w:color w:val="auto"/>
        </w:rPr>
        <w:t>Christina Lewis v. YRC Worldwide Inc., et al.,</w:t>
      </w:r>
      <w:r>
        <w:rPr>
          <w:rFonts w:ascii="Arial" w:cs="Arial" w:eastAsia="Arial" w:hAnsi="Arial"/>
          <w:sz w:val="16"/>
          <w:szCs w:val="16"/>
          <w:color w:val="auto"/>
        </w:rPr>
        <w:t xml:space="preserve"> Case No. 1:19-cv-00001, was filed in the United States District Court for the Northern District of New York against the Company and certain of our current and former officers. The complaint was filed on behalf of persons who purchased or otherwise acquired the Company’s publicly traded securities between March 10, 2014 and December 14, 2018. The complaint generally alleged that the defendants had violated Sections 10(b) and 20(a) of the Securities Exchange Act of 1934 by making false and misleading statements relating to the Company’s freight billing practices as alleged in the Department of Defense complaint described above. The action included claims for damages, including interest, and an award of reasonable costs and attorneys’ fees. The co-lead plaintiffs filed an amended complaint on June 14, 2019, and the defendants moved to dismiss it on July 15, 2019. On March 27, 2020, the court granted defendants’ motion to dismiss in its entirety and entered judgment closing the case. The co-lead plaintiffs filed a notice of appeal to the U.S. Court of Appeals for the Second Circuit on April 27,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2019, a putative shareholder filed an action derivatively and on behalf of the Company naming James L. Welch, Jamie G. Pierson, Stephanie D. Fisher, Raymond J. Bromark, Douglas A. Carty, William R. Davidson, Matthew A. Doheny, Robert L. Friedman, James E. Hoffman, Michael J. Kneeland, Patricia M. Nazemetz, and James F. Winestock individually as defendants and the Company as the nominal defendant. In an amended complaint, filed on October 15, 2019, Darren D. Hawkins was added as a defendant. The case, captioned </w:t>
      </w:r>
      <w:r>
        <w:rPr>
          <w:rFonts w:ascii="Arial" w:cs="Arial" w:eastAsia="Arial" w:hAnsi="Arial"/>
          <w:sz w:val="17"/>
          <w:szCs w:val="17"/>
          <w:i w:val="1"/>
          <w:iCs w:val="1"/>
          <w:color w:val="auto"/>
        </w:rPr>
        <w:t>Hastey v. Welch, et al.</w:t>
      </w:r>
      <w:r>
        <w:rPr>
          <w:rFonts w:ascii="Arial" w:cs="Arial" w:eastAsia="Arial" w:hAnsi="Arial"/>
          <w:sz w:val="17"/>
          <w:szCs w:val="17"/>
          <w:color w:val="auto"/>
        </w:rPr>
        <w:t>, Case No. 2:19-cv-2266-KGG, was filed in the United States District Court for the District of Kansas. The Complaint alleged that the Company was exposed to harm by the individual defendants’ purported conduct concerning its freight-billing practices as alleged in the Department of Defense Complaint and the Class Action Securities Complaint described above. The Complaint asserted that the individual defendants’ purported conduct violated Section 14(a) of the Securities Exchange Act of 1934 and that they breached their fiduciary duties, were unjustly enriched, and engaged in corporate waste. On March 30, 2020, the Court granted the Company’s and individual defendants’ motion to dismiss, dismissing Plaintiff’s Section 14(a) claim with prejudice, and declining to exercise supplemental jurisdiction over the remaining claims and thus dismissing them without prejudice. The Court further denied as moot motions to intervene in the action that had been filed by three putative shareholders.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October 2019, another putative shareholder filed an action derivatively and on behalf of the Company in the United States District Court for the District of Delaware naming the same defendants as did the October 15, 2019 amended complaint in the </w:t>
      </w:r>
      <w:r>
        <w:rPr>
          <w:rFonts w:ascii="Arial" w:cs="Arial" w:eastAsia="Arial" w:hAnsi="Arial"/>
          <w:sz w:val="18"/>
          <w:szCs w:val="18"/>
          <w:i w:val="1"/>
          <w:iCs w:val="1"/>
          <w:color w:val="auto"/>
        </w:rPr>
        <w:t>Hastey</w:t>
      </w:r>
      <w:r>
        <w:rPr>
          <w:rFonts w:ascii="Arial" w:cs="Arial" w:eastAsia="Arial" w:hAnsi="Arial"/>
          <w:sz w:val="18"/>
          <w:szCs w:val="18"/>
          <w:color w:val="auto"/>
        </w:rPr>
        <w:t xml:space="preserve"> case. The case is captioned </w:t>
      </w:r>
      <w:r>
        <w:rPr>
          <w:rFonts w:ascii="Arial" w:cs="Arial" w:eastAsia="Arial" w:hAnsi="Arial"/>
          <w:sz w:val="18"/>
          <w:szCs w:val="18"/>
          <w:i w:val="1"/>
          <w:iCs w:val="1"/>
          <w:color w:val="auto"/>
        </w:rPr>
        <w:t>Broughton v. Hawkins,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Case No. 1:19-cv-01958-UNA, and makes claims similar to those made in</w:t>
      </w:r>
      <w:r>
        <w:rPr>
          <w:rFonts w:ascii="Arial" w:cs="Arial" w:eastAsia="Arial" w:hAnsi="Arial"/>
          <w:sz w:val="18"/>
          <w:szCs w:val="18"/>
          <w:i w:val="1"/>
          <w:iCs w:val="1"/>
          <w:color w:val="auto"/>
        </w:rPr>
        <w:t xml:space="preserve"> Hastey</w:t>
      </w:r>
      <w:r>
        <w:rPr>
          <w:rFonts w:ascii="Arial" w:cs="Arial" w:eastAsia="Arial" w:hAnsi="Arial"/>
          <w:sz w:val="18"/>
          <w:szCs w:val="18"/>
          <w:color w:val="auto"/>
        </w:rPr>
        <w:t>. After a motion to dismiss the</w:t>
      </w:r>
      <w:r>
        <w:rPr>
          <w:rFonts w:ascii="Arial" w:cs="Arial" w:eastAsia="Arial" w:hAnsi="Arial"/>
          <w:sz w:val="18"/>
          <w:szCs w:val="18"/>
          <w:i w:val="1"/>
          <w:iCs w:val="1"/>
          <w:color w:val="auto"/>
        </w:rPr>
        <w:t xml:space="preserve"> Broughton </w:t>
      </w:r>
      <w:r>
        <w:rPr>
          <w:rFonts w:ascii="Arial" w:cs="Arial" w:eastAsia="Arial" w:hAnsi="Arial"/>
          <w:sz w:val="18"/>
          <w:szCs w:val="18"/>
          <w:color w:val="auto"/>
        </w:rPr>
        <w:t>Complaint was filed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 2019, Plaintiff filed an unopposed motion for voluntary dismissal of her Complaint without prejudice on February 19, 2020. The court granted the motion on April 20,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9. Subsequent Events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7, 2020, the Company and certain of its subsidiaries entered into an Amendment to the New Term Loan Agreement. The Amendment provides for a waiver with respect to the Consolidated EBITDA financial covenant and allows the Company to defer quarterly interest payments, among other things, as further described in the “Debt and Financing” footnote to the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 w:name="page15"/>
    <w:bookmarkEnd w:id="14"/>
    <w:p>
      <w:pPr>
        <w:ind w:right="4220"/>
        <w:spacing w:after="0" w:line="481" w:lineRule="auto"/>
        <w:rPr>
          <w:sz w:val="20"/>
          <w:szCs w:val="20"/>
          <w:color w:val="auto"/>
        </w:rPr>
      </w:pPr>
      <w:r>
        <w:rPr>
          <w:rFonts w:ascii="Arial" w:cs="Arial" w:eastAsia="Arial" w:hAnsi="Arial"/>
          <w:sz w:val="18"/>
          <w:szCs w:val="18"/>
          <w:u w:val="single" w:color="auto"/>
          <w:color w:val="auto"/>
        </w:rPr>
        <w:t xml:space="preserve">Item 2. Management’s Discussion and Analysis of Financial Condition and Results of Operations </w:t>
      </w:r>
      <w:r>
        <w:rPr>
          <w:rFonts w:ascii="Arial" w:cs="Arial" w:eastAsia="Arial" w:hAnsi="Arial"/>
          <w:sz w:val="18"/>
          <w:szCs w:val="18"/>
          <w:b w:val="1"/>
          <w:bCs w:val="1"/>
          <w:color w:val="auto"/>
        </w:rPr>
        <w:t>Cautionary Note Regarding Forward-Looking Statements</w:t>
      </w:r>
    </w:p>
    <w:p>
      <w:pPr>
        <w:spacing w:after="0" w:line="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3" w:lineRule="exact"/>
        <w:rPr>
          <w:sz w:val="20"/>
          <w:szCs w:val="20"/>
          <w:color w:val="auto"/>
        </w:rPr>
      </w:pPr>
    </w:p>
    <w:p>
      <w:pPr>
        <w:jc w:val="both"/>
        <w:ind w:left="800" w:hanging="401"/>
        <w:spacing w:after="0" w:line="263"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21"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the covenants in the documents governing our existing and future indebtedness, including financial covenants under our senior credit facilities, in light of recent operating results;</w:t>
      </w:r>
    </w:p>
    <w:p>
      <w:pPr>
        <w:spacing w:after="0" w:line="8"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on our results of operations, financial condition and cash flows;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economic factors, including (without limitation) impacts of COVID-19 and customer demand in the retail and manufacturing sectors;</w:t>
      </w:r>
    </w:p>
    <w:p>
      <w:pPr>
        <w:spacing w:after="0" w:line="86" w:lineRule="exact"/>
        <w:rPr>
          <w:rFonts w:ascii="Arial" w:cs="Arial" w:eastAsia="Arial" w:hAnsi="Arial"/>
          <w:sz w:val="16"/>
          <w:szCs w:val="16"/>
          <w:color w:val="auto"/>
        </w:rPr>
      </w:pPr>
    </w:p>
    <w:p>
      <w:pPr>
        <w:ind w:left="800" w:right="2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risks and increasing costs associated with the transportation industry, including increasing equipment, operational and technology costs and disruption from natural disasters;</w:t>
      </w:r>
    </w:p>
    <w:p>
      <w:pPr>
        <w:spacing w:after="0" w:line="8"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and competitive pressure on pricing;</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of labor disruptions or stoppages if our relationship with our employees and unions were to deteriorate;</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pension expense and funding obligations, subject to interest rate volatility;</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costs relating to our self-insurance claims expenses;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74"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8"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impediments to our operations and business resulting from anti-terrorism measures;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claims and litigation expense to which we are or may become exposed;</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may not realize the expected benefits and costs savings from our performance and operational improvement initiatives;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qualified drivers and increasing costs of driver compensation;</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significant privacy breach or IT system disruption;</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operating in foreign countries;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6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shortages of fuel and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8"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dilution from future issuances of our common stock;</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intention not to pay dividends on our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have the ability to issue preferred stock that may adversely affect the rights of holders of our common stock; and</w:t>
      </w:r>
    </w:p>
    <w:p>
      <w:pPr>
        <w:spacing w:after="0" w:line="63"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months ended March 31, 2020 and</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135"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presentation and an analysis of selected non-GAAP financial measures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and 2019 and trailing-twelve-months ended March 31, 2020 and 2019.</w:t>
      </w:r>
    </w:p>
    <w:p>
      <w:pPr>
        <w:spacing w:after="0" w:line="121"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the years discussed below refer to the three months ended March 31,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measure the performance of our business using several metrics, but rely primarily upon (without limitation) operating revenue, operating income (loss), and operating ratio. We also use certain non-GAAP financial measures as secondary measures to assess our operating performance.</w:t>
      </w:r>
    </w:p>
    <w:p>
      <w:pPr>
        <w:spacing w:after="0" w:line="115" w:lineRule="exact"/>
        <w:rPr>
          <w:sz w:val="20"/>
          <w:szCs w:val="20"/>
          <w:color w:val="auto"/>
        </w:rPr>
      </w:pPr>
    </w:p>
    <w:p>
      <w:pPr>
        <w:jc w:val="both"/>
        <w:ind w:left="800" w:hanging="401"/>
        <w:spacing w:after="0" w:line="269"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tonnage, tonnage per day,</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41" w:lineRule="exact"/>
        <w:rPr>
          <w:rFonts w:ascii="Arial" w:cs="Arial" w:eastAsia="Arial" w:hAnsi="Arial"/>
          <w:sz w:val="17"/>
          <w:szCs w:val="17"/>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Operating income (loss) is operating revenue less operating expenses.</w:t>
      </w:r>
    </w:p>
    <w:p>
      <w:pPr>
        <w:spacing w:after="0" w:line="184" w:lineRule="exact"/>
        <w:rPr>
          <w:rFonts w:ascii="Arial" w:cs="Arial" w:eastAsia="Arial" w:hAnsi="Arial"/>
          <w:sz w:val="18"/>
          <w:szCs w:val="18"/>
          <w:color w:val="auto"/>
        </w:rPr>
      </w:pPr>
    </w:p>
    <w:p>
      <w:pPr>
        <w:jc w:val="both"/>
        <w:ind w:left="800" w:hanging="401"/>
        <w:spacing w:after="0" w:line="26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(ii) minus the result of dividing operating income by operating revenue or (iii) plus the result of dividing operating loss by operating revenue, and is expressed as a percentage.</w:t>
      </w:r>
    </w:p>
    <w:p>
      <w:pPr>
        <w:spacing w:after="0" w:line="135"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Non-GAAP Financial Measures: </w:t>
      </w:r>
      <w:r>
        <w:rPr>
          <w:rFonts w:ascii="Arial" w:cs="Arial" w:eastAsia="Arial" w:hAnsi="Arial"/>
          <w:sz w:val="16"/>
          <w:szCs w:val="16"/>
          <w:color w:val="auto"/>
        </w:rPr>
        <w:t>We use EBITDA and Adjusted EBITDA, which are non-GAAP financial measures, to assess the following:</w:t>
      </w:r>
    </w:p>
    <w:p>
      <w:pPr>
        <w:spacing w:after="0" w:line="211" w:lineRule="exact"/>
        <w:rPr>
          <w:rFonts w:ascii="Arial" w:cs="Arial" w:eastAsia="Arial" w:hAnsi="Arial"/>
          <w:sz w:val="16"/>
          <w:szCs w:val="16"/>
          <w:color w:val="auto"/>
        </w:rPr>
      </w:pPr>
    </w:p>
    <w:p>
      <w:pPr>
        <w:ind w:left="1180" w:hanging="391"/>
        <w:spacing w:after="0"/>
        <w:rPr>
          <w:rFonts w:ascii="Arial" w:cs="Arial" w:eastAsia="Arial" w:hAnsi="Arial"/>
          <w:sz w:val="16"/>
          <w:szCs w:val="16"/>
          <w:color w:val="auto"/>
        </w:rPr>
      </w:pPr>
      <w:r>
        <w:rPr>
          <w:rFonts w:ascii="Courier New" w:cs="Courier New" w:eastAsia="Courier New" w:hAnsi="Courier New"/>
          <w:sz w:val="18"/>
          <w:szCs w:val="18"/>
          <w:color w:val="auto"/>
        </w:rPr>
        <w:t xml:space="preserve">o </w:t>
      </w:r>
      <w:r>
        <w:rPr>
          <w:rFonts w:ascii="Arial" w:cs="Arial" w:eastAsia="Arial" w:hAnsi="Arial"/>
          <w:sz w:val="18"/>
          <w:szCs w:val="18"/>
          <w:i w:val="1"/>
          <w:iCs w:val="1"/>
          <w:color w:val="auto"/>
        </w:rPr>
        <w:t>EBITDA:</w:t>
      </w:r>
      <w:r>
        <w:rPr>
          <w:rFonts w:ascii="Courier New" w:cs="Courier New" w:eastAsia="Courier New" w:hAnsi="Courier New"/>
          <w:sz w:val="18"/>
          <w:szCs w:val="18"/>
          <w:color w:val="auto"/>
        </w:rPr>
        <w:t xml:space="preserve"> </w:t>
      </w:r>
      <w:r>
        <w:rPr>
          <w:rFonts w:ascii="Arial" w:cs="Arial" w:eastAsia="Arial" w:hAnsi="Arial"/>
          <w:sz w:val="18"/>
          <w:szCs w:val="18"/>
          <w:color w:val="auto"/>
        </w:rPr>
        <w:t>a non-GAAP measure that reflects our earnings before interest, taxes, depreciation, and amortization expense. EBITDA is used</w:t>
      </w:r>
      <w:r>
        <w:rPr>
          <w:rFonts w:ascii="Courier New" w:cs="Courier New" w:eastAsia="Courier New" w:hAnsi="Courier New"/>
          <w:sz w:val="18"/>
          <w:szCs w:val="18"/>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6" w:name="page17"/>
    <w:bookmarkEnd w:id="16"/>
    <w:p>
      <w:pPr>
        <w:jc w:val="both"/>
        <w:ind w:left="1180" w:hanging="389"/>
        <w:spacing w:after="0" w:line="267" w:lineRule="auto"/>
        <w:tabs>
          <w:tab w:leader="none" w:pos="118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letter of credit fees, equity-based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All references to “Adjusted EBITDA” throughout this section and the rest of this report refer to “Adjusted EBITDA” calculated under our New Term Loan Agreement (defined therein as “Consolidated EBITDA”) unless otherwise specified. Consolidated EBITDA is also a defined term in our ABL Agreement and the definition there aligns with the prior definition of Consolidated EBITDA under the Prior Term Loan Agreement. Adjusted EBITDA is used for internal management purposes as a financial measure that reflects our core operating performance, to measure compliance with financial covenants in our credit facilities and to determine certain management and employee bonus compensation.</w:t>
      </w:r>
    </w:p>
    <w:p>
      <w:pPr>
        <w:spacing w:after="0" w:line="143" w:lineRule="exact"/>
        <w:rPr>
          <w:sz w:val="20"/>
          <w:szCs w:val="20"/>
          <w:color w:val="auto"/>
        </w:rPr>
      </w:pPr>
    </w:p>
    <w:p>
      <w:pPr>
        <w:jc w:val="both"/>
        <w:ind w:left="800"/>
        <w:spacing w:after="0" w:line="293"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 in our term loan credit agreement as this measure is calculated as defined in our term loan credit agreement and serves as a driving component of our key financial covenant.</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ind w:left="1180" w:hanging="389"/>
        <w:spacing w:after="0" w:line="259" w:lineRule="auto"/>
        <w:tabs>
          <w:tab w:leader="none" w:pos="118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43" w:lineRule="exact"/>
        <w:rPr>
          <w:rFonts w:ascii="Courier New" w:cs="Courier New" w:eastAsia="Courier New" w:hAnsi="Courier New"/>
          <w:sz w:val="18"/>
          <w:szCs w:val="18"/>
          <w:color w:val="auto"/>
        </w:rPr>
      </w:pPr>
    </w:p>
    <w:p>
      <w:pPr>
        <w:jc w:val="both"/>
        <w:ind w:left="1180" w:hanging="389"/>
        <w:spacing w:after="0" w:line="254" w:lineRule="auto"/>
        <w:tabs>
          <w:tab w:leader="none" w:pos="118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Adjusted EBITDA does not reflect the interest expense or the cash requirements necessary to service interest or fund principal payments on our outstanding debt, letter of credit fees, restructuring charges, transaction costs related to the issuance of debt, non-cash expenses, charges or losses, or nonrecurring consulting fees, among other items;</w:t>
      </w:r>
    </w:p>
    <w:p>
      <w:pPr>
        <w:spacing w:after="0" w:line="149" w:lineRule="exact"/>
        <w:rPr>
          <w:rFonts w:ascii="Courier New" w:cs="Courier New" w:eastAsia="Courier New" w:hAnsi="Courier New"/>
          <w:sz w:val="18"/>
          <w:szCs w:val="18"/>
          <w:color w:val="auto"/>
        </w:rPr>
      </w:pPr>
    </w:p>
    <w:p>
      <w:pPr>
        <w:ind w:left="1180" w:hanging="389"/>
        <w:spacing w:after="0" w:line="259" w:lineRule="auto"/>
        <w:tabs>
          <w:tab w:leader="none" w:pos="118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spacing w:after="0" w:line="143" w:lineRule="exact"/>
        <w:rPr>
          <w:rFonts w:ascii="Courier New" w:cs="Courier New" w:eastAsia="Courier New" w:hAnsi="Courier New"/>
          <w:sz w:val="18"/>
          <w:szCs w:val="18"/>
          <w:color w:val="auto"/>
        </w:rPr>
      </w:pPr>
    </w:p>
    <w:p>
      <w:pPr>
        <w:ind w:left="1180" w:right="20" w:hanging="389"/>
        <w:spacing w:after="0" w:line="289" w:lineRule="auto"/>
        <w:tabs>
          <w:tab w:leader="none" w:pos="1180" w:val="left"/>
        </w:tabs>
        <w:numPr>
          <w:ilvl w:val="0"/>
          <w:numId w:val="12"/>
        </w:numPr>
        <w:rPr>
          <w:rFonts w:ascii="Courier New" w:cs="Courier New" w:eastAsia="Courier New" w:hAnsi="Courier New"/>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spacing w:after="0" w:line="118" w:lineRule="exact"/>
        <w:rPr>
          <w:rFonts w:ascii="Courier New" w:cs="Courier New" w:eastAsia="Courier New" w:hAnsi="Courier New"/>
          <w:sz w:val="17"/>
          <w:szCs w:val="17"/>
          <w:color w:val="auto"/>
        </w:rPr>
      </w:pPr>
    </w:p>
    <w:p>
      <w:pPr>
        <w:ind w:left="1180" w:hanging="389"/>
        <w:spacing w:after="0" w:line="259" w:lineRule="auto"/>
        <w:tabs>
          <w:tab w:leader="none" w:pos="118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Other companies in our industry may calculate Adjusted EBITDA differently than we do, potentially limiting its usefulness as a comparative measure.</w:t>
      </w:r>
    </w:p>
    <w:p>
      <w:pPr>
        <w:spacing w:after="0" w:line="144"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outbreak of COVID-19 is expected to significantly impact our 2020 and 2021 results. The full extent of the outbreak, related business and travel restrictions and changes to behavior intended to reduce the virus’s spread are uncertain and continue to evolve. While transportation is an essential business, and we have continued to operate without any material business interruptions, there has been significant negative impact to the demand for transportations services.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shipping volumes did not begin to decrease until late March, and the rate of decline increased into the month of April. Given the amount of economic uncertainty, including uncertainty about how and when federal, state and local governments will lift business and travel restrictions, it is difficult to predict how long we may experience negative year-over-year trends and when or if the economic recovery will begin. Additionally, the demand for crude oil has seen a sharp decline during second quarter which will continue to put downward pressure on our fuel surcharge revenues. As shipping revenues decrease, the need to manage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liquidity becomes increasingly important and actions the Company has taken and is currently taking are more fully described in Liquidity and Capital Resources. As of the date of this filing, there have been no significant charges related to bad debt.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have not experienced any significant information technology outages that have impacted day-to-day operations, our control environment and operations continue to operate as they did before the outbreak of COVID-19.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Overview</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the Company launched a multi-year enterprise transformation strategy to achieve long-term profitability and cash flow. Our strategic roadmap was built upon the proven alliance of our LTL regional and national networks, as well as our recently launched multi-mode freight brokerage solutions, to provide a broad portfolio of freight and business services to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accomplished four foundational components during 2019:</w:t>
      </w:r>
    </w:p>
    <w:p>
      <w:pPr>
        <w:spacing w:after="0" w:line="360" w:lineRule="exact"/>
        <w:rPr>
          <w:sz w:val="20"/>
          <w:szCs w:val="20"/>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Ratified a new five-year labor contract</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Refinanced a term loan with improved and more flexible terms</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Reorganized the field leadership structure to streamline decision making and enhance execution</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Completed the reorganization of the enterprise-wide sales force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Going into 2020, the next phase of our transformation includes:</w:t>
      </w:r>
    </w:p>
    <w:p>
      <w:pPr>
        <w:spacing w:after="0" w:line="198" w:lineRule="exact"/>
        <w:rPr>
          <w:sz w:val="20"/>
          <w:szCs w:val="20"/>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Operational optimization</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migration</w:t>
      </w:r>
    </w:p>
    <w:p>
      <w:pPr>
        <w:spacing w:after="0" w:line="184"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Facility evaluation</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primary focus for the next phase of the enterprise transformation strategy is to operationally transform the movement of freight through our network and the technology used in the process. In the initial phase of our plan to optimize operations, which spanned most of 2019, two of our companies operate independently out of the same service center. Under the New NMFA that was ratified on May 14, 2019, we have the opportunity to consolidate service centers across our operating companies to optimize utilization of our assets and resources. We believe service center consolidation presents the greatest opportunity for this initiative. We launched our first consolidation in late 2019, with the emphasis of facility evaluation occurring in 2020. By rationalizing the number of physical locations in the network while maintaining geographic coverage, we will improve density which should allow for improved service for our valued customers. We expect these efforts should allow us to recognize cost savings in our linehaul and pick-up and delivery operations due to improved density, increased asset utilization, and optimization of route planning and labor resources. Over time, this initiative should enhance service and strategically position our network for the growing demand of our customers and their supply chain needs, provide productivity improvements and streamline our cost structure as we seek to optimize resources across the network, in facilities, infrastructure and human capital.</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Capital investment remains a top priority for us. While ongoing investments in equipment and technology remain our primary use of operating cash flows, we understand the importance of balancing liquidity and our ongoing investments with the service and capacity we need to bring to the market. To properly execute on our transformation plan, we are committed to investing in technology in order to enhance the customer experience and improve our operational flexibilities. We intend to consolidate individual operating company systems into a single platform, with the end goal of improving profitability and the customer experience. By streamlining systems, we are providing our customers access to five brands through one network and one enterprise-wide service offering. We remain committed to long-term investment in revenue equipment, as liquidity allows, to improve the age of our fleet as there is an immediate return in improved fuel miles per gallon and reduced vehicle maintenance expense. While COVID-19 is expected to impact our ability to invest in revenue equipment in the short-run, we are not expecting the level of investment in technology to decrease, as it is key to the execution of our strategy.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first quarter 2020 and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Percentage Change in</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(Amounts in millions)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Dollar Amounts</w:t>
            </w:r>
          </w:p>
        </w:tc>
        <w:tc>
          <w:tcPr>
            <w:tcW w:w="0" w:type="dxa"/>
            <w:vAlign w:val="bottom"/>
          </w:tcPr>
          <w:p>
            <w:pPr>
              <w:spacing w:after="0"/>
              <w:rPr>
                <w:sz w:val="1"/>
                <w:szCs w:val="1"/>
                <w:color w:val="auto"/>
              </w:rPr>
            </w:pPr>
          </w:p>
        </w:tc>
      </w:tr>
      <w:tr>
        <w:trPr>
          <w:trHeight w:val="156"/>
        </w:trPr>
        <w:tc>
          <w:tcPr>
            <w:tcW w:w="48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Revenue</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1,182.3</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wages and employee benefits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Fuel, operating expenses and supplies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208.0</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235.9</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Purchased transportation</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expenses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(Gains) losses on property disposals, net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1,122.4</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Nonoperating Expenses: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Nonoperating expenses, net</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38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38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3"/>
                <w:szCs w:val="13"/>
                <w:color w:val="auto"/>
              </w:rPr>
              <w:t>*Not meaningful</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2020 Compared to the First Quarter of 2019</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Results of operations in the first quarter of 2020 were impacted starting the last two weeks of March by the outbreak of COVID-19 as shipping volumes decreased significantly from typical levels. The short-run demand for transportation services has been negatively impacted as the outbreak has already had a material disruption on many of our customers across various industries. Global price wars in crude oil markets provided additional downward pressure on diesel prices that reduced the amount of fuel surcharge revenues the Company was able to price in our services.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operating revenue decreased $31.9 million, or 2.7% during the first quarter primarily as a result of the items noted above that negatively impacted volumes, base yield excluding fuel surcharge and fuel surcharge revenues.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downturn in volume the Company quickly reacted to reduce variable expenses including labor, fuel, maintenance, and purchased transportation, among others. Offsetting these variable expense decreases was an increase in contractual wage and benefit rates, as the New NMFA provided for contractual wage and benefit increases that started retroactive to April 1, 2019. Salaries, wages and employee benefits expenses were impacted by these higher rates as they were not in place during the quarter ending March 31, 2019.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decreased $91.6 million, or 7.5%, primarily as a result of decreases in variable expense and further details are provided below.</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Fuel, operating expenses and supplies. </w:t>
      </w:r>
      <w:r>
        <w:rPr>
          <w:rFonts w:ascii="Arial" w:cs="Arial" w:eastAsia="Arial" w:hAnsi="Arial"/>
          <w:sz w:val="18"/>
          <w:szCs w:val="18"/>
          <w:color w:val="auto"/>
        </w:rPr>
        <w:t>Fuel, operating expenses and supplies decreased $27.9 million, or 11.8%, primarily due to an $11.3 million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fuel expense, which was largely a result of lower fuel prices and fewer miles driven. Additional decreases resulted from a $7.6 million decrease in other operating expenses related to vendor bankruptcy and settlement charges incurred in the prior year with no such expense in the current year and a $5.0 million reduction in professional fees.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net. </w:t>
      </w:r>
      <w:r>
        <w:rPr>
          <w:rFonts w:ascii="Arial" w:cs="Arial" w:eastAsia="Arial" w:hAnsi="Arial"/>
          <w:sz w:val="18"/>
          <w:szCs w:val="18"/>
          <w:color w:val="auto"/>
        </w:rPr>
        <w:t>Gains on property disposals of $39.3 million in the first quarter of 2020 were primarily the result of the sale of one</w:t>
      </w:r>
      <w:r>
        <w:rPr>
          <w:rFonts w:ascii="Arial" w:cs="Arial" w:eastAsia="Arial" w:hAnsi="Arial"/>
          <w:sz w:val="18"/>
          <w:szCs w:val="18"/>
          <w:i w:val="1"/>
          <w:iCs w:val="1"/>
          <w:color w:val="auto"/>
        </w:rPr>
        <w:t xml:space="preserve"> </w:t>
      </w:r>
      <w:r>
        <w:rPr>
          <w:rFonts w:ascii="Arial" w:cs="Arial" w:eastAsia="Arial" w:hAnsi="Arial"/>
          <w:sz w:val="18"/>
          <w:szCs w:val="18"/>
          <w:color w:val="auto"/>
        </w:rPr>
        <w:t>real property.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During the first quarter of 2019, we recorded an $8.2 million impairment charge that reflected the write-down of an intangible asset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rebranding strategies, leading to the discontinued use of that tradename.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first quarter of 2020 and 2019 was (10.3%) and 16.5%, respectively. The significant items impacting the 2020 rate include a benefit recognized due to application of the exception to the rules regarding intraperiod tax allocation, a net state and foreign tax provision, certain permanent items and a change in the valuation allowance established for the net deferred tax asset balance projected for December 31, 2020. The significant items impacting the 2019 rate include a net state and foreign tax provision, certain permanent items and a change in the valuation allowance established for the net deferred tax</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asset balance that had been projected for December 31, 2019.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March 31, 2020 and December 31, 2019, substantially all of our net deferred tax assets were subject to a valuation allowance.</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CARES Act contained certain income tax provisions intended to provide relief to taxpayers, but it will not have any significant impact on our tax rate, current or deferred tax provision, or cash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key revenue metrics for the first quarter of 2020 compared to the first quarter of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First Quarter</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Percent Change</w:t>
            </w:r>
            <w:r>
              <w:rPr>
                <w:rFonts w:ascii="Arial" w:cs="Arial" w:eastAsia="Arial" w:hAnsi="Arial"/>
                <w:sz w:val="12"/>
                <w:szCs w:val="12"/>
                <w:b w:val="1"/>
                <w:bCs w:val="1"/>
                <w:color w:val="auto"/>
                <w:w w:val="91"/>
              </w:rPr>
              <w:t>(b)</w:t>
            </w:r>
          </w:p>
        </w:tc>
      </w:tr>
      <w:tr>
        <w:trPr>
          <w:trHeight w:val="223"/>
        </w:trPr>
        <w:tc>
          <w:tcPr>
            <w:tcW w:w="6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Workdays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LTL picked up revenue (in millions)</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1,049.6</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LTL tonnage (in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LTL tonnage per workday (in thousands)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LTL shipments (in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4,323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LTL shipments per workday (in thousands)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70.73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LTL picked up revenue per hundred weight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20.63</w:t>
            </w:r>
          </w:p>
        </w:tc>
        <w:tc>
          <w:tcPr>
            <w:tcW w:w="14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LTL picked up revenue per hundred weight (excluding fuel surcharge)</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LTL picked up revenue per shipment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LTL picked up revenue per shipment (excluding fuel surcharge)</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LTL weight per shipment (in pounds)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r>
      <w:tr>
        <w:trPr>
          <w:trHeight w:val="229"/>
        </w:trPr>
        <w:tc>
          <w:tcPr>
            <w:tcW w:w="6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15"/>
                <w:szCs w:val="15"/>
                <w:color w:val="auto"/>
              </w:rPr>
              <w:t>(a)</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1,141.4</w:t>
            </w:r>
          </w:p>
        </w:tc>
        <w:tc>
          <w:tcPr>
            <w:tcW w:w="14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1,176.4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tonnage (in thousands)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Total tonnage per workday (in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49.37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shipments (in thousands)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4,426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Total shipments per workday (in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picked up revenue per hundred weight</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picked up revenue per shipment</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Total picked up revenue per shipment (excluding fuel surcharge)</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weight per shipment (in pounds)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r>
      <w:tr>
        <w:trPr>
          <w:trHeight w:val="553"/>
        </w:trPr>
        <w:tc>
          <w:tcPr>
            <w:tcW w:w="6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Reconciliation of operating revenue to total picked up revenue:</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1,150.4</w:t>
            </w:r>
          </w:p>
        </w:tc>
        <w:tc>
          <w:tcPr>
            <w:tcW w:w="120" w:type="dxa"/>
            <w:vAlign w:val="bottom"/>
          </w:tcPr>
          <w:p>
            <w:pPr>
              <w:spacing w:after="0"/>
              <w:rPr>
                <w:sz w:val="19"/>
                <w:szCs w:val="19"/>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1,182.3</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revenue deferral and other</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picked up revenue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1,176.4</w:t>
            </w:r>
          </w:p>
        </w:tc>
        <w:tc>
          <w:tcPr>
            <w:tcW w:w="12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6"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 and the impact of other revenue</w:t>
      </w: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(loss) to EBITDA and EBITDA to Adjusted EBITDA (defined in our New Term Loan Agreement as “Consolidated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first quarter of 2020 and 2019, and the trailing twelve months ended March 31, 2020 and 2019,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Trailing Twelve Months Ended</w:t>
            </w:r>
          </w:p>
        </w:tc>
        <w:tc>
          <w:tcPr>
            <w:tcW w:w="0" w:type="dxa"/>
            <w:vAlign w:val="bottom"/>
          </w:tcPr>
          <w:p>
            <w:pPr>
              <w:spacing w:after="0"/>
              <w:rPr>
                <w:sz w:val="1"/>
                <w:szCs w:val="1"/>
                <w:color w:val="auto"/>
              </w:rPr>
            </w:pPr>
          </w:p>
        </w:tc>
      </w:tr>
      <w:tr>
        <w:trPr>
          <w:trHeight w:val="156"/>
        </w:trPr>
        <w:tc>
          <w:tcPr>
            <w:tcW w:w="576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440" w:type="dxa"/>
            <w:vAlign w:val="bottom"/>
            <w:tcBorders>
              <w:top w:val="single" w:sz="8" w:color="auto"/>
            </w:tcBorders>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March 31, 2020</w:t>
            </w:r>
          </w:p>
        </w:tc>
        <w:tc>
          <w:tcPr>
            <w:tcW w:w="114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Reconciliation of net income (loss) to Adjusted EBITDA</w:t>
            </w:r>
            <w:r>
              <w:rPr>
                <w:rFonts w:ascii="Arial" w:cs="Arial" w:eastAsia="Arial" w:hAnsi="Arial"/>
                <w:sz w:val="15"/>
                <w:szCs w:val="15"/>
                <w:color w:val="auto"/>
              </w:rPr>
              <w:t>(a)</w:t>
            </w: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(49.1)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for New Term Loan Agreement: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Non-cash reserve changes</w:t>
            </w:r>
            <w:r>
              <w:rPr>
                <w:rFonts w:ascii="Arial" w:cs="Arial" w:eastAsia="Arial" w:hAnsi="Arial"/>
                <w:sz w:val="15"/>
                <w:szCs w:val="15"/>
                <w:color w:val="auto"/>
              </w:rPr>
              <w:t>(b)</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Letter of credit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Permitted dispositions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Equity-based compensation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Non-union pension settlement charge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 amounts subject to 10% threshold</w:t>
            </w:r>
            <w:r>
              <w:rPr>
                <w:rFonts w:ascii="Arial" w:cs="Arial" w:eastAsia="Arial" w:hAnsi="Arial"/>
                <w:sz w:val="15"/>
                <w:szCs w:val="15"/>
                <w:color w:val="auto"/>
              </w:rPr>
              <w:t>(c)</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Adjusted EBITDA prior to 10% threshold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Adjustments pursuant to TTM calculation</w:t>
            </w:r>
            <w:r>
              <w:rPr>
                <w:rFonts w:ascii="Arial" w:cs="Arial" w:eastAsia="Arial" w:hAnsi="Arial"/>
                <w:sz w:val="15"/>
                <w:szCs w:val="15"/>
                <w:color w:val="auto"/>
              </w:rPr>
              <w:t>(c)</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7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300" w:type="dxa"/>
            <w:vAlign w:val="bottom"/>
          </w:tcPr>
          <w:p>
            <w:pPr>
              <w:spacing w:after="0"/>
              <w:rPr>
                <w:sz w:val="19"/>
                <w:szCs w:val="19"/>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0</wp:posOffset>
            </wp:positionV>
            <wp:extent cx="3411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400" w:hanging="392"/>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reclassifications have been made to prior year to conform to current year presentation.</w:t>
      </w:r>
    </w:p>
    <w:p>
      <w:pPr>
        <w:ind w:left="400" w:hanging="392"/>
        <w:spacing w:after="0" w:line="221" w:lineRule="auto"/>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Non-cash reserve changes reflect the net non-cash reserve charge for union and non-union vacation, with such non-cash reserve adjustment to be reduced by cash charges in a future period when paid.</w:t>
      </w:r>
    </w:p>
    <w:p>
      <w:pPr>
        <w:jc w:val="both"/>
        <w:ind w:left="400" w:hanging="392"/>
        <w:spacing w:after="0" w:line="229" w:lineRule="auto"/>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the New Term Loan Agreement, Adjusted EBITDA limits certain adjustments in aggregate to 10% of the trailing-twelve-month (“TTM”) consolidated Adjusted EBITDA, prior to the inclusion of amounts subject to the 10% threshold, for each period ending. Such adjustments include, but are not limited to, restructuring charges, integration costs, severance, and non-recurring charges. The limitation calculation is updated quarterly based on TTM Adjusted EBITDA, and any necessary adjustment resulting from this limitation, if applicable, will be presented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-676910</wp:posOffset>
            </wp:positionV>
            <wp:extent cx="34118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principal sources of liquidity are cash and cash equivalents, available borrowings under our asset-based loan facility and any prospective net cash flow from operations. As of March 31, 2020, our maximum availability under our ABL Facility was $59.2 million, and our managed accessibility was $19.1 million. Maximum availability is derived by reducing the amount that may be advanced against eligible receivables plus eligible borrowing base cash by certain reserves imposed by the ABL Agent and our $341.3 million of outstanding letters of credit. Our Managed Accessibility of $19.1 million represents the maximum amount we would access on the ABL Facility and is adjusted for eligible receivables plus eligible borrowing base cash measured at March 31, 2020. The credit agreement governing the ABL Facility permits adjustments from eligible borrowing base cash to restricted cash prior to the compliance measurement date of April 15, 2020. As of April 15, 2020, we moved $5.0 million of cash into restricted cash, as permitted under the ABL Facility, which effectively put our cash and cash equivalents and Managed Accessibility to $118.0 million as of March 31, 2020.</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December 31, 2019 borrowing base certificate, which was filed in January of 2020, we transferred $29.0 million of cash into restricted cash to maintain the 10% threshold, as permitted under the ABL Facility, which transfer effectively put our cash and cash equivalents and Managed Accessibility to $80.4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table below summarizes cash and cash equivalents and Managed Accessibility as of March 31, 2020 and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Less: amounts placed into restricted cash subsequent to period end</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Accessibility</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r>
      <w:tr>
        <w:trPr>
          <w:trHeight w:val="224"/>
        </w:trPr>
        <w:tc>
          <w:tcPr>
            <w:tcW w:w="7720" w:type="dxa"/>
            <w:vAlign w:val="bottom"/>
            <w:gridSpan w:val="2"/>
          </w:tcPr>
          <w:p>
            <w:pPr>
              <w:spacing w:after="0"/>
              <w:rPr>
                <w:sz w:val="20"/>
                <w:szCs w:val="20"/>
                <w:color w:val="auto"/>
              </w:rPr>
            </w:pPr>
            <w:r>
              <w:rPr>
                <w:rFonts w:ascii="Arial" w:cs="Arial" w:eastAsia="Arial" w:hAnsi="Arial"/>
                <w:sz w:val="18"/>
                <w:szCs w:val="18"/>
                <w:color w:val="auto"/>
              </w:rPr>
              <w:t>Total cash and cash equivalents and Managed Accessibility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r>
    </w:tbl>
    <w:p>
      <w:pPr>
        <w:spacing w:after="0" w:line="25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non-union pension plans, and meeting our other cash obligations including, but not limited to, paying principal and interest on our funded debt, making payments on our equipment leases, and funding capital expenditures.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2020, we had $879.9 million in aggregate par value of outstanding indebtedness, the majority of which matures in approximately three to five years. We also have future funding obligations for our various multi-employer health, welfare and pension funds and non-union pension plans. In addition, we have, and will continue to have, operating lease obligations. As of March 31, 2020, our operating lease payment obligations through 2030 totaled $411.4 million. For the first quarter of 2020, we entered into new operating leases for revenue equipment totaling $0.5 million in future lease payments, payable over an average lease term of four years.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for the first quarter of 2020 and 2019 were $12.4 million and $32.6 million, respectively. These amounts were principally used to fund the purchase of new and used revenue equipment, for capitalized costs to improve our technology infrastructure and to refurbish engines for our revenue fleet. For the quarter ended March 31,2020, we entered into new operating lease commitments for revenue equipment with a capital equivalent value of $0.7 million.</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response to the uncertainty related to cash flows associated with COVID-19, the Company began taking liquidity preservation efforts late in the first quarter of 2020. These measures include the reduction of capital expenditures, temporary deferrals of operating lease payments, union health &amp; welfare payments, contributions to our non-union and multi-employer pension plans, among other items. The funding to various pension funds is dependent on the economic environment, and as such, we are unable to determine the amount of contributions that will be made during 2020 at this time.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our Standard &amp; Poor’s Corporate Family Rating was “B-” and Moody’s Investor Service Corporate Family Rating was “Caa1.” On April 6, 2020 Standard &amp; Poor’s lowered our rating to “CCC+.”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New Term Loan Agreement includes a financial covenant requirement for the Company to maintain a minimum of $200.0 million trailing-twelve-month Adjusted EBITDA, measured quarterly. Consolidated Adjusted EBITDA, defined in our New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The definition was further modified under the New Term Loan Agreement such that certain expenses that qualify as adjustments are capped at 10.0% of the trailing-twelve-month Adjusted EBITDA, in aggregate.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SEC filings, in accordance with its definition in the Prior Term Loan Agreement, will not be included in the calculation of Adjusted EBITDA under the New Term Loan Agreement.</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we amended the New Term Loan Agreement. The Amendment provides for a waiver of the minimum Consolidated EBITDA financial covenant for the testing periods ending on each fiscal quarter in the fiscal year ending December 31, 2020. The Amendment, however, requires that for the period commencing on the effective date of the Amendment and through the first fiscal quarter reporting period after January 1, 2021 in which Consolidated EBITDA for the TTM period ending as of the last day of such fiscal quarter is greater than $200.0 million (the “Specified Period”), the Company maintain $55.0 million of “Liquidity” (such amount being calculated as the Company’s and New Term Loan’s guarantors’ unrestricted cash on hand plus the amount of “Availability” (as defined in the loan agreement for the ABL Facility) to the extent such Availability could be borrowed under the ABL Facility) measured twice each week. The Amendment also provides for certain anti-cash hoarding covenants, which require mandatory prepayments of the term loans with the amount of any cash on the Company’s balance sheet in excess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$200.0 million to the extent the condition to make voluntary prepayments of term loans under the ABL Facility is satisfied, which prepayments could adversely affect our cash balances.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Liquidity and Compliance with Credit Facility Financial Covenants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2019, the freight industry experienced a recession. This recession appeared to have stabilized in the first quarter of 2020. However, beginning the last two weeks of March our industry and the economy at-large experienced a precipitous and significant decline in economic activity due to the impact that COVID-19. The COVID-19 pandemic and related economic repercussions have created significant uncertainty and has resulted in a significant decrease in the volume that was expected during 2020 by both the Company and the industry as a whole. As COVID-19 is expected to negatively impact our liquidity levels, in order to maintain adequate liquidity to fund our operations the Company began taking liquidity preservation actions in late March and early April including layoffs, furloughs, further eliminations of short-term incentive compensation and reductions in capital expenditures, and we have sought deferment of payments to various parties. As discussed further in Note 3, we also amended our New Term Loan Agreement to eliminate the vast majority of interest owed in cash for the first half of 2020. Further, we benefited from the support afforded to us under the CARES Act which has provided temporary relief related to the payment of employer payroll taxes and non-union pension payments. Further actions are currently being pursued to preserve liquidity as necessary over the duration of the current economic downturn. Not all of these actions are within our control. Given the significant uncertainty arising from the COVID-19 pandemic and the related economic repercussions, there can be no assurance that our efforts to maintain adequate liquidity will be achieved.</w:t>
      </w:r>
    </w:p>
    <w:p>
      <w:pPr>
        <w:spacing w:after="0" w:line="1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Under the New Term Loan, we are required to maintain at least $200.0 million in Adjusted EBITDA on a TTM basis measured each quarter until maturity. For the TTM period ended March 31, 2020, we achieved Adjusted EBITDA of $214.6 million. In April 2020, we amended the New Term Loan to waive the Adjusted EBITDA covenant for every quarter of the year through and including December 31, 2020. While we obtained relief from this covenant for the duration of 2020, based on current projections and primarily as a result that COVID-19 had on our business, we do not believe that our results of operations will allow us to comply with the minimum Adjusted EBITDA covenant at March 31, 2021, which is within twelve months of the issuance date of the financial statements included in this report. We intend to amend the New Term Loan again; however, obtaining an amendment is not within our control. If we are unable to comply with our covenants, the New Term Loan lenders may exercise their rights available to them under the New Term Loan credit agreement. As such, absent governmental assistance or a meaningful stabilization of the economy in the near term, our ability to comply with our debt covenants for a period of one year from the date these financial statements have been issued, and our ability to generate sufficient cash flows and liquidity to fund operations raises substantial doubt about our ability to continue as a going concern, as defined in ASC 205-40, </w:t>
      </w:r>
      <w:r>
        <w:rPr>
          <w:rFonts w:ascii="Arial" w:cs="Arial" w:eastAsia="Arial" w:hAnsi="Arial"/>
          <w:sz w:val="16"/>
          <w:szCs w:val="16"/>
          <w:i w:val="1"/>
          <w:iCs w:val="1"/>
          <w:color w:val="auto"/>
        </w:rPr>
        <w:t>Going Concern</w:t>
      </w:r>
      <w:r>
        <w:rPr>
          <w:rFonts w:ascii="Arial" w:cs="Arial" w:eastAsia="Arial" w:hAnsi="Arial"/>
          <w:sz w:val="16"/>
          <w:szCs w:val="16"/>
          <w:color w:val="auto"/>
        </w:rPr>
        <w:t>.</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cannot provide assurances that we will be able to comply with the Liquidity financial covenant during the Specified Period provided for in the Amendment. While a number of actions are being taken to manage liquidity, the duration of the current economic slowdown is uncertain, and these actions may not be sufficient if the economic environment is impacted for a sustained period of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operating activities was $15.6 million during the first quarter of 2020, compared to $41.7 million of cash used during the first quarter of 2019. The decrease in cash used was primarily attributable to timing differences in working capital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investing activities was $32.6 million during the first quarter of 2020 compared to $31.8 million used during the first quarter of 2019. The increase of $62.3 million was largely driven by cash proceeds from the sale of real property as well as less capital spend on revenue equipment acquisitions.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for the first quarter of 2020 and 2019 was $20.3 million and $2.5 million, respectively. The use of cash is primarily related to repayments on our long-term debt with proceeds from the sale of real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sections provide aggregated information regarding our contractual cash obligations and other commercial commitments as of March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March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2"/>
              </w:rPr>
              <w:t>Payments Due by Period</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80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3"/>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4"/>
                <w:szCs w:val="14"/>
                <w:color w:val="auto"/>
              </w:rPr>
            </w:pPr>
          </w:p>
        </w:tc>
        <w:tc>
          <w:tcPr>
            <w:tcW w:w="80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ABL Facility</w:t>
            </w:r>
            <w:r>
              <w:rPr>
                <w:rFonts w:ascii="Arial" w:cs="Arial" w:eastAsia="Arial" w:hAnsi="Arial"/>
                <w:sz w:val="15"/>
                <w:szCs w:val="15"/>
                <w:color w:val="auto"/>
              </w:rPr>
              <w:t>(a)</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Term Loan</w:t>
            </w:r>
            <w:r>
              <w:rPr>
                <w:rFonts w:ascii="Arial" w:cs="Arial" w:eastAsia="Arial" w:hAnsi="Arial"/>
                <w:sz w:val="15"/>
                <w:szCs w:val="15"/>
                <w:color w:val="auto"/>
              </w:rPr>
              <w:t>(b)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r>
              <w:rPr>
                <w:rFonts w:ascii="Arial" w:cs="Arial" w:eastAsia="Arial" w:hAnsi="Arial"/>
                <w:sz w:val="15"/>
                <w:szCs w:val="15"/>
                <w:color w:val="auto"/>
              </w:rPr>
              <w:t>(c)</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Pension deferral obligations</w:t>
            </w:r>
            <w:r>
              <w:rPr>
                <w:rFonts w:ascii="Arial" w:cs="Arial" w:eastAsia="Arial" w:hAnsi="Arial"/>
                <w:sz w:val="15"/>
                <w:szCs w:val="15"/>
                <w:color w:val="auto"/>
              </w:rPr>
              <w:t>(d)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5"/>
              </w:rPr>
              <w:t>Workers’ compensation and third-party liability claims obligations</w:t>
            </w:r>
            <w:r>
              <w:rPr>
                <w:rFonts w:ascii="Arial" w:cs="Arial" w:eastAsia="Arial" w:hAnsi="Arial"/>
                <w:sz w:val="15"/>
                <w:szCs w:val="15"/>
                <w:color w:val="auto"/>
                <w:w w:val="95"/>
              </w:rPr>
              <w:t>(e)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(f)</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contractual obligations</w:t>
            </w:r>
            <w:r>
              <w:rPr>
                <w:rFonts w:ascii="Arial" w:cs="Arial" w:eastAsia="Arial" w:hAnsi="Arial"/>
                <w:sz w:val="15"/>
                <w:szCs w:val="15"/>
                <w:color w:val="auto"/>
              </w:rPr>
              <w:t>(g)</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Capital expenditure obligations</w:t>
            </w:r>
            <w:r>
              <w:rPr>
                <w:rFonts w:ascii="Arial" w:cs="Arial" w:eastAsia="Arial" w:hAnsi="Arial"/>
                <w:sz w:val="15"/>
                <w:szCs w:val="15"/>
                <w:color w:val="auto"/>
              </w:rPr>
              <w:t>(h)</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and unused line fees and are not included on the Company’s consolidated balance sheets.</w:t>
      </w:r>
    </w:p>
    <w:p>
      <w:pPr>
        <w:ind w:left="400" w:hanging="392"/>
        <w:spacing w:after="0" w:line="221"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unamortized discounts.</w:t>
      </w:r>
    </w:p>
    <w:p>
      <w:pPr>
        <w:ind w:left="400" w:hanging="392"/>
        <w:spacing w:after="0" w:line="221"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lease financing obligations include interest payments of $346.9 million and principal payments of $3.4 million. The remaining principal obligation is offset by the estimated book value of leased property at the expiration date of each lease agreement.</w:t>
      </w:r>
    </w:p>
    <w:p>
      <w:pPr>
        <w:ind w:left="400" w:hanging="392"/>
        <w:spacing w:after="0" w:line="221"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w:t>
      </w:r>
    </w:p>
    <w:p>
      <w:pPr>
        <w:ind w:left="400" w:hanging="392"/>
        <w:spacing w:after="0"/>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ind w:left="400" w:hanging="392"/>
        <w:spacing w:after="0" w:line="221"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Operating leases represent future payments under contractual lease arrangements primarily for revenue equipment.</w:t>
      </w:r>
    </w:p>
    <w:p>
      <w:pPr>
        <w:ind w:left="400" w:hanging="392"/>
        <w:spacing w:after="0" w:line="221"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contractual obligations include future service agreements and certain maintenance agreements and are not included on the Company’s consolidated balance sheets.</w:t>
      </w:r>
    </w:p>
    <w:p>
      <w:pPr>
        <w:ind w:left="400" w:right="20" w:hanging="392"/>
        <w:spacing w:after="0" w:line="237" w:lineRule="auto"/>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Capital expenditures and other obligations primarily include noncancelable orders for revenue equipment the Company will either purchase or lease. If leased, the cash obligations will be scheduled over the multi-year term of the lease and ROU assets and liabilities will be recorded upon lease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-960120</wp:posOffset>
            </wp:positionV>
            <wp:extent cx="37630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5"/>
              </w:rPr>
              <w:t>Amount of Commitment Expiration Per Period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8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4"/>
                <w:szCs w:val="14"/>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ABL Facility availability</w:t>
            </w:r>
            <w:r>
              <w:rPr>
                <w:rFonts w:ascii="Arial" w:cs="Arial" w:eastAsia="Arial" w:hAnsi="Arial"/>
                <w:sz w:val="15"/>
                <w:szCs w:val="15"/>
                <w:color w:val="auto"/>
              </w:rPr>
              <w:t>(a)</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Letters of credit</w:t>
            </w:r>
            <w:r>
              <w:rPr>
                <w:rFonts w:ascii="Arial" w:cs="Arial" w:eastAsia="Arial" w:hAnsi="Arial"/>
                <w:sz w:val="15"/>
                <w:szCs w:val="15"/>
                <w:color w:val="auto"/>
              </w:rPr>
              <w:t>(b)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Surety bonds</w:t>
            </w:r>
            <w:r>
              <w:rPr>
                <w:rFonts w:ascii="Arial" w:cs="Arial" w:eastAsia="Arial" w:hAnsi="Arial"/>
                <w:sz w:val="15"/>
                <w:szCs w:val="15"/>
                <w:color w:val="auto"/>
              </w:rPr>
              <w:t>(c)</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Total commercial commitments</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0</wp:posOffset>
            </wp:positionV>
            <wp:extent cx="37630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 w:lineRule="exact"/>
        <w:rPr>
          <w:sz w:val="20"/>
          <w:szCs w:val="20"/>
          <w:color w:val="auto"/>
        </w:rPr>
      </w:pPr>
    </w:p>
    <w:p>
      <w:pPr>
        <w:ind w:left="400" w:right="20" w:hanging="392"/>
        <w:spacing w:after="0" w:line="230" w:lineRule="auto"/>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400" w:right="20" w:hanging="392"/>
        <w:spacing w:after="0" w:line="221" w:lineRule="auto"/>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400" w:hanging="392"/>
        <w:spacing w:after="0" w:line="237" w:lineRule="auto"/>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-582930</wp:posOffset>
            </wp:positionV>
            <wp:extent cx="3763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off-balance sheet arrangements except for other contractual obligations for service agreements and capital purchases, letters of credit and surety bonds, which are reflected in the above tables.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jc w:val="both"/>
        <w:spacing w:after="0" w:line="275" w:lineRule="auto"/>
        <w:rPr>
          <w:sz w:val="20"/>
          <w:szCs w:val="20"/>
          <w:color w:val="auto"/>
        </w:rPr>
      </w:pPr>
      <w:r>
        <w:rPr>
          <w:rFonts w:ascii="Arial" w:cs="Arial" w:eastAsia="Arial" w:hAnsi="Arial"/>
          <w:sz w:val="17"/>
          <w:szCs w:val="17"/>
          <w:color w:val="auto"/>
        </w:rPr>
        <w:t>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2020 and have concluded that our disclosure controls and procedures were effective as of March 31, 2020.</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March 31, 2020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u w:val="single" w:color="auto"/>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below and as discussed in Part I, Item IA. “Risk Factors” in our Annual Report on Form 10-K for the year ended December 31, 2019, which could materially affect our business, financial condition or future results. The risks described below and in our Annual Report on Form 10-K are not the only risks facing us. Additional risks and uncertainties not currently known to us or that we currently deem to be immaterial also may eventually prove to materially adversely affect our business, financial condition and/or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212529"/>
        </w:rPr>
        <w:t>The widespread outbreak of an illness or any other communicable disease, including the effects of pandemics, or any other public health crisis, as well as regulatory measures implemented in response to such events, could adversely affect our business, results of operations, financial condition and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Our business could be negatively impacted by the widespread outbreak of an illness or any other communicable disease or other public health crisis.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Measures intended to prevent the spread of a health epidemic could also have an adverse effect on our business.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has, and is expected to continue to, adversely impact economic activity and conditions worldwide and created significant volatility and disruption to financial markets. Efforts to control the spread of COVID-19 have led governments and other authorities to impose restrictions such as travel bans and limits, quarantines, shelter-in-place orders, increased border and port controls and closures and shutdowns which have resulted in business closures and disrupted supply chains worldwide. The COVID-19 pandemic and measures taken to prevent its spread have negatively impacted demand for our services, and thus our shipment and tonnage levels, and has prevented us from delivering some freight in our network due to recipients that have closed their businesses to deliveries during the COVID-19 pandemic. There is considerable uncertainty regarding such measures and potential future measures, all of which could result in lower volume and negatively impact our operational results and our liquidity.</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continuing to monitor developments involving our workforce, customers and third-party service providers. The extent of the impact of the COVID-19 pandemic on our business is highly uncertain and will depend on future developments, including the duration and severity of the pandemic and government restrictions imposed in response to the pandemic. An extended period of economic disruption and resulting declines in industrial production and manufacturing, consumer spending, and demand for our services, as well as the ability of our customers and other business partners to fulfill their obligations, could have a material adverse effect on our results of operations, financial condition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U.S. government has announced several programs that are intended to assist businesses during the COVID-19 pandemic.</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programs are not fully developed or available at this time. Even if we were able to qualify for such assistance, we cannot predict the manner in which any assistance would be allocated or administered and we cannot assure you that we would be able to access such assistance in a timely manner or at all. Certain of the benefits under these U.S. governmental programs have not previously been administered on the present scale or at all. Government or third party program administrators may be unable to cope with the volume of applications in the near term and any benefits we may receive may not be as extensive as those for which we might apply, may impose additional conditions and restrictions on our operations or may otherwise provide less relief than we would contemplate. We cannot assure that any such government crisis relief assistance, if we were to choose to accept it, will not significantly limit our corporate activities or be on terms that are favorable to us. Such restrictions and terms could adversely impact our business and operations.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description of risks related to general economic factors, including national health epidemics, are also described under “Item 1A. Risk Factors” in our 2019 annual report on Form 10-K within the risk factor titled “We are subject to general economic factors that are largely out of our control,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Financial and Liquidity Risks</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documents governing our indebtedness contain financial covenants, affirmative covenants requiring us to take certain actions and negative covenants restricting our ability to take certain actions. In particular, our amended New Term Loan Agreement contains a financial covenant as described below. Our ABL Facility also contains certain affirmative and negative covenants with which we must comply. Our trailing-twelve-months Adjusted EBITDA and our liquidity (as described below) as of March 31, 2020 was $214.6 million and $118.0 million, respectively.</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7, 2020, we entered into the Amendment to our New Term Loan Agreement that provides for a waiver of the minimum Consolidated EBITDA financial covenant for the testing periods ending on each fiscal quarter in the fiscal year ending December 31, 2020. The Amendment, however, requires that for the period commencing on the effective date of the Amendment and through the first fiscal quarter reporting period after January 1, 2021 in which Consolidated EBITDA for the TTM period ending as of the last day of such fiscal quarter is greater than $200.0 million, also referred to as the “Specified Period”, the Company maintain $55.0 million of “Liquidity” (such amount being calculated as the Company’s and New Term Loan’s guarantors’ unrestricted cash on hand plus the amount of “Availability” (as defined in the loan agreement for the “ABL Facility”) to the extent such Availability could be borrowed under the ABL Facility measured twice each week, also referred to as the “Liquidity covenant.” The Amendment also provides for certain anti-cash hoarding covenants, which require mandatory prepayments of the term loans with the amount of any cash on the Company’s balance sheet in excess of $200.0 million to the extent the condition to make voluntary prepayments of term loans under the ABL Facility is satisfied, which prepayments could adversely affect our cash balances.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While we obtained relief from the minimum Consolidated EBITDA covenant for the duration of 2020 as a result of the Amendment, we do not believe that our results of operations will allow us to comply with this covenant at March 31, 2021, which is inside the next twelve months beyond the issuance date of the financial statements included in this report. We also cannot provide assurances that we will be able to comply with the Liquidity financial covenant during the Specified Period provided for in the Amendment. Therefore, we have substantial doubt about our ability to continue as a going concern as defined by Accounting Standards Codification (“ASC”) 205-40, </w:t>
      </w:r>
      <w:r>
        <w:rPr>
          <w:rFonts w:ascii="Arial" w:cs="Arial" w:eastAsia="Arial" w:hAnsi="Arial"/>
          <w:sz w:val="18"/>
          <w:szCs w:val="18"/>
          <w:i w:val="1"/>
          <w:iCs w:val="1"/>
          <w:color w:val="auto"/>
        </w:rPr>
        <w:t>Going Concern</w:t>
      </w:r>
      <w:r>
        <w:rPr>
          <w:rFonts w:ascii="Arial" w:cs="Arial" w:eastAsia="Arial" w:hAnsi="Arial"/>
          <w:sz w:val="18"/>
          <w:szCs w:val="18"/>
          <w:color w:val="auto"/>
        </w:rPr>
        <w:t>.</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(defined in our New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integration costs, severance, non-recurring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Adjusted EBITDA in such future period to the extent paid). As compared to the definition of Adjusted EBITDA in our Prior Term Loan Agreement, certain expenses that qualify as adjustments are capped at 10.0% of the TTM Adjusted EBITDA.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SEC filings prior to our Quarterly Report on Form 10-Q for the quarter ended September 30 2019 in accordance with its definition in the Prior Term Loan Agreement, will not be included in the calculation of Adjusted EBITDA under the New Term Loan Agreement.</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the minimum Liquidity requirement while it is applicable and our minimum TTM Adjusted EBITDA requirement when that covenant holiday passes (collectively, the “Financial Covenants”) is dependent upon governmental assistance or substantial improvements of the national economy restoring economic activity consistent with levels experienced before the outbreak of COVID-19. We will need to further reduce costs if we have lower shipping volumes in order to offset the contractual wage and benefit increases under the New NMFA. As necessary, we will extend and supplement the actions we have taken that impact our forecasted performance.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cash interest savings on the first two quarterly interest payments of 2020, by paying almost all of such interest in-kind, provided under the Amendment, we have taken actions to protect liquidity that include headcount reductions commensurate with our current volume levels, a hiring freeze on new and replacement positions, temporary elimination of short-term incentive compensation, and significant reductions in discretionary spend. Significant adverse conditions, which may result from the effects of COVID-19, changes in global trade policies or increased contraction in the general economy, may impact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6"/>
          <w:szCs w:val="16"/>
          <w:color w:val="auto"/>
        </w:rPr>
        <w:t>ability to satisfy the Financial Covenants. If we are unable to achieve the results required to comply with the applicable Financial Covenants in one or more quarters over the next twelve months, we may be required to take specific actions, including but not limited to, additional reductions in headcount, targeted procurement initiatives and accelerated implantation of network optimization to reduce operating costs, as well as specific initiatives in the areas of pricing and customer engagement, and other operational actions to improve productivity and efficiency, as well as increased volume. We also intend to seek additional assistance under new and developing U.S. governmental programs intended to provide relief from the COVID-19 pandemic. Not all of these actions are within our control. Further, we may need to seek another waiver or amendment from our lenders under the New Term Loan Agreement prior to the March 31, 2021 covenant calculation. If we are unable to satisfy our financial covenants or obtain a waiver or an amendment from our lenders, or take other remedial measures, we will be in default under our credit facilities, which would enable lenders thereunder to accelerate the repayment of amounts outstanding and exercise remedies with respect to the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as well as increase our funding obligations under our pension plans. Our ability to amend our credit facilities or otherwise obtain waivers from our lenders depends on matters that are outside of our control and there can be no assurance that we will be successful in that regard. In addition, any covenant breach or event of default could harm our credit rating and our ability to obtain financing on acceptable terms. The occurrence of any of these events could have a material adverse effect on our 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12"/>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Amendment No. 1 to Credit Agreement, dated April 7, 2020, by and among the Company, as borrower, the subsidiaries of the borrower</w:t>
              </w:r>
            </w:hyperlink>
          </w:p>
        </w:tc>
        <w:tc>
          <w:tcPr>
            <w:tcW w:w="2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party thereto from time to time, the lenders from time to time party thereto, and Cortland Products Corp., as administrative agent and</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collateral agent for the lenders.</w:t>
              </w:r>
            </w:hyperlink>
          </w:p>
        </w:tc>
        <w:tc>
          <w:tcPr>
            <w:tcW w:w="7320" w:type="dxa"/>
            <w:vAlign w:val="bottom"/>
            <w:tcBorders>
              <w:top w:val="single" w:sz="8" w:color="0000EE"/>
            </w:tcBorders>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9"/>
          </w:tcPr>
          <w:p>
            <w:pPr>
              <w:spacing w:after="0"/>
              <w:rPr>
                <w:rFonts w:ascii="Arial" w:cs="Arial" w:eastAsia="Arial" w:hAnsi="Arial"/>
                <w:sz w:val="18"/>
                <w:szCs w:val="18"/>
                <w:color w:val="0000EE"/>
                <w:w w:val="92"/>
              </w:rPr>
            </w:pPr>
            <w:hyperlink w:anchor="page220">
              <w:r>
                <w:rPr>
                  <w:rFonts w:ascii="Arial" w:cs="Arial" w:eastAsia="Arial" w:hAnsi="Arial"/>
                  <w:sz w:val="18"/>
                  <w:szCs w:val="18"/>
                  <w:color w:val="0000EE"/>
                  <w:w w:val="92"/>
                </w:rPr>
                <w:t>Certification of Darren D. Hawkins filed pursuant to Exchange Act Rules 13a-14 and 15d-14, as adopted pursuant to Section 302 of the</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Sarbanes-Oxley Act of 2002.</w:t>
              </w:r>
            </w:hyperlink>
          </w:p>
        </w:tc>
        <w:tc>
          <w:tcPr>
            <w:tcW w:w="20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9"/>
          </w:tcPr>
          <w:p>
            <w:pPr>
              <w:spacing w:after="0"/>
              <w:rPr>
                <w:rFonts w:ascii="Arial" w:cs="Arial" w:eastAsia="Arial" w:hAnsi="Arial"/>
                <w:sz w:val="18"/>
                <w:szCs w:val="18"/>
                <w:color w:val="0000EE"/>
                <w:w w:val="93"/>
              </w:rPr>
            </w:pPr>
            <w:hyperlink w:anchor="page221">
              <w:r>
                <w:rPr>
                  <w:rFonts w:ascii="Arial" w:cs="Arial" w:eastAsia="Arial" w:hAnsi="Arial"/>
                  <w:sz w:val="18"/>
                  <w:szCs w:val="18"/>
                  <w:color w:val="0000EE"/>
                  <w:w w:val="93"/>
                </w:rPr>
                <w:t>Certification of Jamie G. Pierson filed pursuant to Exchange Act Rules 13a-14 and 15d-14, as adopted pursuant to Section 302 of the</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Sarbanes-Oxley Act of 2002.</w:t>
              </w:r>
            </w:hyperlink>
          </w:p>
        </w:tc>
        <w:tc>
          <w:tcPr>
            <w:tcW w:w="380" w:type="dxa"/>
            <w:vAlign w:val="bottom"/>
            <w:gridSpan w:val="3"/>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22">
              <w:r>
                <w:rPr>
                  <w:rFonts w:ascii="Arial" w:cs="Arial" w:eastAsia="Arial" w:hAnsi="Arial"/>
                  <w:sz w:val="18"/>
                  <w:szCs w:val="18"/>
                  <w:color w:val="0000EE"/>
                  <w:w w:val="90"/>
                </w:rPr>
                <w:t>Certification of Darren D. Hawkins furnished pursuant to 18 U.S.C. Section 1350, as adopted pursuant to Section 906 of the Sarbanes-</w:t>
              </w:r>
            </w:hyperlink>
          </w:p>
        </w:tc>
        <w:tc>
          <w:tcPr>
            <w:tcW w:w="26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22">
              <w:r>
                <w:rPr>
                  <w:rFonts w:ascii="Arial" w:cs="Arial" w:eastAsia="Arial" w:hAnsi="Arial"/>
                  <w:sz w:val="18"/>
                  <w:szCs w:val="18"/>
                  <w:color w:val="0000EE"/>
                  <w:w w:val="92"/>
                </w:rPr>
                <w:t>Oxley Act of 2002.</w:t>
              </w:r>
            </w:hyperlink>
          </w:p>
        </w:tc>
        <w:tc>
          <w:tcPr>
            <w:tcW w:w="8560" w:type="dxa"/>
            <w:vAlign w:val="bottom"/>
            <w:gridSpan w:val="7"/>
          </w:tcPr>
          <w:p>
            <w:pPr>
              <w:spacing w:after="0"/>
              <w:rPr>
                <w:sz w:val="17"/>
                <w:szCs w:val="17"/>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23">
              <w:r>
                <w:rPr>
                  <w:rFonts w:ascii="Arial" w:cs="Arial" w:eastAsia="Arial" w:hAnsi="Arial"/>
                  <w:sz w:val="18"/>
                  <w:szCs w:val="18"/>
                  <w:color w:val="0000EE"/>
                  <w:w w:val="89"/>
                </w:rPr>
                <w:t>Certification of Jamie G. Pierson furnished pursuant to 18 U.S.C. Section 1350, as adopted pursuant to Section 906 of the Sarbanes-Oxley</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23">
              <w:r>
                <w:rPr>
                  <w:rFonts w:ascii="Arial" w:cs="Arial" w:eastAsia="Arial" w:hAnsi="Arial"/>
                  <w:sz w:val="18"/>
                  <w:szCs w:val="18"/>
                  <w:color w:val="0000EE"/>
                  <w:w w:val="91"/>
                </w:rPr>
                <w:t>Act of 2002.</w:t>
              </w:r>
            </w:hyperlink>
          </w:p>
        </w:tc>
        <w:tc>
          <w:tcPr>
            <w:tcW w:w="9040" w:type="dxa"/>
            <w:vAlign w:val="bottom"/>
            <w:gridSpan w:val="8"/>
          </w:tcPr>
          <w:p>
            <w:pPr>
              <w:spacing w:after="0"/>
              <w:rPr>
                <w:sz w:val="17"/>
                <w:szCs w:val="17"/>
                <w:color w:val="auto"/>
              </w:rPr>
            </w:pPr>
          </w:p>
        </w:tc>
      </w:tr>
      <w:tr>
        <w:trPr>
          <w:trHeight w:val="453"/>
        </w:trPr>
        <w:tc>
          <w:tcPr>
            <w:tcW w:w="12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2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2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2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YRC WORLDWIDE INC.</w:t>
            </w:r>
          </w:p>
        </w:tc>
      </w:tr>
      <w:tr>
        <w:trPr>
          <w:trHeight w:val="648"/>
        </w:trPr>
        <w:tc>
          <w:tcPr>
            <w:tcW w:w="3480" w:type="dxa"/>
            <w:vAlign w:val="bottom"/>
          </w:tcPr>
          <w:p>
            <w:pPr>
              <w:spacing w:after="0"/>
              <w:rPr>
                <w:sz w:val="20"/>
                <w:szCs w:val="20"/>
                <w:color w:val="auto"/>
              </w:rPr>
            </w:pPr>
            <w:r>
              <w:rPr>
                <w:rFonts w:ascii="Arial" w:cs="Arial" w:eastAsia="Arial" w:hAnsi="Arial"/>
                <w:sz w:val="18"/>
                <w:szCs w:val="18"/>
                <w:color w:val="auto"/>
              </w:rPr>
              <w:t>Date: May 11, 2020</w:t>
            </w:r>
          </w:p>
        </w:tc>
        <w:tc>
          <w:tcPr>
            <w:tcW w:w="2200" w:type="dxa"/>
            <w:vAlign w:val="bottom"/>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Darren D. Hawkins</w:t>
            </w:r>
          </w:p>
        </w:tc>
      </w:tr>
      <w:tr>
        <w:trPr>
          <w:trHeight w:val="195"/>
        </w:trPr>
        <w:tc>
          <w:tcPr>
            <w:tcW w:w="3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60" w:type="dxa"/>
            <w:vAlign w:val="bottom"/>
          </w:tcPr>
          <w:p>
            <w:pPr>
              <w:spacing w:after="0" w:line="195" w:lineRule="exact"/>
              <w:rPr>
                <w:sz w:val="20"/>
                <w:szCs w:val="20"/>
                <w:color w:val="auto"/>
              </w:rPr>
            </w:pPr>
            <w:r>
              <w:rPr>
                <w:rFonts w:ascii="Arial" w:cs="Arial" w:eastAsia="Arial" w:hAnsi="Arial"/>
                <w:sz w:val="18"/>
                <w:szCs w:val="18"/>
                <w:color w:val="auto"/>
              </w:rPr>
              <w:t>Darren D. Hawkins</w:t>
            </w:r>
          </w:p>
        </w:tc>
      </w:tr>
      <w:tr>
        <w:trPr>
          <w:trHeight w:val="230"/>
        </w:trPr>
        <w:tc>
          <w:tcPr>
            <w:tcW w:w="3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11, 2020</w:t>
            </w:r>
          </w:p>
        </w:tc>
        <w:tc>
          <w:tcPr>
            <w:tcW w:w="2200" w:type="dxa"/>
            <w:vAlign w:val="bottom"/>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G. Pierson</w:t>
            </w:r>
          </w:p>
        </w:tc>
      </w:tr>
      <w:tr>
        <w:trPr>
          <w:trHeight w:val="195"/>
        </w:trPr>
        <w:tc>
          <w:tcPr>
            <w:tcW w:w="3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60" w:type="dxa"/>
            <w:vAlign w:val="bottom"/>
          </w:tcPr>
          <w:p>
            <w:pPr>
              <w:spacing w:after="0" w:line="195" w:lineRule="exact"/>
              <w:rPr>
                <w:sz w:val="20"/>
                <w:szCs w:val="20"/>
                <w:color w:val="auto"/>
              </w:rPr>
            </w:pPr>
            <w:r>
              <w:rPr>
                <w:rFonts w:ascii="Arial" w:cs="Arial" w:eastAsia="Arial" w:hAnsi="Arial"/>
                <w:sz w:val="18"/>
                <w:szCs w:val="18"/>
                <w:color w:val="auto"/>
              </w:rPr>
              <w:t>Jamie G. Pierson</w:t>
            </w:r>
          </w:p>
        </w:tc>
      </w:tr>
      <w:tr>
        <w:trPr>
          <w:trHeight w:val="230"/>
        </w:trPr>
        <w:tc>
          <w:tcPr>
            <w:tcW w:w="3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02"/>
        </w:trPr>
        <w:tc>
          <w:tcPr>
            <w:tcW w:w="3480" w:type="dxa"/>
            <w:vAlign w:val="bottom"/>
          </w:tcPr>
          <w:p>
            <w:pPr>
              <w:spacing w:after="0"/>
              <w:rPr>
                <w:sz w:val="24"/>
                <w:szCs w:val="24"/>
                <w:color w:val="auto"/>
              </w:rPr>
            </w:pPr>
          </w:p>
        </w:tc>
        <w:tc>
          <w:tcPr>
            <w:tcW w:w="7760" w:type="dxa"/>
            <w:vAlign w:val="bottom"/>
            <w:gridSpan w:val="2"/>
          </w:tcPr>
          <w:p>
            <w:pPr>
              <w:jc w:val="right"/>
              <w:ind w:right="543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320" w:top="34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April 7, 2020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CREDIT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September 11, 2019</w:t>
      </w:r>
    </w:p>
    <w:p>
      <w:pPr>
        <w:spacing w:after="0" w:line="206"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THIS AMENDMENT NO. 1 (this “</w:t>
      </w:r>
      <w:r>
        <w:rPr>
          <w:rFonts w:ascii="Arial" w:cs="Arial" w:eastAsia="Arial" w:hAnsi="Arial"/>
          <w:sz w:val="19"/>
          <w:szCs w:val="19"/>
          <w:u w:val="single" w:color="auto"/>
          <w:color w:val="auto"/>
        </w:rPr>
        <w:t>Amendment</w:t>
      </w:r>
      <w:r>
        <w:rPr>
          <w:rFonts w:ascii="Arial" w:cs="Arial" w:eastAsia="Arial" w:hAnsi="Arial"/>
          <w:sz w:val="19"/>
          <w:szCs w:val="19"/>
          <w:color w:val="auto"/>
        </w:rPr>
        <w:t>”) is dated as of April 7, 2020 by and among YRC Worldwide Inc.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Guarantors party to the Credit Agreement, the financial institutions listed on the signature pages hereof and Cortland Products Corp., as administrative agent and collateral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under that certain Amended and Restated Credit Agreement dated as of September 11, 2019 by and among the Borrower, the Guarantors party thereto from time to time, the Lenders and the Administrative Agent (as amended, amended and restated,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used herein and not otherwise defined herein shall have the respective meanings given to them in the Credit Agreement.</w:t>
      </w:r>
    </w:p>
    <w:p>
      <w:pPr>
        <w:spacing w:after="0" w:line="152"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WHEREAS, the Borrower and the Guarantors have requested that the Lenders amend the Credit Agreement on the terms more fully set forth herein; and</w:t>
      </w:r>
    </w:p>
    <w:p>
      <w:pPr>
        <w:spacing w:after="0" w:line="175"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WHEREAS, the Lenders party hereto constituting all Lenders party to the Credit Agreement have agreed to make the amendments described herein pursuant to this Amendment on the terms and conditions set forth herein;</w:t>
      </w:r>
    </w:p>
    <w:p>
      <w:pPr>
        <w:spacing w:after="0" w:line="10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NOW, THEREFORE, in consideration of the premises set forth above, the terms and conditions contained herein, and other good and valuable consideration, the receipt and sufficiency of which are hereby acknowledged, the Borrower, the Guarantors party hereto and the Lenders party hereto constituting all Lenders party to the Credit Agreement have agreed to enter into this Amendment.</w:t>
      </w:r>
    </w:p>
    <w:p>
      <w:pPr>
        <w:spacing w:after="0" w:line="185" w:lineRule="exact"/>
        <w:rPr>
          <w:sz w:val="20"/>
          <w:szCs w:val="20"/>
          <w:color w:val="auto"/>
        </w:rPr>
      </w:pPr>
    </w:p>
    <w:p>
      <w:pPr>
        <w:jc w:val="both"/>
        <w:ind w:firstLine="1735"/>
        <w:spacing w:after="0" w:line="236" w:lineRule="auto"/>
        <w:tabs>
          <w:tab w:leader="none" w:pos="2537"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xml:space="preserve">. Effective as of the date of satisfaction or waiver of the conditions precedent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below (the “</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xml:space="preserve">”), the Credit Agreement is hereby amended to delete the bold, stricken text (indicated textually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auto"/>
        </w:rPr>
        <w:t xml:space="preserve">) and to add the bold, double-underlined text (indicated textually in the same manner as the following example: </w:t>
      </w:r>
      <w:r>
        <w:rPr>
          <w:rFonts w:ascii="Arial" w:cs="Arial" w:eastAsia="Arial" w:hAnsi="Arial"/>
          <w:sz w:val="22"/>
          <w:szCs w:val="22"/>
          <w:u w:val="single" w:color="auto"/>
          <w:color w:val="0000FF"/>
        </w:rPr>
        <w:t>double-underlined text</w:t>
      </w:r>
      <w:r>
        <w:rPr>
          <w:rFonts w:ascii="Arial" w:cs="Arial" w:eastAsia="Arial" w:hAnsi="Arial"/>
          <w:sz w:val="22"/>
          <w:szCs w:val="22"/>
          <w:color w:val="auto"/>
        </w:rPr>
        <w:t>) as set forth in the pages of the Credit Agreement attached as Exhibit A hereto.</w:t>
      </w:r>
    </w:p>
    <w:p>
      <w:pPr>
        <w:spacing w:after="0" w:line="187" w:lineRule="exact"/>
        <w:rPr>
          <w:rFonts w:ascii="Arial" w:cs="Arial" w:eastAsia="Arial" w:hAnsi="Arial"/>
          <w:sz w:val="22"/>
          <w:szCs w:val="22"/>
          <w:color w:val="auto"/>
        </w:rPr>
      </w:pPr>
    </w:p>
    <w:p>
      <w:pPr>
        <w:ind w:firstLine="1735"/>
        <w:spacing w:after="0" w:line="250" w:lineRule="auto"/>
        <w:tabs>
          <w:tab w:leader="none" w:pos="2537"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Conditions of Effectiveness</w:t>
      </w:r>
      <w:r>
        <w:rPr>
          <w:rFonts w:ascii="Arial" w:cs="Arial" w:eastAsia="Arial" w:hAnsi="Arial"/>
          <w:sz w:val="22"/>
          <w:szCs w:val="22"/>
          <w:color w:val="auto"/>
        </w:rPr>
        <w:t>. The effectiveness of this Amendment on the Amendment No. 1 Effective Date is subject to the satisfaction (or waiver by the Lenders)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9"/>
          <w:szCs w:val="9"/>
          <w:color w:val="FFFFFF"/>
        </w:rPr>
        <w:t>41112.00012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firstLine="1735"/>
        <w:spacing w:after="0"/>
        <w:tabs>
          <w:tab w:leader="none" w:pos="2682"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of this Amendment duly executed by the Borrower, the Guarantors party hereto and the Lenders party to the Credit Agreement and acknowledged by the Administrative Agent;</w:t>
      </w:r>
    </w:p>
    <w:p>
      <w:pPr>
        <w:spacing w:after="0" w:line="186" w:lineRule="exact"/>
        <w:rPr>
          <w:rFonts w:ascii="Arial" w:cs="Arial" w:eastAsia="Arial" w:hAnsi="Arial"/>
          <w:sz w:val="22"/>
          <w:szCs w:val="22"/>
          <w:color w:val="auto"/>
        </w:rPr>
      </w:pPr>
    </w:p>
    <w:p>
      <w:pPr>
        <w:jc w:val="both"/>
        <w:ind w:firstLine="1735"/>
        <w:spacing w:after="0" w:line="252" w:lineRule="auto"/>
        <w:tabs>
          <w:tab w:leader="none" w:pos="2695"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Borrower shall have paid all invoiced expenses of the Administrative Agent and the Lenders (including, without limitation, all previously invoiced, reasonable, out-of-pocket expenses of the Administrative Agent (including, to the extent invoiced, reasonable attorneys’ fees and expenses of Holland &amp; Knight LLP, Milbank LLP and White &amp; Case LLP, in each case to the extent reimbursable under the terms of the Credit Agreement);</w:t>
      </w:r>
    </w:p>
    <w:p>
      <w:pPr>
        <w:spacing w:after="0" w:line="173" w:lineRule="exact"/>
        <w:rPr>
          <w:rFonts w:ascii="Arial" w:cs="Arial" w:eastAsia="Arial" w:hAnsi="Arial"/>
          <w:sz w:val="21"/>
          <w:szCs w:val="21"/>
          <w:color w:val="auto"/>
        </w:rPr>
      </w:pPr>
    </w:p>
    <w:p>
      <w:pPr>
        <w:jc w:val="both"/>
        <w:ind w:firstLine="1735"/>
        <w:spacing w:after="0" w:line="287" w:lineRule="auto"/>
        <w:tabs>
          <w:tab w:leader="none" w:pos="268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Administrative Agent and the Lenders shall have received (i) a thirteen (13) week cash flow forecast (each, a “</w:t>
      </w:r>
      <w:r>
        <w:rPr>
          <w:rFonts w:ascii="Arial" w:cs="Arial" w:eastAsia="Arial" w:hAnsi="Arial"/>
          <w:sz w:val="19"/>
          <w:szCs w:val="19"/>
          <w:u w:val="single" w:color="auto"/>
          <w:color w:val="auto"/>
        </w:rPr>
        <w:t>Cash Flow Forecast</w:t>
      </w:r>
      <w:r>
        <w:rPr>
          <w:rFonts w:ascii="Arial" w:cs="Arial" w:eastAsia="Arial" w:hAnsi="Arial"/>
          <w:sz w:val="19"/>
          <w:szCs w:val="19"/>
          <w:color w:val="auto"/>
        </w:rPr>
        <w:t>”) for the Borrower and its Subsidiaries for the 13-week period commencing on April 6, 2020 (the “</w:t>
      </w:r>
      <w:r>
        <w:rPr>
          <w:rFonts w:ascii="Arial" w:cs="Arial" w:eastAsia="Arial" w:hAnsi="Arial"/>
          <w:sz w:val="19"/>
          <w:szCs w:val="19"/>
          <w:u w:val="single" w:color="auto"/>
          <w:color w:val="auto"/>
        </w:rPr>
        <w:t>Forecast Date</w:t>
      </w:r>
      <w:r>
        <w:rPr>
          <w:rFonts w:ascii="Arial" w:cs="Arial" w:eastAsia="Arial" w:hAnsi="Arial"/>
          <w:sz w:val="19"/>
          <w:szCs w:val="19"/>
          <w:color w:val="auto"/>
        </w:rPr>
        <w:t>”), which Cash Flow Forecast shall be reasonably satisfactory to the Required Lenders and (ii) a form of variance report for purposes of Section 4(a), which report shall be reasonably satisfactory to the Required Lenders; and</w:t>
      </w:r>
    </w:p>
    <w:p>
      <w:pPr>
        <w:spacing w:after="0" w:line="143"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(d)the Borrower shall have paid the Administrative Agent for the benefit of the Lenders an amount equal to $1,584,304.31, which amount is equal to the Cash Interest Portion (as defined in the Amendment) due and payable on the Amendment No. 1 Effective Date.</w:t>
      </w:r>
    </w:p>
    <w:p>
      <w:pPr>
        <w:spacing w:after="0" w:line="186" w:lineRule="exact"/>
        <w:rPr>
          <w:sz w:val="20"/>
          <w:szCs w:val="20"/>
          <w:color w:val="auto"/>
        </w:rPr>
      </w:pPr>
    </w:p>
    <w:p>
      <w:pPr>
        <w:ind w:firstLine="1735"/>
        <w:spacing w:after="0" w:line="250" w:lineRule="auto"/>
        <w:tabs>
          <w:tab w:leader="none" w:pos="2591"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Borrower</w:t>
      </w:r>
      <w:r>
        <w:rPr>
          <w:rFonts w:ascii="Arial" w:cs="Arial" w:eastAsia="Arial" w:hAnsi="Arial"/>
          <w:sz w:val="22"/>
          <w:szCs w:val="22"/>
          <w:color w:val="auto"/>
        </w:rPr>
        <w:t>. Each of the Borrower and each of the Guarantors party hereto hereby represents and warrants as follows as of the closing date of this Amendment:</w:t>
      </w:r>
    </w:p>
    <w:p>
      <w:pPr>
        <w:spacing w:after="0" w:line="175" w:lineRule="exact"/>
        <w:rPr>
          <w:sz w:val="20"/>
          <w:szCs w:val="20"/>
          <w:color w:val="auto"/>
        </w:rPr>
      </w:pPr>
    </w:p>
    <w:p>
      <w:pPr>
        <w:jc w:val="both"/>
        <w:ind w:firstLine="1727"/>
        <w:spacing w:after="0" w:line="265" w:lineRule="auto"/>
        <w:rPr>
          <w:sz w:val="20"/>
          <w:szCs w:val="20"/>
          <w:color w:val="auto"/>
        </w:rPr>
      </w:pPr>
      <w:r>
        <w:rPr>
          <w:rFonts w:ascii="Arial" w:cs="Arial" w:eastAsia="Arial" w:hAnsi="Arial"/>
          <w:sz w:val="19"/>
          <w:szCs w:val="19"/>
          <w:color w:val="auto"/>
        </w:rPr>
        <w:t>(a)</w:t>
      </w:r>
      <w:r>
        <w:rPr>
          <w:rFonts w:ascii="Arial" w:cs="Arial" w:eastAsia="Arial" w:hAnsi="Arial"/>
          <w:sz w:val="20"/>
          <w:szCs w:val="20"/>
          <w:color w:val="auto"/>
        </w:rPr>
        <w:t>This Amendment has been duly authorized, executed and delivered by the Borrower and each Guarantor</w:t>
      </w:r>
      <w:r>
        <w:rPr>
          <w:rFonts w:ascii="Arial" w:cs="Arial" w:eastAsia="Arial" w:hAnsi="Arial"/>
          <w:sz w:val="19"/>
          <w:szCs w:val="19"/>
          <w:color w:val="auto"/>
        </w:rPr>
        <w:t xml:space="preserve"> </w:t>
      </w:r>
      <w:r>
        <w:rPr>
          <w:rFonts w:ascii="Arial" w:cs="Arial" w:eastAsia="Arial" w:hAnsi="Arial"/>
          <w:sz w:val="20"/>
          <w:szCs w:val="20"/>
          <w:color w:val="auto"/>
        </w:rPr>
        <w:t>and this Amendment and the Credit Agreement, as modified hereby, constitute legal, valid and binding obligations of the Borrower and the Guarantors and are enforceable against the Borrower and the Guarantors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1"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(b)</w:t>
      </w:r>
      <w:r>
        <w:rPr>
          <w:rFonts w:ascii="Arial" w:cs="Arial" w:eastAsia="Arial" w:hAnsi="Arial"/>
          <w:sz w:val="21"/>
          <w:szCs w:val="21"/>
          <w:color w:val="auto"/>
        </w:rPr>
        <w:t>As of the date hereof, the representations and warranties of the Borrower and the Guarantors set forth</w:t>
      </w:r>
      <w:r>
        <w:rPr>
          <w:rFonts w:ascii="Arial" w:cs="Arial" w:eastAsia="Arial" w:hAnsi="Arial"/>
          <w:sz w:val="20"/>
          <w:szCs w:val="20"/>
          <w:color w:val="auto"/>
        </w:rPr>
        <w:t xml:space="preserve"> </w:t>
      </w:r>
      <w:r>
        <w:rPr>
          <w:rFonts w:ascii="Arial" w:cs="Arial" w:eastAsia="Arial" w:hAnsi="Arial"/>
          <w:sz w:val="21"/>
          <w:szCs w:val="21"/>
          <w:color w:val="auto"/>
        </w:rPr>
        <w:t xml:space="preserve">in the Credit Agreement, as modified hereby, are true and correct in all material respects on and as of the date hereof, except to the extent such representations and warranties expressly relate to an earlier date, in which case they shall be true and correct in all material respects as of such earlier date; </w:t>
      </w:r>
      <w:r>
        <w:rPr>
          <w:rFonts w:ascii="Arial" w:cs="Arial" w:eastAsia="Arial" w:hAnsi="Arial"/>
          <w:sz w:val="21"/>
          <w:szCs w:val="21"/>
          <w:i w:val="1"/>
          <w:iCs w:val="1"/>
          <w:color w:val="auto"/>
        </w:rPr>
        <w:t>provided</w:t>
      </w:r>
      <w:r>
        <w:rPr>
          <w:rFonts w:ascii="Arial" w:cs="Arial" w:eastAsia="Arial" w:hAnsi="Arial"/>
          <w:sz w:val="21"/>
          <w:szCs w:val="21"/>
          <w:color w:val="auto"/>
        </w:rPr>
        <w:t>, that any such representation and warranty that is qualified by “materiality”, “material adverse effect” or similar language shall be true and correct in all respects (after giving effect to such qualification therein) on and as of the date hereof with the same effect as though made on and as of such date or such earlier date, as applicable.</w:t>
      </w:r>
    </w:p>
    <w:p>
      <w:pPr>
        <w:spacing w:after="0" w:line="184" w:lineRule="exact"/>
        <w:rPr>
          <w:sz w:val="20"/>
          <w:szCs w:val="20"/>
          <w:color w:val="auto"/>
        </w:rPr>
      </w:pPr>
    </w:p>
    <w:p>
      <w:pPr>
        <w:jc w:val="both"/>
        <w:ind w:firstLine="1735"/>
        <w:spacing w:after="0" w:line="287" w:lineRule="auto"/>
        <w:tabs>
          <w:tab w:leader="none" w:pos="253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The Borrower hereby covenants and agrees that during the period commencing on the Amendment No. 1 Effective Date and ending on the first date occurring after January 1, 2021 for which (i) Consolidated EBITDA for a Test Period ending on the last day of a fiscal quarter ending on or after March 31, 2021 is greater than $200,000,000 and (ii) the Borrower shall have delivered a Compliance Certificate for such fiscal quarter pursuant to Section</w:t>
      </w:r>
    </w:p>
    <w:p>
      <w:pPr>
        <w:spacing w:after="0" w:line="35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 w:name="page32"/>
    <w:bookmarkEnd w:id="31"/>
    <w:p>
      <w:pPr>
        <w:jc w:val="both"/>
        <w:ind w:right="20"/>
        <w:spacing w:after="0"/>
        <w:rPr>
          <w:sz w:val="20"/>
          <w:szCs w:val="20"/>
          <w:color w:val="auto"/>
        </w:rPr>
      </w:pPr>
      <w:r>
        <w:rPr>
          <w:rFonts w:ascii="Arial" w:cs="Arial" w:eastAsia="Arial" w:hAnsi="Arial"/>
          <w:sz w:val="22"/>
          <w:szCs w:val="22"/>
          <w:color w:val="auto"/>
        </w:rPr>
        <w:t>6.02(a) of the Credit Agreement demonstrating compliance with Section 7.10 of the Credit Agreement as at the end of such fiscal quarter (such period, the “</w:t>
      </w:r>
      <w:r>
        <w:rPr>
          <w:rFonts w:ascii="Arial" w:cs="Arial" w:eastAsia="Arial" w:hAnsi="Arial"/>
          <w:sz w:val="22"/>
          <w:szCs w:val="22"/>
          <w:u w:val="single" w:color="auto"/>
          <w:color w:val="auto"/>
        </w:rPr>
        <w:t>Specified Period</w:t>
      </w:r>
      <w:r>
        <w:rPr>
          <w:rFonts w:ascii="Arial" w:cs="Arial" w:eastAsia="Arial" w:hAnsi="Arial"/>
          <w:sz w:val="22"/>
          <w:szCs w:val="22"/>
          <w:color w:val="auto"/>
        </w:rPr>
        <w:t>”), the Borrower shall and (except in the case of the covenants set forth in Sections 4(a) and 4(b)) shall cause each of the Subsidiaries to:</w:t>
      </w:r>
    </w:p>
    <w:p>
      <w:pPr>
        <w:spacing w:after="0" w:line="173" w:lineRule="exact"/>
        <w:rPr>
          <w:sz w:val="20"/>
          <w:szCs w:val="20"/>
          <w:color w:val="auto"/>
        </w:rPr>
      </w:pPr>
    </w:p>
    <w:p>
      <w:pPr>
        <w:ind w:left="2620" w:hanging="885"/>
        <w:spacing w:after="0"/>
        <w:tabs>
          <w:tab w:leader="none" w:pos="2620" w:val="left"/>
        </w:tabs>
        <w:numPr>
          <w:ilvl w:val="2"/>
          <w:numId w:val="24"/>
        </w:numPr>
        <w:rPr>
          <w:rFonts w:ascii="Arial" w:cs="Arial" w:eastAsia="Arial" w:hAnsi="Arial"/>
          <w:sz w:val="22"/>
          <w:szCs w:val="22"/>
          <w:color w:val="auto"/>
        </w:rPr>
      </w:pPr>
      <w:r>
        <w:rPr>
          <w:rFonts w:ascii="Arial" w:cs="Arial" w:eastAsia="Arial" w:hAnsi="Arial"/>
          <w:sz w:val="22"/>
          <w:szCs w:val="22"/>
          <w:u w:val="single" w:color="auto"/>
          <w:color w:val="auto"/>
        </w:rPr>
        <w:t>Reporting</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880" w:firstLine="1586"/>
        <w:spacing w:after="0" w:line="272" w:lineRule="auto"/>
        <w:tabs>
          <w:tab w:leader="none" w:pos="3326" w:val="left"/>
        </w:tabs>
        <w:numPr>
          <w:ilvl w:val="3"/>
          <w:numId w:val="24"/>
        </w:numPr>
        <w:rPr>
          <w:rFonts w:ascii="Arial" w:cs="Arial" w:eastAsia="Arial" w:hAnsi="Arial"/>
          <w:sz w:val="19"/>
          <w:szCs w:val="19"/>
          <w:color w:val="auto"/>
        </w:rPr>
      </w:pPr>
      <w:r>
        <w:rPr>
          <w:rFonts w:ascii="Arial" w:cs="Arial" w:eastAsia="Arial" w:hAnsi="Arial"/>
          <w:sz w:val="19"/>
          <w:szCs w:val="19"/>
          <w:color w:val="auto"/>
        </w:rPr>
        <w:t>Provide the Lenders by 5.00 p.m. New York time on the third Business Day of the second week after the Forecast Date (i.e. commencing on Wednesday April 22, 2020), and on the third Business Day of each week occurring in each week thereafter, (x) an updated Cash Flow Forecast, substantially in the form delivered to the Lenders pursuant to Section 2(c), together with (y) a report, in form reasonably satisfactory to the Lenders (it being agreed that the form delivered to the Lenders pursuant to Section 2(c)(ii) prior to the Amendment No. 1 Effective Date is reasonably satisfactory), setting forth for the second immediately preceding week (ending on the second Sunday immediately preceding the applicable third Business Day reporting deadline; i.e. with respect to the reporting deadline occurring on Wednesday April 22, 2020, the week ending Sunday April 12, 2020) and for the cumulative period from the Forecast Date through the second Sunday immediately preceding the applicable third Business Day reporting deadline (i.e. with respect to the reporting deadline occurring on Wednesday April 22, 2020, the week ending Sunday April 12, 2020), the actual and forecasted results for such week and cumulative post-Forecast Date time period by line item in the Cash Flow Forecast, together with a written explanation of all material variances (clauses (x) and (y) collectively, the “</w:t>
      </w:r>
      <w:r>
        <w:rPr>
          <w:rFonts w:ascii="Arial" w:cs="Arial" w:eastAsia="Arial" w:hAnsi="Arial"/>
          <w:sz w:val="19"/>
          <w:szCs w:val="19"/>
          <w:u w:val="single" w:color="auto"/>
          <w:color w:val="auto"/>
        </w:rPr>
        <w:t>Variance Report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980" w:firstLine="1479"/>
        <w:spacing w:after="0" w:line="234" w:lineRule="auto"/>
        <w:tabs>
          <w:tab w:leader="none" w:pos="3533" w:val="left"/>
        </w:tabs>
        <w:numPr>
          <w:ilvl w:val="3"/>
          <w:numId w:val="24"/>
        </w:numPr>
        <w:rPr>
          <w:rFonts w:ascii="Arial" w:cs="Arial" w:eastAsia="Arial" w:hAnsi="Arial"/>
          <w:sz w:val="22"/>
          <w:szCs w:val="22"/>
          <w:color w:val="auto"/>
        </w:rPr>
      </w:pPr>
      <w:r>
        <w:rPr>
          <w:rFonts w:ascii="Arial" w:cs="Arial" w:eastAsia="Arial" w:hAnsi="Arial"/>
          <w:sz w:val="22"/>
          <w:szCs w:val="22"/>
          <w:color w:val="auto"/>
        </w:rPr>
        <w:t>Prior to 5:00 p.m. New York time on the third Business Day occurring of each week occurring after the Amendment No. 1 Effective Date (i.e. commencing on Wednesday April 15, 2020), deliver to the Lenders a liquidity report (each, a “</w:t>
      </w:r>
      <w:r>
        <w:rPr>
          <w:rFonts w:ascii="Arial" w:cs="Arial" w:eastAsia="Arial" w:hAnsi="Arial"/>
          <w:sz w:val="22"/>
          <w:szCs w:val="22"/>
          <w:u w:val="single" w:color="auto"/>
          <w:color w:val="auto"/>
        </w:rPr>
        <w:t>Liquidity Report</w:t>
      </w:r>
      <w:r>
        <w:rPr>
          <w:rFonts w:ascii="Arial" w:cs="Arial" w:eastAsia="Arial" w:hAnsi="Arial"/>
          <w:sz w:val="22"/>
          <w:szCs w:val="22"/>
          <w:color w:val="auto"/>
        </w:rPr>
        <w:t>”) setting forth the aggregate amount of Liquidity (as defined below) of the Loan Parties as of the end of the immediately preceding week (ending on the Sunday immediately preceding the applicable third Business Day reporting deadline; i.e. with respect to the reporting deadline occurring on Wednesday April 15, 2020, the week ending Sunday April 12, 2020) and a comparison of the amount set forth on the prior delivered Liquidity Report.</w:t>
      </w:r>
    </w:p>
    <w:p>
      <w:pPr>
        <w:spacing w:after="0" w:line="190" w:lineRule="exact"/>
        <w:rPr>
          <w:rFonts w:ascii="Arial" w:cs="Arial" w:eastAsia="Arial" w:hAnsi="Arial"/>
          <w:sz w:val="22"/>
          <w:szCs w:val="22"/>
          <w:color w:val="auto"/>
        </w:rPr>
      </w:pPr>
    </w:p>
    <w:p>
      <w:pPr>
        <w:jc w:val="both"/>
        <w:ind w:firstLine="872"/>
        <w:spacing w:after="0" w:line="269" w:lineRule="auto"/>
        <w:tabs>
          <w:tab w:leader="none" w:pos="1763"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Lender Calls</w:t>
      </w:r>
      <w:r>
        <w:rPr>
          <w:rFonts w:ascii="Arial" w:cs="Arial" w:eastAsia="Arial" w:hAnsi="Arial"/>
          <w:sz w:val="19"/>
          <w:szCs w:val="19"/>
          <w:color w:val="auto"/>
        </w:rPr>
        <w:t>. Commencing with the week immediately following the week in which the Amendment No. 1 Effective Date occurs, provide for a weekly update call with the Lenders and senior management of the Borrower with appropriate expertise to discuss the then current Cash Flow Forecast, the Variance Report, efforts to obtain government financing, union matters and any other matters (including business, operational and due diligence matters) reasonably requested by the Lenders. Notwithstanding anything to the contrary, neither the Borrower nor any Subsidiary will be required to disclose or discuss any matter (i) that constitutes trade secrets or proprietary information, (ii) in respect of which disclosure to the Administrative Agent or any Lender (or their representatives or contractors) is prohibited by law or any binding agreement, or</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that is subject to attorney client or similar privilege or constitutes attorney work product.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jc w:val="both"/>
        <w:ind w:firstLine="1735"/>
        <w:spacing w:after="0" w:line="246" w:lineRule="auto"/>
        <w:tabs>
          <w:tab w:leader="none" w:pos="2615"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Minimum Liquidity</w:t>
      </w:r>
      <w:r>
        <w:rPr>
          <w:rFonts w:ascii="Arial" w:cs="Arial" w:eastAsia="Arial" w:hAnsi="Arial"/>
          <w:sz w:val="21"/>
          <w:szCs w:val="21"/>
          <w:color w:val="auto"/>
        </w:rPr>
        <w:t>. Not permit Liquidity to be less than $55,000,000 on Tuesday and Friday of each week during the Specified Period (or if any such day is not a Business Day, then the next succeeding Business Day). As used herein, “</w:t>
      </w:r>
      <w:r>
        <w:rPr>
          <w:rFonts w:ascii="Arial" w:cs="Arial" w:eastAsia="Arial" w:hAnsi="Arial"/>
          <w:sz w:val="21"/>
          <w:szCs w:val="21"/>
          <w:u w:val="single" w:color="auto"/>
          <w:color w:val="auto"/>
        </w:rPr>
        <w:t>Liquidity</w:t>
      </w:r>
      <w:r>
        <w:rPr>
          <w:rFonts w:ascii="Arial" w:cs="Arial" w:eastAsia="Arial" w:hAnsi="Arial"/>
          <w:sz w:val="21"/>
          <w:szCs w:val="21"/>
          <w:color w:val="auto"/>
        </w:rPr>
        <w:t>” means, as of any date of determination, the sum of (A) unrestricted cash and Cash Equivalents of the Loan Parties as of such date and (B) the aggregate amount of “Availability” under the ABL Credit Agreement (as such term is defined in the ABL Credit Agreement as in effect as of the date hereof and without giving effect to proviso in such definition) so long the conditions for utilizing have been satisfied other than with respect to the delivery of a borrowing request or similar funding notice, which the Borrower is permitted to deliver.</w:t>
      </w:r>
    </w:p>
    <w:p>
      <w:pPr>
        <w:spacing w:after="0" w:line="184" w:lineRule="exact"/>
        <w:rPr>
          <w:sz w:val="20"/>
          <w:szCs w:val="20"/>
          <w:color w:val="auto"/>
        </w:rPr>
      </w:pPr>
    </w:p>
    <w:p>
      <w:pPr>
        <w:ind w:left="2540" w:hanging="805"/>
        <w:spacing w:after="0"/>
        <w:tabs>
          <w:tab w:leader="none" w:pos="254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Reference to and Effect on the Credit Agreement; Interest</w:t>
      </w: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tabs>
          <w:tab w:leader="none" w:pos="2615" w:val="left"/>
        </w:tabs>
        <w:numPr>
          <w:ilvl w:val="0"/>
          <w:numId w:val="29"/>
        </w:numPr>
        <w:rPr>
          <w:rFonts w:ascii="Arial" w:cs="Arial" w:eastAsia="Arial" w:hAnsi="Arial"/>
          <w:sz w:val="22"/>
          <w:szCs w:val="22"/>
          <w:color w:val="auto"/>
        </w:rPr>
      </w:pPr>
      <w:r>
        <w:rPr>
          <w:rFonts w:ascii="Arial" w:cs="Arial" w:eastAsia="Arial" w:hAnsi="Arial"/>
          <w:sz w:val="22"/>
          <w:szCs w:val="22"/>
          <w:color w:val="auto"/>
        </w:rPr>
        <w:t>Upon the effectiveness hereof, each reference to the Credit Agreement in the Credit Agreement or any other Loan Document shall mean and be a reference to the Credit Agreement as modified hereby. This Amendment shall constitute a Loan Document.</w:t>
      </w:r>
    </w:p>
    <w:p>
      <w:pPr>
        <w:spacing w:after="0" w:line="186" w:lineRule="exact"/>
        <w:rPr>
          <w:sz w:val="20"/>
          <w:szCs w:val="20"/>
          <w:color w:val="auto"/>
        </w:rPr>
      </w:pPr>
    </w:p>
    <w:p>
      <w:pPr>
        <w:jc w:val="both"/>
        <w:ind w:right="400" w:firstLine="1727"/>
        <w:spacing w:after="0" w:line="257" w:lineRule="auto"/>
        <w:rPr>
          <w:sz w:val="20"/>
          <w:szCs w:val="20"/>
          <w:color w:val="auto"/>
        </w:rPr>
      </w:pPr>
      <w:r>
        <w:rPr>
          <w:rFonts w:ascii="Arial" w:cs="Arial" w:eastAsia="Arial" w:hAnsi="Arial"/>
          <w:sz w:val="20"/>
          <w:szCs w:val="20"/>
          <w:color w:val="auto"/>
        </w:rPr>
        <w:t>(b)</w:t>
      </w:r>
      <w:r>
        <w:rPr>
          <w:rFonts w:ascii="Arial" w:cs="Arial" w:eastAsia="Arial" w:hAnsi="Arial"/>
          <w:sz w:val="21"/>
          <w:szCs w:val="21"/>
          <w:color w:val="auto"/>
        </w:rPr>
        <w:t>Except as specifically set forth above, the Credit Agreement and all other documents, instruments and</w:t>
      </w:r>
      <w:r>
        <w:rPr>
          <w:rFonts w:ascii="Arial" w:cs="Arial" w:eastAsia="Arial" w:hAnsi="Arial"/>
          <w:sz w:val="20"/>
          <w:szCs w:val="20"/>
          <w:color w:val="auto"/>
        </w:rPr>
        <w:t xml:space="preserve"> </w:t>
      </w:r>
      <w:r>
        <w:rPr>
          <w:rFonts w:ascii="Arial" w:cs="Arial" w:eastAsia="Arial" w:hAnsi="Arial"/>
          <w:sz w:val="21"/>
          <w:szCs w:val="21"/>
          <w:color w:val="auto"/>
        </w:rPr>
        <w:t>agreements executed and/or delivered in connection therewith shall remain in full force and effect and are hereby ratified and confirmed.</w:t>
      </w:r>
    </w:p>
    <w:p>
      <w:pPr>
        <w:spacing w:after="0" w:line="169"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0"/>
          <w:szCs w:val="20"/>
          <w:color w:val="auto"/>
        </w:rPr>
        <w:t>(c)</w:t>
      </w:r>
      <w:r>
        <w:rPr>
          <w:rFonts w:ascii="Arial" w:cs="Arial" w:eastAsia="Arial" w:hAnsi="Arial"/>
          <w:sz w:val="21"/>
          <w:szCs w:val="21"/>
          <w:color w:val="auto"/>
        </w:rPr>
        <w:t>Other than as set forth above, the execution, delivery and effectiveness of this Amendment shall not</w:t>
      </w:r>
      <w:r>
        <w:rPr>
          <w:rFonts w:ascii="Arial" w:cs="Arial" w:eastAsia="Arial" w:hAnsi="Arial"/>
          <w:sz w:val="20"/>
          <w:szCs w:val="20"/>
          <w:color w:val="auto"/>
        </w:rPr>
        <w:t xml:space="preserve"> </w:t>
      </w:r>
      <w:r>
        <w:rPr>
          <w:rFonts w:ascii="Arial" w:cs="Arial" w:eastAsia="Arial" w:hAnsi="Arial"/>
          <w:sz w:val="21"/>
          <w:szCs w:val="21"/>
          <w:color w:val="auto"/>
        </w:rPr>
        <w:t>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74"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0"/>
          <w:szCs w:val="20"/>
          <w:color w:val="auto"/>
        </w:rPr>
        <w:t>(d)</w:t>
      </w:r>
      <w:r>
        <w:rPr>
          <w:rFonts w:ascii="Arial" w:cs="Arial" w:eastAsia="Arial" w:hAnsi="Arial"/>
          <w:sz w:val="21"/>
          <w:szCs w:val="21"/>
          <w:color w:val="auto"/>
        </w:rPr>
        <w:t>Set forth in Schedule A hereto are the “Scheduled Properties” referred to in the Credit Agreement, as</w:t>
      </w:r>
      <w:r>
        <w:rPr>
          <w:rFonts w:ascii="Arial" w:cs="Arial" w:eastAsia="Arial" w:hAnsi="Arial"/>
          <w:sz w:val="20"/>
          <w:szCs w:val="20"/>
          <w:color w:val="auto"/>
        </w:rPr>
        <w:t xml:space="preserve"> </w:t>
      </w:r>
      <w:r>
        <w:rPr>
          <w:rFonts w:ascii="Arial" w:cs="Arial" w:eastAsia="Arial" w:hAnsi="Arial"/>
          <w:sz w:val="21"/>
          <w:szCs w:val="21"/>
          <w:color w:val="auto"/>
        </w:rPr>
        <w:t>amended hereby and set forth in Schedule B is the list of Pension Real Property referred to in the last paragraph of Section 7.05 of the Credit Agreement.</w:t>
      </w:r>
    </w:p>
    <w:p>
      <w:pPr>
        <w:spacing w:after="0" w:line="169"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color w:val="auto"/>
        </w:rPr>
        <w:t>(e)</w:t>
      </w:r>
      <w:r>
        <w:rPr>
          <w:rFonts w:ascii="Arial" w:cs="Arial" w:eastAsia="Arial" w:hAnsi="Arial"/>
          <w:sz w:val="20"/>
          <w:szCs w:val="20"/>
          <w:color w:val="auto"/>
        </w:rPr>
        <w:t>The Borrower acknowledges and agrees that the amount of accrued and unpaid interest of the Term Loans</w:t>
      </w:r>
      <w:r>
        <w:rPr>
          <w:rFonts w:ascii="Arial" w:cs="Arial" w:eastAsia="Arial" w:hAnsi="Arial"/>
          <w:sz w:val="19"/>
          <w:szCs w:val="19"/>
          <w:color w:val="auto"/>
        </w:rPr>
        <w:t xml:space="preserve"> </w:t>
      </w:r>
      <w:r>
        <w:rPr>
          <w:rFonts w:ascii="Arial" w:cs="Arial" w:eastAsia="Arial" w:hAnsi="Arial"/>
          <w:sz w:val="20"/>
          <w:szCs w:val="20"/>
          <w:color w:val="auto"/>
        </w:rPr>
        <w:t>as of the First Amendment Effective Date to be capitalized and added to the principal of the Term Loans on the First Amendment Effective Date pursuant to Section 2.06(d) of the Credit Agreement (as amended hereby) is $20,595,956.06.</w:t>
      </w:r>
    </w:p>
    <w:p>
      <w:pPr>
        <w:spacing w:after="0" w:line="152" w:lineRule="exact"/>
        <w:rPr>
          <w:sz w:val="20"/>
          <w:szCs w:val="20"/>
          <w:color w:val="auto"/>
        </w:rPr>
      </w:pPr>
    </w:p>
    <w:p>
      <w:pPr>
        <w:jc w:val="both"/>
        <w:ind w:left="120" w:firstLine="1600"/>
        <w:spacing w:after="0"/>
        <w:tabs>
          <w:tab w:leader="none" w:pos="258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Lenders party hereto hereby waive the notice requirements of Section 6.03(a) of the Credit Agreement with respect to any Default arising under Section 8.01(a)(ii) of the Credit Agreement due to the Loan Parties’ failure to pay the interest payable on March 31, 2020.</w:t>
      </w:r>
    </w:p>
    <w:p>
      <w:pPr>
        <w:spacing w:after="0" w:line="186" w:lineRule="exact"/>
        <w:rPr>
          <w:sz w:val="20"/>
          <w:szCs w:val="20"/>
          <w:color w:val="auto"/>
        </w:rPr>
      </w:pPr>
    </w:p>
    <w:p>
      <w:pPr>
        <w:jc w:val="both"/>
        <w:ind w:right="20" w:firstLine="1735"/>
        <w:spacing w:after="0" w:line="250" w:lineRule="auto"/>
        <w:tabs>
          <w:tab w:leader="none" w:pos="2537"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Acknowledgements</w:t>
      </w:r>
      <w:r>
        <w:rPr>
          <w:rFonts w:ascii="Arial" w:cs="Arial" w:eastAsia="Arial" w:hAnsi="Arial"/>
          <w:sz w:val="21"/>
          <w:szCs w:val="21"/>
          <w:color w:val="auto"/>
        </w:rPr>
        <w:t>. By executing this Amendment, each of the Loan Parties (a) consents to this Amendment and the performance by the Borrower and each of the other Loan Parties of their obligations hereunder,</w:t>
      </w:r>
    </w:p>
    <w:p>
      <w:pPr>
        <w:jc w:val="both"/>
        <w:ind w:firstLine="8"/>
        <w:spacing w:after="0" w:line="266" w:lineRule="auto"/>
        <w:tabs>
          <w:tab w:leader="none" w:pos="309" w:val="left"/>
        </w:tabs>
        <w:numPr>
          <w:ilvl w:val="0"/>
          <w:numId w:val="32"/>
        </w:numPr>
        <w:rPr>
          <w:rFonts w:ascii="Arial" w:cs="Arial" w:eastAsia="Arial" w:hAnsi="Arial"/>
          <w:sz w:val="19"/>
          <w:szCs w:val="19"/>
          <w:color w:val="auto"/>
        </w:rPr>
      </w:pPr>
      <w:r>
        <w:rPr>
          <w:rFonts w:ascii="Arial" w:cs="Arial" w:eastAsia="Arial" w:hAnsi="Arial"/>
          <w:sz w:val="19"/>
          <w:szCs w:val="19"/>
          <w:color w:val="auto"/>
        </w:rPr>
        <w:t>acknowledges that notwithstanding the execution and delivery of this Amendment, the obligations of each of the Loan Parties under each of the Collateral Documents and each of the other Loan Documents to which such Loan Party is a party, are not impaired or affected and each such Collateral Document and each such other Loan Document continues in full force and effect,</w:t>
      </w:r>
    </w:p>
    <w:p>
      <w:pPr>
        <w:spacing w:after="0" w:line="2" w:lineRule="exact"/>
        <w:rPr>
          <w:rFonts w:ascii="Arial" w:cs="Arial" w:eastAsia="Arial" w:hAnsi="Arial"/>
          <w:sz w:val="19"/>
          <w:szCs w:val="19"/>
          <w:color w:val="auto"/>
        </w:rPr>
      </w:pPr>
    </w:p>
    <w:p>
      <w:pPr>
        <w:ind w:firstLine="8"/>
        <w:spacing w:after="0" w:line="236" w:lineRule="auto"/>
        <w:tabs>
          <w:tab w:leader="none" w:pos="296" w:val="left"/>
        </w:tabs>
        <w:numPr>
          <w:ilvl w:val="0"/>
          <w:numId w:val="32"/>
        </w:numPr>
        <w:rPr>
          <w:rFonts w:ascii="Arial" w:cs="Arial" w:eastAsia="Arial" w:hAnsi="Arial"/>
          <w:sz w:val="22"/>
          <w:szCs w:val="22"/>
          <w:color w:val="auto"/>
        </w:rPr>
      </w:pPr>
      <w:r>
        <w:rPr>
          <w:rFonts w:ascii="Arial" w:cs="Arial" w:eastAsia="Arial" w:hAnsi="Arial"/>
          <w:sz w:val="22"/>
          <w:szCs w:val="22"/>
          <w:color w:val="auto"/>
        </w:rPr>
        <w:t>affirms and ratifies, its Obligations under the Credit Agreement as expanded or amended hereby are entitled to the benefits of the pledges set</w:t>
      </w: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 w:name="page34"/>
    <w:bookmarkEnd w:id="33"/>
    <w:p>
      <w:pPr>
        <w:jc w:val="both"/>
        <w:spacing w:after="0" w:line="275" w:lineRule="auto"/>
        <w:rPr>
          <w:sz w:val="20"/>
          <w:szCs w:val="20"/>
          <w:color w:val="auto"/>
        </w:rPr>
      </w:pPr>
      <w:r>
        <w:rPr>
          <w:rFonts w:ascii="Arial" w:cs="Arial" w:eastAsia="Arial" w:hAnsi="Arial"/>
          <w:sz w:val="19"/>
          <w:szCs w:val="19"/>
          <w:color w:val="auto"/>
        </w:rPr>
        <w:t>forth in each Collateral Document to the extent it is a party thereto, (d) confirms that its Obligations under the Credit Agreement as expanded or amended hereby constitute “Secured Obligations” (as defined in the Collateral Documents) and (e) confirms that the Secured Obligations shall remain in full force and effect, and such Secured Obligations shall continue to be entitled to the benefits of the grant set forth in the Collateral Documents. Each Guarantor (a) confirms its Guaranteed Obligations under the Credit Agreement, (b) confirms that the Guaranteed Obligations under the Credit Agreement as expanded or amended hereby are entitled to the benefits of the guarantee set forth in Article 11 of the Credit Agreement and (c) confirms that the Obligations under the Credit Agreement as expanded or amended hereby constitute “Guaranteed Obligations”. Each Loan Party, by its execution of this Amendment, hereby confirms that the Guaranteed Obligations shall remain in full force and effect.</w:t>
      </w:r>
    </w:p>
    <w:p>
      <w:pPr>
        <w:spacing w:after="0" w:line="144" w:lineRule="exact"/>
        <w:rPr>
          <w:sz w:val="20"/>
          <w:szCs w:val="20"/>
          <w:color w:val="auto"/>
        </w:rPr>
      </w:pPr>
    </w:p>
    <w:p>
      <w:pPr>
        <w:jc w:val="both"/>
        <w:ind w:firstLine="1735"/>
        <w:spacing w:after="0" w:line="238" w:lineRule="auto"/>
        <w:tabs>
          <w:tab w:leader="none" w:pos="253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No Novation or Mutual Departure</w:t>
      </w:r>
      <w:r>
        <w:rPr>
          <w:rFonts w:ascii="Arial" w:cs="Arial" w:eastAsia="Arial" w:hAnsi="Arial"/>
          <w:sz w:val="22"/>
          <w:szCs w:val="22"/>
          <w:color w:val="auto"/>
        </w:rPr>
        <w:t>. The Borrower expressly acknowledges and agrees that there has not been, and this Amendment does not constitute or establish, a novation with respect to the Credit Agreement or any other Loan Document, or a mutual departure from the strict terms, provisions, and conditions thereof, other than with respect to the amendments contained in Section 2 hereof.</w:t>
      </w:r>
    </w:p>
    <w:p>
      <w:pPr>
        <w:spacing w:after="0" w:line="157" w:lineRule="exact"/>
        <w:rPr>
          <w:rFonts w:ascii="Arial" w:cs="Arial" w:eastAsia="Arial" w:hAnsi="Arial"/>
          <w:sz w:val="22"/>
          <w:szCs w:val="22"/>
          <w:color w:val="auto"/>
        </w:rPr>
      </w:pPr>
    </w:p>
    <w:p>
      <w:pPr>
        <w:jc w:val="both"/>
        <w:ind w:firstLine="1735"/>
        <w:spacing w:after="0" w:line="269" w:lineRule="auto"/>
        <w:tabs>
          <w:tab w:leader="none" w:pos="253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Each Loan Party, on behalf of itself, its Subsidiaries and controlled Affiliates, and each of their successors, representatives, assignees and, whether or not claimed by right of, through or under any Loan Party, past, present and future employees, agents, representatives, officers, directors, members, managers, principals, affiliates, shareholders, trustees, consultants, experts, advisors, attorneys and other professionals (each, a “</w:t>
      </w:r>
      <w:r>
        <w:rPr>
          <w:rFonts w:ascii="Arial" w:cs="Arial" w:eastAsia="Arial" w:hAnsi="Arial"/>
          <w:sz w:val="19"/>
          <w:szCs w:val="19"/>
          <w:u w:val="single" w:color="auto"/>
          <w:color w:val="auto"/>
        </w:rPr>
        <w:t>Releasing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Releasing Parties</w:t>
      </w:r>
      <w:r>
        <w:rPr>
          <w:rFonts w:ascii="Arial" w:cs="Arial" w:eastAsia="Arial" w:hAnsi="Arial"/>
          <w:sz w:val="19"/>
          <w:szCs w:val="19"/>
          <w:color w:val="auto"/>
        </w:rPr>
        <w:t>”), does hereby fully, finally, and forever remise, release and discharge, and shall be deemed to have forever remised, released and discharged, the Agents and the Lenders, and the Agents’ and each Lender’s respective successors, representatives, assignees and past, present and future employees, agents, representatives, officers, directors, members, managers, principals, affiliates, shareholders, trustees, consultants, experts, advisors, attorneys and other professionals and all other persons and entities to whom any of the foregoing would be liable if such persons or entities were found to be liable to any Releasing Party, or any of them (collectively hereinafter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manner of action and actions, cause and causes of action, claims, defenses, rights of setoff, charges, demands, counterclaims, suits, debts, obligations, liabilities,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those arising under the Bankruptcy Code and interest or other carrying costs, penalties, legal, accounting and other professional fees and expenses, and incidental, consequential and punitive damages payable to third parties),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and which are based on any act, circumstance, fact, event or omission or other matter, cause or thing occurring at or from any time prior to and including the date hereof in any way, directly or indirectly arising out of, connected with, in respect of or relating to this Credit Agreement or any other Loan Document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spacing w:after="0" w:line="274" w:lineRule="auto"/>
        <w:rPr>
          <w:sz w:val="20"/>
          <w:szCs w:val="20"/>
          <w:color w:val="auto"/>
        </w:rPr>
      </w:pPr>
      <w:r>
        <w:rPr>
          <w:rFonts w:ascii="Arial" w:cs="Arial" w:eastAsia="Arial" w:hAnsi="Arial"/>
          <w:sz w:val="21"/>
          <w:szCs w:val="21"/>
          <w:color w:val="auto"/>
        </w:rPr>
        <w:t>the transactions contemplated thereby, and all other agreements, certificates, instruments and other documents and statements (whether written or oral) related to any of the foregoing (each, a “</w:t>
      </w:r>
      <w:r>
        <w:rPr>
          <w:rFonts w:ascii="Arial" w:cs="Arial" w:eastAsia="Arial" w:hAnsi="Arial"/>
          <w:sz w:val="21"/>
          <w:szCs w:val="21"/>
          <w:u w:val="single" w:color="auto"/>
          <w:color w:val="auto"/>
        </w:rPr>
        <w:t>Claim</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Claims</w:t>
      </w:r>
      <w:r>
        <w:rPr>
          <w:rFonts w:ascii="Arial" w:cs="Arial" w:eastAsia="Arial" w:hAnsi="Arial"/>
          <w:sz w:val="21"/>
          <w:szCs w:val="21"/>
          <w:color w:val="auto"/>
        </w:rPr>
        <w:t>”).</w:t>
      </w:r>
    </w:p>
    <w:p>
      <w:pPr>
        <w:spacing w:after="0" w:line="151" w:lineRule="exact"/>
        <w:rPr>
          <w:sz w:val="20"/>
          <w:szCs w:val="20"/>
          <w:color w:val="auto"/>
        </w:rPr>
      </w:pPr>
    </w:p>
    <w:p>
      <w:pPr>
        <w:ind w:left="2600" w:hanging="865"/>
        <w:spacing w:after="0"/>
        <w:tabs>
          <w:tab w:leader="none" w:pos="260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construed in accordance with and governed by the law</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State of New York.</w:t>
      </w:r>
    </w:p>
    <w:p>
      <w:pPr>
        <w:spacing w:after="0" w:line="188" w:lineRule="exact"/>
        <w:rPr>
          <w:rFonts w:ascii="Arial" w:cs="Arial" w:eastAsia="Arial" w:hAnsi="Arial"/>
          <w:sz w:val="19"/>
          <w:szCs w:val="19"/>
          <w:color w:val="auto"/>
        </w:rPr>
      </w:pPr>
    </w:p>
    <w:p>
      <w:pPr>
        <w:ind w:firstLine="1735"/>
        <w:spacing w:after="0" w:line="250" w:lineRule="auto"/>
        <w:tabs>
          <w:tab w:leader="none" w:pos="2645"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Amendment are included herein for convenience of reference only and shall not constitute a part of this Amendment for any other purpose.</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71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IN WITNESS WHEREOF, this Amendment has been duly executed as of the day and year first above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YRC WORLDWIDE INC.</w:t>
      </w:r>
    </w:p>
    <w:p>
      <w:pPr>
        <w:spacing w:after="0" w:line="206" w:lineRule="exact"/>
        <w:rPr>
          <w:sz w:val="20"/>
          <w:szCs w:val="20"/>
          <w:color w:val="auto"/>
        </w:rPr>
      </w:pPr>
    </w:p>
    <w:p>
      <w:pPr>
        <w:ind w:left="5080"/>
        <w:spacing w:after="0"/>
        <w:tabs>
          <w:tab w:leader="none" w:pos="57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-17780</wp:posOffset>
            </wp:positionV>
            <wp:extent cx="2537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5080"/>
        <w:spacing w:after="0" w:line="238" w:lineRule="auto"/>
        <w:rPr>
          <w:sz w:val="20"/>
          <w:szCs w:val="20"/>
          <w:color w:val="auto"/>
        </w:rPr>
      </w:pPr>
      <w:r>
        <w:rPr>
          <w:rFonts w:ascii="Arial" w:cs="Arial" w:eastAsia="Arial" w:hAnsi="Arial"/>
          <w:sz w:val="22"/>
          <w:szCs w:val="22"/>
          <w:color w:val="auto"/>
        </w:rPr>
        <w:t>Name: Mark D. Boehmer</w:t>
      </w:r>
    </w:p>
    <w:p>
      <w:pPr>
        <w:ind w:left="5080"/>
        <w:spacing w:after="0"/>
        <w:tabs>
          <w:tab w:leader="none" w:pos="5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EXPRESS LANE SERVICE, INC.</w:t>
      </w:r>
    </w:p>
    <w:p>
      <w:pPr>
        <w:spacing w:after="0" w:line="206" w:lineRule="exact"/>
        <w:rPr>
          <w:sz w:val="20"/>
          <w:szCs w:val="20"/>
          <w:color w:val="auto"/>
        </w:rPr>
      </w:pPr>
    </w:p>
    <w:p>
      <w:pPr>
        <w:ind w:left="5100"/>
        <w:spacing w:after="0"/>
        <w:tabs>
          <w:tab w:leader="none" w:pos="572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-17780</wp:posOffset>
            </wp:positionV>
            <wp:extent cx="2503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100"/>
        <w:spacing w:after="0" w:line="238" w:lineRule="auto"/>
        <w:rPr>
          <w:sz w:val="20"/>
          <w:szCs w:val="20"/>
          <w:color w:val="auto"/>
        </w:rPr>
      </w:pPr>
      <w:r>
        <w:rPr>
          <w:rFonts w:ascii="Arial" w:cs="Arial" w:eastAsia="Arial" w:hAnsi="Arial"/>
          <w:sz w:val="22"/>
          <w:szCs w:val="22"/>
          <w:color w:val="auto"/>
        </w:rPr>
        <w:t>Name: Mark D. Boehmer</w:t>
      </w:r>
    </w:p>
    <w:p>
      <w:pPr>
        <w:ind w:left="510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NEW PENN MOTOR EXPRESS LLC</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(F/K/A NEW PENN MOTOR EXPRESS INC.)</w:t>
      </w:r>
    </w:p>
    <w:p>
      <w:pPr>
        <w:spacing w:after="0" w:line="188" w:lineRule="exact"/>
        <w:rPr>
          <w:sz w:val="20"/>
          <w:szCs w:val="20"/>
          <w:color w:val="auto"/>
        </w:rPr>
      </w:pPr>
    </w:p>
    <w:p>
      <w:pPr>
        <w:ind w:left="5100"/>
        <w:spacing w:after="0"/>
        <w:tabs>
          <w:tab w:leader="none" w:pos="572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-17780</wp:posOffset>
            </wp:positionV>
            <wp:extent cx="2434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5100"/>
        <w:spacing w:after="0" w:line="238" w:lineRule="auto"/>
        <w:rPr>
          <w:sz w:val="20"/>
          <w:szCs w:val="20"/>
          <w:color w:val="auto"/>
        </w:rPr>
      </w:pPr>
      <w:r>
        <w:rPr>
          <w:rFonts w:ascii="Arial" w:cs="Arial" w:eastAsia="Arial" w:hAnsi="Arial"/>
          <w:sz w:val="22"/>
          <w:szCs w:val="22"/>
          <w:color w:val="auto"/>
        </w:rPr>
        <w:t>Name: Mark D. Boehmer</w:t>
      </w:r>
    </w:p>
    <w:p>
      <w:pPr>
        <w:ind w:left="510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ROADWAY EXPRESS INTERNATIONAL, INC.</w:t>
      </w:r>
    </w:p>
    <w:p>
      <w:pPr>
        <w:spacing w:after="0" w:line="206" w:lineRule="exact"/>
        <w:rPr>
          <w:sz w:val="20"/>
          <w:szCs w:val="20"/>
          <w:color w:val="auto"/>
        </w:rPr>
      </w:pPr>
    </w:p>
    <w:p>
      <w:pPr>
        <w:ind w:left="5100"/>
        <w:spacing w:after="0"/>
        <w:tabs>
          <w:tab w:leader="none" w:pos="572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-17780</wp:posOffset>
            </wp:positionV>
            <wp:extent cx="2468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100"/>
        <w:spacing w:after="0" w:line="238" w:lineRule="auto"/>
        <w:rPr>
          <w:sz w:val="20"/>
          <w:szCs w:val="20"/>
          <w:color w:val="auto"/>
        </w:rPr>
      </w:pPr>
      <w:r>
        <w:rPr>
          <w:rFonts w:ascii="Arial" w:cs="Arial" w:eastAsia="Arial" w:hAnsi="Arial"/>
          <w:sz w:val="22"/>
          <w:szCs w:val="22"/>
          <w:color w:val="auto"/>
        </w:rPr>
        <w:t>Name: Mark D. Boehmer</w:t>
      </w:r>
    </w:p>
    <w:p>
      <w:pPr>
        <w:ind w:left="510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ROADWAY LLC</w:t>
      </w:r>
    </w:p>
    <w:p>
      <w:pPr>
        <w:spacing w:after="0" w:line="206" w:lineRule="exact"/>
        <w:rPr>
          <w:sz w:val="20"/>
          <w:szCs w:val="20"/>
          <w:color w:val="auto"/>
        </w:rPr>
      </w:pPr>
    </w:p>
    <w:p>
      <w:pPr>
        <w:ind w:left="5100"/>
        <w:spacing w:after="0"/>
        <w:tabs>
          <w:tab w:leader="none" w:pos="572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-17780</wp:posOffset>
            </wp:positionV>
            <wp:extent cx="2468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100"/>
        <w:spacing w:after="0" w:line="238" w:lineRule="auto"/>
        <w:rPr>
          <w:sz w:val="20"/>
          <w:szCs w:val="20"/>
          <w:color w:val="auto"/>
        </w:rPr>
      </w:pPr>
      <w:r>
        <w:rPr>
          <w:rFonts w:ascii="Arial" w:cs="Arial" w:eastAsia="Arial" w:hAnsi="Arial"/>
          <w:sz w:val="22"/>
          <w:szCs w:val="22"/>
          <w:color w:val="auto"/>
        </w:rPr>
        <w:t>Name: Mark D. Boehmer</w:t>
      </w:r>
    </w:p>
    <w:p>
      <w:pPr>
        <w:ind w:left="510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ROADWAY NEXT DAY CORPORATION</w:t>
      </w:r>
    </w:p>
    <w:p>
      <w:pPr>
        <w:spacing w:after="0" w:line="206" w:lineRule="exact"/>
        <w:rPr>
          <w:sz w:val="20"/>
          <w:szCs w:val="20"/>
          <w:color w:val="auto"/>
        </w:rPr>
      </w:pPr>
    </w:p>
    <w:p>
      <w:pPr>
        <w:ind w:left="5100"/>
        <w:spacing w:after="0"/>
        <w:tabs>
          <w:tab w:leader="none" w:pos="572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-17780</wp:posOffset>
            </wp:positionV>
            <wp:extent cx="24688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5100"/>
        <w:spacing w:after="0" w:line="238" w:lineRule="auto"/>
        <w:rPr>
          <w:sz w:val="20"/>
          <w:szCs w:val="20"/>
          <w:color w:val="auto"/>
        </w:rPr>
      </w:pPr>
      <w:r>
        <w:rPr>
          <w:rFonts w:ascii="Arial" w:cs="Arial" w:eastAsia="Arial" w:hAnsi="Arial"/>
          <w:sz w:val="22"/>
          <w:szCs w:val="22"/>
          <w:color w:val="auto"/>
        </w:rPr>
        <w:t>Name: Mark D. Boehmer</w:t>
      </w:r>
    </w:p>
    <w:p>
      <w:pPr>
        <w:ind w:left="510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HNRY LOGISTICS, INC.</w:t>
      </w:r>
    </w:p>
    <w:p>
      <w:pPr>
        <w:spacing w:after="0" w:line="206" w:lineRule="exact"/>
        <w:rPr>
          <w:sz w:val="20"/>
          <w:szCs w:val="20"/>
          <w:color w:val="auto"/>
        </w:rPr>
      </w:pPr>
    </w:p>
    <w:p>
      <w:pPr>
        <w:ind w:left="5100"/>
        <w:spacing w:after="0"/>
        <w:tabs>
          <w:tab w:leader="none" w:pos="5720" w:val="left"/>
        </w:tabs>
        <w:rPr>
          <w:sz w:val="20"/>
          <w:szCs w:val="20"/>
          <w:color w:val="auto"/>
        </w:rPr>
      </w:pPr>
      <w:r>
        <w:rPr>
          <w:rFonts w:ascii="Arial" w:cs="Arial" w:eastAsia="Arial" w:hAnsi="Arial"/>
          <w:sz w:val="22"/>
          <w:szCs w:val="22"/>
          <w:color w:val="auto"/>
        </w:rPr>
        <w:t>By:</w:t>
        <w:tab/>
        <w:t>/s/ Jason W.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-17780</wp:posOffset>
            </wp:positionV>
            <wp:extent cx="2491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1740" cy="8890"/>
                    </a:xfrm>
                    <a:prstGeom prst="rect">
                      <a:avLst/>
                    </a:prstGeom>
                    <a:noFill/>
                  </pic:spPr>
                </pic:pic>
              </a:graphicData>
            </a:graphic>
          </wp:anchor>
        </w:drawing>
      </w:r>
    </w:p>
    <w:p>
      <w:pPr>
        <w:ind w:left="5100"/>
        <w:spacing w:after="0" w:line="238" w:lineRule="auto"/>
        <w:rPr>
          <w:sz w:val="20"/>
          <w:szCs w:val="20"/>
          <w:color w:val="auto"/>
        </w:rPr>
      </w:pPr>
      <w:r>
        <w:rPr>
          <w:rFonts w:ascii="Arial" w:cs="Arial" w:eastAsia="Arial" w:hAnsi="Arial"/>
          <w:sz w:val="22"/>
          <w:szCs w:val="22"/>
          <w:color w:val="auto"/>
        </w:rPr>
        <w:t>Name: Jason W. Bergman</w:t>
      </w:r>
    </w:p>
    <w:p>
      <w:pPr>
        <w:ind w:left="510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36" w:name="page37"/>
    <w:bookmarkEnd w:id="36"/>
    <w:p>
      <w:pPr>
        <w:ind w:left="3980"/>
        <w:spacing w:after="0"/>
        <w:rPr>
          <w:sz w:val="20"/>
          <w:szCs w:val="20"/>
          <w:color w:val="auto"/>
        </w:rPr>
      </w:pPr>
      <w:r>
        <w:rPr>
          <w:rFonts w:ascii="Arial" w:cs="Arial" w:eastAsia="Arial" w:hAnsi="Arial"/>
          <w:sz w:val="22"/>
          <w:szCs w:val="22"/>
          <w:color w:val="auto"/>
        </w:rPr>
        <w:t>USF BESTWAY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USF DUGAN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USF GLEN MOORE INC.</w:t>
      </w:r>
    </w:p>
    <w:p>
      <w:pPr>
        <w:spacing w:after="0" w:line="177" w:lineRule="exact"/>
        <w:rPr>
          <w:sz w:val="20"/>
          <w:szCs w:val="20"/>
          <w:color w:val="auto"/>
        </w:rPr>
      </w:pPr>
    </w:p>
    <w:tbl>
      <w:tblPr>
        <w:tblLayout w:type="fixed"/>
        <w:tblInd w:w="3980" w:type="dxa"/>
        <w:tblCellMar>
          <w:top w:w="0" w:type="dxa"/>
          <w:left w:w="0" w:type="dxa"/>
          <w:bottom w:w="0" w:type="dxa"/>
          <w:right w:w="0" w:type="dxa"/>
        </w:tblCellMar>
      </w:tblPr>
      <w:tr>
        <w:trPr>
          <w:trHeight w:val="253"/>
        </w:trPr>
        <w:tc>
          <w:tcPr>
            <w:tcW w:w="260" w:type="dxa"/>
            <w:vAlign w:val="bottom"/>
          </w:tcPr>
          <w:p>
            <w:pPr>
              <w:spacing w:after="0"/>
              <w:rPr>
                <w:sz w:val="20"/>
                <w:szCs w:val="20"/>
                <w:color w:val="auto"/>
              </w:rPr>
            </w:pPr>
            <w:r>
              <w:rPr>
                <w:rFonts w:ascii="Arial" w:cs="Arial" w:eastAsia="Arial" w:hAnsi="Arial"/>
                <w:sz w:val="22"/>
                <w:szCs w:val="22"/>
                <w:color w:val="auto"/>
                <w:w w:val="93"/>
              </w:rPr>
              <w:t>By</w:t>
            </w:r>
          </w:p>
        </w:tc>
        <w:tc>
          <w:tcPr>
            <w:tcW w:w="24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D. Boehmer</w:t>
            </w:r>
          </w:p>
        </w:tc>
      </w:tr>
      <w:tr>
        <w:trPr>
          <w:trHeight w:val="242"/>
        </w:trPr>
        <w:tc>
          <w:tcPr>
            <w:tcW w:w="4100" w:type="dxa"/>
            <w:vAlign w:val="bottom"/>
            <w:gridSpan w:val="3"/>
          </w:tcPr>
          <w:p>
            <w:pPr>
              <w:spacing w:after="0" w:line="242" w:lineRule="exact"/>
              <w:rPr>
                <w:sz w:val="20"/>
                <w:szCs w:val="20"/>
                <w:color w:val="auto"/>
              </w:rPr>
            </w:pPr>
            <w:r>
              <w:rPr>
                <w:rFonts w:ascii="Arial" w:cs="Arial" w:eastAsia="Arial" w:hAnsi="Arial"/>
                <w:sz w:val="22"/>
                <w:szCs w:val="22"/>
                <w:color w:val="auto"/>
              </w:rPr>
              <w:t>Name: Mark D. Boehmer</w:t>
            </w:r>
          </w:p>
        </w:tc>
      </w:tr>
      <w:tr>
        <w:trPr>
          <w:trHeight w:val="274"/>
        </w:trPr>
        <w:tc>
          <w:tcPr>
            <w:tcW w:w="500" w:type="dxa"/>
            <w:vAlign w:val="bottom"/>
            <w:gridSpan w:val="2"/>
          </w:tcPr>
          <w:p>
            <w:pPr>
              <w:spacing w:after="0"/>
              <w:rPr>
                <w:sz w:val="20"/>
                <w:szCs w:val="20"/>
                <w:color w:val="auto"/>
              </w:rPr>
            </w:pPr>
            <w:r>
              <w:rPr>
                <w:rFonts w:ascii="Arial" w:cs="Arial" w:eastAsia="Arial" w:hAnsi="Arial"/>
                <w:sz w:val="22"/>
                <w:szCs w:val="22"/>
                <w:color w:val="auto"/>
              </w:rPr>
              <w:t>Title:</w:t>
            </w:r>
          </w:p>
        </w:tc>
        <w:tc>
          <w:tcPr>
            <w:tcW w:w="3600" w:type="dxa"/>
            <w:vAlign w:val="bottom"/>
          </w:tcPr>
          <w:p>
            <w:pPr>
              <w:ind w:left="180"/>
              <w:spacing w:after="0"/>
              <w:rPr>
                <w:sz w:val="20"/>
                <w:szCs w:val="20"/>
                <w:color w:val="auto"/>
              </w:rPr>
            </w:pPr>
            <w:r>
              <w:rPr>
                <w:rFonts w:ascii="Arial" w:cs="Arial" w:eastAsia="Arial" w:hAnsi="Arial"/>
                <w:sz w:val="22"/>
                <w:szCs w:val="22"/>
                <w:color w:val="auto"/>
              </w:rPr>
              <w:t>Vice President and Treasurer</w:t>
            </w:r>
          </w:p>
        </w:tc>
      </w:tr>
    </w:tbl>
    <w:p>
      <w:pPr>
        <w:spacing w:after="0" w:line="18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USF HOLLAND LLC</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(F/K/A USF HOLLAND INC.)</w:t>
      </w:r>
    </w:p>
    <w:p>
      <w:pPr>
        <w:spacing w:after="0" w:line="188"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USF REDSTAR LLC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USF REDDAWAY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767080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37" w:name="page38"/>
    <w:bookmarkEnd w:id="37"/>
    <w:p>
      <w:pPr>
        <w:ind w:left="3980"/>
        <w:spacing w:after="0"/>
        <w:rPr>
          <w:sz w:val="20"/>
          <w:szCs w:val="20"/>
          <w:color w:val="auto"/>
        </w:rPr>
      </w:pPr>
      <w:r>
        <w:rPr>
          <w:rFonts w:ascii="Arial" w:cs="Arial" w:eastAsia="Arial" w:hAnsi="Arial"/>
          <w:sz w:val="22"/>
          <w:szCs w:val="22"/>
          <w:color w:val="auto"/>
        </w:rPr>
        <w:t>YRC ASSOCIATION SOLUTIONS,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YRC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YRC INTERNATIONAL INVESTMENTS, INC.</w:t>
      </w:r>
    </w:p>
    <w:p>
      <w:pPr>
        <w:spacing w:after="0" w:line="218"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YRC LOGISTICS SERVICES,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YRC MORTGAGES, LLC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YRC ENTERPRISE SERVICES,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YRC REGIONAL TRANSPORTATION,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749935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38" w:name="page39"/>
    <w:bookmarkEnd w:id="38"/>
    <w:p>
      <w:pPr>
        <w:ind w:left="3980"/>
        <w:spacing w:after="0"/>
        <w:rPr>
          <w:sz w:val="20"/>
          <w:szCs w:val="20"/>
          <w:color w:val="auto"/>
        </w:rPr>
      </w:pPr>
      <w:r>
        <w:rPr>
          <w:rFonts w:ascii="Arial" w:cs="Arial" w:eastAsia="Arial" w:hAnsi="Arial"/>
          <w:sz w:val="22"/>
          <w:szCs w:val="22"/>
          <w:color w:val="auto"/>
        </w:rPr>
        <w:t>1105481 ONTARIO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200" w:lineRule="exact"/>
        <w:rPr>
          <w:sz w:val="20"/>
          <w:szCs w:val="20"/>
          <w:color w:val="auto"/>
        </w:rPr>
      </w:pPr>
    </w:p>
    <w:p>
      <w:pPr>
        <w:spacing w:after="0" w:line="204"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Richard J. Bronk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003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Richard J. Bronk</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YRC LOGISTICS INC.</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188" w:lineRule="exact"/>
        <w:rPr>
          <w:sz w:val="20"/>
          <w:szCs w:val="20"/>
          <w:color w:val="auto"/>
        </w:rPr>
      </w:pPr>
    </w:p>
    <w:p>
      <w:pPr>
        <w:ind w:left="3980"/>
        <w:spacing w:after="0"/>
        <w:tabs>
          <w:tab w:leader="none" w:pos="4540" w:val="left"/>
        </w:tabs>
        <w:rPr>
          <w:sz w:val="20"/>
          <w:szCs w:val="20"/>
          <w:color w:val="auto"/>
        </w:rPr>
      </w:pPr>
      <w:r>
        <w:rPr>
          <w:rFonts w:ascii="Arial" w:cs="Arial" w:eastAsia="Arial" w:hAnsi="Arial"/>
          <w:sz w:val="22"/>
          <w:szCs w:val="22"/>
          <w:color w:val="auto"/>
        </w:rPr>
        <w:t>By:</w:t>
        <w:tab/>
        <w:t>/s/ James Faught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574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James Faught</w:t>
      </w:r>
    </w:p>
    <w:p>
      <w:pPr>
        <w:ind w:left="3980"/>
        <w:spacing w:after="0"/>
        <w:rPr>
          <w:sz w:val="20"/>
          <w:szCs w:val="20"/>
          <w:color w:val="auto"/>
        </w:rPr>
      </w:pPr>
      <w:r>
        <w:rPr>
          <w:rFonts w:ascii="Arial" w:cs="Arial" w:eastAsia="Arial" w:hAnsi="Arial"/>
          <w:sz w:val="22"/>
          <w:szCs w:val="22"/>
          <w:color w:val="auto"/>
        </w:rPr>
        <w:t>Title:  Vice President</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USF HOLLAND INTERNATIONAL SALES</w:t>
      </w:r>
    </w:p>
    <w:p>
      <w:pPr>
        <w:spacing w:after="0" w:line="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CORPORATION</w:t>
      </w:r>
    </w:p>
    <w:p>
      <w:pPr>
        <w:spacing w:after="0" w:line="188"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James Faught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2174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James Faught</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4"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Thomas J.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6212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2128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Thomas J. O’Connor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YRC FREIGHT CANADA COMPANY</w:t>
      </w:r>
    </w:p>
    <w:p>
      <w:pPr>
        <w:spacing w:after="0" w:line="206"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Mark D. Boehmer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68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Mark D. Boehmer</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200" w:lineRule="exact"/>
        <w:rPr>
          <w:sz w:val="20"/>
          <w:szCs w:val="20"/>
          <w:color w:val="auto"/>
        </w:rPr>
      </w:pPr>
    </w:p>
    <w:p>
      <w:pPr>
        <w:spacing w:after="0" w:line="204" w:lineRule="exact"/>
        <w:rPr>
          <w:sz w:val="20"/>
          <w:szCs w:val="20"/>
          <w:color w:val="auto"/>
        </w:rPr>
      </w:pPr>
    </w:p>
    <w:p>
      <w:pPr>
        <w:ind w:left="3980"/>
        <w:spacing w:after="0"/>
        <w:tabs>
          <w:tab w:leader="none" w:pos="4600" w:val="left"/>
        </w:tabs>
        <w:rPr>
          <w:sz w:val="20"/>
          <w:szCs w:val="20"/>
          <w:color w:val="auto"/>
        </w:rPr>
      </w:pPr>
      <w:r>
        <w:rPr>
          <w:rFonts w:ascii="Arial" w:cs="Arial" w:eastAsia="Arial" w:hAnsi="Arial"/>
          <w:sz w:val="22"/>
          <w:szCs w:val="22"/>
          <w:color w:val="auto"/>
        </w:rPr>
        <w:t>By:</w:t>
        <w:tab/>
        <w:t>/s/ Richard J. Bronk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400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Richard J. Bronk</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612775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39" w:name="page40"/>
    <w:bookmarkEnd w:id="39"/>
    <w:p>
      <w:pPr>
        <w:ind w:left="3980"/>
        <w:spacing w:after="0"/>
        <w:rPr>
          <w:sz w:val="20"/>
          <w:szCs w:val="20"/>
          <w:color w:val="auto"/>
        </w:rPr>
      </w:pPr>
      <w:r>
        <w:rPr>
          <w:rFonts w:ascii="Arial" w:cs="Arial" w:eastAsia="Arial" w:hAnsi="Arial"/>
          <w:sz w:val="22"/>
          <w:szCs w:val="22"/>
          <w:color w:val="auto"/>
        </w:rPr>
        <w:t>REIMER HOLDING B.V.</w:t>
      </w:r>
    </w:p>
    <w:p>
      <w:pPr>
        <w:spacing w:after="0" w:line="206" w:lineRule="exact"/>
        <w:rPr>
          <w:sz w:val="20"/>
          <w:szCs w:val="20"/>
          <w:color w:val="auto"/>
        </w:rPr>
      </w:pPr>
    </w:p>
    <w:p>
      <w:pPr>
        <w:ind w:left="3980"/>
        <w:spacing w:after="0"/>
        <w:tabs>
          <w:tab w:leader="none" w:pos="4540" w:val="left"/>
        </w:tabs>
        <w:rPr>
          <w:sz w:val="20"/>
          <w:szCs w:val="20"/>
          <w:color w:val="auto"/>
        </w:rPr>
      </w:pPr>
      <w:r>
        <w:rPr>
          <w:rFonts w:ascii="Arial" w:cs="Arial" w:eastAsia="Arial" w:hAnsi="Arial"/>
          <w:sz w:val="19"/>
          <w:szCs w:val="19"/>
          <w:color w:val="auto"/>
        </w:rPr>
        <w:t>By:</w:t>
        <w:tab/>
        <w:t>/s/ M.F. A van Schijndel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3175</wp:posOffset>
            </wp:positionV>
            <wp:extent cx="15093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09395" cy="8255"/>
                    </a:xfrm>
                    <a:prstGeom prst="rect">
                      <a:avLst/>
                    </a:prstGeom>
                    <a:noFill/>
                  </pic:spPr>
                </pic:pic>
              </a:graphicData>
            </a:graphic>
          </wp:anchor>
        </w:drawing>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Name: M.F. A van Schijndel</w:t>
      </w:r>
    </w:p>
    <w:p>
      <w:pPr>
        <w:spacing w:after="0" w:line="2"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 A</w:t>
      </w:r>
    </w:p>
    <w:p>
      <w:pPr>
        <w:spacing w:after="0" w:line="200" w:lineRule="exact"/>
        <w:rPr>
          <w:sz w:val="20"/>
          <w:szCs w:val="20"/>
          <w:color w:val="auto"/>
        </w:rPr>
      </w:pPr>
    </w:p>
    <w:p>
      <w:pPr>
        <w:spacing w:after="0" w:line="204" w:lineRule="exact"/>
        <w:rPr>
          <w:sz w:val="20"/>
          <w:szCs w:val="20"/>
          <w:color w:val="auto"/>
        </w:rPr>
      </w:pPr>
    </w:p>
    <w:p>
      <w:pPr>
        <w:ind w:left="3980"/>
        <w:spacing w:after="0"/>
        <w:tabs>
          <w:tab w:leader="none" w:pos="4540" w:val="left"/>
        </w:tabs>
        <w:rPr>
          <w:sz w:val="20"/>
          <w:szCs w:val="20"/>
          <w:color w:val="auto"/>
        </w:rPr>
      </w:pPr>
      <w:r>
        <w:rPr>
          <w:rFonts w:ascii="Arial" w:cs="Arial" w:eastAsia="Arial" w:hAnsi="Arial"/>
          <w:sz w:val="22"/>
          <w:szCs w:val="22"/>
          <w:color w:val="auto"/>
        </w:rPr>
        <w:t>By:</w:t>
        <w:tab/>
        <w:t>/s/ Terry Gerrond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-17780</wp:posOffset>
            </wp:positionV>
            <wp:extent cx="2218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18690" cy="8890"/>
                    </a:xfrm>
                    <a:prstGeom prst="rect">
                      <a:avLst/>
                    </a:prstGeom>
                    <a:noFill/>
                  </pic:spPr>
                </pic:pic>
              </a:graphicData>
            </a:graphic>
          </wp:anchor>
        </w:drawing>
      </w:r>
    </w:p>
    <w:p>
      <w:pPr>
        <w:ind w:left="3980"/>
        <w:spacing w:after="0" w:line="238" w:lineRule="auto"/>
        <w:rPr>
          <w:sz w:val="20"/>
          <w:szCs w:val="20"/>
          <w:color w:val="auto"/>
        </w:rPr>
      </w:pPr>
      <w:r>
        <w:rPr>
          <w:rFonts w:ascii="Arial" w:cs="Arial" w:eastAsia="Arial" w:hAnsi="Arial"/>
          <w:sz w:val="22"/>
          <w:szCs w:val="22"/>
          <w:color w:val="auto"/>
        </w:rPr>
        <w:t>Name: Terry Gerrond</w:t>
      </w: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1024255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40" w:name="page41"/>
    <w:bookmarkEnd w:id="40"/>
    <w:p>
      <w:pPr>
        <w:ind w:left="3200"/>
        <w:spacing w:after="0"/>
        <w:rPr>
          <w:sz w:val="20"/>
          <w:szCs w:val="20"/>
          <w:color w:val="auto"/>
        </w:rPr>
      </w:pPr>
      <w:r>
        <w:rPr>
          <w:rFonts w:ascii="Arial" w:cs="Arial" w:eastAsia="Arial" w:hAnsi="Arial"/>
          <w:sz w:val="21"/>
          <w:szCs w:val="21"/>
          <w:b w:val="1"/>
          <w:bCs w:val="1"/>
          <w:color w:val="auto"/>
        </w:rPr>
        <w:t>APOLLO CREDIT STRATEGIES MASTER FUND, LTD.</w:t>
      </w:r>
      <w:r>
        <w:rPr>
          <w:rFonts w:ascii="Arial" w:cs="Arial" w:eastAsia="Arial" w:hAnsi="Arial"/>
          <w:sz w:val="21"/>
          <w:szCs w:val="21"/>
          <w:color w:val="auto"/>
        </w:rPr>
        <w:t>, as a Lender</w:t>
      </w:r>
    </w:p>
    <w:p>
      <w:pPr>
        <w:spacing w:after="0" w:line="224"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ST Fund Management LLC, its investment manager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APOLLO ATLAS MASTER FUND, LLC</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Atlas Management, LLC, its investment manager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16480" cy="8890"/>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AP KENT CREDIT MASTER FUND, L.P.</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 Kent Management, LLC, the investment manager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MPI (LONDON) LIMITED</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TRF MP Management, LLC, its investment manager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Capital Management, L.P. its sole member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Capital Management GP, LLC, its general partner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760"/>
          </w:cols>
          <w:pgMar w:left="1440" w:top="328" w:right="699" w:bottom="1440" w:gutter="0" w:footer="0" w:header="0"/>
        </w:sectPr>
      </w:pPr>
    </w:p>
    <w:bookmarkStart w:id="41" w:name="page42"/>
    <w:bookmarkEnd w:id="41"/>
    <w:p>
      <w:pPr>
        <w:ind w:left="3200"/>
        <w:spacing w:after="0"/>
        <w:rPr>
          <w:sz w:val="20"/>
          <w:szCs w:val="20"/>
          <w:color w:val="auto"/>
        </w:rPr>
      </w:pPr>
      <w:r>
        <w:rPr>
          <w:rFonts w:ascii="Arial" w:cs="Arial" w:eastAsia="Arial" w:hAnsi="Arial"/>
          <w:sz w:val="22"/>
          <w:szCs w:val="22"/>
          <w:b w:val="1"/>
          <w:bCs w:val="1"/>
          <w:color w:val="auto"/>
        </w:rPr>
        <w:t>APOLLO MOULTRIE CREDIT FUND, L.P.</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 Apollo Moultrie Credit Fund Management, LLC its investment manager</w:t>
      </w:r>
    </w:p>
    <w:p>
      <w:pPr>
        <w:spacing w:after="0" w:line="241"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1"/>
          <w:szCs w:val="21"/>
          <w:b w:val="1"/>
          <w:bCs w:val="1"/>
          <w:color w:val="auto"/>
        </w:rPr>
        <w:t>APOLLO TACTICAL VALUE SPN INVESTMENTS, L.P.</w:t>
      </w:r>
      <w:r>
        <w:rPr>
          <w:rFonts w:ascii="Arial" w:cs="Arial" w:eastAsia="Arial" w:hAnsi="Arial"/>
          <w:sz w:val="21"/>
          <w:szCs w:val="21"/>
          <w:color w:val="auto"/>
        </w:rPr>
        <w:t>, as a Lender</w:t>
      </w:r>
    </w:p>
    <w:p>
      <w:pPr>
        <w:spacing w:after="0" w:line="224"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 Apollo Tactical Value SPN Management, LLC, its investment manager</w:t>
      </w:r>
    </w:p>
    <w:p>
      <w:pPr>
        <w:spacing w:after="0" w:line="241"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APOLLO ACCORD MASTER FUND III, L.P.</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Accord Management III, LLC, its investment manager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CADBURY MONDELEZ PENSION TRUST LIMITED</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TRF CM Management, LLC, its investment manager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Capital Management, L.P., its member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Capital Management GP, LLC, its general partner</w:t>
      </w:r>
    </w:p>
    <w:p>
      <w:pPr>
        <w:ind w:left="3200"/>
        <w:spacing w:after="0" w:line="238" w:lineRule="auto"/>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-22860</wp:posOffset>
            </wp:positionV>
            <wp:extent cx="23164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16480" cy="8890"/>
                    </a:xfrm>
                    <a:prstGeom prst="rect">
                      <a:avLst/>
                    </a:prstGeom>
                    <a:noFill/>
                  </pic:spPr>
                </pic:pic>
              </a:graphicData>
            </a:graphic>
          </wp:anchor>
        </w:drawing>
      </w:r>
    </w:p>
    <w:p>
      <w:pPr>
        <w:ind w:left="3200"/>
        <w:spacing w:after="0" w:line="230" w:lineRule="auto"/>
        <w:rPr>
          <w:sz w:val="20"/>
          <w:szCs w:val="20"/>
          <w:color w:val="auto"/>
        </w:rPr>
      </w:pPr>
      <w:r>
        <w:rPr>
          <w:rFonts w:ascii="Arial" w:cs="Arial" w:eastAsia="Arial" w:hAnsi="Arial"/>
          <w:sz w:val="22"/>
          <w:szCs w:val="22"/>
          <w:color w:val="auto"/>
        </w:rPr>
        <w:t>Name: Joseph D. Glatt</w:t>
      </w:r>
    </w:p>
    <w:p>
      <w:pPr>
        <w:spacing w:after="0" w:line="1" w:lineRule="exact"/>
        <w:rPr>
          <w:sz w:val="20"/>
          <w:szCs w:val="20"/>
          <w:color w:val="auto"/>
        </w:rPr>
      </w:pP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880"/>
          </w:cols>
          <w:pgMar w:left="1440" w:top="328" w:right="579" w:bottom="1440" w:gutter="0" w:footer="0" w:header="0"/>
        </w:sectPr>
      </w:pPr>
    </w:p>
    <w:bookmarkStart w:id="42" w:name="page43"/>
    <w:bookmarkEnd w:id="42"/>
    <w:p>
      <w:pPr>
        <w:ind w:left="3200"/>
        <w:spacing w:after="0"/>
        <w:rPr>
          <w:sz w:val="20"/>
          <w:szCs w:val="20"/>
          <w:color w:val="auto"/>
        </w:rPr>
      </w:pPr>
      <w:r>
        <w:rPr>
          <w:rFonts w:ascii="Arial" w:cs="Arial" w:eastAsia="Arial" w:hAnsi="Arial"/>
          <w:sz w:val="22"/>
          <w:szCs w:val="22"/>
          <w:b w:val="1"/>
          <w:bCs w:val="1"/>
          <w:color w:val="auto"/>
        </w:rPr>
        <w:t>APOLLO CREDIT FUNDS ICAV</w:t>
      </w:r>
      <w:r>
        <w:rPr>
          <w:rFonts w:ascii="Arial" w:cs="Arial" w:eastAsia="Arial" w:hAnsi="Arial"/>
          <w:sz w:val="22"/>
          <w:szCs w:val="22"/>
          <w:color w:val="auto"/>
        </w:rPr>
        <w:t>, as a Lender</w:t>
      </w:r>
    </w:p>
    <w:p>
      <w:pPr>
        <w:spacing w:after="0" w:line="212" w:lineRule="exact"/>
        <w:rPr>
          <w:sz w:val="20"/>
          <w:szCs w:val="20"/>
          <w:color w:val="auto"/>
        </w:rPr>
      </w:pPr>
    </w:p>
    <w:p>
      <w:pPr>
        <w:jc w:val="both"/>
        <w:ind w:left="3200" w:right="360"/>
        <w:spacing w:after="0"/>
        <w:rPr>
          <w:sz w:val="20"/>
          <w:szCs w:val="20"/>
          <w:color w:val="auto"/>
        </w:rPr>
      </w:pPr>
      <w:r>
        <w:rPr>
          <w:rFonts w:ascii="Arial" w:cs="Arial" w:eastAsia="Arial" w:hAnsi="Arial"/>
          <w:sz w:val="22"/>
          <w:szCs w:val="22"/>
          <w:color w:val="auto"/>
        </w:rPr>
        <w:t>an Umbrella Irish Collective Asset Management Vehicle with Segregated Liability between its Sub-Funds, acting in respect of its Sub-Fund Apollo Helius Loan Fund</w:t>
      </w:r>
    </w:p>
    <w:p>
      <w:pPr>
        <w:spacing w:after="0" w:line="18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ACF Europe Management, LLC, its portfolio manager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Capital Management, L.P., its sole member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Capital Management GP, LLC, its general partner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AMISSIMA DIVERSIFIED INCOME ICAV</w:t>
      </w:r>
      <w:r>
        <w:rPr>
          <w:rFonts w:ascii="Arial" w:cs="Arial" w:eastAsia="Arial" w:hAnsi="Arial"/>
          <w:sz w:val="22"/>
          <w:szCs w:val="22"/>
          <w:color w:val="auto"/>
        </w:rPr>
        <w:t>, as a Lender</w:t>
      </w:r>
    </w:p>
    <w:p>
      <w:pPr>
        <w:spacing w:after="0" w:line="212" w:lineRule="exact"/>
        <w:rPr>
          <w:sz w:val="20"/>
          <w:szCs w:val="20"/>
          <w:color w:val="auto"/>
        </w:rPr>
      </w:pPr>
    </w:p>
    <w:p>
      <w:pPr>
        <w:ind w:left="3200" w:right="20"/>
        <w:spacing w:after="0"/>
        <w:rPr>
          <w:sz w:val="20"/>
          <w:szCs w:val="20"/>
          <w:color w:val="auto"/>
        </w:rPr>
      </w:pPr>
      <w:r>
        <w:rPr>
          <w:rFonts w:ascii="Arial" w:cs="Arial" w:eastAsia="Arial" w:hAnsi="Arial"/>
          <w:sz w:val="22"/>
          <w:szCs w:val="22"/>
          <w:color w:val="auto"/>
        </w:rPr>
        <w:t>an Umbrella Irish Collective Asset-Management Vehicle with Segregated Liability between its Sub-Funds, acting in respect of its Sub-Fund, Amissima Loan Origination Fund</w:t>
      </w:r>
    </w:p>
    <w:p>
      <w:pPr>
        <w:spacing w:after="0" w:line="186" w:lineRule="exact"/>
        <w:rPr>
          <w:sz w:val="20"/>
          <w:szCs w:val="20"/>
          <w:color w:val="auto"/>
        </w:rPr>
      </w:pPr>
    </w:p>
    <w:p>
      <w:pPr>
        <w:ind w:left="3200"/>
        <w:spacing w:after="0" w:line="250" w:lineRule="auto"/>
        <w:rPr>
          <w:sz w:val="20"/>
          <w:szCs w:val="20"/>
          <w:color w:val="auto"/>
        </w:rPr>
      </w:pPr>
      <w:r>
        <w:rPr>
          <w:rFonts w:ascii="Arial" w:cs="Arial" w:eastAsia="Arial" w:hAnsi="Arial"/>
          <w:sz w:val="22"/>
          <w:szCs w:val="22"/>
          <w:color w:val="auto"/>
        </w:rPr>
        <w:t>By: Apollo Management International LLP, solely in its capacity as Portfolio Manager and not in its individual corporate capacity</w:t>
      </w:r>
    </w:p>
    <w:p>
      <w:pPr>
        <w:spacing w:after="0" w:line="175"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AMI (Holdings), LLC, its member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16480" cy="8890"/>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00"/>
          </w:cols>
          <w:pgMar w:left="1440" w:top="328" w:right="559" w:bottom="1440" w:gutter="0" w:footer="0" w:header="0"/>
        </w:sectPr>
      </w:pPr>
    </w:p>
    <w:bookmarkStart w:id="43" w:name="page44"/>
    <w:bookmarkEnd w:id="43"/>
    <w:p>
      <w:pPr>
        <w:ind w:left="3200"/>
        <w:spacing w:after="0"/>
        <w:rPr>
          <w:sz w:val="20"/>
          <w:szCs w:val="20"/>
          <w:color w:val="auto"/>
        </w:rPr>
      </w:pPr>
      <w:r>
        <w:rPr>
          <w:rFonts w:ascii="Arial" w:cs="Arial" w:eastAsia="Arial" w:hAnsi="Arial"/>
          <w:sz w:val="22"/>
          <w:szCs w:val="22"/>
          <w:b w:val="1"/>
          <w:bCs w:val="1"/>
          <w:color w:val="auto"/>
        </w:rPr>
        <w:t>ATHORA LUX INVEST</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line="234" w:lineRule="auto"/>
        <w:rPr>
          <w:sz w:val="20"/>
          <w:szCs w:val="20"/>
          <w:color w:val="auto"/>
        </w:rPr>
      </w:pPr>
      <w:r>
        <w:rPr>
          <w:rFonts w:ascii="Arial" w:cs="Arial" w:eastAsia="Arial" w:hAnsi="Arial"/>
          <w:sz w:val="22"/>
          <w:szCs w:val="22"/>
          <w:color w:val="auto"/>
        </w:rPr>
        <w:t>a reserved alternative investment fund in the form of a Luxembourg special limited partnership (société en commandite spéciale), acting in respect of its compartment, Athora Lux Invest - Loan Origination, acting through its managing general partner</w:t>
      </w:r>
    </w:p>
    <w:p>
      <w:pPr>
        <w:spacing w:after="0" w:line="3" w:lineRule="exact"/>
        <w:rPr>
          <w:sz w:val="20"/>
          <w:szCs w:val="20"/>
          <w:color w:val="auto"/>
        </w:rPr>
      </w:pPr>
    </w:p>
    <w:p>
      <w:pPr>
        <w:ind w:left="3200" w:right="280"/>
        <w:spacing w:after="0" w:line="230" w:lineRule="auto"/>
        <w:rPr>
          <w:sz w:val="20"/>
          <w:szCs w:val="20"/>
          <w:color w:val="auto"/>
        </w:rPr>
      </w:pPr>
      <w:r>
        <w:rPr>
          <w:rFonts w:ascii="Arial" w:cs="Arial" w:eastAsia="Arial" w:hAnsi="Arial"/>
          <w:sz w:val="22"/>
          <w:szCs w:val="22"/>
          <w:color w:val="auto"/>
        </w:rPr>
        <w:t>Athora Lux Invest Management and represented by its delegate portfolio manager,</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Apollo Management International LLP</w:t>
      </w:r>
    </w:p>
    <w:p>
      <w:pPr>
        <w:spacing w:after="0" w:line="18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Management International LLP, its portfolio manager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AMI (Holdings), LLC, its member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767080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780"/>
          </w:cols>
          <w:pgMar w:left="1440" w:top="328" w:right="679" w:bottom="1440" w:gutter="0" w:footer="0" w:header="0"/>
        </w:sectPr>
      </w:pPr>
    </w:p>
    <w:bookmarkStart w:id="44" w:name="page45"/>
    <w:bookmarkEnd w:id="44"/>
    <w:p>
      <w:pPr>
        <w:ind w:left="3200"/>
        <w:spacing w:after="0"/>
        <w:rPr>
          <w:sz w:val="20"/>
          <w:szCs w:val="20"/>
          <w:color w:val="auto"/>
        </w:rPr>
      </w:pPr>
      <w:r>
        <w:rPr>
          <w:rFonts w:ascii="Arial" w:cs="Arial" w:eastAsia="Arial" w:hAnsi="Arial"/>
          <w:sz w:val="22"/>
          <w:szCs w:val="22"/>
          <w:b w:val="1"/>
          <w:bCs w:val="1"/>
          <w:color w:val="auto"/>
        </w:rPr>
        <w:t>ACE GLOBAL MULTI-CREDIT LLC</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ACE Credit Fund, LP, its sole member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ACE Credit Advisors, LP, its general partner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ACE Credit Advisors GP, LLC, its general partner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APOLLO CREDIT MASTER FUND LTD.</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ST Fund Management LLC, as its investment manager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APOLLO LINCOLN FIXED INCOME FUND, L.P.</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 Apollo Lincoln Fixed Income Management, LLC, its investment manager</w:t>
      </w:r>
    </w:p>
    <w:p>
      <w:pPr>
        <w:spacing w:after="0" w:line="241"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00"/>
          </w:cols>
          <w:pgMar w:left="1440" w:top="328" w:right="459" w:bottom="1440" w:gutter="0" w:footer="0" w:header="0"/>
        </w:sectPr>
      </w:pPr>
    </w:p>
    <w:bookmarkStart w:id="45" w:name="page46"/>
    <w:bookmarkEnd w:id="45"/>
    <w:p>
      <w:pPr>
        <w:ind w:left="3200"/>
        <w:spacing w:after="0" w:line="256" w:lineRule="auto"/>
        <w:rPr>
          <w:sz w:val="20"/>
          <w:szCs w:val="20"/>
          <w:color w:val="auto"/>
        </w:rPr>
      </w:pPr>
      <w:r>
        <w:rPr>
          <w:rFonts w:ascii="Arial" w:cs="Arial" w:eastAsia="Arial" w:hAnsi="Arial"/>
          <w:sz w:val="22"/>
          <w:szCs w:val="22"/>
          <w:b w:val="1"/>
          <w:bCs w:val="1"/>
          <w:color w:val="auto"/>
        </w:rPr>
        <w:t>APOLLO PPF OPPORTUNISTIC CREDIT PARTNERS (LUX), SCSP</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a Lender</w:t>
      </w:r>
    </w:p>
    <w:p>
      <w:pPr>
        <w:spacing w:after="0" w:line="16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Apollo PPF Credit Management, LLC, its investment manager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164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Joseph D. Glatt</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4881880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80"/>
          </w:cols>
          <w:pgMar w:left="1440" w:top="328" w:right="379" w:bottom="1440" w:gutter="0" w:footer="0" w:header="0"/>
        </w:sectPr>
      </w:pPr>
    </w:p>
    <w:bookmarkStart w:id="46" w:name="page47"/>
    <w:bookmarkEnd w:id="46"/>
    <w:p>
      <w:pPr>
        <w:ind w:left="3200"/>
        <w:spacing w:after="0"/>
        <w:rPr>
          <w:sz w:val="20"/>
          <w:szCs w:val="20"/>
          <w:color w:val="auto"/>
        </w:rPr>
      </w:pPr>
      <w:r>
        <w:rPr>
          <w:rFonts w:ascii="Arial" w:cs="Arial" w:eastAsia="Arial" w:hAnsi="Arial"/>
          <w:sz w:val="22"/>
          <w:szCs w:val="22"/>
          <w:b w:val="1"/>
          <w:bCs w:val="1"/>
          <w:color w:val="auto"/>
        </w:rPr>
        <w:t>ASPEN AMERICAN INSURANCE COMPANY</w:t>
      </w:r>
      <w:r>
        <w:rPr>
          <w:rFonts w:ascii="Arial" w:cs="Arial" w:eastAsia="Arial" w:hAnsi="Arial"/>
          <w:sz w:val="22"/>
          <w:szCs w:val="22"/>
          <w:color w:val="auto"/>
        </w:rPr>
        <w:t>, as a Lender</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 Apollo Asset Management Europe PC LLP, its investment manager</w:t>
      </w:r>
    </w:p>
    <w:p>
      <w:pPr>
        <w:spacing w:after="0" w:line="241"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Seda Yalcinkaya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3787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Seda Yalcinkaya</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440" w:top="328" w:right="999" w:bottom="1440" w:gutter="0" w:footer="0" w:header="0"/>
        </w:sectPr>
      </w:pPr>
    </w:p>
    <w:bookmarkStart w:id="47" w:name="page48"/>
    <w:bookmarkEnd w:id="47"/>
    <w:p>
      <w:pPr>
        <w:ind w:left="3200"/>
        <w:spacing w:after="0"/>
        <w:rPr>
          <w:sz w:val="20"/>
          <w:szCs w:val="20"/>
          <w:color w:val="auto"/>
        </w:rPr>
      </w:pPr>
      <w:r>
        <w:rPr>
          <w:rFonts w:ascii="Arial" w:cs="Arial" w:eastAsia="Arial" w:hAnsi="Arial"/>
          <w:sz w:val="19"/>
          <w:szCs w:val="19"/>
          <w:color w:val="auto"/>
        </w:rPr>
        <w:t>BEAL BANK USA, as a Lender</w:t>
      </w:r>
    </w:p>
    <w:p>
      <w:pPr>
        <w:spacing w:after="0" w:line="241"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Jacob C. Cherner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4155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Jacob C. Cherner</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4607560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48" w:name="page49"/>
    <w:bookmarkEnd w:id="48"/>
    <w:p>
      <w:pPr>
        <w:ind w:left="3200"/>
        <w:spacing w:after="0"/>
        <w:rPr>
          <w:sz w:val="20"/>
          <w:szCs w:val="20"/>
          <w:color w:val="auto"/>
        </w:rPr>
      </w:pPr>
      <w:r>
        <w:rPr>
          <w:rFonts w:ascii="Arial" w:cs="Arial" w:eastAsia="Arial" w:hAnsi="Arial"/>
          <w:sz w:val="22"/>
          <w:szCs w:val="22"/>
          <w:color w:val="auto"/>
        </w:rPr>
        <w:t>BTC HOLDINGS FUND I, LLC, as a Lender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Blue Torch Credit Opportunities Fund I LP, its sole member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Blue Torch Credit Opportunities GP LLC, its general partner</w:t>
      </w:r>
    </w:p>
    <w:p>
      <w:pPr>
        <w:spacing w:after="0" w:line="206"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1945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Kevin Genda</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Signor</w:t>
      </w:r>
    </w:p>
    <w:p>
      <w:pPr>
        <w:spacing w:after="0" w:line="18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BTC HOLDINGS SC FUND LLC, as a Lender</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 Blue Torch Credit Opportunities SC Master Fund LP, its sole member</w:t>
      </w:r>
    </w:p>
    <w:p>
      <w:pPr>
        <w:spacing w:after="0" w:line="241"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By: Blue Torch Credit Opportunities SC GP LLC, its General Partner</w:t>
      </w:r>
    </w:p>
    <w:p>
      <w:pPr>
        <w:spacing w:after="0" w:line="218" w:lineRule="exact"/>
        <w:rPr>
          <w:sz w:val="20"/>
          <w:szCs w:val="20"/>
          <w:color w:val="auto"/>
        </w:rPr>
      </w:pPr>
    </w:p>
    <w:p>
      <w:pPr>
        <w:ind w:left="3200"/>
        <w:spacing w:after="0"/>
        <w:tabs>
          <w:tab w:leader="none" w:pos="3820" w:val="left"/>
        </w:tabs>
        <w:rPr>
          <w:sz w:val="20"/>
          <w:szCs w:val="20"/>
          <w:color w:val="auto"/>
        </w:rPr>
      </w:pPr>
      <w:r>
        <w:rPr>
          <w:rFonts w:ascii="Arial" w:cs="Arial" w:eastAsia="Arial" w:hAnsi="Arial"/>
          <w:sz w:val="22"/>
          <w:szCs w:val="22"/>
          <w:color w:val="auto"/>
        </w:rPr>
        <w:t>By:</w:t>
        <w:tab/>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-17780</wp:posOffset>
            </wp:positionV>
            <wp:extent cx="21945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3200"/>
        <w:spacing w:after="0" w:line="238" w:lineRule="auto"/>
        <w:rPr>
          <w:sz w:val="20"/>
          <w:szCs w:val="20"/>
          <w:color w:val="auto"/>
        </w:rPr>
      </w:pPr>
      <w:r>
        <w:rPr>
          <w:rFonts w:ascii="Arial" w:cs="Arial" w:eastAsia="Arial" w:hAnsi="Arial"/>
          <w:sz w:val="22"/>
          <w:szCs w:val="22"/>
          <w:color w:val="auto"/>
        </w:rPr>
        <w:t>Name: Kevin Genda</w:t>
      </w:r>
    </w:p>
    <w:p>
      <w:pPr>
        <w:ind w:left="320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1161415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660"/>
          </w:cols>
          <w:pgMar w:left="1440" w:top="334" w:right="799" w:bottom="1440" w:gutter="0" w:footer="0" w:header="0"/>
        </w:sectPr>
      </w:pPr>
    </w:p>
    <w:bookmarkStart w:id="49" w:name="page50"/>
    <w:bookmarkEnd w:id="49"/>
    <w:p>
      <w:pPr>
        <w:ind w:left="4080"/>
        <w:spacing w:after="0"/>
        <w:rPr>
          <w:sz w:val="20"/>
          <w:szCs w:val="20"/>
          <w:color w:val="auto"/>
        </w:rPr>
      </w:pPr>
      <w:r>
        <w:rPr>
          <w:rFonts w:ascii="Arial" w:cs="Arial" w:eastAsia="Arial" w:hAnsi="Arial"/>
          <w:sz w:val="22"/>
          <w:szCs w:val="22"/>
          <w:color w:val="auto"/>
        </w:rPr>
        <w:t>Acknowledged by:</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CORTLAND PRODUCTS CORP., as Administrative Agent</w:t>
      </w:r>
    </w:p>
    <w:p>
      <w:pPr>
        <w:spacing w:after="0" w:line="200" w:lineRule="exact"/>
        <w:rPr>
          <w:sz w:val="20"/>
          <w:szCs w:val="20"/>
          <w:color w:val="auto"/>
        </w:rPr>
      </w:pPr>
    </w:p>
    <w:p>
      <w:pPr>
        <w:spacing w:after="0" w:line="257" w:lineRule="exact"/>
        <w:rPr>
          <w:sz w:val="20"/>
          <w:szCs w:val="20"/>
          <w:color w:val="auto"/>
        </w:rPr>
      </w:pPr>
    </w:p>
    <w:p>
      <w:pPr>
        <w:ind w:left="4080"/>
        <w:spacing w:after="0"/>
        <w:tabs>
          <w:tab w:leader="none" w:pos="4640" w:val="left"/>
        </w:tabs>
        <w:rPr>
          <w:sz w:val="20"/>
          <w:szCs w:val="20"/>
          <w:color w:val="auto"/>
        </w:rPr>
      </w:pPr>
      <w:r>
        <w:rPr>
          <w:rFonts w:ascii="Arial" w:cs="Arial" w:eastAsia="Arial" w:hAnsi="Arial"/>
          <w:sz w:val="22"/>
          <w:szCs w:val="22"/>
          <w:color w:val="auto"/>
        </w:rPr>
        <w:t>By:</w:t>
        <w:tab/>
        <w:t>/s/ Jon Kirschmeier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-17780</wp:posOffset>
            </wp:positionV>
            <wp:extent cx="24041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04110" cy="8890"/>
                    </a:xfrm>
                    <a:prstGeom prst="rect">
                      <a:avLst/>
                    </a:prstGeom>
                    <a:noFill/>
                  </pic:spPr>
                </pic:pic>
              </a:graphicData>
            </a:graphic>
          </wp:anchor>
        </w:drawing>
      </w:r>
    </w:p>
    <w:p>
      <w:pPr>
        <w:ind w:left="4080"/>
        <w:spacing w:after="0" w:line="238" w:lineRule="auto"/>
        <w:rPr>
          <w:sz w:val="20"/>
          <w:szCs w:val="20"/>
          <w:color w:val="auto"/>
        </w:rPr>
      </w:pPr>
      <w:r>
        <w:rPr>
          <w:rFonts w:ascii="Arial" w:cs="Arial" w:eastAsia="Arial" w:hAnsi="Arial"/>
          <w:sz w:val="22"/>
          <w:szCs w:val="22"/>
          <w:color w:val="auto"/>
        </w:rPr>
        <w:t>Name: Jon Kirschmeier</w:t>
      </w:r>
    </w:p>
    <w:p>
      <w:pPr>
        <w:ind w:left="4080"/>
        <w:spacing w:after="0"/>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Associate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1024255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80"/>
          </w:cols>
          <w:pgMar w:left="1440" w:top="334" w:right="1179" w:bottom="1440" w:gutter="0" w:footer="0" w:header="0"/>
        </w:sectPr>
      </w:pPr>
    </w:p>
    <w:bookmarkStart w:id="50" w:name="page51"/>
    <w:bookmarkEnd w:id="50"/>
    <w:p>
      <w:pPr>
        <w:jc w:val="center"/>
        <w:ind w:right="-1100"/>
        <w:spacing w:after="0"/>
        <w:rPr>
          <w:sz w:val="20"/>
          <w:szCs w:val="20"/>
          <w:color w:val="auto"/>
        </w:rPr>
      </w:pPr>
      <w:r>
        <w:rPr>
          <w:rFonts w:ascii="Arial" w:cs="Arial" w:eastAsia="Arial" w:hAnsi="Arial"/>
          <w:sz w:val="18"/>
          <w:szCs w:val="18"/>
          <w:b w:val="1"/>
          <w:bCs w:val="1"/>
          <w:u w:val="single" w:color="auto"/>
          <w:color w:val="auto"/>
        </w:rPr>
        <w:t>Amended Credit Agreement</w:t>
      </w: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9"/>
          <w:szCs w:val="9"/>
          <w:color w:val="FFFFFF"/>
        </w:rPr>
        <w:t>41112.00012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0000FF"/>
        </w:rPr>
        <w:t>EXHIBIT A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26035</wp:posOffset>
            </wp:positionV>
            <wp:extent cx="19113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CREDIT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September 11,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YRC WORLDWIDE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GUARANTORS PARTY HERETO FROM TIME TO TIME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PARTY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CORTLAND PRODUCTS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 and Collateral Agent</w:t>
      </w:r>
    </w:p>
    <w:p>
      <w:pPr>
        <w:spacing w:after="0" w:line="21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-160020</wp:posOffset>
            </wp:positionV>
            <wp:extent cx="2743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10795</wp:posOffset>
            </wp:positionV>
            <wp:extent cx="27432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w:t>
      </w:r>
      <w:r>
        <w:rPr>
          <w:rFonts w:ascii="Arial" w:cs="Arial" w:eastAsia="Arial" w:hAnsi="Arial"/>
          <w:sz w:val="14"/>
          <w:szCs w:val="14"/>
          <w:u w:val="single" w:color="auto"/>
          <w:color w:val="auto"/>
        </w:rPr>
        <w:t>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0000FF"/>
        </w:rPr>
        <w:t>ARTICLE 1</w:t>
      </w:r>
    </w:p>
    <w:p>
      <w:pPr>
        <w:jc w:val="center"/>
        <w:spacing w:after="0" w:line="238" w:lineRule="auto"/>
        <w:rPr>
          <w:sz w:val="20"/>
          <w:szCs w:val="20"/>
          <w:color w:val="auto"/>
        </w:rPr>
      </w:pPr>
      <w:r>
        <w:rPr>
          <w:rFonts w:ascii="Arial" w:cs="Arial" w:eastAsia="Arial" w:hAnsi="Arial"/>
          <w:sz w:val="22"/>
          <w:szCs w:val="22"/>
          <w:b w:val="1"/>
          <w:bCs w:val="1"/>
          <w:i w:val="1"/>
          <w:iCs w:val="1"/>
          <w:color w:val="auto"/>
        </w:rPr>
        <w:t>D</w:t>
      </w:r>
      <w:r>
        <w:rPr>
          <w:rFonts w:ascii="Arial" w:cs="Arial" w:eastAsia="Arial" w:hAnsi="Arial"/>
          <w:sz w:val="14"/>
          <w:szCs w:val="14"/>
          <w:b w:val="1"/>
          <w:bCs w:val="1"/>
          <w:i w:val="1"/>
          <w:iCs w:val="1"/>
          <w:color w:val="auto"/>
        </w:rPr>
        <w:t>EFINITIONS</w:t>
      </w:r>
    </w:p>
    <w:p>
      <w:pPr>
        <w:spacing w:after="0" w:line="230" w:lineRule="auto"/>
        <w:rPr>
          <w:sz w:val="20"/>
          <w:szCs w:val="20"/>
          <w:color w:val="auto"/>
        </w:rPr>
      </w:pPr>
      <w:r>
        <w:rPr>
          <w:rFonts w:ascii="Arial" w:cs="Arial" w:eastAsia="Arial" w:hAnsi="Arial"/>
          <w:sz w:val="22"/>
          <w:szCs w:val="22"/>
          <w:i w:val="1"/>
          <w:iCs w:val="1"/>
          <w:color w:val="auto"/>
        </w:rPr>
        <w:t>Section 1.01. Defined Terms1</w:t>
      </w:r>
    </w:p>
    <w:p>
      <w:pPr>
        <w:spacing w:after="0" w:line="231" w:lineRule="auto"/>
        <w:rPr>
          <w:sz w:val="20"/>
          <w:szCs w:val="20"/>
          <w:color w:val="auto"/>
        </w:rPr>
      </w:pPr>
      <w:r>
        <w:rPr>
          <w:rFonts w:ascii="Arial" w:cs="Arial" w:eastAsia="Arial" w:hAnsi="Arial"/>
          <w:sz w:val="22"/>
          <w:szCs w:val="22"/>
          <w:i w:val="1"/>
          <w:iCs w:val="1"/>
          <w:color w:val="auto"/>
        </w:rPr>
        <w:t>Section 1.02. Other Interpretive Provisions</w:t>
      </w:r>
      <w:r>
        <w:rPr>
          <w:rFonts w:ascii="Arial" w:cs="Arial" w:eastAsia="Arial" w:hAnsi="Arial"/>
          <w:sz w:val="22"/>
          <w:szCs w:val="22"/>
          <w:i w:val="1"/>
          <w:iCs w:val="1"/>
          <w:color w:val="FF0000"/>
          <w:strike w:val="1"/>
        </w:rPr>
        <w:t>52</w:t>
      </w:r>
      <w:r>
        <w:rPr>
          <w:rFonts w:ascii="Arial" w:cs="Arial" w:eastAsia="Arial" w:hAnsi="Arial"/>
          <w:sz w:val="22"/>
          <w:szCs w:val="22"/>
          <w:b w:val="1"/>
          <w:bCs w:val="1"/>
          <w:i w:val="1"/>
          <w:iCs w:val="1"/>
          <w:u w:val="single" w:color="auto"/>
          <w:color w:val="0000FF"/>
        </w:rPr>
        <w:t>53</w:t>
      </w:r>
    </w:p>
    <w:p>
      <w:pPr>
        <w:spacing w:after="0" w:line="230" w:lineRule="auto"/>
        <w:rPr>
          <w:sz w:val="20"/>
          <w:szCs w:val="20"/>
          <w:color w:val="auto"/>
        </w:rPr>
      </w:pPr>
      <w:r>
        <w:rPr>
          <w:rFonts w:ascii="Arial" w:cs="Arial" w:eastAsia="Arial" w:hAnsi="Arial"/>
          <w:sz w:val="22"/>
          <w:szCs w:val="22"/>
          <w:i w:val="1"/>
          <w:iCs w:val="1"/>
          <w:color w:val="auto"/>
        </w:rPr>
        <w:t>Section 1.03. Certifications54</w:t>
      </w:r>
    </w:p>
    <w:p>
      <w:pPr>
        <w:spacing w:after="0" w:line="231" w:lineRule="auto"/>
        <w:rPr>
          <w:sz w:val="20"/>
          <w:szCs w:val="20"/>
          <w:color w:val="auto"/>
        </w:rPr>
      </w:pPr>
      <w:r>
        <w:rPr>
          <w:rFonts w:ascii="Arial" w:cs="Arial" w:eastAsia="Arial" w:hAnsi="Arial"/>
          <w:sz w:val="22"/>
          <w:szCs w:val="22"/>
          <w:i w:val="1"/>
          <w:iCs w:val="1"/>
          <w:color w:val="auto"/>
        </w:rPr>
        <w:t>Section 1.04. Accounting Terms54</w:t>
      </w:r>
    </w:p>
    <w:p>
      <w:pPr>
        <w:spacing w:after="0" w:line="230" w:lineRule="auto"/>
        <w:rPr>
          <w:sz w:val="20"/>
          <w:szCs w:val="20"/>
          <w:color w:val="auto"/>
        </w:rPr>
      </w:pPr>
      <w:r>
        <w:rPr>
          <w:rFonts w:ascii="Arial" w:cs="Arial" w:eastAsia="Arial" w:hAnsi="Arial"/>
          <w:sz w:val="22"/>
          <w:szCs w:val="22"/>
          <w:i w:val="1"/>
          <w:iCs w:val="1"/>
          <w:color w:val="auto"/>
        </w:rPr>
        <w:t>Section 1.05. Rounding54</w:t>
      </w:r>
    </w:p>
    <w:p>
      <w:pPr>
        <w:spacing w:after="0" w:line="231" w:lineRule="auto"/>
        <w:rPr>
          <w:sz w:val="20"/>
          <w:szCs w:val="20"/>
          <w:color w:val="auto"/>
        </w:rPr>
      </w:pPr>
      <w:r>
        <w:rPr>
          <w:rFonts w:ascii="Arial" w:cs="Arial" w:eastAsia="Arial" w:hAnsi="Arial"/>
          <w:sz w:val="22"/>
          <w:szCs w:val="22"/>
          <w:i w:val="1"/>
          <w:iCs w:val="1"/>
          <w:color w:val="auto"/>
        </w:rPr>
        <w:t>Section 1.06. References to Agreements, Laws, Etc54</w:t>
      </w:r>
    </w:p>
    <w:p>
      <w:pPr>
        <w:spacing w:after="0" w:line="230" w:lineRule="auto"/>
        <w:rPr>
          <w:sz w:val="20"/>
          <w:szCs w:val="20"/>
          <w:color w:val="auto"/>
        </w:rPr>
      </w:pPr>
      <w:r>
        <w:rPr>
          <w:rFonts w:ascii="Arial" w:cs="Arial" w:eastAsia="Arial" w:hAnsi="Arial"/>
          <w:sz w:val="22"/>
          <w:szCs w:val="22"/>
          <w:i w:val="1"/>
          <w:iCs w:val="1"/>
          <w:color w:val="auto"/>
        </w:rPr>
        <w:t>Section 1.07. Times of Day</w:t>
      </w:r>
      <w:r>
        <w:rPr>
          <w:rFonts w:ascii="Arial" w:cs="Arial" w:eastAsia="Arial" w:hAnsi="Arial"/>
          <w:sz w:val="22"/>
          <w:szCs w:val="22"/>
          <w:i w:val="1"/>
          <w:iCs w:val="1"/>
          <w:color w:val="FF0000"/>
          <w:strike w:val="1"/>
        </w:rPr>
        <w:t>54</w:t>
      </w:r>
      <w:r>
        <w:rPr>
          <w:rFonts w:ascii="Arial" w:cs="Arial" w:eastAsia="Arial" w:hAnsi="Arial"/>
          <w:sz w:val="22"/>
          <w:szCs w:val="22"/>
          <w:b w:val="1"/>
          <w:bCs w:val="1"/>
          <w:i w:val="1"/>
          <w:iCs w:val="1"/>
          <w:u w:val="single" w:color="auto"/>
          <w:color w:val="0000FF"/>
        </w:rPr>
        <w:t>55</w:t>
      </w:r>
    </w:p>
    <w:p>
      <w:pPr>
        <w:spacing w:after="0" w:line="231" w:lineRule="auto"/>
        <w:rPr>
          <w:sz w:val="20"/>
          <w:szCs w:val="20"/>
          <w:color w:val="auto"/>
        </w:rPr>
      </w:pPr>
      <w:r>
        <w:rPr>
          <w:rFonts w:ascii="Arial" w:cs="Arial" w:eastAsia="Arial" w:hAnsi="Arial"/>
          <w:sz w:val="22"/>
          <w:szCs w:val="22"/>
          <w:i w:val="1"/>
          <w:iCs w:val="1"/>
          <w:color w:val="auto"/>
        </w:rPr>
        <w:t>Section 1.08. Timing of Payment or Performance</w:t>
      </w:r>
      <w:r>
        <w:rPr>
          <w:rFonts w:ascii="Arial" w:cs="Arial" w:eastAsia="Arial" w:hAnsi="Arial"/>
          <w:sz w:val="22"/>
          <w:szCs w:val="22"/>
          <w:i w:val="1"/>
          <w:iCs w:val="1"/>
          <w:color w:val="FF0000"/>
          <w:strike w:val="1"/>
        </w:rPr>
        <w:t>54</w:t>
      </w:r>
      <w:r>
        <w:rPr>
          <w:rFonts w:ascii="Arial" w:cs="Arial" w:eastAsia="Arial" w:hAnsi="Arial"/>
          <w:sz w:val="22"/>
          <w:szCs w:val="22"/>
          <w:b w:val="1"/>
          <w:bCs w:val="1"/>
          <w:i w:val="1"/>
          <w:iCs w:val="1"/>
          <w:u w:val="single" w:color="auto"/>
          <w:color w:val="0000FF"/>
        </w:rPr>
        <w:t>55</w:t>
      </w:r>
    </w:p>
    <w:p>
      <w:pPr>
        <w:spacing w:after="0" w:line="231" w:lineRule="auto"/>
        <w:rPr>
          <w:sz w:val="20"/>
          <w:szCs w:val="20"/>
          <w:color w:val="auto"/>
        </w:rPr>
      </w:pPr>
      <w:r>
        <w:rPr>
          <w:rFonts w:ascii="Arial" w:cs="Arial" w:eastAsia="Arial" w:hAnsi="Arial"/>
          <w:sz w:val="22"/>
          <w:szCs w:val="22"/>
          <w:i w:val="1"/>
          <w:iCs w:val="1"/>
          <w:color w:val="auto"/>
        </w:rPr>
        <w:t>Section 1.09. Cumulative Credit Transactions</w:t>
      </w:r>
      <w:r>
        <w:rPr>
          <w:rFonts w:ascii="Arial" w:cs="Arial" w:eastAsia="Arial" w:hAnsi="Arial"/>
          <w:sz w:val="22"/>
          <w:szCs w:val="22"/>
          <w:i w:val="1"/>
          <w:iCs w:val="1"/>
          <w:color w:val="FF0000"/>
          <w:strike w:val="1"/>
        </w:rPr>
        <w:t>54</w:t>
      </w:r>
      <w:r>
        <w:rPr>
          <w:rFonts w:ascii="Arial" w:cs="Arial" w:eastAsia="Arial" w:hAnsi="Arial"/>
          <w:sz w:val="22"/>
          <w:szCs w:val="22"/>
          <w:b w:val="1"/>
          <w:bCs w:val="1"/>
          <w:i w:val="1"/>
          <w:iCs w:val="1"/>
          <w:u w:val="single" w:color="auto"/>
          <w:color w:val="0000FF"/>
        </w:rPr>
        <w:t>55</w:t>
      </w:r>
    </w:p>
    <w:p>
      <w:pPr>
        <w:spacing w:after="0" w:line="230" w:lineRule="auto"/>
        <w:rPr>
          <w:sz w:val="20"/>
          <w:szCs w:val="20"/>
          <w:color w:val="auto"/>
        </w:rPr>
      </w:pPr>
      <w:r>
        <w:rPr>
          <w:rFonts w:ascii="Arial" w:cs="Arial" w:eastAsia="Arial" w:hAnsi="Arial"/>
          <w:sz w:val="22"/>
          <w:szCs w:val="22"/>
          <w:i w:val="1"/>
          <w:iCs w:val="1"/>
          <w:color w:val="auto"/>
        </w:rPr>
        <w:t>Section 1.10. Pro Forma Calculations</w:t>
      </w:r>
      <w:r>
        <w:rPr>
          <w:rFonts w:ascii="Arial" w:cs="Arial" w:eastAsia="Arial" w:hAnsi="Arial"/>
          <w:sz w:val="22"/>
          <w:szCs w:val="22"/>
          <w:i w:val="1"/>
          <w:iCs w:val="1"/>
          <w:color w:val="FF0000"/>
          <w:strike w:val="1"/>
        </w:rPr>
        <w:t>54</w:t>
      </w:r>
      <w:r>
        <w:rPr>
          <w:rFonts w:ascii="Arial" w:cs="Arial" w:eastAsia="Arial" w:hAnsi="Arial"/>
          <w:sz w:val="22"/>
          <w:szCs w:val="22"/>
          <w:b w:val="1"/>
          <w:bCs w:val="1"/>
          <w:i w:val="1"/>
          <w:iCs w:val="1"/>
          <w:u w:val="single" w:color="auto"/>
          <w:color w:val="0000FF"/>
        </w:rPr>
        <w:t>55</w:t>
      </w:r>
    </w:p>
    <w:p>
      <w:pPr>
        <w:spacing w:after="0" w:line="231" w:lineRule="auto"/>
        <w:rPr>
          <w:sz w:val="20"/>
          <w:szCs w:val="20"/>
          <w:color w:val="auto"/>
        </w:rPr>
      </w:pPr>
      <w:r>
        <w:rPr>
          <w:rFonts w:ascii="Arial" w:cs="Arial" w:eastAsia="Arial" w:hAnsi="Arial"/>
          <w:sz w:val="22"/>
          <w:szCs w:val="22"/>
          <w:i w:val="1"/>
          <w:iCs w:val="1"/>
          <w:color w:val="auto"/>
        </w:rPr>
        <w:t>Section 1.11. Certain Accounting Matters56</w:t>
      </w:r>
    </w:p>
    <w:p>
      <w:pPr>
        <w:spacing w:after="0" w:line="230" w:lineRule="auto"/>
        <w:rPr>
          <w:sz w:val="20"/>
          <w:szCs w:val="20"/>
          <w:color w:val="auto"/>
        </w:rPr>
      </w:pPr>
      <w:r>
        <w:rPr>
          <w:rFonts w:ascii="Arial" w:cs="Arial" w:eastAsia="Arial" w:hAnsi="Arial"/>
          <w:sz w:val="22"/>
          <w:szCs w:val="22"/>
          <w:i w:val="1"/>
          <w:iCs w:val="1"/>
          <w:color w:val="auto"/>
        </w:rPr>
        <w:t>Section 1.12. Classification of Loans and Borrowings</w:t>
      </w:r>
      <w:r>
        <w:rPr>
          <w:rFonts w:ascii="Arial" w:cs="Arial" w:eastAsia="Arial" w:hAnsi="Arial"/>
          <w:sz w:val="22"/>
          <w:szCs w:val="22"/>
          <w:i w:val="1"/>
          <w:iCs w:val="1"/>
          <w:color w:val="FF0000"/>
          <w:strike w:val="1"/>
        </w:rPr>
        <w:t>56</w:t>
      </w:r>
      <w:r>
        <w:rPr>
          <w:rFonts w:ascii="Arial" w:cs="Arial" w:eastAsia="Arial" w:hAnsi="Arial"/>
          <w:sz w:val="22"/>
          <w:szCs w:val="22"/>
          <w:b w:val="1"/>
          <w:bCs w:val="1"/>
          <w:i w:val="1"/>
          <w:iCs w:val="1"/>
          <w:u w:val="single" w:color="auto"/>
          <w:color w:val="0000FF"/>
        </w:rPr>
        <w:t>57</w:t>
      </w:r>
    </w:p>
    <w:p>
      <w:pPr>
        <w:spacing w:after="0" w:line="231" w:lineRule="auto"/>
        <w:rPr>
          <w:sz w:val="20"/>
          <w:szCs w:val="20"/>
          <w:color w:val="auto"/>
        </w:rPr>
      </w:pPr>
      <w:r>
        <w:rPr>
          <w:rFonts w:ascii="Arial" w:cs="Arial" w:eastAsia="Arial" w:hAnsi="Arial"/>
          <w:sz w:val="22"/>
          <w:szCs w:val="22"/>
          <w:i w:val="1"/>
          <w:iCs w:val="1"/>
          <w:color w:val="auto"/>
        </w:rPr>
        <w:t>Section 1.13. Currency Equivalents Generally</w:t>
      </w:r>
      <w:r>
        <w:rPr>
          <w:rFonts w:ascii="Arial" w:cs="Arial" w:eastAsia="Arial" w:hAnsi="Arial"/>
          <w:sz w:val="22"/>
          <w:szCs w:val="22"/>
          <w:i w:val="1"/>
          <w:iCs w:val="1"/>
          <w:color w:val="FF0000"/>
          <w:strike w:val="1"/>
        </w:rPr>
        <w:t>56</w:t>
      </w:r>
      <w:r>
        <w:rPr>
          <w:rFonts w:ascii="Arial" w:cs="Arial" w:eastAsia="Arial" w:hAnsi="Arial"/>
          <w:sz w:val="22"/>
          <w:szCs w:val="22"/>
          <w:b w:val="1"/>
          <w:bCs w:val="1"/>
          <w:i w:val="1"/>
          <w:iCs w:val="1"/>
          <w:u w:val="single" w:color="auto"/>
          <w:color w:val="0000FF"/>
        </w:rPr>
        <w:t>57</w:t>
      </w:r>
    </w:p>
    <w:p>
      <w:pPr>
        <w:spacing w:after="0"/>
        <w:rPr>
          <w:sz w:val="20"/>
          <w:szCs w:val="20"/>
          <w:color w:val="auto"/>
        </w:rPr>
      </w:pPr>
      <w:r>
        <w:rPr>
          <w:rFonts w:ascii="Arial" w:cs="Arial" w:eastAsia="Arial" w:hAnsi="Arial"/>
          <w:sz w:val="22"/>
          <w:szCs w:val="22"/>
          <w:i w:val="1"/>
          <w:iCs w:val="1"/>
          <w:color w:val="auto"/>
        </w:rPr>
        <w:t>Section 1.14. Effect of Amendment and Restatement57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2</w:t>
      </w:r>
    </w:p>
    <w:p>
      <w:pPr>
        <w:jc w:val="center"/>
        <w:spacing w:after="0" w:line="238" w:lineRule="auto"/>
        <w:rPr>
          <w:sz w:val="20"/>
          <w:szCs w:val="20"/>
          <w:color w:val="auto"/>
        </w:rPr>
      </w:pPr>
      <w:r>
        <w:rPr>
          <w:rFonts w:ascii="Arial" w:cs="Arial" w:eastAsia="Arial" w:hAnsi="Arial"/>
          <w:sz w:val="22"/>
          <w:szCs w:val="22"/>
          <w:b w:val="1"/>
          <w:bCs w:val="1"/>
          <w:i w:val="1"/>
          <w:iCs w:val="1"/>
          <w:color w:val="auto"/>
        </w:rPr>
        <w:t>T</w:t>
      </w:r>
      <w:r>
        <w:rPr>
          <w:rFonts w:ascii="Arial" w:cs="Arial" w:eastAsia="Arial" w:hAnsi="Arial"/>
          <w:sz w:val="14"/>
          <w:szCs w:val="14"/>
          <w:b w:val="1"/>
          <w:bCs w:val="1"/>
          <w:i w:val="1"/>
          <w:iCs w:val="1"/>
          <w:color w:val="auto"/>
        </w:rPr>
        <w:t>HE</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REDITS</w:t>
      </w:r>
    </w:p>
    <w:p>
      <w:pPr>
        <w:spacing w:after="0" w:line="230" w:lineRule="auto"/>
        <w:rPr>
          <w:sz w:val="20"/>
          <w:szCs w:val="20"/>
          <w:color w:val="auto"/>
        </w:rPr>
      </w:pPr>
      <w:r>
        <w:rPr>
          <w:rFonts w:ascii="Arial" w:cs="Arial" w:eastAsia="Arial" w:hAnsi="Arial"/>
          <w:sz w:val="22"/>
          <w:szCs w:val="22"/>
          <w:i w:val="1"/>
          <w:iCs w:val="1"/>
          <w:color w:val="auto"/>
        </w:rPr>
        <w:t>Section 2.01. Tranche B-2 Term Loan Commitments</w:t>
      </w:r>
      <w:r>
        <w:rPr>
          <w:rFonts w:ascii="Arial" w:cs="Arial" w:eastAsia="Arial" w:hAnsi="Arial"/>
          <w:sz w:val="22"/>
          <w:szCs w:val="22"/>
          <w:i w:val="1"/>
          <w:iCs w:val="1"/>
          <w:color w:val="FF0000"/>
          <w:strike w:val="1"/>
        </w:rPr>
        <w:t>57</w:t>
      </w:r>
      <w:r>
        <w:rPr>
          <w:rFonts w:ascii="Arial" w:cs="Arial" w:eastAsia="Arial" w:hAnsi="Arial"/>
          <w:sz w:val="22"/>
          <w:szCs w:val="22"/>
          <w:b w:val="1"/>
          <w:bCs w:val="1"/>
          <w:i w:val="1"/>
          <w:iCs w:val="1"/>
          <w:u w:val="single" w:color="auto"/>
          <w:color w:val="0000FF"/>
        </w:rPr>
        <w:t>58</w:t>
      </w:r>
    </w:p>
    <w:p>
      <w:pPr>
        <w:spacing w:after="0" w:line="231" w:lineRule="auto"/>
        <w:rPr>
          <w:sz w:val="20"/>
          <w:szCs w:val="20"/>
          <w:color w:val="auto"/>
        </w:rPr>
      </w:pPr>
      <w:r>
        <w:rPr>
          <w:rFonts w:ascii="Arial" w:cs="Arial" w:eastAsia="Arial" w:hAnsi="Arial"/>
          <w:sz w:val="22"/>
          <w:szCs w:val="22"/>
          <w:i w:val="1"/>
          <w:iCs w:val="1"/>
          <w:color w:val="auto"/>
        </w:rPr>
        <w:t>Section 2.02. Loans</w:t>
      </w:r>
      <w:r>
        <w:rPr>
          <w:rFonts w:ascii="Arial" w:cs="Arial" w:eastAsia="Arial" w:hAnsi="Arial"/>
          <w:sz w:val="22"/>
          <w:szCs w:val="22"/>
          <w:i w:val="1"/>
          <w:iCs w:val="1"/>
          <w:color w:val="FF0000"/>
          <w:strike w:val="1"/>
        </w:rPr>
        <w:t>57</w:t>
      </w:r>
      <w:r>
        <w:rPr>
          <w:rFonts w:ascii="Arial" w:cs="Arial" w:eastAsia="Arial" w:hAnsi="Arial"/>
          <w:sz w:val="22"/>
          <w:szCs w:val="22"/>
          <w:b w:val="1"/>
          <w:bCs w:val="1"/>
          <w:i w:val="1"/>
          <w:iCs w:val="1"/>
          <w:u w:val="single" w:color="auto"/>
          <w:color w:val="0000FF"/>
        </w:rPr>
        <w:t>58</w:t>
      </w:r>
    </w:p>
    <w:p>
      <w:pPr>
        <w:spacing w:after="0" w:line="230" w:lineRule="auto"/>
        <w:rPr>
          <w:sz w:val="20"/>
          <w:szCs w:val="20"/>
          <w:color w:val="auto"/>
        </w:rPr>
      </w:pPr>
      <w:r>
        <w:rPr>
          <w:rFonts w:ascii="Arial" w:cs="Arial" w:eastAsia="Arial" w:hAnsi="Arial"/>
          <w:sz w:val="22"/>
          <w:szCs w:val="22"/>
          <w:i w:val="1"/>
          <w:iCs w:val="1"/>
          <w:color w:val="auto"/>
        </w:rPr>
        <w:t>Section 2.03. Borrowing Procedure</w:t>
      </w:r>
      <w:r>
        <w:rPr>
          <w:rFonts w:ascii="Arial" w:cs="Arial" w:eastAsia="Arial" w:hAnsi="Arial"/>
          <w:sz w:val="22"/>
          <w:szCs w:val="22"/>
          <w:i w:val="1"/>
          <w:iCs w:val="1"/>
          <w:color w:val="FF0000"/>
          <w:strike w:val="1"/>
        </w:rPr>
        <w:t>58</w:t>
      </w:r>
      <w:r>
        <w:rPr>
          <w:rFonts w:ascii="Arial" w:cs="Arial" w:eastAsia="Arial" w:hAnsi="Arial"/>
          <w:sz w:val="22"/>
          <w:szCs w:val="22"/>
          <w:b w:val="1"/>
          <w:bCs w:val="1"/>
          <w:i w:val="1"/>
          <w:iCs w:val="1"/>
          <w:u w:val="single" w:color="auto"/>
          <w:color w:val="0000FF"/>
        </w:rPr>
        <w:t>59</w:t>
      </w:r>
    </w:p>
    <w:p>
      <w:pPr>
        <w:spacing w:after="0" w:line="231" w:lineRule="auto"/>
        <w:rPr>
          <w:sz w:val="20"/>
          <w:szCs w:val="20"/>
          <w:color w:val="auto"/>
        </w:rPr>
      </w:pPr>
      <w:r>
        <w:rPr>
          <w:rFonts w:ascii="Arial" w:cs="Arial" w:eastAsia="Arial" w:hAnsi="Arial"/>
          <w:sz w:val="22"/>
          <w:szCs w:val="22"/>
          <w:i w:val="1"/>
          <w:iCs w:val="1"/>
          <w:color w:val="auto"/>
        </w:rPr>
        <w:t>Section 2.04. Evidence of Debt; Repayment of Loans59</w:t>
      </w:r>
    </w:p>
    <w:p>
      <w:pPr>
        <w:spacing w:after="0" w:line="230" w:lineRule="auto"/>
        <w:rPr>
          <w:sz w:val="20"/>
          <w:szCs w:val="20"/>
          <w:color w:val="auto"/>
        </w:rPr>
      </w:pPr>
      <w:r>
        <w:rPr>
          <w:rFonts w:ascii="Arial" w:cs="Arial" w:eastAsia="Arial" w:hAnsi="Arial"/>
          <w:sz w:val="22"/>
          <w:szCs w:val="22"/>
          <w:i w:val="1"/>
          <w:iCs w:val="1"/>
          <w:color w:val="auto"/>
        </w:rPr>
        <w:t>Section 2.05. Fees60</w:t>
      </w:r>
    </w:p>
    <w:p>
      <w:pPr>
        <w:spacing w:after="0" w:line="231" w:lineRule="auto"/>
        <w:rPr>
          <w:sz w:val="20"/>
          <w:szCs w:val="20"/>
          <w:color w:val="auto"/>
        </w:rPr>
      </w:pPr>
      <w:r>
        <w:rPr>
          <w:rFonts w:ascii="Arial" w:cs="Arial" w:eastAsia="Arial" w:hAnsi="Arial"/>
          <w:sz w:val="22"/>
          <w:szCs w:val="22"/>
          <w:i w:val="1"/>
          <w:iCs w:val="1"/>
          <w:color w:val="auto"/>
        </w:rPr>
        <w:t>Section 2.06. Interest on Loans60</w:t>
      </w:r>
    </w:p>
    <w:p>
      <w:pPr>
        <w:spacing w:after="0" w:line="230" w:lineRule="auto"/>
        <w:rPr>
          <w:sz w:val="20"/>
          <w:szCs w:val="20"/>
          <w:color w:val="auto"/>
        </w:rPr>
      </w:pPr>
      <w:r>
        <w:rPr>
          <w:rFonts w:ascii="Arial" w:cs="Arial" w:eastAsia="Arial" w:hAnsi="Arial"/>
          <w:sz w:val="22"/>
          <w:szCs w:val="22"/>
          <w:i w:val="1"/>
          <w:iCs w:val="1"/>
          <w:color w:val="auto"/>
        </w:rPr>
        <w:t>Section 2.07. Default Interest</w:t>
      </w:r>
      <w:r>
        <w:rPr>
          <w:rFonts w:ascii="Arial" w:cs="Arial" w:eastAsia="Arial" w:hAnsi="Arial"/>
          <w:sz w:val="22"/>
          <w:szCs w:val="22"/>
          <w:i w:val="1"/>
          <w:iCs w:val="1"/>
          <w:color w:val="FF0000"/>
          <w:strike w:val="1"/>
        </w:rPr>
        <w:t>60</w:t>
      </w:r>
      <w:r>
        <w:rPr>
          <w:rFonts w:ascii="Arial" w:cs="Arial" w:eastAsia="Arial" w:hAnsi="Arial"/>
          <w:sz w:val="22"/>
          <w:szCs w:val="22"/>
          <w:b w:val="1"/>
          <w:bCs w:val="1"/>
          <w:i w:val="1"/>
          <w:iCs w:val="1"/>
          <w:u w:val="single" w:color="auto"/>
          <w:color w:val="0000FF"/>
        </w:rPr>
        <w:t>61</w:t>
      </w:r>
    </w:p>
    <w:p>
      <w:pPr>
        <w:spacing w:after="0" w:line="231" w:lineRule="auto"/>
        <w:rPr>
          <w:sz w:val="20"/>
          <w:szCs w:val="20"/>
          <w:color w:val="auto"/>
        </w:rPr>
      </w:pPr>
      <w:r>
        <w:rPr>
          <w:rFonts w:ascii="Arial" w:cs="Arial" w:eastAsia="Arial" w:hAnsi="Arial"/>
          <w:sz w:val="22"/>
          <w:szCs w:val="22"/>
          <w:i w:val="1"/>
          <w:iCs w:val="1"/>
          <w:color w:val="auto"/>
        </w:rPr>
        <w:t>Section 2.08. Alternate Rate of Interest</w:t>
      </w:r>
      <w:r>
        <w:rPr>
          <w:rFonts w:ascii="Arial" w:cs="Arial" w:eastAsia="Arial" w:hAnsi="Arial"/>
          <w:sz w:val="22"/>
          <w:szCs w:val="22"/>
          <w:i w:val="1"/>
          <w:iCs w:val="1"/>
          <w:color w:val="FF0000"/>
          <w:strike w:val="1"/>
        </w:rPr>
        <w:t>61</w:t>
      </w:r>
      <w:r>
        <w:rPr>
          <w:rFonts w:ascii="Arial" w:cs="Arial" w:eastAsia="Arial" w:hAnsi="Arial"/>
          <w:sz w:val="22"/>
          <w:szCs w:val="22"/>
          <w:b w:val="1"/>
          <w:bCs w:val="1"/>
          <w:i w:val="1"/>
          <w:iCs w:val="1"/>
          <w:u w:val="single" w:color="auto"/>
          <w:color w:val="0000FF"/>
        </w:rPr>
        <w:t>62</w:t>
      </w:r>
    </w:p>
    <w:p>
      <w:pPr>
        <w:spacing w:after="0" w:line="231" w:lineRule="auto"/>
        <w:rPr>
          <w:sz w:val="20"/>
          <w:szCs w:val="20"/>
          <w:color w:val="auto"/>
        </w:rPr>
      </w:pPr>
      <w:r>
        <w:rPr>
          <w:rFonts w:ascii="Arial" w:cs="Arial" w:eastAsia="Arial" w:hAnsi="Arial"/>
          <w:sz w:val="22"/>
          <w:szCs w:val="22"/>
          <w:i w:val="1"/>
          <w:iCs w:val="1"/>
          <w:color w:val="auto"/>
        </w:rPr>
        <w:t>Section 2.09. Termination and Reduction of Commitments</w:t>
      </w:r>
      <w:r>
        <w:rPr>
          <w:rFonts w:ascii="Arial" w:cs="Arial" w:eastAsia="Arial" w:hAnsi="Arial"/>
          <w:sz w:val="22"/>
          <w:szCs w:val="22"/>
          <w:i w:val="1"/>
          <w:iCs w:val="1"/>
          <w:color w:val="FF0000"/>
          <w:strike w:val="1"/>
        </w:rPr>
        <w:t>61</w:t>
      </w:r>
      <w:r>
        <w:rPr>
          <w:rFonts w:ascii="Arial" w:cs="Arial" w:eastAsia="Arial" w:hAnsi="Arial"/>
          <w:sz w:val="22"/>
          <w:szCs w:val="22"/>
          <w:b w:val="1"/>
          <w:bCs w:val="1"/>
          <w:i w:val="1"/>
          <w:iCs w:val="1"/>
          <w:u w:val="single" w:color="auto"/>
          <w:color w:val="0000FF"/>
        </w:rPr>
        <w:t>62</w:t>
      </w:r>
    </w:p>
    <w:p>
      <w:pPr>
        <w:spacing w:after="0" w:line="230" w:lineRule="auto"/>
        <w:rPr>
          <w:sz w:val="20"/>
          <w:szCs w:val="20"/>
          <w:color w:val="auto"/>
        </w:rPr>
      </w:pPr>
      <w:r>
        <w:rPr>
          <w:rFonts w:ascii="Arial" w:cs="Arial" w:eastAsia="Arial" w:hAnsi="Arial"/>
          <w:sz w:val="22"/>
          <w:szCs w:val="22"/>
          <w:i w:val="1"/>
          <w:iCs w:val="1"/>
          <w:color w:val="auto"/>
        </w:rPr>
        <w:t>Section 2.10. Conversion and Continuation of Borrowings</w:t>
      </w:r>
      <w:r>
        <w:rPr>
          <w:rFonts w:ascii="Arial" w:cs="Arial" w:eastAsia="Arial" w:hAnsi="Arial"/>
          <w:sz w:val="22"/>
          <w:szCs w:val="22"/>
          <w:i w:val="1"/>
          <w:iCs w:val="1"/>
          <w:color w:val="FF0000"/>
          <w:strike w:val="1"/>
        </w:rPr>
        <w:t>61</w:t>
      </w:r>
      <w:r>
        <w:rPr>
          <w:rFonts w:ascii="Arial" w:cs="Arial" w:eastAsia="Arial" w:hAnsi="Arial"/>
          <w:sz w:val="22"/>
          <w:szCs w:val="22"/>
          <w:b w:val="1"/>
          <w:bCs w:val="1"/>
          <w:i w:val="1"/>
          <w:iCs w:val="1"/>
          <w:u w:val="single" w:color="auto"/>
          <w:color w:val="0000FF"/>
        </w:rPr>
        <w:t>63</w:t>
      </w:r>
    </w:p>
    <w:p>
      <w:pPr>
        <w:spacing w:after="0" w:line="231" w:lineRule="auto"/>
        <w:rPr>
          <w:sz w:val="20"/>
          <w:szCs w:val="20"/>
          <w:color w:val="auto"/>
        </w:rPr>
      </w:pPr>
      <w:r>
        <w:rPr>
          <w:rFonts w:ascii="Arial" w:cs="Arial" w:eastAsia="Arial" w:hAnsi="Arial"/>
          <w:sz w:val="22"/>
          <w:szCs w:val="22"/>
          <w:i w:val="1"/>
          <w:iCs w:val="1"/>
          <w:color w:val="auto"/>
        </w:rPr>
        <w:t>Section 2.11. Repayment of Term Borrowings</w:t>
      </w:r>
      <w:r>
        <w:rPr>
          <w:rFonts w:ascii="Arial" w:cs="Arial" w:eastAsia="Arial" w:hAnsi="Arial"/>
          <w:sz w:val="22"/>
          <w:szCs w:val="22"/>
          <w:i w:val="1"/>
          <w:iCs w:val="1"/>
          <w:color w:val="FF0000"/>
          <w:strike w:val="1"/>
        </w:rPr>
        <w:t>63</w:t>
      </w:r>
      <w:r>
        <w:rPr>
          <w:rFonts w:ascii="Arial" w:cs="Arial" w:eastAsia="Arial" w:hAnsi="Arial"/>
          <w:sz w:val="22"/>
          <w:szCs w:val="22"/>
          <w:b w:val="1"/>
          <w:bCs w:val="1"/>
          <w:i w:val="1"/>
          <w:iCs w:val="1"/>
          <w:u w:val="single" w:color="auto"/>
          <w:color w:val="0000FF"/>
        </w:rPr>
        <w:t>64</w:t>
      </w:r>
    </w:p>
    <w:p>
      <w:pPr>
        <w:spacing w:after="0" w:line="230" w:lineRule="auto"/>
        <w:rPr>
          <w:sz w:val="20"/>
          <w:szCs w:val="20"/>
          <w:color w:val="auto"/>
        </w:rPr>
      </w:pPr>
      <w:r>
        <w:rPr>
          <w:rFonts w:ascii="Arial" w:cs="Arial" w:eastAsia="Arial" w:hAnsi="Arial"/>
          <w:sz w:val="22"/>
          <w:szCs w:val="22"/>
          <w:i w:val="1"/>
          <w:iCs w:val="1"/>
          <w:color w:val="auto"/>
        </w:rPr>
        <w:t>Section 2.12. Voluntary Prepayment</w:t>
      </w:r>
      <w:r>
        <w:rPr>
          <w:rFonts w:ascii="Arial" w:cs="Arial" w:eastAsia="Arial" w:hAnsi="Arial"/>
          <w:sz w:val="22"/>
          <w:szCs w:val="22"/>
          <w:i w:val="1"/>
          <w:iCs w:val="1"/>
          <w:color w:val="FF0000"/>
          <w:strike w:val="1"/>
        </w:rPr>
        <w:t>63</w:t>
      </w:r>
      <w:r>
        <w:rPr>
          <w:rFonts w:ascii="Arial" w:cs="Arial" w:eastAsia="Arial" w:hAnsi="Arial"/>
          <w:sz w:val="22"/>
          <w:szCs w:val="22"/>
          <w:b w:val="1"/>
          <w:bCs w:val="1"/>
          <w:i w:val="1"/>
          <w:iCs w:val="1"/>
          <w:u w:val="single" w:color="auto"/>
          <w:color w:val="0000FF"/>
        </w:rPr>
        <w:t>64</w:t>
      </w:r>
    </w:p>
    <w:p>
      <w:pPr>
        <w:spacing w:after="0" w:line="231" w:lineRule="auto"/>
        <w:rPr>
          <w:sz w:val="20"/>
          <w:szCs w:val="20"/>
          <w:color w:val="auto"/>
        </w:rPr>
      </w:pPr>
      <w:r>
        <w:rPr>
          <w:rFonts w:ascii="Arial" w:cs="Arial" w:eastAsia="Arial" w:hAnsi="Arial"/>
          <w:sz w:val="22"/>
          <w:szCs w:val="22"/>
          <w:i w:val="1"/>
          <w:iCs w:val="1"/>
          <w:color w:val="auto"/>
        </w:rPr>
        <w:t>Section 2.13. Mandatory Prepayments</w:t>
      </w:r>
      <w:r>
        <w:rPr>
          <w:rFonts w:ascii="Arial" w:cs="Arial" w:eastAsia="Arial" w:hAnsi="Arial"/>
          <w:sz w:val="22"/>
          <w:szCs w:val="22"/>
          <w:i w:val="1"/>
          <w:iCs w:val="1"/>
          <w:color w:val="FF0000"/>
          <w:strike w:val="1"/>
        </w:rPr>
        <w:t>65</w:t>
      </w:r>
      <w:r>
        <w:rPr>
          <w:rFonts w:ascii="Arial" w:cs="Arial" w:eastAsia="Arial" w:hAnsi="Arial"/>
          <w:sz w:val="22"/>
          <w:szCs w:val="22"/>
          <w:b w:val="1"/>
          <w:bCs w:val="1"/>
          <w:i w:val="1"/>
          <w:iCs w:val="1"/>
          <w:u w:val="single" w:color="auto"/>
          <w:color w:val="0000FF"/>
        </w:rPr>
        <w:t>66</w:t>
      </w:r>
    </w:p>
    <w:p>
      <w:pPr>
        <w:spacing w:after="0" w:line="230" w:lineRule="auto"/>
        <w:rPr>
          <w:sz w:val="20"/>
          <w:szCs w:val="20"/>
          <w:color w:val="auto"/>
        </w:rPr>
      </w:pPr>
      <w:r>
        <w:rPr>
          <w:rFonts w:ascii="Arial" w:cs="Arial" w:eastAsia="Arial" w:hAnsi="Arial"/>
          <w:sz w:val="22"/>
          <w:szCs w:val="22"/>
          <w:i w:val="1"/>
          <w:iCs w:val="1"/>
          <w:color w:val="auto"/>
        </w:rPr>
        <w:t>Section 2.14. Pro Rata Treatment</w:t>
      </w:r>
      <w:r>
        <w:rPr>
          <w:rFonts w:ascii="Arial" w:cs="Arial" w:eastAsia="Arial" w:hAnsi="Arial"/>
          <w:sz w:val="22"/>
          <w:szCs w:val="22"/>
          <w:i w:val="1"/>
          <w:iCs w:val="1"/>
          <w:color w:val="FF0000"/>
          <w:strike w:val="1"/>
        </w:rPr>
        <w:t>68</w:t>
      </w:r>
      <w:r>
        <w:rPr>
          <w:rFonts w:ascii="Arial" w:cs="Arial" w:eastAsia="Arial" w:hAnsi="Arial"/>
          <w:sz w:val="22"/>
          <w:szCs w:val="22"/>
          <w:b w:val="1"/>
          <w:bCs w:val="1"/>
          <w:i w:val="1"/>
          <w:iCs w:val="1"/>
          <w:u w:val="single" w:color="auto"/>
          <w:color w:val="0000FF"/>
        </w:rPr>
        <w:t>69</w:t>
      </w:r>
    </w:p>
    <w:p>
      <w:pPr>
        <w:spacing w:after="0" w:line="231" w:lineRule="auto"/>
        <w:rPr>
          <w:sz w:val="20"/>
          <w:szCs w:val="20"/>
          <w:color w:val="auto"/>
        </w:rPr>
      </w:pPr>
      <w:r>
        <w:rPr>
          <w:rFonts w:ascii="Arial" w:cs="Arial" w:eastAsia="Arial" w:hAnsi="Arial"/>
          <w:sz w:val="22"/>
          <w:szCs w:val="22"/>
          <w:i w:val="1"/>
          <w:iCs w:val="1"/>
          <w:color w:val="auto"/>
        </w:rPr>
        <w:t>Section 2.15. Sharing of Setoffs</w:t>
      </w:r>
      <w:r>
        <w:rPr>
          <w:rFonts w:ascii="Arial" w:cs="Arial" w:eastAsia="Arial" w:hAnsi="Arial"/>
          <w:sz w:val="22"/>
          <w:szCs w:val="22"/>
          <w:i w:val="1"/>
          <w:iCs w:val="1"/>
          <w:color w:val="FF0000"/>
          <w:strike w:val="1"/>
        </w:rPr>
        <w:t>68</w:t>
      </w:r>
      <w:r>
        <w:rPr>
          <w:rFonts w:ascii="Arial" w:cs="Arial" w:eastAsia="Arial" w:hAnsi="Arial"/>
          <w:sz w:val="22"/>
          <w:szCs w:val="22"/>
          <w:b w:val="1"/>
          <w:bCs w:val="1"/>
          <w:i w:val="1"/>
          <w:iCs w:val="1"/>
          <w:u w:val="single" w:color="auto"/>
          <w:color w:val="0000FF"/>
        </w:rPr>
        <w:t>69</w:t>
      </w:r>
    </w:p>
    <w:p>
      <w:pPr>
        <w:spacing w:after="0" w:line="230" w:lineRule="auto"/>
        <w:rPr>
          <w:sz w:val="20"/>
          <w:szCs w:val="20"/>
          <w:color w:val="auto"/>
        </w:rPr>
      </w:pPr>
      <w:r>
        <w:rPr>
          <w:rFonts w:ascii="Arial" w:cs="Arial" w:eastAsia="Arial" w:hAnsi="Arial"/>
          <w:sz w:val="22"/>
          <w:szCs w:val="22"/>
          <w:i w:val="1"/>
          <w:iCs w:val="1"/>
          <w:color w:val="auto"/>
        </w:rPr>
        <w:t>Section 2.16. Payments</w:t>
      </w:r>
      <w:r>
        <w:rPr>
          <w:rFonts w:ascii="Arial" w:cs="Arial" w:eastAsia="Arial" w:hAnsi="Arial"/>
          <w:sz w:val="22"/>
          <w:szCs w:val="22"/>
          <w:i w:val="1"/>
          <w:iCs w:val="1"/>
          <w:color w:val="FF0000"/>
          <w:strike w:val="1"/>
        </w:rPr>
        <w:t>69</w:t>
      </w:r>
      <w:r>
        <w:rPr>
          <w:rFonts w:ascii="Arial" w:cs="Arial" w:eastAsia="Arial" w:hAnsi="Arial"/>
          <w:sz w:val="22"/>
          <w:szCs w:val="22"/>
          <w:b w:val="1"/>
          <w:bCs w:val="1"/>
          <w:i w:val="1"/>
          <w:iCs w:val="1"/>
          <w:u w:val="single" w:color="auto"/>
          <w:color w:val="0000FF"/>
        </w:rPr>
        <w:t>70</w:t>
      </w:r>
    </w:p>
    <w:p>
      <w:pPr>
        <w:spacing w:after="0" w:line="231" w:lineRule="auto"/>
        <w:rPr>
          <w:sz w:val="20"/>
          <w:szCs w:val="20"/>
          <w:color w:val="auto"/>
        </w:rPr>
      </w:pPr>
      <w:r>
        <w:rPr>
          <w:rFonts w:ascii="Arial" w:cs="Arial" w:eastAsia="Arial" w:hAnsi="Arial"/>
          <w:sz w:val="22"/>
          <w:szCs w:val="22"/>
          <w:i w:val="1"/>
          <w:iCs w:val="1"/>
          <w:color w:val="auto"/>
        </w:rPr>
        <w:t>Section 2.17. [Reserved]</w:t>
      </w:r>
      <w:r>
        <w:rPr>
          <w:rFonts w:ascii="Arial" w:cs="Arial" w:eastAsia="Arial" w:hAnsi="Arial"/>
          <w:sz w:val="22"/>
          <w:szCs w:val="22"/>
          <w:i w:val="1"/>
          <w:iCs w:val="1"/>
          <w:color w:val="FF0000"/>
          <w:strike w:val="1"/>
        </w:rPr>
        <w:t>69</w:t>
      </w:r>
      <w:r>
        <w:rPr>
          <w:rFonts w:ascii="Arial" w:cs="Arial" w:eastAsia="Arial" w:hAnsi="Arial"/>
          <w:sz w:val="22"/>
          <w:szCs w:val="22"/>
          <w:b w:val="1"/>
          <w:bCs w:val="1"/>
          <w:i w:val="1"/>
          <w:iCs w:val="1"/>
          <w:u w:val="single" w:color="auto"/>
          <w:color w:val="0000FF"/>
        </w:rPr>
        <w:t>70</w:t>
      </w:r>
    </w:p>
    <w:p>
      <w:pPr>
        <w:spacing w:after="0" w:line="230" w:lineRule="auto"/>
        <w:rPr>
          <w:sz w:val="20"/>
          <w:szCs w:val="20"/>
          <w:color w:val="auto"/>
        </w:rPr>
      </w:pPr>
      <w:r>
        <w:rPr>
          <w:rFonts w:ascii="Arial" w:cs="Arial" w:eastAsia="Arial" w:hAnsi="Arial"/>
          <w:sz w:val="22"/>
          <w:szCs w:val="22"/>
          <w:i w:val="1"/>
          <w:iCs w:val="1"/>
          <w:color w:val="auto"/>
        </w:rPr>
        <w:t>Section 2.18. Refinancing Amendments</w:t>
      </w:r>
      <w:r>
        <w:rPr>
          <w:rFonts w:ascii="Arial" w:cs="Arial" w:eastAsia="Arial" w:hAnsi="Arial"/>
          <w:sz w:val="22"/>
          <w:szCs w:val="22"/>
          <w:i w:val="1"/>
          <w:iCs w:val="1"/>
          <w:color w:val="FF0000"/>
          <w:strike w:val="1"/>
        </w:rPr>
        <w:t>69</w:t>
      </w:r>
      <w:r>
        <w:rPr>
          <w:rFonts w:ascii="Arial" w:cs="Arial" w:eastAsia="Arial" w:hAnsi="Arial"/>
          <w:sz w:val="22"/>
          <w:szCs w:val="22"/>
          <w:b w:val="1"/>
          <w:bCs w:val="1"/>
          <w:i w:val="1"/>
          <w:iCs w:val="1"/>
          <w:u w:val="single" w:color="auto"/>
          <w:color w:val="0000FF"/>
        </w:rPr>
        <w:t>70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2.19. Extensions of Term Loans</w:t>
      </w:r>
      <w:r>
        <w:rPr>
          <w:rFonts w:ascii="Arial" w:cs="Arial" w:eastAsia="Arial" w:hAnsi="Arial"/>
          <w:sz w:val="22"/>
          <w:szCs w:val="22"/>
          <w:i w:val="1"/>
          <w:iCs w:val="1"/>
          <w:color w:val="FF0000"/>
          <w:strike w:val="1"/>
        </w:rPr>
        <w:t>70</w:t>
      </w:r>
      <w:r>
        <w:rPr>
          <w:rFonts w:ascii="Arial" w:cs="Arial" w:eastAsia="Arial" w:hAnsi="Arial"/>
          <w:sz w:val="22"/>
          <w:szCs w:val="22"/>
          <w:b w:val="1"/>
          <w:bCs w:val="1"/>
          <w:i w:val="1"/>
          <w:iCs w:val="1"/>
          <w:u w:val="single" w:color="auto"/>
          <w:color w:val="0000FF"/>
        </w:rPr>
        <w:t>72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3</w:t>
      </w:r>
    </w:p>
    <w:p>
      <w:pPr>
        <w:jc w:val="center"/>
        <w:spacing w:after="0" w:line="238" w:lineRule="auto"/>
        <w:rPr>
          <w:sz w:val="20"/>
          <w:szCs w:val="20"/>
          <w:color w:val="auto"/>
        </w:rPr>
      </w:pPr>
      <w:r>
        <w:rPr>
          <w:rFonts w:ascii="Arial" w:cs="Arial" w:eastAsia="Arial" w:hAnsi="Arial"/>
          <w:sz w:val="22"/>
          <w:szCs w:val="22"/>
          <w:b w:val="1"/>
          <w:bCs w:val="1"/>
          <w:i w:val="1"/>
          <w:iCs w:val="1"/>
          <w:color w:val="auto"/>
        </w:rPr>
        <w:t>T</w:t>
      </w:r>
      <w:r>
        <w:rPr>
          <w:rFonts w:ascii="Arial" w:cs="Arial" w:eastAsia="Arial" w:hAnsi="Arial"/>
          <w:sz w:val="14"/>
          <w:szCs w:val="14"/>
          <w:b w:val="1"/>
          <w:bCs w:val="1"/>
          <w:i w:val="1"/>
          <w:iCs w:val="1"/>
          <w:color w:val="auto"/>
        </w:rPr>
        <w:t>AXES</w:t>
      </w:r>
      <w:r>
        <w:rPr>
          <w:rFonts w:ascii="Arial" w:cs="Arial" w:eastAsia="Arial" w:hAnsi="Arial"/>
          <w:sz w:val="22"/>
          <w:szCs w:val="22"/>
          <w:b w:val="1"/>
          <w:bCs w:val="1"/>
          <w:i w:val="1"/>
          <w:iCs w:val="1"/>
          <w:color w:val="auto"/>
        </w:rPr>
        <w:t>, I</w:t>
      </w:r>
      <w:r>
        <w:rPr>
          <w:rFonts w:ascii="Arial" w:cs="Arial" w:eastAsia="Arial" w:hAnsi="Arial"/>
          <w:sz w:val="14"/>
          <w:szCs w:val="14"/>
          <w:b w:val="1"/>
          <w:bCs w:val="1"/>
          <w:i w:val="1"/>
          <w:iCs w:val="1"/>
          <w:color w:val="auto"/>
        </w:rPr>
        <w:t>NCREASED</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OSTS</w:t>
      </w:r>
      <w:r>
        <w:rPr>
          <w:rFonts w:ascii="Arial" w:cs="Arial" w:eastAsia="Arial" w:hAnsi="Arial"/>
          <w:sz w:val="22"/>
          <w:szCs w:val="22"/>
          <w:b w:val="1"/>
          <w:bCs w:val="1"/>
          <w:i w:val="1"/>
          <w:iCs w:val="1"/>
          <w:color w:val="auto"/>
        </w:rPr>
        <w:t xml:space="preserve"> P</w:t>
      </w:r>
      <w:r>
        <w:rPr>
          <w:rFonts w:ascii="Arial" w:cs="Arial" w:eastAsia="Arial" w:hAnsi="Arial"/>
          <w:sz w:val="14"/>
          <w:szCs w:val="14"/>
          <w:b w:val="1"/>
          <w:bCs w:val="1"/>
          <w:i w:val="1"/>
          <w:iCs w:val="1"/>
          <w:color w:val="auto"/>
        </w:rPr>
        <w:t>ROTECTION AND</w:t>
      </w:r>
      <w:r>
        <w:rPr>
          <w:rFonts w:ascii="Arial" w:cs="Arial" w:eastAsia="Arial" w:hAnsi="Arial"/>
          <w:sz w:val="22"/>
          <w:szCs w:val="22"/>
          <w:b w:val="1"/>
          <w:bCs w:val="1"/>
          <w:i w:val="1"/>
          <w:iCs w:val="1"/>
          <w:color w:val="auto"/>
        </w:rPr>
        <w:t xml:space="preserve"> I</w:t>
      </w:r>
      <w:r>
        <w:rPr>
          <w:rFonts w:ascii="Arial" w:cs="Arial" w:eastAsia="Arial" w:hAnsi="Arial"/>
          <w:sz w:val="14"/>
          <w:szCs w:val="14"/>
          <w:b w:val="1"/>
          <w:bCs w:val="1"/>
          <w:i w:val="1"/>
          <w:iCs w:val="1"/>
          <w:color w:val="auto"/>
        </w:rPr>
        <w:t>LLEGALITY</w:t>
      </w:r>
    </w:p>
    <w:p>
      <w:pPr>
        <w:spacing w:after="0" w:line="230" w:lineRule="auto"/>
        <w:rPr>
          <w:sz w:val="20"/>
          <w:szCs w:val="20"/>
          <w:color w:val="auto"/>
        </w:rPr>
      </w:pPr>
      <w:r>
        <w:rPr>
          <w:rFonts w:ascii="Arial" w:cs="Arial" w:eastAsia="Arial" w:hAnsi="Arial"/>
          <w:sz w:val="22"/>
          <w:szCs w:val="22"/>
          <w:i w:val="1"/>
          <w:iCs w:val="1"/>
          <w:color w:val="auto"/>
        </w:rPr>
        <w:t>Section 3.01. Taxes</w:t>
      </w:r>
      <w:r>
        <w:rPr>
          <w:rFonts w:ascii="Arial" w:cs="Arial" w:eastAsia="Arial" w:hAnsi="Arial"/>
          <w:sz w:val="22"/>
          <w:szCs w:val="22"/>
          <w:i w:val="1"/>
          <w:iCs w:val="1"/>
          <w:color w:val="FF0000"/>
          <w:strike w:val="1"/>
        </w:rPr>
        <w:t>73</w:t>
      </w:r>
      <w:r>
        <w:rPr>
          <w:rFonts w:ascii="Arial" w:cs="Arial" w:eastAsia="Arial" w:hAnsi="Arial"/>
          <w:sz w:val="22"/>
          <w:szCs w:val="22"/>
          <w:b w:val="1"/>
          <w:bCs w:val="1"/>
          <w:i w:val="1"/>
          <w:iCs w:val="1"/>
          <w:u w:val="single" w:color="auto"/>
          <w:color w:val="0000FF"/>
        </w:rPr>
        <w:t>74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3.02. Illegality</w:t>
      </w:r>
      <w:r>
        <w:rPr>
          <w:rFonts w:ascii="Arial" w:cs="Arial" w:eastAsia="Arial" w:hAnsi="Arial"/>
          <w:sz w:val="22"/>
          <w:szCs w:val="22"/>
          <w:i w:val="1"/>
          <w:iCs w:val="1"/>
          <w:color w:val="FF0000"/>
          <w:strike w:val="1"/>
        </w:rPr>
        <w:t>76</w:t>
      </w:r>
      <w:r>
        <w:rPr>
          <w:rFonts w:ascii="Arial" w:cs="Arial" w:eastAsia="Arial" w:hAnsi="Arial"/>
          <w:sz w:val="22"/>
          <w:szCs w:val="22"/>
          <w:b w:val="1"/>
          <w:bCs w:val="1"/>
          <w:i w:val="1"/>
          <w:iCs w:val="1"/>
          <w:u w:val="single" w:color="auto"/>
          <w:color w:val="0000FF"/>
        </w:rPr>
        <w:t>77</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ind w:right="979"/>
        <w:spacing w:after="0" w:line="239" w:lineRule="auto"/>
        <w:rPr>
          <w:sz w:val="20"/>
          <w:szCs w:val="20"/>
          <w:color w:val="auto"/>
        </w:rPr>
      </w:pPr>
      <w:r>
        <w:rPr>
          <w:rFonts w:ascii="Arial" w:cs="Arial" w:eastAsia="Arial" w:hAnsi="Arial"/>
          <w:sz w:val="22"/>
          <w:szCs w:val="22"/>
          <w:i w:val="1"/>
          <w:iCs w:val="1"/>
          <w:color w:val="auto"/>
        </w:rPr>
        <w:t>Section 3.03. Increased Cost and Reduced Return; Capital Adequacy; Reserves on Eurodollar Loans</w:t>
      </w:r>
      <w:r>
        <w:rPr>
          <w:rFonts w:ascii="Arial" w:cs="Arial" w:eastAsia="Arial" w:hAnsi="Arial"/>
          <w:sz w:val="22"/>
          <w:szCs w:val="22"/>
          <w:i w:val="1"/>
          <w:iCs w:val="1"/>
          <w:color w:val="FF0000"/>
          <w:strike w:val="1"/>
        </w:rPr>
        <w:t>77</w:t>
      </w:r>
      <w:r>
        <w:rPr>
          <w:rFonts w:ascii="Arial" w:cs="Arial" w:eastAsia="Arial" w:hAnsi="Arial"/>
          <w:sz w:val="22"/>
          <w:szCs w:val="22"/>
          <w:b w:val="1"/>
          <w:bCs w:val="1"/>
          <w:i w:val="1"/>
          <w:iCs w:val="1"/>
          <w:u w:val="single" w:color="auto"/>
          <w:color w:val="0000FF"/>
        </w:rPr>
        <w:t>78</w:t>
      </w:r>
      <w:r>
        <w:rPr>
          <w:rFonts w:ascii="Arial" w:cs="Arial" w:eastAsia="Arial" w:hAnsi="Arial"/>
          <w:sz w:val="22"/>
          <w:szCs w:val="22"/>
          <w:i w:val="1"/>
          <w:iCs w:val="1"/>
          <w:color w:val="auto"/>
        </w:rPr>
        <w:t xml:space="preserve"> Section 3.04. Funding Losses</w:t>
      </w:r>
      <w:r>
        <w:rPr>
          <w:rFonts w:ascii="Arial" w:cs="Arial" w:eastAsia="Arial" w:hAnsi="Arial"/>
          <w:sz w:val="22"/>
          <w:szCs w:val="22"/>
          <w:i w:val="1"/>
          <w:iCs w:val="1"/>
          <w:color w:val="FF0000"/>
          <w:strike w:val="1"/>
        </w:rPr>
        <w:t>78</w:t>
      </w:r>
      <w:r>
        <w:rPr>
          <w:rFonts w:ascii="Arial" w:cs="Arial" w:eastAsia="Arial" w:hAnsi="Arial"/>
          <w:sz w:val="22"/>
          <w:szCs w:val="22"/>
          <w:b w:val="1"/>
          <w:bCs w:val="1"/>
          <w:i w:val="1"/>
          <w:iCs w:val="1"/>
          <w:u w:val="single" w:color="auto"/>
          <w:color w:val="0000FF"/>
        </w:rPr>
        <w:t>79</w:t>
      </w:r>
    </w:p>
    <w:p>
      <w:pPr>
        <w:jc w:val="both"/>
        <w:ind w:right="3819"/>
        <w:spacing w:after="0" w:line="234" w:lineRule="auto"/>
        <w:rPr>
          <w:sz w:val="20"/>
          <w:szCs w:val="20"/>
          <w:color w:val="auto"/>
        </w:rPr>
      </w:pPr>
      <w:r>
        <w:rPr>
          <w:rFonts w:ascii="Arial" w:cs="Arial" w:eastAsia="Arial" w:hAnsi="Arial"/>
          <w:sz w:val="22"/>
          <w:szCs w:val="22"/>
          <w:i w:val="1"/>
          <w:iCs w:val="1"/>
          <w:color w:val="auto"/>
        </w:rPr>
        <w:t>Section 3.05. Matters Applicable to all Requests for Compensation</w:t>
      </w:r>
      <w:r>
        <w:rPr>
          <w:rFonts w:ascii="Arial" w:cs="Arial" w:eastAsia="Arial" w:hAnsi="Arial"/>
          <w:sz w:val="22"/>
          <w:szCs w:val="22"/>
          <w:i w:val="1"/>
          <w:iCs w:val="1"/>
          <w:color w:val="FF0000"/>
          <w:strike w:val="1"/>
        </w:rPr>
        <w:t>79</w:t>
      </w:r>
      <w:r>
        <w:rPr>
          <w:rFonts w:ascii="Arial" w:cs="Arial" w:eastAsia="Arial" w:hAnsi="Arial"/>
          <w:sz w:val="22"/>
          <w:szCs w:val="22"/>
          <w:b w:val="1"/>
          <w:bCs w:val="1"/>
          <w:i w:val="1"/>
          <w:iCs w:val="1"/>
          <w:u w:val="single" w:color="auto"/>
          <w:color w:val="0000FF"/>
        </w:rPr>
        <w:t>80</w:t>
      </w:r>
      <w:r>
        <w:rPr>
          <w:rFonts w:ascii="Arial" w:cs="Arial" w:eastAsia="Arial" w:hAnsi="Arial"/>
          <w:sz w:val="22"/>
          <w:szCs w:val="22"/>
          <w:i w:val="1"/>
          <w:iCs w:val="1"/>
          <w:color w:val="auto"/>
        </w:rPr>
        <w:t xml:space="preserve"> Section 3.06. Replacement of Lenders under Certain Circumstances</w:t>
      </w:r>
      <w:r>
        <w:rPr>
          <w:rFonts w:ascii="Arial" w:cs="Arial" w:eastAsia="Arial" w:hAnsi="Arial"/>
          <w:sz w:val="22"/>
          <w:szCs w:val="22"/>
          <w:i w:val="1"/>
          <w:iCs w:val="1"/>
          <w:color w:val="FF0000"/>
          <w:strike w:val="1"/>
        </w:rPr>
        <w:t>80</w:t>
      </w:r>
      <w:r>
        <w:rPr>
          <w:rFonts w:ascii="Arial" w:cs="Arial" w:eastAsia="Arial" w:hAnsi="Arial"/>
          <w:sz w:val="22"/>
          <w:szCs w:val="22"/>
          <w:b w:val="1"/>
          <w:bCs w:val="1"/>
          <w:i w:val="1"/>
          <w:iCs w:val="1"/>
          <w:u w:val="single" w:color="auto"/>
          <w:color w:val="0000FF"/>
        </w:rPr>
        <w:t>81</w:t>
      </w:r>
      <w:r>
        <w:rPr>
          <w:rFonts w:ascii="Arial" w:cs="Arial" w:eastAsia="Arial" w:hAnsi="Arial"/>
          <w:sz w:val="22"/>
          <w:szCs w:val="22"/>
          <w:i w:val="1"/>
          <w:iCs w:val="1"/>
          <w:color w:val="auto"/>
        </w:rPr>
        <w:t xml:space="preserve"> Section 3.07. Survival</w:t>
      </w:r>
      <w:r>
        <w:rPr>
          <w:rFonts w:ascii="Arial" w:cs="Arial" w:eastAsia="Arial" w:hAnsi="Arial"/>
          <w:sz w:val="22"/>
          <w:szCs w:val="22"/>
          <w:i w:val="1"/>
          <w:iCs w:val="1"/>
          <w:color w:val="FF0000"/>
          <w:strike w:val="1"/>
        </w:rPr>
        <w:t>81</w:t>
      </w:r>
      <w:r>
        <w:rPr>
          <w:rFonts w:ascii="Arial" w:cs="Arial" w:eastAsia="Arial" w:hAnsi="Arial"/>
          <w:sz w:val="22"/>
          <w:szCs w:val="22"/>
          <w:b w:val="1"/>
          <w:bCs w:val="1"/>
          <w:i w:val="1"/>
          <w:iCs w:val="1"/>
          <w:u w:val="single" w:color="auto"/>
          <w:color w:val="0000FF"/>
        </w:rPr>
        <w:t>82</w:t>
      </w:r>
    </w:p>
    <w:p>
      <w:pPr>
        <w:spacing w:after="0" w:line="1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i w:val="1"/>
          <w:iCs w:val="1"/>
          <w:color w:val="auto"/>
        </w:rPr>
        <w:t>ARTICLE 4</w:t>
      </w:r>
    </w:p>
    <w:p>
      <w:pPr>
        <w:ind w:left="3680"/>
        <w:spacing w:after="0" w:line="238" w:lineRule="auto"/>
        <w:rPr>
          <w:sz w:val="20"/>
          <w:szCs w:val="20"/>
          <w:color w:val="auto"/>
        </w:rPr>
      </w:pPr>
      <w:r>
        <w:rPr>
          <w:rFonts w:ascii="Arial" w:cs="Arial" w:eastAsia="Arial" w:hAnsi="Arial"/>
          <w:sz w:val="22"/>
          <w:szCs w:val="22"/>
          <w:b w:val="1"/>
          <w:bCs w:val="1"/>
          <w:i w:val="1"/>
          <w:iCs w:val="1"/>
          <w:color w:val="auto"/>
        </w:rPr>
        <w:t>C</w:t>
      </w:r>
      <w:r>
        <w:rPr>
          <w:rFonts w:ascii="Arial" w:cs="Arial" w:eastAsia="Arial" w:hAnsi="Arial"/>
          <w:sz w:val="14"/>
          <w:szCs w:val="14"/>
          <w:b w:val="1"/>
          <w:bCs w:val="1"/>
          <w:i w:val="1"/>
          <w:iCs w:val="1"/>
          <w:color w:val="auto"/>
        </w:rPr>
        <w:t>ONDITIONS</w:t>
      </w:r>
      <w:r>
        <w:rPr>
          <w:rFonts w:ascii="Arial" w:cs="Arial" w:eastAsia="Arial" w:hAnsi="Arial"/>
          <w:sz w:val="22"/>
          <w:szCs w:val="22"/>
          <w:b w:val="1"/>
          <w:bCs w:val="1"/>
          <w:i w:val="1"/>
          <w:iCs w:val="1"/>
          <w:color w:val="auto"/>
        </w:rPr>
        <w:t xml:space="preserve"> P</w:t>
      </w:r>
      <w:r>
        <w:rPr>
          <w:rFonts w:ascii="Arial" w:cs="Arial" w:eastAsia="Arial" w:hAnsi="Arial"/>
          <w:sz w:val="14"/>
          <w:szCs w:val="14"/>
          <w:b w:val="1"/>
          <w:bCs w:val="1"/>
          <w:i w:val="1"/>
          <w:iCs w:val="1"/>
          <w:color w:val="auto"/>
        </w:rPr>
        <w:t>RECEDENT TO</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REDIT</w:t>
      </w:r>
      <w:r>
        <w:rPr>
          <w:rFonts w:ascii="Arial" w:cs="Arial" w:eastAsia="Arial" w:hAnsi="Arial"/>
          <w:sz w:val="22"/>
          <w:szCs w:val="22"/>
          <w:b w:val="1"/>
          <w:bCs w:val="1"/>
          <w:i w:val="1"/>
          <w:iCs w:val="1"/>
          <w:color w:val="auto"/>
        </w:rPr>
        <w:t xml:space="preserve"> E</w:t>
      </w:r>
      <w:r>
        <w:rPr>
          <w:rFonts w:ascii="Arial" w:cs="Arial" w:eastAsia="Arial" w:hAnsi="Arial"/>
          <w:sz w:val="14"/>
          <w:szCs w:val="14"/>
          <w:b w:val="1"/>
          <w:bCs w:val="1"/>
          <w:i w:val="1"/>
          <w:iCs w:val="1"/>
          <w:color w:val="auto"/>
        </w:rPr>
        <w:t>XTENSIONS</w:t>
      </w:r>
    </w:p>
    <w:p>
      <w:pPr>
        <w:spacing w:after="0" w:line="230" w:lineRule="auto"/>
        <w:rPr>
          <w:sz w:val="20"/>
          <w:szCs w:val="20"/>
          <w:color w:val="auto"/>
        </w:rPr>
      </w:pPr>
      <w:r>
        <w:rPr>
          <w:rFonts w:ascii="Arial" w:cs="Arial" w:eastAsia="Arial" w:hAnsi="Arial"/>
          <w:sz w:val="22"/>
          <w:szCs w:val="22"/>
          <w:i w:val="1"/>
          <w:iCs w:val="1"/>
          <w:color w:val="auto"/>
        </w:rPr>
        <w:t>Section 4.01. All Credit Extensions</w:t>
      </w:r>
      <w:r>
        <w:rPr>
          <w:rFonts w:ascii="Arial" w:cs="Arial" w:eastAsia="Arial" w:hAnsi="Arial"/>
          <w:sz w:val="22"/>
          <w:szCs w:val="22"/>
          <w:i w:val="1"/>
          <w:iCs w:val="1"/>
          <w:color w:val="FF0000"/>
          <w:strike w:val="1"/>
        </w:rPr>
        <w:t>81</w:t>
      </w:r>
      <w:r>
        <w:rPr>
          <w:rFonts w:ascii="Arial" w:cs="Arial" w:eastAsia="Arial" w:hAnsi="Arial"/>
          <w:sz w:val="22"/>
          <w:szCs w:val="22"/>
          <w:b w:val="1"/>
          <w:bCs w:val="1"/>
          <w:i w:val="1"/>
          <w:iCs w:val="1"/>
          <w:u w:val="single" w:color="auto"/>
          <w:color w:val="0000FF"/>
        </w:rPr>
        <w:t>82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4.02. First Credit Extension</w:t>
      </w:r>
      <w:r>
        <w:rPr>
          <w:rFonts w:ascii="Arial" w:cs="Arial" w:eastAsia="Arial" w:hAnsi="Arial"/>
          <w:sz w:val="22"/>
          <w:szCs w:val="22"/>
          <w:i w:val="1"/>
          <w:iCs w:val="1"/>
          <w:color w:val="FF0000"/>
          <w:strike w:val="1"/>
        </w:rPr>
        <w:t>82</w:t>
      </w:r>
      <w:r>
        <w:rPr>
          <w:rFonts w:ascii="Arial" w:cs="Arial" w:eastAsia="Arial" w:hAnsi="Arial"/>
          <w:sz w:val="22"/>
          <w:szCs w:val="22"/>
          <w:b w:val="1"/>
          <w:bCs w:val="1"/>
          <w:i w:val="1"/>
          <w:iCs w:val="1"/>
          <w:u w:val="single" w:color="auto"/>
          <w:color w:val="0000FF"/>
        </w:rPr>
        <w:t>83</w:t>
      </w:r>
    </w:p>
    <w:p>
      <w:pPr>
        <w:spacing w:after="0" w:line="18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i w:val="1"/>
          <w:iCs w:val="1"/>
          <w:color w:val="auto"/>
        </w:rPr>
        <w:t>ARTICLE 5</w:t>
      </w:r>
    </w:p>
    <w:p>
      <w:pPr>
        <w:ind w:left="4180"/>
        <w:spacing w:after="0" w:line="238" w:lineRule="auto"/>
        <w:rPr>
          <w:sz w:val="20"/>
          <w:szCs w:val="20"/>
          <w:color w:val="auto"/>
        </w:rPr>
      </w:pPr>
      <w:r>
        <w:rPr>
          <w:rFonts w:ascii="Arial" w:cs="Arial" w:eastAsia="Arial" w:hAnsi="Arial"/>
          <w:sz w:val="22"/>
          <w:szCs w:val="22"/>
          <w:b w:val="1"/>
          <w:bCs w:val="1"/>
          <w:i w:val="1"/>
          <w:iCs w:val="1"/>
          <w:color w:val="auto"/>
        </w:rPr>
        <w:t>R</w:t>
      </w:r>
      <w:r>
        <w:rPr>
          <w:rFonts w:ascii="Arial" w:cs="Arial" w:eastAsia="Arial" w:hAnsi="Arial"/>
          <w:sz w:val="14"/>
          <w:szCs w:val="14"/>
          <w:b w:val="1"/>
          <w:bCs w:val="1"/>
          <w:i w:val="1"/>
          <w:iCs w:val="1"/>
          <w:color w:val="auto"/>
        </w:rPr>
        <w:t>EPRESENTATIONS AND</w:t>
      </w:r>
      <w:r>
        <w:rPr>
          <w:rFonts w:ascii="Arial" w:cs="Arial" w:eastAsia="Arial" w:hAnsi="Arial"/>
          <w:sz w:val="22"/>
          <w:szCs w:val="22"/>
          <w:b w:val="1"/>
          <w:bCs w:val="1"/>
          <w:i w:val="1"/>
          <w:iCs w:val="1"/>
          <w:color w:val="auto"/>
        </w:rPr>
        <w:t xml:space="preserve"> W</w:t>
      </w:r>
      <w:r>
        <w:rPr>
          <w:rFonts w:ascii="Arial" w:cs="Arial" w:eastAsia="Arial" w:hAnsi="Arial"/>
          <w:sz w:val="14"/>
          <w:szCs w:val="14"/>
          <w:b w:val="1"/>
          <w:bCs w:val="1"/>
          <w:i w:val="1"/>
          <w:iCs w:val="1"/>
          <w:color w:val="auto"/>
        </w:rPr>
        <w:t>ARRANTIES</w:t>
      </w:r>
    </w:p>
    <w:p>
      <w:pPr>
        <w:ind w:right="3319"/>
        <w:spacing w:after="0" w:line="230" w:lineRule="auto"/>
        <w:rPr>
          <w:sz w:val="20"/>
          <w:szCs w:val="20"/>
          <w:color w:val="auto"/>
        </w:rPr>
      </w:pPr>
      <w:r>
        <w:rPr>
          <w:rFonts w:ascii="Arial" w:cs="Arial" w:eastAsia="Arial" w:hAnsi="Arial"/>
          <w:sz w:val="22"/>
          <w:szCs w:val="22"/>
          <w:i w:val="1"/>
          <w:iCs w:val="1"/>
          <w:color w:val="auto"/>
        </w:rPr>
        <w:t>Section 5.01. Existence, Qualification and Power; Compliance with Laws</w:t>
      </w:r>
      <w:r>
        <w:rPr>
          <w:rFonts w:ascii="Arial" w:cs="Arial" w:eastAsia="Arial" w:hAnsi="Arial"/>
          <w:sz w:val="22"/>
          <w:szCs w:val="22"/>
          <w:i w:val="1"/>
          <w:iCs w:val="1"/>
          <w:color w:val="FF0000"/>
          <w:strike w:val="1"/>
        </w:rPr>
        <w:t>85</w:t>
      </w:r>
      <w:r>
        <w:rPr>
          <w:rFonts w:ascii="Arial" w:cs="Arial" w:eastAsia="Arial" w:hAnsi="Arial"/>
          <w:sz w:val="22"/>
          <w:szCs w:val="22"/>
          <w:b w:val="1"/>
          <w:bCs w:val="1"/>
          <w:i w:val="1"/>
          <w:iCs w:val="1"/>
          <w:u w:val="single" w:color="auto"/>
          <w:color w:val="0000FF"/>
        </w:rPr>
        <w:t>86</w:t>
      </w:r>
      <w:r>
        <w:rPr>
          <w:rFonts w:ascii="Arial" w:cs="Arial" w:eastAsia="Arial" w:hAnsi="Arial"/>
          <w:sz w:val="22"/>
          <w:szCs w:val="22"/>
          <w:i w:val="1"/>
          <w:iCs w:val="1"/>
          <w:color w:val="auto"/>
        </w:rPr>
        <w:t xml:space="preserve"> Section 5.02. Authorization; No Contravention</w:t>
      </w:r>
      <w:r>
        <w:rPr>
          <w:rFonts w:ascii="Arial" w:cs="Arial" w:eastAsia="Arial" w:hAnsi="Arial"/>
          <w:sz w:val="22"/>
          <w:szCs w:val="22"/>
          <w:i w:val="1"/>
          <w:iCs w:val="1"/>
          <w:color w:val="FF0000"/>
          <w:strike w:val="1"/>
        </w:rPr>
        <w:t>85</w:t>
      </w:r>
      <w:r>
        <w:rPr>
          <w:rFonts w:ascii="Arial" w:cs="Arial" w:eastAsia="Arial" w:hAnsi="Arial"/>
          <w:sz w:val="22"/>
          <w:szCs w:val="22"/>
          <w:b w:val="1"/>
          <w:bCs w:val="1"/>
          <w:i w:val="1"/>
          <w:iCs w:val="1"/>
          <w:u w:val="single" w:color="auto"/>
          <w:color w:val="0000FF"/>
        </w:rPr>
        <w:t>86</w:t>
      </w:r>
    </w:p>
    <w:p>
      <w:pPr>
        <w:spacing w:after="0" w:line="1" w:lineRule="exact"/>
        <w:rPr>
          <w:sz w:val="20"/>
          <w:szCs w:val="20"/>
          <w:color w:val="auto"/>
        </w:rPr>
      </w:pPr>
    </w:p>
    <w:p>
      <w:pPr>
        <w:ind w:right="4559"/>
        <w:spacing w:after="0" w:line="230" w:lineRule="auto"/>
        <w:rPr>
          <w:sz w:val="20"/>
          <w:szCs w:val="20"/>
          <w:color w:val="auto"/>
        </w:rPr>
      </w:pPr>
      <w:r>
        <w:rPr>
          <w:rFonts w:ascii="Arial" w:cs="Arial" w:eastAsia="Arial" w:hAnsi="Arial"/>
          <w:sz w:val="22"/>
          <w:szCs w:val="22"/>
          <w:i w:val="1"/>
          <w:iCs w:val="1"/>
          <w:color w:val="auto"/>
        </w:rPr>
        <w:t>Section 5.03. Governmental Authorization; Other Consents</w:t>
      </w:r>
      <w:r>
        <w:rPr>
          <w:rFonts w:ascii="Arial" w:cs="Arial" w:eastAsia="Arial" w:hAnsi="Arial"/>
          <w:sz w:val="22"/>
          <w:szCs w:val="22"/>
          <w:i w:val="1"/>
          <w:iCs w:val="1"/>
          <w:color w:val="FF0000"/>
          <w:strike w:val="1"/>
        </w:rPr>
        <w:t>85</w:t>
      </w:r>
      <w:r>
        <w:rPr>
          <w:rFonts w:ascii="Arial" w:cs="Arial" w:eastAsia="Arial" w:hAnsi="Arial"/>
          <w:sz w:val="22"/>
          <w:szCs w:val="22"/>
          <w:b w:val="1"/>
          <w:bCs w:val="1"/>
          <w:i w:val="1"/>
          <w:iCs w:val="1"/>
          <w:u w:val="single" w:color="auto"/>
          <w:color w:val="0000FF"/>
        </w:rPr>
        <w:t>86</w:t>
      </w:r>
      <w:r>
        <w:rPr>
          <w:rFonts w:ascii="Arial" w:cs="Arial" w:eastAsia="Arial" w:hAnsi="Arial"/>
          <w:sz w:val="22"/>
          <w:szCs w:val="22"/>
          <w:i w:val="1"/>
          <w:iCs w:val="1"/>
          <w:color w:val="auto"/>
        </w:rPr>
        <w:t xml:space="preserve"> Section 5.04. Binding Effect</w:t>
      </w:r>
      <w:r>
        <w:rPr>
          <w:rFonts w:ascii="Arial" w:cs="Arial" w:eastAsia="Arial" w:hAnsi="Arial"/>
          <w:sz w:val="22"/>
          <w:szCs w:val="22"/>
          <w:i w:val="1"/>
          <w:iCs w:val="1"/>
          <w:color w:val="FF0000"/>
          <w:strike w:val="1"/>
        </w:rPr>
        <w:t>86</w:t>
      </w:r>
      <w:r>
        <w:rPr>
          <w:rFonts w:ascii="Arial" w:cs="Arial" w:eastAsia="Arial" w:hAnsi="Arial"/>
          <w:sz w:val="22"/>
          <w:szCs w:val="22"/>
          <w:b w:val="1"/>
          <w:bCs w:val="1"/>
          <w:i w:val="1"/>
          <w:iCs w:val="1"/>
          <w:u w:val="single" w:color="auto"/>
          <w:color w:val="0000FF"/>
        </w:rPr>
        <w:t>87</w:t>
      </w:r>
    </w:p>
    <w:p>
      <w:pPr>
        <w:spacing w:after="0" w:line="1" w:lineRule="exact"/>
        <w:rPr>
          <w:sz w:val="20"/>
          <w:szCs w:val="20"/>
          <w:color w:val="auto"/>
        </w:rPr>
      </w:pPr>
    </w:p>
    <w:p>
      <w:pPr>
        <w:ind w:right="4199"/>
        <w:spacing w:after="0" w:line="230" w:lineRule="auto"/>
        <w:rPr>
          <w:sz w:val="20"/>
          <w:szCs w:val="20"/>
          <w:color w:val="auto"/>
        </w:rPr>
      </w:pPr>
      <w:r>
        <w:rPr>
          <w:rFonts w:ascii="Arial" w:cs="Arial" w:eastAsia="Arial" w:hAnsi="Arial"/>
          <w:sz w:val="22"/>
          <w:szCs w:val="22"/>
          <w:i w:val="1"/>
          <w:iCs w:val="1"/>
          <w:color w:val="auto"/>
        </w:rPr>
        <w:t>Section 5.05. Financial Statements; No Material Adverse Effect</w:t>
      </w:r>
      <w:r>
        <w:rPr>
          <w:rFonts w:ascii="Arial" w:cs="Arial" w:eastAsia="Arial" w:hAnsi="Arial"/>
          <w:sz w:val="22"/>
          <w:szCs w:val="22"/>
          <w:i w:val="1"/>
          <w:iCs w:val="1"/>
          <w:color w:val="FF0000"/>
          <w:strike w:val="1"/>
        </w:rPr>
        <w:t>86</w:t>
      </w:r>
      <w:r>
        <w:rPr>
          <w:rFonts w:ascii="Arial" w:cs="Arial" w:eastAsia="Arial" w:hAnsi="Arial"/>
          <w:sz w:val="22"/>
          <w:szCs w:val="22"/>
          <w:b w:val="1"/>
          <w:bCs w:val="1"/>
          <w:i w:val="1"/>
          <w:iCs w:val="1"/>
          <w:u w:val="single" w:color="auto"/>
          <w:color w:val="0000FF"/>
        </w:rPr>
        <w:t>87</w:t>
      </w:r>
      <w:r>
        <w:rPr>
          <w:rFonts w:ascii="Arial" w:cs="Arial" w:eastAsia="Arial" w:hAnsi="Arial"/>
          <w:sz w:val="22"/>
          <w:szCs w:val="22"/>
          <w:i w:val="1"/>
          <w:iCs w:val="1"/>
          <w:color w:val="auto"/>
        </w:rPr>
        <w:t xml:space="preserve"> Section 5.06. Compliance With Laws</w:t>
      </w:r>
      <w:r>
        <w:rPr>
          <w:rFonts w:ascii="Arial" w:cs="Arial" w:eastAsia="Arial" w:hAnsi="Arial"/>
          <w:sz w:val="22"/>
          <w:szCs w:val="22"/>
          <w:i w:val="1"/>
          <w:iCs w:val="1"/>
          <w:color w:val="FF0000"/>
          <w:strike w:val="1"/>
        </w:rPr>
        <w:t>86</w:t>
      </w:r>
      <w:r>
        <w:rPr>
          <w:rFonts w:ascii="Arial" w:cs="Arial" w:eastAsia="Arial" w:hAnsi="Arial"/>
          <w:sz w:val="22"/>
          <w:szCs w:val="22"/>
          <w:b w:val="1"/>
          <w:bCs w:val="1"/>
          <w:i w:val="1"/>
          <w:iCs w:val="1"/>
          <w:u w:val="single" w:color="auto"/>
          <w:color w:val="0000FF"/>
        </w:rPr>
        <w:t>88</w:t>
      </w:r>
      <w:r>
        <w:rPr>
          <w:rFonts w:ascii="Arial" w:cs="Arial" w:eastAsia="Arial" w:hAnsi="Arial"/>
          <w:sz w:val="22"/>
          <w:szCs w:val="22"/>
          <w:i w:val="1"/>
          <w:iCs w:val="1"/>
          <w:color w:val="auto"/>
        </w:rPr>
        <w:t xml:space="preserve"> Section 5.07. Ownership of Property; Liens</w:t>
      </w:r>
      <w:r>
        <w:rPr>
          <w:rFonts w:ascii="Arial" w:cs="Arial" w:eastAsia="Arial" w:hAnsi="Arial"/>
          <w:sz w:val="22"/>
          <w:szCs w:val="22"/>
          <w:i w:val="1"/>
          <w:iCs w:val="1"/>
          <w:color w:val="FF0000"/>
          <w:strike w:val="1"/>
        </w:rPr>
        <w:t>87</w:t>
      </w:r>
      <w:r>
        <w:rPr>
          <w:rFonts w:ascii="Arial" w:cs="Arial" w:eastAsia="Arial" w:hAnsi="Arial"/>
          <w:sz w:val="22"/>
          <w:szCs w:val="22"/>
          <w:b w:val="1"/>
          <w:bCs w:val="1"/>
          <w:i w:val="1"/>
          <w:iCs w:val="1"/>
          <w:u w:val="single" w:color="auto"/>
          <w:color w:val="0000FF"/>
        </w:rPr>
        <w:t>88</w:t>
      </w:r>
    </w:p>
    <w:p>
      <w:pPr>
        <w:spacing w:after="0" w:line="232" w:lineRule="auto"/>
        <w:rPr>
          <w:sz w:val="20"/>
          <w:szCs w:val="20"/>
          <w:color w:val="auto"/>
        </w:rPr>
      </w:pPr>
      <w:r>
        <w:rPr>
          <w:rFonts w:ascii="Arial" w:cs="Arial" w:eastAsia="Arial" w:hAnsi="Arial"/>
          <w:sz w:val="22"/>
          <w:szCs w:val="22"/>
          <w:i w:val="1"/>
          <w:iCs w:val="1"/>
          <w:color w:val="auto"/>
        </w:rPr>
        <w:t>Section 5.08. Environmental Matters</w:t>
      </w:r>
      <w:r>
        <w:rPr>
          <w:rFonts w:ascii="Arial" w:cs="Arial" w:eastAsia="Arial" w:hAnsi="Arial"/>
          <w:sz w:val="22"/>
          <w:szCs w:val="22"/>
          <w:i w:val="1"/>
          <w:iCs w:val="1"/>
          <w:color w:val="FF0000"/>
          <w:strike w:val="1"/>
        </w:rPr>
        <w:t>87</w:t>
      </w:r>
      <w:r>
        <w:rPr>
          <w:rFonts w:ascii="Arial" w:cs="Arial" w:eastAsia="Arial" w:hAnsi="Arial"/>
          <w:sz w:val="22"/>
          <w:szCs w:val="22"/>
          <w:b w:val="1"/>
          <w:bCs w:val="1"/>
          <w:i w:val="1"/>
          <w:iCs w:val="1"/>
          <w:u w:val="single" w:color="auto"/>
          <w:color w:val="0000FF"/>
        </w:rPr>
        <w:t>88</w:t>
      </w:r>
    </w:p>
    <w:p>
      <w:pPr>
        <w:spacing w:after="0" w:line="230" w:lineRule="auto"/>
        <w:rPr>
          <w:sz w:val="20"/>
          <w:szCs w:val="20"/>
          <w:color w:val="auto"/>
        </w:rPr>
      </w:pPr>
      <w:r>
        <w:rPr>
          <w:rFonts w:ascii="Arial" w:cs="Arial" w:eastAsia="Arial" w:hAnsi="Arial"/>
          <w:sz w:val="22"/>
          <w:szCs w:val="22"/>
          <w:i w:val="1"/>
          <w:iCs w:val="1"/>
          <w:color w:val="auto"/>
        </w:rPr>
        <w:t>Section 5.09. Taxes</w:t>
      </w:r>
      <w:r>
        <w:rPr>
          <w:rFonts w:ascii="Arial" w:cs="Arial" w:eastAsia="Arial" w:hAnsi="Arial"/>
          <w:sz w:val="22"/>
          <w:szCs w:val="22"/>
          <w:i w:val="1"/>
          <w:iCs w:val="1"/>
          <w:color w:val="FF0000"/>
          <w:strike w:val="1"/>
        </w:rPr>
        <w:t>88</w:t>
      </w:r>
      <w:r>
        <w:rPr>
          <w:rFonts w:ascii="Arial" w:cs="Arial" w:eastAsia="Arial" w:hAnsi="Arial"/>
          <w:sz w:val="22"/>
          <w:szCs w:val="22"/>
          <w:b w:val="1"/>
          <w:bCs w:val="1"/>
          <w:i w:val="1"/>
          <w:iCs w:val="1"/>
          <w:u w:val="single" w:color="auto"/>
          <w:color w:val="0000FF"/>
        </w:rPr>
        <w:t>89</w:t>
      </w:r>
    </w:p>
    <w:p>
      <w:pPr>
        <w:spacing w:after="0" w:line="231" w:lineRule="auto"/>
        <w:rPr>
          <w:sz w:val="20"/>
          <w:szCs w:val="20"/>
          <w:color w:val="auto"/>
        </w:rPr>
      </w:pPr>
      <w:r>
        <w:rPr>
          <w:rFonts w:ascii="Arial" w:cs="Arial" w:eastAsia="Arial" w:hAnsi="Arial"/>
          <w:sz w:val="22"/>
          <w:szCs w:val="22"/>
          <w:i w:val="1"/>
          <w:iCs w:val="1"/>
          <w:color w:val="auto"/>
        </w:rPr>
        <w:t>Section 5.10. ERISA Compliance</w:t>
      </w:r>
      <w:r>
        <w:rPr>
          <w:rFonts w:ascii="Arial" w:cs="Arial" w:eastAsia="Arial" w:hAnsi="Arial"/>
          <w:sz w:val="22"/>
          <w:szCs w:val="22"/>
          <w:i w:val="1"/>
          <w:iCs w:val="1"/>
          <w:color w:val="FF0000"/>
          <w:strike w:val="1"/>
        </w:rPr>
        <w:t>88</w:t>
      </w:r>
      <w:r>
        <w:rPr>
          <w:rFonts w:ascii="Arial" w:cs="Arial" w:eastAsia="Arial" w:hAnsi="Arial"/>
          <w:sz w:val="22"/>
          <w:szCs w:val="22"/>
          <w:b w:val="1"/>
          <w:bCs w:val="1"/>
          <w:i w:val="1"/>
          <w:iCs w:val="1"/>
          <w:u w:val="single" w:color="auto"/>
          <w:color w:val="0000FF"/>
        </w:rPr>
        <w:t>89</w:t>
      </w:r>
    </w:p>
    <w:p>
      <w:pPr>
        <w:spacing w:after="0" w:line="230" w:lineRule="auto"/>
        <w:rPr>
          <w:sz w:val="20"/>
          <w:szCs w:val="20"/>
          <w:color w:val="auto"/>
        </w:rPr>
      </w:pPr>
      <w:r>
        <w:rPr>
          <w:rFonts w:ascii="Arial" w:cs="Arial" w:eastAsia="Arial" w:hAnsi="Arial"/>
          <w:sz w:val="22"/>
          <w:szCs w:val="22"/>
          <w:i w:val="1"/>
          <w:iCs w:val="1"/>
          <w:color w:val="auto"/>
        </w:rPr>
        <w:t>Section 5.11. Subsidiaries</w:t>
      </w:r>
      <w:r>
        <w:rPr>
          <w:rFonts w:ascii="Arial" w:cs="Arial" w:eastAsia="Arial" w:hAnsi="Arial"/>
          <w:sz w:val="22"/>
          <w:szCs w:val="22"/>
          <w:i w:val="1"/>
          <w:iCs w:val="1"/>
          <w:color w:val="FF0000"/>
          <w:strike w:val="1"/>
        </w:rPr>
        <w:t>88</w:t>
      </w:r>
      <w:r>
        <w:rPr>
          <w:rFonts w:ascii="Arial" w:cs="Arial" w:eastAsia="Arial" w:hAnsi="Arial"/>
          <w:sz w:val="22"/>
          <w:szCs w:val="22"/>
          <w:b w:val="1"/>
          <w:bCs w:val="1"/>
          <w:i w:val="1"/>
          <w:iCs w:val="1"/>
          <w:u w:val="single" w:color="auto"/>
          <w:color w:val="0000FF"/>
        </w:rPr>
        <w:t>89</w:t>
      </w:r>
    </w:p>
    <w:p>
      <w:pPr>
        <w:spacing w:after="0" w:line="231" w:lineRule="auto"/>
        <w:rPr>
          <w:sz w:val="20"/>
          <w:szCs w:val="20"/>
          <w:color w:val="auto"/>
        </w:rPr>
      </w:pPr>
      <w:r>
        <w:rPr>
          <w:rFonts w:ascii="Arial" w:cs="Arial" w:eastAsia="Arial" w:hAnsi="Arial"/>
          <w:sz w:val="22"/>
          <w:szCs w:val="22"/>
          <w:i w:val="1"/>
          <w:iCs w:val="1"/>
          <w:color w:val="auto"/>
        </w:rPr>
        <w:t>Section 5.12. Margin Regulations; Investment Company Act</w:t>
      </w:r>
      <w:r>
        <w:rPr>
          <w:rFonts w:ascii="Arial" w:cs="Arial" w:eastAsia="Arial" w:hAnsi="Arial"/>
          <w:sz w:val="22"/>
          <w:szCs w:val="22"/>
          <w:i w:val="1"/>
          <w:iCs w:val="1"/>
          <w:color w:val="FF0000"/>
          <w:strike w:val="1"/>
        </w:rPr>
        <w:t>89</w:t>
      </w:r>
      <w:r>
        <w:rPr>
          <w:rFonts w:ascii="Arial" w:cs="Arial" w:eastAsia="Arial" w:hAnsi="Arial"/>
          <w:sz w:val="22"/>
          <w:szCs w:val="22"/>
          <w:b w:val="1"/>
          <w:bCs w:val="1"/>
          <w:i w:val="1"/>
          <w:iCs w:val="1"/>
          <w:u w:val="single" w:color="auto"/>
          <w:color w:val="0000FF"/>
        </w:rPr>
        <w:t>90</w:t>
      </w:r>
    </w:p>
    <w:p>
      <w:pPr>
        <w:spacing w:after="0" w:line="230" w:lineRule="auto"/>
        <w:rPr>
          <w:sz w:val="20"/>
          <w:szCs w:val="20"/>
          <w:color w:val="auto"/>
        </w:rPr>
      </w:pPr>
      <w:r>
        <w:rPr>
          <w:rFonts w:ascii="Arial" w:cs="Arial" w:eastAsia="Arial" w:hAnsi="Arial"/>
          <w:sz w:val="22"/>
          <w:szCs w:val="22"/>
          <w:i w:val="1"/>
          <w:iCs w:val="1"/>
          <w:color w:val="auto"/>
        </w:rPr>
        <w:t>Section 5.13. Disclosure</w:t>
      </w:r>
      <w:r>
        <w:rPr>
          <w:rFonts w:ascii="Arial" w:cs="Arial" w:eastAsia="Arial" w:hAnsi="Arial"/>
          <w:sz w:val="22"/>
          <w:szCs w:val="22"/>
          <w:i w:val="1"/>
          <w:iCs w:val="1"/>
          <w:color w:val="FF0000"/>
          <w:strike w:val="1"/>
        </w:rPr>
        <w:t>89</w:t>
      </w:r>
      <w:r>
        <w:rPr>
          <w:rFonts w:ascii="Arial" w:cs="Arial" w:eastAsia="Arial" w:hAnsi="Arial"/>
          <w:sz w:val="22"/>
          <w:szCs w:val="22"/>
          <w:b w:val="1"/>
          <w:bCs w:val="1"/>
          <w:i w:val="1"/>
          <w:iCs w:val="1"/>
          <w:u w:val="single" w:color="auto"/>
          <w:color w:val="0000FF"/>
        </w:rPr>
        <w:t>90</w:t>
      </w:r>
    </w:p>
    <w:p>
      <w:pPr>
        <w:spacing w:after="0" w:line="231" w:lineRule="auto"/>
        <w:rPr>
          <w:sz w:val="20"/>
          <w:szCs w:val="20"/>
          <w:color w:val="auto"/>
        </w:rPr>
      </w:pPr>
      <w:r>
        <w:rPr>
          <w:rFonts w:ascii="Arial" w:cs="Arial" w:eastAsia="Arial" w:hAnsi="Arial"/>
          <w:sz w:val="22"/>
          <w:szCs w:val="22"/>
          <w:i w:val="1"/>
          <w:iCs w:val="1"/>
          <w:color w:val="auto"/>
        </w:rPr>
        <w:t>Section 5.14. Labor Matters</w:t>
      </w:r>
      <w:r>
        <w:rPr>
          <w:rFonts w:ascii="Arial" w:cs="Arial" w:eastAsia="Arial" w:hAnsi="Arial"/>
          <w:sz w:val="22"/>
          <w:szCs w:val="22"/>
          <w:i w:val="1"/>
          <w:iCs w:val="1"/>
          <w:color w:val="FF0000"/>
          <w:strike w:val="1"/>
        </w:rPr>
        <w:t>89</w:t>
      </w:r>
      <w:r>
        <w:rPr>
          <w:rFonts w:ascii="Arial" w:cs="Arial" w:eastAsia="Arial" w:hAnsi="Arial"/>
          <w:sz w:val="22"/>
          <w:szCs w:val="22"/>
          <w:b w:val="1"/>
          <w:bCs w:val="1"/>
          <w:i w:val="1"/>
          <w:iCs w:val="1"/>
          <w:u w:val="single" w:color="auto"/>
          <w:color w:val="0000FF"/>
        </w:rPr>
        <w:t>90</w:t>
      </w:r>
    </w:p>
    <w:p>
      <w:pPr>
        <w:spacing w:after="0" w:line="230" w:lineRule="auto"/>
        <w:rPr>
          <w:sz w:val="20"/>
          <w:szCs w:val="20"/>
          <w:color w:val="auto"/>
        </w:rPr>
      </w:pPr>
      <w:r>
        <w:rPr>
          <w:rFonts w:ascii="Arial" w:cs="Arial" w:eastAsia="Arial" w:hAnsi="Arial"/>
          <w:sz w:val="22"/>
          <w:szCs w:val="22"/>
          <w:i w:val="1"/>
          <w:iCs w:val="1"/>
          <w:color w:val="auto"/>
        </w:rPr>
        <w:t>Section 5.15. Insurance</w:t>
      </w:r>
      <w:r>
        <w:rPr>
          <w:rFonts w:ascii="Arial" w:cs="Arial" w:eastAsia="Arial" w:hAnsi="Arial"/>
          <w:sz w:val="22"/>
          <w:szCs w:val="22"/>
          <w:i w:val="1"/>
          <w:iCs w:val="1"/>
          <w:color w:val="FF0000"/>
          <w:strike w:val="1"/>
        </w:rPr>
        <w:t>90</w:t>
      </w:r>
      <w:r>
        <w:rPr>
          <w:rFonts w:ascii="Arial" w:cs="Arial" w:eastAsia="Arial" w:hAnsi="Arial"/>
          <w:sz w:val="22"/>
          <w:szCs w:val="22"/>
          <w:b w:val="1"/>
          <w:bCs w:val="1"/>
          <w:i w:val="1"/>
          <w:iCs w:val="1"/>
          <w:u w:val="single" w:color="auto"/>
          <w:color w:val="0000FF"/>
        </w:rPr>
        <w:t>91</w:t>
      </w:r>
    </w:p>
    <w:p>
      <w:pPr>
        <w:spacing w:after="0" w:line="231" w:lineRule="auto"/>
        <w:rPr>
          <w:sz w:val="20"/>
          <w:szCs w:val="20"/>
          <w:color w:val="auto"/>
        </w:rPr>
      </w:pPr>
      <w:r>
        <w:rPr>
          <w:rFonts w:ascii="Arial" w:cs="Arial" w:eastAsia="Arial" w:hAnsi="Arial"/>
          <w:sz w:val="22"/>
          <w:szCs w:val="22"/>
          <w:i w:val="1"/>
          <w:iCs w:val="1"/>
          <w:color w:val="auto"/>
        </w:rPr>
        <w:t>Section 5.16. Solvency</w:t>
      </w:r>
      <w:r>
        <w:rPr>
          <w:rFonts w:ascii="Arial" w:cs="Arial" w:eastAsia="Arial" w:hAnsi="Arial"/>
          <w:sz w:val="22"/>
          <w:szCs w:val="22"/>
          <w:i w:val="1"/>
          <w:iCs w:val="1"/>
          <w:color w:val="FF0000"/>
          <w:strike w:val="1"/>
        </w:rPr>
        <w:t>90</w:t>
      </w:r>
      <w:r>
        <w:rPr>
          <w:rFonts w:ascii="Arial" w:cs="Arial" w:eastAsia="Arial" w:hAnsi="Arial"/>
          <w:sz w:val="22"/>
          <w:szCs w:val="22"/>
          <w:b w:val="1"/>
          <w:bCs w:val="1"/>
          <w:i w:val="1"/>
          <w:iCs w:val="1"/>
          <w:u w:val="single" w:color="auto"/>
          <w:color w:val="0000FF"/>
        </w:rPr>
        <w:t>91</w:t>
      </w:r>
    </w:p>
    <w:p>
      <w:pPr>
        <w:spacing w:after="0" w:line="1" w:lineRule="exact"/>
        <w:rPr>
          <w:sz w:val="20"/>
          <w:szCs w:val="20"/>
          <w:color w:val="auto"/>
        </w:rPr>
      </w:pPr>
    </w:p>
    <w:p>
      <w:pPr>
        <w:ind w:right="4979"/>
        <w:spacing w:after="0" w:line="266" w:lineRule="auto"/>
        <w:rPr>
          <w:sz w:val="20"/>
          <w:szCs w:val="20"/>
          <w:color w:val="auto"/>
        </w:rPr>
      </w:pPr>
      <w:r>
        <w:rPr>
          <w:rFonts w:ascii="Arial" w:cs="Arial" w:eastAsia="Arial" w:hAnsi="Arial"/>
          <w:sz w:val="19"/>
          <w:szCs w:val="19"/>
          <w:i w:val="1"/>
          <w:iCs w:val="1"/>
          <w:color w:val="auto"/>
        </w:rPr>
        <w:t>Section 5.17. No Other Borrowed Money Indebtedness</w:t>
      </w:r>
      <w:r>
        <w:rPr>
          <w:rFonts w:ascii="Arial" w:cs="Arial" w:eastAsia="Arial" w:hAnsi="Arial"/>
          <w:sz w:val="19"/>
          <w:szCs w:val="19"/>
          <w:i w:val="1"/>
          <w:iCs w:val="1"/>
          <w:color w:val="FF0000"/>
          <w:strike w:val="1"/>
        </w:rPr>
        <w:t>90</w:t>
      </w:r>
      <w:r>
        <w:rPr>
          <w:rFonts w:ascii="Arial" w:cs="Arial" w:eastAsia="Arial" w:hAnsi="Arial"/>
          <w:sz w:val="19"/>
          <w:szCs w:val="19"/>
          <w:b w:val="1"/>
          <w:bCs w:val="1"/>
          <w:i w:val="1"/>
          <w:iCs w:val="1"/>
          <w:u w:val="single" w:color="auto"/>
          <w:color w:val="0000FF"/>
        </w:rPr>
        <w:t>91</w:t>
      </w:r>
      <w:r>
        <w:rPr>
          <w:rFonts w:ascii="Arial" w:cs="Arial" w:eastAsia="Arial" w:hAnsi="Arial"/>
          <w:sz w:val="19"/>
          <w:szCs w:val="19"/>
          <w:i w:val="1"/>
          <w:iCs w:val="1"/>
          <w:color w:val="auto"/>
        </w:rPr>
        <w:t xml:space="preserve"> Section 5.18. Collateral Documents</w:t>
      </w:r>
      <w:r>
        <w:rPr>
          <w:rFonts w:ascii="Arial" w:cs="Arial" w:eastAsia="Arial" w:hAnsi="Arial"/>
          <w:sz w:val="19"/>
          <w:szCs w:val="19"/>
          <w:i w:val="1"/>
          <w:iCs w:val="1"/>
          <w:color w:val="FF0000"/>
          <w:strike w:val="1"/>
        </w:rPr>
        <w:t>90</w:t>
      </w:r>
      <w:r>
        <w:rPr>
          <w:rFonts w:ascii="Arial" w:cs="Arial" w:eastAsia="Arial" w:hAnsi="Arial"/>
          <w:sz w:val="19"/>
          <w:szCs w:val="19"/>
          <w:b w:val="1"/>
          <w:bCs w:val="1"/>
          <w:i w:val="1"/>
          <w:iCs w:val="1"/>
          <w:u w:val="single" w:color="auto"/>
          <w:color w:val="0000FF"/>
        </w:rPr>
        <w:t>92</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5.19. Compliance with Anti-Terrorism and Corruption Laws</w:t>
      </w:r>
      <w:r>
        <w:rPr>
          <w:rFonts w:ascii="Arial" w:cs="Arial" w:eastAsia="Arial" w:hAnsi="Arial"/>
          <w:sz w:val="22"/>
          <w:szCs w:val="22"/>
          <w:i w:val="1"/>
          <w:iCs w:val="1"/>
          <w:color w:val="FF0000"/>
          <w:strike w:val="1"/>
        </w:rPr>
        <w:t>92</w:t>
      </w:r>
      <w:r>
        <w:rPr>
          <w:rFonts w:ascii="Arial" w:cs="Arial" w:eastAsia="Arial" w:hAnsi="Arial"/>
          <w:sz w:val="22"/>
          <w:szCs w:val="22"/>
          <w:b w:val="1"/>
          <w:bCs w:val="1"/>
          <w:i w:val="1"/>
          <w:iCs w:val="1"/>
          <w:u w:val="single" w:color="auto"/>
          <w:color w:val="0000FF"/>
        </w:rPr>
        <w:t>93</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22"/>
          <w:szCs w:val="22"/>
          <w:b w:val="1"/>
          <w:bCs w:val="1"/>
          <w:i w:val="1"/>
          <w:iCs w:val="1"/>
          <w:color w:val="auto"/>
        </w:rPr>
        <w:t>ARTICLE 6</w:t>
      </w:r>
    </w:p>
    <w:p>
      <w:pPr>
        <w:spacing w:after="0" w:line="206" w:lineRule="exact"/>
        <w:rPr>
          <w:sz w:val="20"/>
          <w:szCs w:val="20"/>
          <w:color w:val="auto"/>
        </w:rPr>
      </w:pPr>
    </w:p>
    <w:p>
      <w:pPr>
        <w:ind w:left="4600"/>
        <w:spacing w:after="0"/>
        <w:rPr>
          <w:sz w:val="20"/>
          <w:szCs w:val="20"/>
          <w:color w:val="auto"/>
        </w:rPr>
      </w:pPr>
      <w:r>
        <w:rPr>
          <w:rFonts w:ascii="Arial" w:cs="Arial" w:eastAsia="Arial" w:hAnsi="Arial"/>
          <w:sz w:val="22"/>
          <w:szCs w:val="22"/>
          <w:b w:val="1"/>
          <w:bCs w:val="1"/>
          <w:i w:val="1"/>
          <w:iCs w:val="1"/>
          <w:color w:val="auto"/>
        </w:rPr>
        <w:t>A</w:t>
      </w:r>
      <w:r>
        <w:rPr>
          <w:rFonts w:ascii="Arial" w:cs="Arial" w:eastAsia="Arial" w:hAnsi="Arial"/>
          <w:sz w:val="14"/>
          <w:szCs w:val="14"/>
          <w:b w:val="1"/>
          <w:bCs w:val="1"/>
          <w:i w:val="1"/>
          <w:iCs w:val="1"/>
          <w:color w:val="auto"/>
        </w:rPr>
        <w:t>FFIRMATIVE</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OVENANTS</w:t>
      </w:r>
    </w:p>
    <w:p>
      <w:pPr>
        <w:spacing w:after="0" w:line="238" w:lineRule="auto"/>
        <w:rPr>
          <w:sz w:val="20"/>
          <w:szCs w:val="20"/>
          <w:color w:val="auto"/>
        </w:rPr>
      </w:pPr>
      <w:r>
        <w:rPr>
          <w:rFonts w:ascii="Arial" w:cs="Arial" w:eastAsia="Arial" w:hAnsi="Arial"/>
          <w:sz w:val="22"/>
          <w:szCs w:val="22"/>
          <w:i w:val="1"/>
          <w:iCs w:val="1"/>
          <w:color w:val="auto"/>
        </w:rPr>
        <w:t>Section 6.01. Financial Statements, Reports, Etc</w:t>
      </w:r>
      <w:r>
        <w:rPr>
          <w:rFonts w:ascii="Arial" w:cs="Arial" w:eastAsia="Arial" w:hAnsi="Arial"/>
          <w:sz w:val="22"/>
          <w:szCs w:val="22"/>
          <w:i w:val="1"/>
          <w:iCs w:val="1"/>
          <w:color w:val="FF0000"/>
          <w:strike w:val="1"/>
        </w:rPr>
        <w:t>93</w:t>
      </w:r>
      <w:r>
        <w:rPr>
          <w:rFonts w:ascii="Arial" w:cs="Arial" w:eastAsia="Arial" w:hAnsi="Arial"/>
          <w:sz w:val="22"/>
          <w:szCs w:val="22"/>
          <w:b w:val="1"/>
          <w:bCs w:val="1"/>
          <w:i w:val="1"/>
          <w:iCs w:val="1"/>
          <w:u w:val="single" w:color="auto"/>
          <w:color w:val="0000FF"/>
        </w:rPr>
        <w:t>94</w:t>
      </w:r>
    </w:p>
    <w:p>
      <w:pPr>
        <w:spacing w:after="0" w:line="230" w:lineRule="auto"/>
        <w:rPr>
          <w:sz w:val="20"/>
          <w:szCs w:val="20"/>
          <w:color w:val="auto"/>
        </w:rPr>
      </w:pPr>
      <w:r>
        <w:rPr>
          <w:rFonts w:ascii="Arial" w:cs="Arial" w:eastAsia="Arial" w:hAnsi="Arial"/>
          <w:sz w:val="22"/>
          <w:szCs w:val="22"/>
          <w:i w:val="1"/>
          <w:iCs w:val="1"/>
          <w:color w:val="auto"/>
        </w:rPr>
        <w:t>Section 6.02. Certificates; Other Information</w:t>
      </w:r>
      <w:r>
        <w:rPr>
          <w:rFonts w:ascii="Arial" w:cs="Arial" w:eastAsia="Arial" w:hAnsi="Arial"/>
          <w:sz w:val="22"/>
          <w:szCs w:val="22"/>
          <w:i w:val="1"/>
          <w:iCs w:val="1"/>
          <w:color w:val="FF0000"/>
          <w:strike w:val="1"/>
        </w:rPr>
        <w:t>95</w:t>
      </w:r>
      <w:r>
        <w:rPr>
          <w:rFonts w:ascii="Arial" w:cs="Arial" w:eastAsia="Arial" w:hAnsi="Arial"/>
          <w:sz w:val="22"/>
          <w:szCs w:val="22"/>
          <w:b w:val="1"/>
          <w:bCs w:val="1"/>
          <w:i w:val="1"/>
          <w:iCs w:val="1"/>
          <w:u w:val="single" w:color="auto"/>
          <w:color w:val="0000FF"/>
        </w:rPr>
        <w:t>96</w:t>
      </w:r>
    </w:p>
    <w:p>
      <w:pPr>
        <w:spacing w:after="0" w:line="231" w:lineRule="auto"/>
        <w:rPr>
          <w:sz w:val="20"/>
          <w:szCs w:val="20"/>
          <w:color w:val="auto"/>
        </w:rPr>
      </w:pPr>
      <w:r>
        <w:rPr>
          <w:rFonts w:ascii="Arial" w:cs="Arial" w:eastAsia="Arial" w:hAnsi="Arial"/>
          <w:sz w:val="22"/>
          <w:szCs w:val="22"/>
          <w:i w:val="1"/>
          <w:iCs w:val="1"/>
          <w:color w:val="auto"/>
        </w:rPr>
        <w:t>Section 6.03. Notices</w:t>
      </w:r>
      <w:r>
        <w:rPr>
          <w:rFonts w:ascii="Arial" w:cs="Arial" w:eastAsia="Arial" w:hAnsi="Arial"/>
          <w:sz w:val="22"/>
          <w:szCs w:val="22"/>
          <w:i w:val="1"/>
          <w:iCs w:val="1"/>
          <w:color w:val="FF0000"/>
          <w:strike w:val="1"/>
        </w:rPr>
        <w:t>96</w:t>
      </w:r>
      <w:r>
        <w:rPr>
          <w:rFonts w:ascii="Arial" w:cs="Arial" w:eastAsia="Arial" w:hAnsi="Arial"/>
          <w:sz w:val="22"/>
          <w:szCs w:val="22"/>
          <w:b w:val="1"/>
          <w:bCs w:val="1"/>
          <w:i w:val="1"/>
          <w:iCs w:val="1"/>
          <w:u w:val="single" w:color="auto"/>
          <w:color w:val="0000FF"/>
        </w:rPr>
        <w:t>98</w:t>
      </w:r>
    </w:p>
    <w:p>
      <w:pPr>
        <w:spacing w:after="0" w:line="230" w:lineRule="auto"/>
        <w:rPr>
          <w:sz w:val="20"/>
          <w:szCs w:val="20"/>
          <w:color w:val="auto"/>
        </w:rPr>
      </w:pPr>
      <w:r>
        <w:rPr>
          <w:rFonts w:ascii="Arial" w:cs="Arial" w:eastAsia="Arial" w:hAnsi="Arial"/>
          <w:sz w:val="22"/>
          <w:szCs w:val="22"/>
          <w:i w:val="1"/>
          <w:iCs w:val="1"/>
          <w:color w:val="auto"/>
        </w:rPr>
        <w:t>Section 6.04. Payment of Taxes</w:t>
      </w:r>
      <w:r>
        <w:rPr>
          <w:rFonts w:ascii="Arial" w:cs="Arial" w:eastAsia="Arial" w:hAnsi="Arial"/>
          <w:sz w:val="22"/>
          <w:szCs w:val="22"/>
          <w:i w:val="1"/>
          <w:iCs w:val="1"/>
          <w:color w:val="FF0000"/>
          <w:strike w:val="1"/>
        </w:rPr>
        <w:t>97</w:t>
      </w:r>
      <w:r>
        <w:rPr>
          <w:rFonts w:ascii="Arial" w:cs="Arial" w:eastAsia="Arial" w:hAnsi="Arial"/>
          <w:sz w:val="22"/>
          <w:szCs w:val="22"/>
          <w:b w:val="1"/>
          <w:bCs w:val="1"/>
          <w:i w:val="1"/>
          <w:iCs w:val="1"/>
          <w:u w:val="single" w:color="auto"/>
          <w:color w:val="0000FF"/>
        </w:rPr>
        <w:t>98</w:t>
      </w:r>
    </w:p>
    <w:p>
      <w:pPr>
        <w:spacing w:after="0" w:line="231" w:lineRule="auto"/>
        <w:rPr>
          <w:sz w:val="20"/>
          <w:szCs w:val="20"/>
          <w:color w:val="auto"/>
        </w:rPr>
      </w:pPr>
      <w:r>
        <w:rPr>
          <w:rFonts w:ascii="Arial" w:cs="Arial" w:eastAsia="Arial" w:hAnsi="Arial"/>
          <w:sz w:val="22"/>
          <w:szCs w:val="22"/>
          <w:i w:val="1"/>
          <w:iCs w:val="1"/>
          <w:color w:val="auto"/>
        </w:rPr>
        <w:t>Section 6.05. Preservation of Existence, Etc</w:t>
      </w:r>
      <w:r>
        <w:rPr>
          <w:rFonts w:ascii="Arial" w:cs="Arial" w:eastAsia="Arial" w:hAnsi="Arial"/>
          <w:sz w:val="22"/>
          <w:szCs w:val="22"/>
          <w:i w:val="1"/>
          <w:iCs w:val="1"/>
          <w:color w:val="FF0000"/>
          <w:strike w:val="1"/>
        </w:rPr>
        <w:t>97</w:t>
      </w:r>
      <w:r>
        <w:rPr>
          <w:rFonts w:ascii="Arial" w:cs="Arial" w:eastAsia="Arial" w:hAnsi="Arial"/>
          <w:sz w:val="22"/>
          <w:szCs w:val="22"/>
          <w:b w:val="1"/>
          <w:bCs w:val="1"/>
          <w:i w:val="1"/>
          <w:iCs w:val="1"/>
          <w:u w:val="single" w:color="auto"/>
          <w:color w:val="0000FF"/>
        </w:rPr>
        <w:t>98</w:t>
      </w:r>
    </w:p>
    <w:p>
      <w:pPr>
        <w:spacing w:after="0" w:line="230" w:lineRule="auto"/>
        <w:rPr>
          <w:sz w:val="20"/>
          <w:szCs w:val="20"/>
          <w:color w:val="auto"/>
        </w:rPr>
      </w:pPr>
      <w:r>
        <w:rPr>
          <w:rFonts w:ascii="Arial" w:cs="Arial" w:eastAsia="Arial" w:hAnsi="Arial"/>
          <w:sz w:val="22"/>
          <w:szCs w:val="22"/>
          <w:i w:val="1"/>
          <w:iCs w:val="1"/>
          <w:color w:val="auto"/>
        </w:rPr>
        <w:t>Section 6.06. Maintenance of Properties</w:t>
      </w:r>
      <w:r>
        <w:rPr>
          <w:rFonts w:ascii="Arial" w:cs="Arial" w:eastAsia="Arial" w:hAnsi="Arial"/>
          <w:sz w:val="22"/>
          <w:szCs w:val="22"/>
          <w:i w:val="1"/>
          <w:iCs w:val="1"/>
          <w:color w:val="FF0000"/>
          <w:strike w:val="1"/>
        </w:rPr>
        <w:t>97</w:t>
      </w:r>
      <w:r>
        <w:rPr>
          <w:rFonts w:ascii="Arial" w:cs="Arial" w:eastAsia="Arial" w:hAnsi="Arial"/>
          <w:sz w:val="22"/>
          <w:szCs w:val="22"/>
          <w:b w:val="1"/>
          <w:bCs w:val="1"/>
          <w:i w:val="1"/>
          <w:iCs w:val="1"/>
          <w:u w:val="single" w:color="auto"/>
          <w:color w:val="0000FF"/>
        </w:rPr>
        <w:t>98</w:t>
      </w:r>
    </w:p>
    <w:p>
      <w:pPr>
        <w:spacing w:after="0" w:line="231" w:lineRule="auto"/>
        <w:rPr>
          <w:sz w:val="20"/>
          <w:szCs w:val="20"/>
          <w:color w:val="auto"/>
        </w:rPr>
      </w:pPr>
      <w:r>
        <w:rPr>
          <w:rFonts w:ascii="Arial" w:cs="Arial" w:eastAsia="Arial" w:hAnsi="Arial"/>
          <w:sz w:val="22"/>
          <w:szCs w:val="22"/>
          <w:i w:val="1"/>
          <w:iCs w:val="1"/>
          <w:color w:val="auto"/>
        </w:rPr>
        <w:t>Section 6.07. Maintenance of Insurance</w:t>
      </w:r>
      <w:r>
        <w:rPr>
          <w:rFonts w:ascii="Arial" w:cs="Arial" w:eastAsia="Arial" w:hAnsi="Arial"/>
          <w:sz w:val="22"/>
          <w:szCs w:val="22"/>
          <w:i w:val="1"/>
          <w:iCs w:val="1"/>
          <w:color w:val="FF0000"/>
          <w:strike w:val="1"/>
        </w:rPr>
        <w:t>97</w:t>
      </w:r>
      <w:r>
        <w:rPr>
          <w:rFonts w:ascii="Arial" w:cs="Arial" w:eastAsia="Arial" w:hAnsi="Arial"/>
          <w:sz w:val="22"/>
          <w:szCs w:val="22"/>
          <w:b w:val="1"/>
          <w:bCs w:val="1"/>
          <w:i w:val="1"/>
          <w:iCs w:val="1"/>
          <w:u w:val="single" w:color="auto"/>
          <w:color w:val="0000FF"/>
        </w:rPr>
        <w:t>99</w:t>
      </w:r>
    </w:p>
    <w:p>
      <w:pPr>
        <w:spacing w:after="0" w:line="230" w:lineRule="auto"/>
        <w:rPr>
          <w:sz w:val="20"/>
          <w:szCs w:val="20"/>
          <w:color w:val="auto"/>
        </w:rPr>
      </w:pPr>
      <w:r>
        <w:rPr>
          <w:rFonts w:ascii="Arial" w:cs="Arial" w:eastAsia="Arial" w:hAnsi="Arial"/>
          <w:sz w:val="22"/>
          <w:szCs w:val="22"/>
          <w:i w:val="1"/>
          <w:iCs w:val="1"/>
          <w:color w:val="auto"/>
        </w:rPr>
        <w:t>Section 6.08. Compliance with Laws</w:t>
      </w:r>
      <w:r>
        <w:rPr>
          <w:rFonts w:ascii="Arial" w:cs="Arial" w:eastAsia="Arial" w:hAnsi="Arial"/>
          <w:sz w:val="22"/>
          <w:szCs w:val="22"/>
          <w:i w:val="1"/>
          <w:iCs w:val="1"/>
          <w:color w:val="FF0000"/>
          <w:strike w:val="1"/>
        </w:rPr>
        <w:t>99</w:t>
      </w:r>
      <w:r>
        <w:rPr>
          <w:rFonts w:ascii="Arial" w:cs="Arial" w:eastAsia="Arial" w:hAnsi="Arial"/>
          <w:sz w:val="22"/>
          <w:szCs w:val="22"/>
          <w:b w:val="1"/>
          <w:bCs w:val="1"/>
          <w:i w:val="1"/>
          <w:iCs w:val="1"/>
          <w:u w:val="single" w:color="auto"/>
          <w:color w:val="0000FF"/>
        </w:rPr>
        <w:t>100</w:t>
      </w:r>
    </w:p>
    <w:p>
      <w:pPr>
        <w:spacing w:after="0" w:line="231" w:lineRule="auto"/>
        <w:rPr>
          <w:sz w:val="20"/>
          <w:szCs w:val="20"/>
          <w:color w:val="auto"/>
        </w:rPr>
      </w:pPr>
      <w:r>
        <w:rPr>
          <w:rFonts w:ascii="Arial" w:cs="Arial" w:eastAsia="Arial" w:hAnsi="Arial"/>
          <w:sz w:val="22"/>
          <w:szCs w:val="22"/>
          <w:i w:val="1"/>
          <w:iCs w:val="1"/>
          <w:color w:val="auto"/>
        </w:rPr>
        <w:t>Section 6.09. Books and Records</w:t>
      </w:r>
      <w:r>
        <w:rPr>
          <w:rFonts w:ascii="Arial" w:cs="Arial" w:eastAsia="Arial" w:hAnsi="Arial"/>
          <w:sz w:val="22"/>
          <w:szCs w:val="22"/>
          <w:i w:val="1"/>
          <w:iCs w:val="1"/>
          <w:color w:val="FF0000"/>
          <w:strike w:val="1"/>
        </w:rPr>
        <w:t>99</w:t>
      </w:r>
      <w:r>
        <w:rPr>
          <w:rFonts w:ascii="Arial" w:cs="Arial" w:eastAsia="Arial" w:hAnsi="Arial"/>
          <w:sz w:val="22"/>
          <w:szCs w:val="22"/>
          <w:b w:val="1"/>
          <w:bCs w:val="1"/>
          <w:i w:val="1"/>
          <w:iCs w:val="1"/>
          <w:u w:val="single" w:color="auto"/>
          <w:color w:val="0000FF"/>
        </w:rPr>
        <w:t>100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6.10. Inspection Rights</w:t>
      </w:r>
      <w:r>
        <w:rPr>
          <w:rFonts w:ascii="Arial" w:cs="Arial" w:eastAsia="Arial" w:hAnsi="Arial"/>
          <w:sz w:val="22"/>
          <w:szCs w:val="22"/>
          <w:i w:val="1"/>
          <w:iCs w:val="1"/>
          <w:color w:val="FF0000"/>
          <w:strike w:val="1"/>
        </w:rPr>
        <w:t>99</w:t>
      </w:r>
      <w:r>
        <w:rPr>
          <w:rFonts w:ascii="Arial" w:cs="Arial" w:eastAsia="Arial" w:hAnsi="Arial"/>
          <w:sz w:val="22"/>
          <w:szCs w:val="22"/>
          <w:b w:val="1"/>
          <w:bCs w:val="1"/>
          <w:i w:val="1"/>
          <w:iCs w:val="1"/>
          <w:u w:val="single" w:color="auto"/>
          <w:color w:val="0000FF"/>
        </w:rPr>
        <w:t>100</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54" w:name="page55"/>
    <w:bookmarkEnd w:id="54"/>
    <w:p>
      <w:pPr>
        <w:ind w:right="4479"/>
        <w:spacing w:after="0" w:line="276" w:lineRule="auto"/>
        <w:rPr>
          <w:sz w:val="20"/>
          <w:szCs w:val="20"/>
          <w:color w:val="auto"/>
        </w:rPr>
      </w:pPr>
      <w:r>
        <w:rPr>
          <w:rFonts w:ascii="Arial" w:cs="Arial" w:eastAsia="Arial" w:hAnsi="Arial"/>
          <w:sz w:val="19"/>
          <w:szCs w:val="19"/>
          <w:i w:val="1"/>
          <w:iCs w:val="1"/>
          <w:color w:val="auto"/>
        </w:rPr>
        <w:t>Section 6.11. Additional Collateral; Additional Guarantors</w:t>
      </w:r>
      <w:r>
        <w:rPr>
          <w:rFonts w:ascii="Arial" w:cs="Arial" w:eastAsia="Arial" w:hAnsi="Arial"/>
          <w:sz w:val="19"/>
          <w:szCs w:val="19"/>
          <w:i w:val="1"/>
          <w:iCs w:val="1"/>
          <w:color w:val="FF0000"/>
          <w:strike w:val="1"/>
        </w:rPr>
        <w:t>99</w:t>
      </w:r>
      <w:r>
        <w:rPr>
          <w:rFonts w:ascii="Arial" w:cs="Arial" w:eastAsia="Arial" w:hAnsi="Arial"/>
          <w:sz w:val="19"/>
          <w:szCs w:val="19"/>
          <w:b w:val="1"/>
          <w:bCs w:val="1"/>
          <w:i w:val="1"/>
          <w:iCs w:val="1"/>
          <w:u w:val="single" w:color="auto"/>
          <w:color w:val="0000FF"/>
        </w:rPr>
        <w:t>100</w:t>
      </w:r>
      <w:r>
        <w:rPr>
          <w:rFonts w:ascii="Arial" w:cs="Arial" w:eastAsia="Arial" w:hAnsi="Arial"/>
          <w:sz w:val="19"/>
          <w:szCs w:val="19"/>
          <w:i w:val="1"/>
          <w:iCs w:val="1"/>
          <w:color w:val="auto"/>
        </w:rPr>
        <w:t xml:space="preserve"> Section 6.12. Compliance with Environmental Laws</w:t>
      </w:r>
      <w:r>
        <w:rPr>
          <w:rFonts w:ascii="Arial" w:cs="Arial" w:eastAsia="Arial" w:hAnsi="Arial"/>
          <w:sz w:val="19"/>
          <w:szCs w:val="19"/>
          <w:i w:val="1"/>
          <w:iCs w:val="1"/>
          <w:color w:val="FF0000"/>
          <w:strike w:val="1"/>
        </w:rPr>
        <w:t>101</w:t>
      </w:r>
      <w:r>
        <w:rPr>
          <w:rFonts w:ascii="Arial" w:cs="Arial" w:eastAsia="Arial" w:hAnsi="Arial"/>
          <w:sz w:val="19"/>
          <w:szCs w:val="19"/>
          <w:b w:val="1"/>
          <w:bCs w:val="1"/>
          <w:i w:val="1"/>
          <w:iCs w:val="1"/>
          <w:u w:val="single" w:color="auto"/>
          <w:color w:val="0000FF"/>
        </w:rPr>
        <w:t>102</w:t>
      </w:r>
    </w:p>
    <w:p>
      <w:pPr>
        <w:spacing w:after="0" w:line="1" w:lineRule="exact"/>
        <w:rPr>
          <w:sz w:val="20"/>
          <w:szCs w:val="20"/>
          <w:color w:val="auto"/>
        </w:rPr>
      </w:pPr>
    </w:p>
    <w:p>
      <w:pPr>
        <w:ind w:right="4019"/>
        <w:spacing w:after="0" w:line="230" w:lineRule="auto"/>
        <w:rPr>
          <w:sz w:val="20"/>
          <w:szCs w:val="20"/>
          <w:color w:val="auto"/>
        </w:rPr>
      </w:pPr>
      <w:r>
        <w:rPr>
          <w:rFonts w:ascii="Arial" w:cs="Arial" w:eastAsia="Arial" w:hAnsi="Arial"/>
          <w:sz w:val="22"/>
          <w:szCs w:val="22"/>
          <w:i w:val="1"/>
          <w:iCs w:val="1"/>
          <w:color w:val="auto"/>
        </w:rPr>
        <w:t>Section 6.13. Further Assurances and Post-Closing Conditions</w:t>
      </w:r>
      <w:r>
        <w:rPr>
          <w:rFonts w:ascii="Arial" w:cs="Arial" w:eastAsia="Arial" w:hAnsi="Arial"/>
          <w:sz w:val="22"/>
          <w:szCs w:val="22"/>
          <w:i w:val="1"/>
          <w:iCs w:val="1"/>
          <w:color w:val="FF0000"/>
          <w:strike w:val="1"/>
        </w:rPr>
        <w:t>101</w:t>
      </w:r>
      <w:r>
        <w:rPr>
          <w:rFonts w:ascii="Arial" w:cs="Arial" w:eastAsia="Arial" w:hAnsi="Arial"/>
          <w:sz w:val="22"/>
          <w:szCs w:val="22"/>
          <w:b w:val="1"/>
          <w:bCs w:val="1"/>
          <w:i w:val="1"/>
          <w:iCs w:val="1"/>
          <w:u w:val="single" w:color="auto"/>
          <w:color w:val="0000FF"/>
        </w:rPr>
        <w:t>102</w:t>
      </w:r>
      <w:r>
        <w:rPr>
          <w:rFonts w:ascii="Arial" w:cs="Arial" w:eastAsia="Arial" w:hAnsi="Arial"/>
          <w:sz w:val="22"/>
          <w:szCs w:val="22"/>
          <w:i w:val="1"/>
          <w:iCs w:val="1"/>
          <w:color w:val="auto"/>
        </w:rPr>
        <w:t xml:space="preserve"> Section 6.14. [Reserved]</w:t>
      </w:r>
      <w:r>
        <w:rPr>
          <w:rFonts w:ascii="Arial" w:cs="Arial" w:eastAsia="Arial" w:hAnsi="Arial"/>
          <w:sz w:val="22"/>
          <w:szCs w:val="22"/>
          <w:i w:val="1"/>
          <w:iCs w:val="1"/>
          <w:color w:val="FF0000"/>
          <w:strike w:val="1"/>
        </w:rPr>
        <w:t>102</w:t>
      </w:r>
      <w:r>
        <w:rPr>
          <w:rFonts w:ascii="Arial" w:cs="Arial" w:eastAsia="Arial" w:hAnsi="Arial"/>
          <w:sz w:val="22"/>
          <w:szCs w:val="22"/>
          <w:b w:val="1"/>
          <w:bCs w:val="1"/>
          <w:i w:val="1"/>
          <w:iCs w:val="1"/>
          <w:u w:val="single" w:color="auto"/>
          <w:color w:val="0000FF"/>
        </w:rPr>
        <w:t>103</w:t>
      </w:r>
    </w:p>
    <w:p>
      <w:pPr>
        <w:spacing w:after="0" w:line="231" w:lineRule="auto"/>
        <w:rPr>
          <w:sz w:val="20"/>
          <w:szCs w:val="20"/>
          <w:color w:val="auto"/>
        </w:rPr>
      </w:pPr>
      <w:r>
        <w:rPr>
          <w:rFonts w:ascii="Arial" w:cs="Arial" w:eastAsia="Arial" w:hAnsi="Arial"/>
          <w:sz w:val="22"/>
          <w:szCs w:val="22"/>
          <w:i w:val="1"/>
          <w:iCs w:val="1"/>
          <w:color w:val="auto"/>
        </w:rPr>
        <w:t>Section 6.15. Maintenance of Ratings</w:t>
      </w:r>
      <w:r>
        <w:rPr>
          <w:rFonts w:ascii="Arial" w:cs="Arial" w:eastAsia="Arial" w:hAnsi="Arial"/>
          <w:sz w:val="22"/>
          <w:szCs w:val="22"/>
          <w:i w:val="1"/>
          <w:iCs w:val="1"/>
          <w:color w:val="FF0000"/>
          <w:strike w:val="1"/>
        </w:rPr>
        <w:t>102</w:t>
      </w:r>
      <w:r>
        <w:rPr>
          <w:rFonts w:ascii="Arial" w:cs="Arial" w:eastAsia="Arial" w:hAnsi="Arial"/>
          <w:sz w:val="22"/>
          <w:szCs w:val="22"/>
          <w:b w:val="1"/>
          <w:bCs w:val="1"/>
          <w:i w:val="1"/>
          <w:iCs w:val="1"/>
          <w:u w:val="single" w:color="auto"/>
          <w:color w:val="0000FF"/>
        </w:rPr>
        <w:t>103</w:t>
      </w:r>
    </w:p>
    <w:p>
      <w:pPr>
        <w:spacing w:after="0" w:line="231" w:lineRule="auto"/>
        <w:rPr>
          <w:sz w:val="20"/>
          <w:szCs w:val="20"/>
          <w:color w:val="auto"/>
        </w:rPr>
      </w:pPr>
      <w:r>
        <w:rPr>
          <w:rFonts w:ascii="Arial" w:cs="Arial" w:eastAsia="Arial" w:hAnsi="Arial"/>
          <w:sz w:val="22"/>
          <w:szCs w:val="22"/>
          <w:i w:val="1"/>
          <w:iCs w:val="1"/>
          <w:color w:val="auto"/>
        </w:rPr>
        <w:t>Section 6.16. Use of Proceeds</w:t>
      </w:r>
      <w:r>
        <w:rPr>
          <w:rFonts w:ascii="Arial" w:cs="Arial" w:eastAsia="Arial" w:hAnsi="Arial"/>
          <w:sz w:val="22"/>
          <w:szCs w:val="22"/>
          <w:i w:val="1"/>
          <w:iCs w:val="1"/>
          <w:color w:val="FF0000"/>
          <w:strike w:val="1"/>
        </w:rPr>
        <w:t>102</w:t>
      </w:r>
      <w:r>
        <w:rPr>
          <w:rFonts w:ascii="Arial" w:cs="Arial" w:eastAsia="Arial" w:hAnsi="Arial"/>
          <w:sz w:val="22"/>
          <w:szCs w:val="22"/>
          <w:b w:val="1"/>
          <w:bCs w:val="1"/>
          <w:i w:val="1"/>
          <w:iCs w:val="1"/>
          <w:u w:val="single" w:color="auto"/>
          <w:color w:val="0000FF"/>
        </w:rPr>
        <w:t>103</w:t>
      </w:r>
    </w:p>
    <w:p>
      <w:pPr>
        <w:spacing w:after="0"/>
        <w:rPr>
          <w:sz w:val="20"/>
          <w:szCs w:val="20"/>
          <w:color w:val="auto"/>
        </w:rPr>
      </w:pPr>
      <w:r>
        <w:rPr>
          <w:rFonts w:ascii="Arial" w:cs="Arial" w:eastAsia="Arial" w:hAnsi="Arial"/>
          <w:sz w:val="22"/>
          <w:szCs w:val="22"/>
          <w:b w:val="1"/>
          <w:bCs w:val="1"/>
          <w:i w:val="1"/>
          <w:iCs w:val="1"/>
          <w:u w:val="single" w:color="auto"/>
          <w:color w:val="0000FF"/>
        </w:rPr>
        <w:t>Section 6.17. 2020 Financial Plan103</w:t>
      </w:r>
    </w:p>
    <w:p>
      <w:pPr>
        <w:spacing w:after="0" w:line="18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ARTICLE 7</w:t>
      </w:r>
    </w:p>
    <w:p>
      <w:pPr>
        <w:ind w:left="4720"/>
        <w:spacing w:after="0" w:line="238" w:lineRule="auto"/>
        <w:rPr>
          <w:sz w:val="20"/>
          <w:szCs w:val="20"/>
          <w:color w:val="auto"/>
        </w:rPr>
      </w:pPr>
      <w:r>
        <w:rPr>
          <w:rFonts w:ascii="Arial" w:cs="Arial" w:eastAsia="Arial" w:hAnsi="Arial"/>
          <w:sz w:val="22"/>
          <w:szCs w:val="22"/>
          <w:b w:val="1"/>
          <w:bCs w:val="1"/>
          <w:i w:val="1"/>
          <w:iCs w:val="1"/>
          <w:color w:val="auto"/>
        </w:rPr>
        <w:t>N</w:t>
      </w:r>
      <w:r>
        <w:rPr>
          <w:rFonts w:ascii="Arial" w:cs="Arial" w:eastAsia="Arial" w:hAnsi="Arial"/>
          <w:sz w:val="14"/>
          <w:szCs w:val="14"/>
          <w:b w:val="1"/>
          <w:bCs w:val="1"/>
          <w:i w:val="1"/>
          <w:iCs w:val="1"/>
          <w:color w:val="auto"/>
        </w:rPr>
        <w:t>EGATIVE</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OVENANTS</w:t>
      </w:r>
    </w:p>
    <w:p>
      <w:pPr>
        <w:spacing w:after="0" w:line="230" w:lineRule="auto"/>
        <w:rPr>
          <w:sz w:val="20"/>
          <w:szCs w:val="20"/>
          <w:color w:val="auto"/>
        </w:rPr>
      </w:pPr>
      <w:r>
        <w:rPr>
          <w:rFonts w:ascii="Arial" w:cs="Arial" w:eastAsia="Arial" w:hAnsi="Arial"/>
          <w:sz w:val="22"/>
          <w:szCs w:val="22"/>
          <w:i w:val="1"/>
          <w:iCs w:val="1"/>
          <w:color w:val="auto"/>
        </w:rPr>
        <w:t>Section 7.01. Liens</w:t>
      </w:r>
      <w:r>
        <w:rPr>
          <w:rFonts w:ascii="Arial" w:cs="Arial" w:eastAsia="Arial" w:hAnsi="Arial"/>
          <w:sz w:val="22"/>
          <w:szCs w:val="22"/>
          <w:i w:val="1"/>
          <w:iCs w:val="1"/>
          <w:color w:val="FF0000"/>
          <w:strike w:val="1"/>
        </w:rPr>
        <w:t>102</w:t>
      </w:r>
      <w:r>
        <w:rPr>
          <w:rFonts w:ascii="Arial" w:cs="Arial" w:eastAsia="Arial" w:hAnsi="Arial"/>
          <w:sz w:val="22"/>
          <w:szCs w:val="22"/>
          <w:b w:val="1"/>
          <w:bCs w:val="1"/>
          <w:i w:val="1"/>
          <w:iCs w:val="1"/>
          <w:u w:val="single" w:color="auto"/>
          <w:color w:val="0000FF"/>
        </w:rPr>
        <w:t>103</w:t>
      </w:r>
    </w:p>
    <w:p>
      <w:pPr>
        <w:spacing w:after="0" w:line="231" w:lineRule="auto"/>
        <w:rPr>
          <w:sz w:val="20"/>
          <w:szCs w:val="20"/>
          <w:color w:val="auto"/>
        </w:rPr>
      </w:pPr>
      <w:r>
        <w:rPr>
          <w:rFonts w:ascii="Arial" w:cs="Arial" w:eastAsia="Arial" w:hAnsi="Arial"/>
          <w:sz w:val="22"/>
          <w:szCs w:val="22"/>
          <w:i w:val="1"/>
          <w:iCs w:val="1"/>
          <w:color w:val="auto"/>
        </w:rPr>
        <w:t>Section 7.02. Investments</w:t>
      </w:r>
      <w:r>
        <w:rPr>
          <w:rFonts w:ascii="Arial" w:cs="Arial" w:eastAsia="Arial" w:hAnsi="Arial"/>
          <w:sz w:val="22"/>
          <w:szCs w:val="22"/>
          <w:i w:val="1"/>
          <w:iCs w:val="1"/>
          <w:color w:val="FF0000"/>
          <w:strike w:val="1"/>
        </w:rPr>
        <w:t>106</w:t>
      </w:r>
      <w:r>
        <w:rPr>
          <w:rFonts w:ascii="Arial" w:cs="Arial" w:eastAsia="Arial" w:hAnsi="Arial"/>
          <w:sz w:val="22"/>
          <w:szCs w:val="22"/>
          <w:b w:val="1"/>
          <w:bCs w:val="1"/>
          <w:i w:val="1"/>
          <w:iCs w:val="1"/>
          <w:u w:val="single" w:color="auto"/>
          <w:color w:val="0000FF"/>
        </w:rPr>
        <w:t>108</w:t>
      </w:r>
    </w:p>
    <w:p>
      <w:pPr>
        <w:spacing w:after="0" w:line="230" w:lineRule="auto"/>
        <w:rPr>
          <w:sz w:val="20"/>
          <w:szCs w:val="20"/>
          <w:color w:val="auto"/>
        </w:rPr>
      </w:pPr>
      <w:r>
        <w:rPr>
          <w:rFonts w:ascii="Arial" w:cs="Arial" w:eastAsia="Arial" w:hAnsi="Arial"/>
          <w:sz w:val="22"/>
          <w:szCs w:val="22"/>
          <w:i w:val="1"/>
          <w:iCs w:val="1"/>
          <w:color w:val="auto"/>
        </w:rPr>
        <w:t>Section 7.03. Indebtedness</w:t>
      </w:r>
      <w:r>
        <w:rPr>
          <w:rFonts w:ascii="Arial" w:cs="Arial" w:eastAsia="Arial" w:hAnsi="Arial"/>
          <w:sz w:val="22"/>
          <w:szCs w:val="22"/>
          <w:i w:val="1"/>
          <w:iCs w:val="1"/>
          <w:color w:val="FF0000"/>
          <w:strike w:val="1"/>
        </w:rPr>
        <w:t>110</w:t>
      </w:r>
      <w:r>
        <w:rPr>
          <w:rFonts w:ascii="Arial" w:cs="Arial" w:eastAsia="Arial" w:hAnsi="Arial"/>
          <w:sz w:val="22"/>
          <w:szCs w:val="22"/>
          <w:b w:val="1"/>
          <w:bCs w:val="1"/>
          <w:i w:val="1"/>
          <w:iCs w:val="1"/>
          <w:u w:val="single" w:color="auto"/>
          <w:color w:val="0000FF"/>
        </w:rPr>
        <w:t>111</w:t>
      </w:r>
    </w:p>
    <w:p>
      <w:pPr>
        <w:spacing w:after="0" w:line="231" w:lineRule="auto"/>
        <w:rPr>
          <w:sz w:val="20"/>
          <w:szCs w:val="20"/>
          <w:color w:val="auto"/>
        </w:rPr>
      </w:pPr>
      <w:r>
        <w:rPr>
          <w:rFonts w:ascii="Arial" w:cs="Arial" w:eastAsia="Arial" w:hAnsi="Arial"/>
          <w:sz w:val="22"/>
          <w:szCs w:val="22"/>
          <w:i w:val="1"/>
          <w:iCs w:val="1"/>
          <w:color w:val="auto"/>
        </w:rPr>
        <w:t>Section 7.04. Fundamental Changes</w:t>
      </w:r>
      <w:r>
        <w:rPr>
          <w:rFonts w:ascii="Arial" w:cs="Arial" w:eastAsia="Arial" w:hAnsi="Arial"/>
          <w:sz w:val="22"/>
          <w:szCs w:val="22"/>
          <w:i w:val="1"/>
          <w:iCs w:val="1"/>
          <w:color w:val="FF0000"/>
          <w:strike w:val="1"/>
        </w:rPr>
        <w:t>113</w:t>
      </w:r>
      <w:r>
        <w:rPr>
          <w:rFonts w:ascii="Arial" w:cs="Arial" w:eastAsia="Arial" w:hAnsi="Arial"/>
          <w:sz w:val="22"/>
          <w:szCs w:val="22"/>
          <w:b w:val="1"/>
          <w:bCs w:val="1"/>
          <w:i w:val="1"/>
          <w:iCs w:val="1"/>
          <w:u w:val="single" w:color="auto"/>
          <w:color w:val="0000FF"/>
        </w:rPr>
        <w:t>114</w:t>
      </w:r>
    </w:p>
    <w:p>
      <w:pPr>
        <w:spacing w:after="0" w:line="230" w:lineRule="auto"/>
        <w:rPr>
          <w:sz w:val="20"/>
          <w:szCs w:val="20"/>
          <w:color w:val="auto"/>
        </w:rPr>
      </w:pPr>
      <w:r>
        <w:rPr>
          <w:rFonts w:ascii="Arial" w:cs="Arial" w:eastAsia="Arial" w:hAnsi="Arial"/>
          <w:sz w:val="22"/>
          <w:szCs w:val="22"/>
          <w:i w:val="1"/>
          <w:iCs w:val="1"/>
          <w:color w:val="auto"/>
        </w:rPr>
        <w:t>Section 7.05. Dispositions</w:t>
      </w:r>
      <w:r>
        <w:rPr>
          <w:rFonts w:ascii="Arial" w:cs="Arial" w:eastAsia="Arial" w:hAnsi="Arial"/>
          <w:sz w:val="22"/>
          <w:szCs w:val="22"/>
          <w:i w:val="1"/>
          <w:iCs w:val="1"/>
          <w:color w:val="FF0000"/>
          <w:strike w:val="1"/>
        </w:rPr>
        <w:t>115</w:t>
      </w:r>
      <w:r>
        <w:rPr>
          <w:rFonts w:ascii="Arial" w:cs="Arial" w:eastAsia="Arial" w:hAnsi="Arial"/>
          <w:sz w:val="22"/>
          <w:szCs w:val="22"/>
          <w:b w:val="1"/>
          <w:bCs w:val="1"/>
          <w:i w:val="1"/>
          <w:iCs w:val="1"/>
          <w:u w:val="single" w:color="auto"/>
          <w:color w:val="0000FF"/>
        </w:rPr>
        <w:t>116</w:t>
      </w:r>
    </w:p>
    <w:p>
      <w:pPr>
        <w:spacing w:after="0" w:line="231" w:lineRule="auto"/>
        <w:rPr>
          <w:sz w:val="20"/>
          <w:szCs w:val="20"/>
          <w:color w:val="auto"/>
        </w:rPr>
      </w:pPr>
      <w:r>
        <w:rPr>
          <w:rFonts w:ascii="Arial" w:cs="Arial" w:eastAsia="Arial" w:hAnsi="Arial"/>
          <w:sz w:val="22"/>
          <w:szCs w:val="22"/>
          <w:i w:val="1"/>
          <w:iCs w:val="1"/>
          <w:color w:val="auto"/>
        </w:rPr>
        <w:t>Section 7.06. Restricted Payments</w:t>
      </w:r>
      <w:r>
        <w:rPr>
          <w:rFonts w:ascii="Arial" w:cs="Arial" w:eastAsia="Arial" w:hAnsi="Arial"/>
          <w:sz w:val="22"/>
          <w:szCs w:val="22"/>
          <w:i w:val="1"/>
          <w:iCs w:val="1"/>
          <w:color w:val="FF0000"/>
          <w:strike w:val="1"/>
        </w:rPr>
        <w:t>117</w:t>
      </w:r>
      <w:r>
        <w:rPr>
          <w:rFonts w:ascii="Arial" w:cs="Arial" w:eastAsia="Arial" w:hAnsi="Arial"/>
          <w:sz w:val="22"/>
          <w:szCs w:val="22"/>
          <w:b w:val="1"/>
          <w:bCs w:val="1"/>
          <w:i w:val="1"/>
          <w:iCs w:val="1"/>
          <w:u w:val="single" w:color="auto"/>
          <w:color w:val="0000FF"/>
        </w:rPr>
        <w:t>118</w:t>
      </w:r>
    </w:p>
    <w:p>
      <w:pPr>
        <w:ind w:right="3459"/>
        <w:spacing w:after="0" w:line="230" w:lineRule="auto"/>
        <w:rPr>
          <w:sz w:val="20"/>
          <w:szCs w:val="20"/>
          <w:color w:val="auto"/>
        </w:rPr>
      </w:pPr>
      <w:r>
        <w:rPr>
          <w:rFonts w:ascii="Arial" w:cs="Arial" w:eastAsia="Arial" w:hAnsi="Arial"/>
          <w:sz w:val="22"/>
          <w:szCs w:val="22"/>
          <w:i w:val="1"/>
          <w:iCs w:val="1"/>
          <w:color w:val="auto"/>
        </w:rPr>
        <w:t>Section 7.07. Change in Nature of Business; Organization Documents</w:t>
      </w:r>
      <w:r>
        <w:rPr>
          <w:rFonts w:ascii="Arial" w:cs="Arial" w:eastAsia="Arial" w:hAnsi="Arial"/>
          <w:sz w:val="22"/>
          <w:szCs w:val="22"/>
          <w:i w:val="1"/>
          <w:iCs w:val="1"/>
          <w:color w:val="FF0000"/>
          <w:strike w:val="1"/>
        </w:rPr>
        <w:t>118</w:t>
      </w:r>
      <w:r>
        <w:rPr>
          <w:rFonts w:ascii="Arial" w:cs="Arial" w:eastAsia="Arial" w:hAnsi="Arial"/>
          <w:sz w:val="22"/>
          <w:szCs w:val="22"/>
          <w:b w:val="1"/>
          <w:bCs w:val="1"/>
          <w:i w:val="1"/>
          <w:iCs w:val="1"/>
          <w:u w:val="single" w:color="auto"/>
          <w:color w:val="0000FF"/>
        </w:rPr>
        <w:t>120</w:t>
      </w:r>
      <w:r>
        <w:rPr>
          <w:rFonts w:ascii="Arial" w:cs="Arial" w:eastAsia="Arial" w:hAnsi="Arial"/>
          <w:sz w:val="22"/>
          <w:szCs w:val="22"/>
          <w:i w:val="1"/>
          <w:iCs w:val="1"/>
          <w:color w:val="auto"/>
        </w:rPr>
        <w:t xml:space="preserve"> Section 7.08. Transactions with Affiliates</w:t>
      </w:r>
      <w:r>
        <w:rPr>
          <w:rFonts w:ascii="Arial" w:cs="Arial" w:eastAsia="Arial" w:hAnsi="Arial"/>
          <w:sz w:val="22"/>
          <w:szCs w:val="22"/>
          <w:i w:val="1"/>
          <w:iCs w:val="1"/>
          <w:color w:val="FF0000"/>
          <w:strike w:val="1"/>
        </w:rPr>
        <w:t>119</w:t>
      </w:r>
      <w:r>
        <w:rPr>
          <w:rFonts w:ascii="Arial" w:cs="Arial" w:eastAsia="Arial" w:hAnsi="Arial"/>
          <w:sz w:val="22"/>
          <w:szCs w:val="22"/>
          <w:b w:val="1"/>
          <w:bCs w:val="1"/>
          <w:i w:val="1"/>
          <w:iCs w:val="1"/>
          <w:u w:val="single" w:color="auto"/>
          <w:color w:val="0000FF"/>
        </w:rPr>
        <w:t>120</w:t>
      </w:r>
      <w:r>
        <w:rPr>
          <w:rFonts w:ascii="Arial" w:cs="Arial" w:eastAsia="Arial" w:hAnsi="Arial"/>
          <w:sz w:val="22"/>
          <w:szCs w:val="22"/>
          <w:i w:val="1"/>
          <w:iCs w:val="1"/>
          <w:color w:val="auto"/>
        </w:rPr>
        <w:t xml:space="preserve"> Section 7.09. Burdensome Agreements</w:t>
      </w:r>
      <w:r>
        <w:rPr>
          <w:rFonts w:ascii="Arial" w:cs="Arial" w:eastAsia="Arial" w:hAnsi="Arial"/>
          <w:sz w:val="22"/>
          <w:szCs w:val="22"/>
          <w:i w:val="1"/>
          <w:iCs w:val="1"/>
          <w:color w:val="FF0000"/>
          <w:strike w:val="1"/>
        </w:rPr>
        <w:t>119</w:t>
      </w:r>
      <w:r>
        <w:rPr>
          <w:rFonts w:ascii="Arial" w:cs="Arial" w:eastAsia="Arial" w:hAnsi="Arial"/>
          <w:sz w:val="22"/>
          <w:szCs w:val="22"/>
          <w:b w:val="1"/>
          <w:bCs w:val="1"/>
          <w:i w:val="1"/>
          <w:iCs w:val="1"/>
          <w:u w:val="single" w:color="auto"/>
          <w:color w:val="0000FF"/>
        </w:rPr>
        <w:t>121</w:t>
      </w:r>
    </w:p>
    <w:p>
      <w:pPr>
        <w:spacing w:after="0" w:line="232" w:lineRule="auto"/>
        <w:rPr>
          <w:sz w:val="20"/>
          <w:szCs w:val="20"/>
          <w:color w:val="auto"/>
        </w:rPr>
      </w:pPr>
      <w:r>
        <w:rPr>
          <w:rFonts w:ascii="Arial" w:cs="Arial" w:eastAsia="Arial" w:hAnsi="Arial"/>
          <w:sz w:val="22"/>
          <w:szCs w:val="22"/>
          <w:i w:val="1"/>
          <w:iCs w:val="1"/>
          <w:color w:val="auto"/>
        </w:rPr>
        <w:t>Section 7.10. Financial Covenant</w:t>
      </w:r>
      <w:r>
        <w:rPr>
          <w:rFonts w:ascii="Arial" w:cs="Arial" w:eastAsia="Arial" w:hAnsi="Arial"/>
          <w:sz w:val="22"/>
          <w:szCs w:val="22"/>
          <w:i w:val="1"/>
          <w:iCs w:val="1"/>
          <w:color w:val="FF0000"/>
          <w:strike w:val="1"/>
        </w:rPr>
        <w:t>120</w:t>
      </w:r>
      <w:r>
        <w:rPr>
          <w:rFonts w:ascii="Arial" w:cs="Arial" w:eastAsia="Arial" w:hAnsi="Arial"/>
          <w:sz w:val="22"/>
          <w:szCs w:val="22"/>
          <w:b w:val="1"/>
          <w:bCs w:val="1"/>
          <w:i w:val="1"/>
          <w:iCs w:val="1"/>
          <w:u w:val="single" w:color="auto"/>
          <w:color w:val="0000FF"/>
        </w:rPr>
        <w:t>122</w:t>
      </w:r>
    </w:p>
    <w:p>
      <w:pPr>
        <w:spacing w:after="0" w:line="230" w:lineRule="auto"/>
        <w:rPr>
          <w:sz w:val="20"/>
          <w:szCs w:val="20"/>
          <w:color w:val="auto"/>
        </w:rPr>
      </w:pPr>
      <w:r>
        <w:rPr>
          <w:rFonts w:ascii="Arial" w:cs="Arial" w:eastAsia="Arial" w:hAnsi="Arial"/>
          <w:sz w:val="22"/>
          <w:szCs w:val="22"/>
          <w:i w:val="1"/>
          <w:iCs w:val="1"/>
          <w:color w:val="auto"/>
        </w:rPr>
        <w:t>Section 7.11. [Reserved]</w:t>
      </w:r>
      <w:r>
        <w:rPr>
          <w:rFonts w:ascii="Arial" w:cs="Arial" w:eastAsia="Arial" w:hAnsi="Arial"/>
          <w:sz w:val="22"/>
          <w:szCs w:val="22"/>
          <w:i w:val="1"/>
          <w:iCs w:val="1"/>
          <w:color w:val="FF0000"/>
          <w:strike w:val="1"/>
        </w:rPr>
        <w:t>120</w:t>
      </w:r>
      <w:r>
        <w:rPr>
          <w:rFonts w:ascii="Arial" w:cs="Arial" w:eastAsia="Arial" w:hAnsi="Arial"/>
          <w:sz w:val="22"/>
          <w:szCs w:val="22"/>
          <w:b w:val="1"/>
          <w:bCs w:val="1"/>
          <w:i w:val="1"/>
          <w:iCs w:val="1"/>
          <w:u w:val="single" w:color="auto"/>
          <w:color w:val="0000FF"/>
        </w:rPr>
        <w:t>122</w:t>
      </w:r>
    </w:p>
    <w:p>
      <w:pPr>
        <w:spacing w:after="0" w:line="231" w:lineRule="auto"/>
        <w:rPr>
          <w:sz w:val="20"/>
          <w:szCs w:val="20"/>
          <w:color w:val="auto"/>
        </w:rPr>
      </w:pPr>
      <w:r>
        <w:rPr>
          <w:rFonts w:ascii="Arial" w:cs="Arial" w:eastAsia="Arial" w:hAnsi="Arial"/>
          <w:sz w:val="22"/>
          <w:szCs w:val="22"/>
          <w:i w:val="1"/>
          <w:iCs w:val="1"/>
          <w:color w:val="auto"/>
        </w:rPr>
        <w:t>Section 7.12. Fiscal Year</w:t>
      </w:r>
      <w:r>
        <w:rPr>
          <w:rFonts w:ascii="Arial" w:cs="Arial" w:eastAsia="Arial" w:hAnsi="Arial"/>
          <w:sz w:val="22"/>
          <w:szCs w:val="22"/>
          <w:i w:val="1"/>
          <w:iCs w:val="1"/>
          <w:color w:val="FF0000"/>
          <w:strike w:val="1"/>
        </w:rPr>
        <w:t>120</w:t>
      </w:r>
      <w:r>
        <w:rPr>
          <w:rFonts w:ascii="Arial" w:cs="Arial" w:eastAsia="Arial" w:hAnsi="Arial"/>
          <w:sz w:val="22"/>
          <w:szCs w:val="22"/>
          <w:b w:val="1"/>
          <w:bCs w:val="1"/>
          <w:i w:val="1"/>
          <w:iCs w:val="1"/>
          <w:u w:val="single" w:color="auto"/>
          <w:color w:val="0000FF"/>
        </w:rPr>
        <w:t>122</w:t>
      </w:r>
    </w:p>
    <w:p>
      <w:pPr>
        <w:spacing w:after="0"/>
        <w:rPr>
          <w:sz w:val="20"/>
          <w:szCs w:val="20"/>
          <w:color w:val="auto"/>
        </w:rPr>
      </w:pPr>
      <w:r>
        <w:rPr>
          <w:rFonts w:ascii="Arial" w:cs="Arial" w:eastAsia="Arial" w:hAnsi="Arial"/>
          <w:sz w:val="22"/>
          <w:szCs w:val="22"/>
          <w:i w:val="1"/>
          <w:iCs w:val="1"/>
          <w:color w:val="auto"/>
        </w:rPr>
        <w:t>Section 7.13. Prepayments, Etc. of Indebtedness</w:t>
      </w:r>
      <w:r>
        <w:rPr>
          <w:rFonts w:ascii="Arial" w:cs="Arial" w:eastAsia="Arial" w:hAnsi="Arial"/>
          <w:sz w:val="22"/>
          <w:szCs w:val="22"/>
          <w:i w:val="1"/>
          <w:iCs w:val="1"/>
          <w:color w:val="FF0000"/>
          <w:strike w:val="1"/>
        </w:rPr>
        <w:t>121</w:t>
      </w:r>
      <w:r>
        <w:rPr>
          <w:rFonts w:ascii="Arial" w:cs="Arial" w:eastAsia="Arial" w:hAnsi="Arial"/>
          <w:sz w:val="22"/>
          <w:szCs w:val="22"/>
          <w:b w:val="1"/>
          <w:bCs w:val="1"/>
          <w:i w:val="1"/>
          <w:iCs w:val="1"/>
          <w:u w:val="single" w:color="auto"/>
          <w:color w:val="0000FF"/>
        </w:rPr>
        <w:t>122</w:t>
      </w:r>
    </w:p>
    <w:p>
      <w:pPr>
        <w:spacing w:after="0" w:line="18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ARTICLE 8</w:t>
      </w:r>
    </w:p>
    <w:p>
      <w:pPr>
        <w:ind w:left="4180"/>
        <w:spacing w:after="0" w:line="238" w:lineRule="auto"/>
        <w:rPr>
          <w:sz w:val="20"/>
          <w:szCs w:val="20"/>
          <w:color w:val="auto"/>
        </w:rPr>
      </w:pPr>
      <w:r>
        <w:rPr>
          <w:rFonts w:ascii="Arial" w:cs="Arial" w:eastAsia="Arial" w:hAnsi="Arial"/>
          <w:sz w:val="22"/>
          <w:szCs w:val="22"/>
          <w:b w:val="1"/>
          <w:bCs w:val="1"/>
          <w:i w:val="1"/>
          <w:iCs w:val="1"/>
          <w:color w:val="auto"/>
        </w:rPr>
        <w:t>E</w:t>
      </w:r>
      <w:r>
        <w:rPr>
          <w:rFonts w:ascii="Arial" w:cs="Arial" w:eastAsia="Arial" w:hAnsi="Arial"/>
          <w:sz w:val="14"/>
          <w:szCs w:val="14"/>
          <w:b w:val="1"/>
          <w:bCs w:val="1"/>
          <w:i w:val="1"/>
          <w:iCs w:val="1"/>
          <w:color w:val="auto"/>
        </w:rPr>
        <w:t>VENTS OF</w:t>
      </w:r>
      <w:r>
        <w:rPr>
          <w:rFonts w:ascii="Arial" w:cs="Arial" w:eastAsia="Arial" w:hAnsi="Arial"/>
          <w:sz w:val="22"/>
          <w:szCs w:val="22"/>
          <w:b w:val="1"/>
          <w:bCs w:val="1"/>
          <w:i w:val="1"/>
          <w:iCs w:val="1"/>
          <w:color w:val="auto"/>
        </w:rPr>
        <w:t xml:space="preserve"> D</w:t>
      </w:r>
      <w:r>
        <w:rPr>
          <w:rFonts w:ascii="Arial" w:cs="Arial" w:eastAsia="Arial" w:hAnsi="Arial"/>
          <w:sz w:val="14"/>
          <w:szCs w:val="14"/>
          <w:b w:val="1"/>
          <w:bCs w:val="1"/>
          <w:i w:val="1"/>
          <w:iCs w:val="1"/>
          <w:color w:val="auto"/>
        </w:rPr>
        <w:t>EFAULT AND</w:t>
      </w:r>
      <w:r>
        <w:rPr>
          <w:rFonts w:ascii="Arial" w:cs="Arial" w:eastAsia="Arial" w:hAnsi="Arial"/>
          <w:sz w:val="22"/>
          <w:szCs w:val="22"/>
          <w:b w:val="1"/>
          <w:bCs w:val="1"/>
          <w:i w:val="1"/>
          <w:iCs w:val="1"/>
          <w:color w:val="auto"/>
        </w:rPr>
        <w:t xml:space="preserve"> R</w:t>
      </w:r>
      <w:r>
        <w:rPr>
          <w:rFonts w:ascii="Arial" w:cs="Arial" w:eastAsia="Arial" w:hAnsi="Arial"/>
          <w:sz w:val="14"/>
          <w:szCs w:val="14"/>
          <w:b w:val="1"/>
          <w:bCs w:val="1"/>
          <w:i w:val="1"/>
          <w:iCs w:val="1"/>
          <w:color w:val="auto"/>
        </w:rPr>
        <w:t>EMEDIES</w:t>
      </w:r>
    </w:p>
    <w:p>
      <w:pPr>
        <w:spacing w:after="0" w:line="230" w:lineRule="auto"/>
        <w:rPr>
          <w:sz w:val="20"/>
          <w:szCs w:val="20"/>
          <w:color w:val="auto"/>
        </w:rPr>
      </w:pPr>
      <w:r>
        <w:rPr>
          <w:rFonts w:ascii="Arial" w:cs="Arial" w:eastAsia="Arial" w:hAnsi="Arial"/>
          <w:sz w:val="22"/>
          <w:szCs w:val="22"/>
          <w:i w:val="1"/>
          <w:iCs w:val="1"/>
          <w:color w:val="auto"/>
        </w:rPr>
        <w:t>Section 8.01. Events of Default</w:t>
      </w:r>
      <w:r>
        <w:rPr>
          <w:rFonts w:ascii="Arial" w:cs="Arial" w:eastAsia="Arial" w:hAnsi="Arial"/>
          <w:sz w:val="22"/>
          <w:szCs w:val="22"/>
          <w:i w:val="1"/>
          <w:iCs w:val="1"/>
          <w:color w:val="FF0000"/>
          <w:strike w:val="1"/>
        </w:rPr>
        <w:t>122</w:t>
      </w:r>
      <w:r>
        <w:rPr>
          <w:rFonts w:ascii="Arial" w:cs="Arial" w:eastAsia="Arial" w:hAnsi="Arial"/>
          <w:sz w:val="22"/>
          <w:szCs w:val="22"/>
          <w:b w:val="1"/>
          <w:bCs w:val="1"/>
          <w:i w:val="1"/>
          <w:iCs w:val="1"/>
          <w:u w:val="single" w:color="auto"/>
          <w:color w:val="0000FF"/>
        </w:rPr>
        <w:t>123</w:t>
      </w:r>
    </w:p>
    <w:p>
      <w:pPr>
        <w:spacing w:after="0" w:line="231" w:lineRule="auto"/>
        <w:rPr>
          <w:sz w:val="20"/>
          <w:szCs w:val="20"/>
          <w:color w:val="auto"/>
        </w:rPr>
      </w:pPr>
      <w:r>
        <w:rPr>
          <w:rFonts w:ascii="Arial" w:cs="Arial" w:eastAsia="Arial" w:hAnsi="Arial"/>
          <w:sz w:val="22"/>
          <w:szCs w:val="22"/>
          <w:i w:val="1"/>
          <w:iCs w:val="1"/>
          <w:color w:val="auto"/>
        </w:rPr>
        <w:t>Section 8.02. Remedies Upon Event of Default</w:t>
      </w:r>
      <w:r>
        <w:rPr>
          <w:rFonts w:ascii="Arial" w:cs="Arial" w:eastAsia="Arial" w:hAnsi="Arial"/>
          <w:sz w:val="22"/>
          <w:szCs w:val="22"/>
          <w:i w:val="1"/>
          <w:iCs w:val="1"/>
          <w:color w:val="FF0000"/>
          <w:strike w:val="1"/>
        </w:rPr>
        <w:t>125</w:t>
      </w:r>
      <w:r>
        <w:rPr>
          <w:rFonts w:ascii="Arial" w:cs="Arial" w:eastAsia="Arial" w:hAnsi="Arial"/>
          <w:sz w:val="22"/>
          <w:szCs w:val="22"/>
          <w:b w:val="1"/>
          <w:bCs w:val="1"/>
          <w:i w:val="1"/>
          <w:iCs w:val="1"/>
          <w:u w:val="single" w:color="auto"/>
          <w:color w:val="0000FF"/>
        </w:rPr>
        <w:t>126</w:t>
      </w:r>
    </w:p>
    <w:p>
      <w:pPr>
        <w:spacing w:after="0" w:line="230" w:lineRule="auto"/>
        <w:rPr>
          <w:sz w:val="20"/>
          <w:szCs w:val="20"/>
          <w:color w:val="auto"/>
        </w:rPr>
      </w:pPr>
      <w:r>
        <w:rPr>
          <w:rFonts w:ascii="Arial" w:cs="Arial" w:eastAsia="Arial" w:hAnsi="Arial"/>
          <w:sz w:val="22"/>
          <w:szCs w:val="22"/>
          <w:i w:val="1"/>
          <w:iCs w:val="1"/>
          <w:color w:val="auto"/>
        </w:rPr>
        <w:t>Section 8.03. Exclusion of Immaterial Subsidiaries</w:t>
      </w:r>
      <w:r>
        <w:rPr>
          <w:rFonts w:ascii="Arial" w:cs="Arial" w:eastAsia="Arial" w:hAnsi="Arial"/>
          <w:sz w:val="22"/>
          <w:szCs w:val="22"/>
          <w:i w:val="1"/>
          <w:iCs w:val="1"/>
          <w:color w:val="FF0000"/>
          <w:strike w:val="1"/>
        </w:rPr>
        <w:t>125</w:t>
      </w:r>
      <w:r>
        <w:rPr>
          <w:rFonts w:ascii="Arial" w:cs="Arial" w:eastAsia="Arial" w:hAnsi="Arial"/>
          <w:sz w:val="22"/>
          <w:szCs w:val="22"/>
          <w:b w:val="1"/>
          <w:bCs w:val="1"/>
          <w:i w:val="1"/>
          <w:iCs w:val="1"/>
          <w:u w:val="single" w:color="auto"/>
          <w:color w:val="0000FF"/>
        </w:rPr>
        <w:t>127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8.04. Application of Funds</w:t>
      </w:r>
      <w:r>
        <w:rPr>
          <w:rFonts w:ascii="Arial" w:cs="Arial" w:eastAsia="Arial" w:hAnsi="Arial"/>
          <w:sz w:val="22"/>
          <w:szCs w:val="22"/>
          <w:i w:val="1"/>
          <w:iCs w:val="1"/>
          <w:color w:val="FF0000"/>
          <w:strike w:val="1"/>
        </w:rPr>
        <w:t>126</w:t>
      </w:r>
      <w:r>
        <w:rPr>
          <w:rFonts w:ascii="Arial" w:cs="Arial" w:eastAsia="Arial" w:hAnsi="Arial"/>
          <w:sz w:val="22"/>
          <w:szCs w:val="22"/>
          <w:b w:val="1"/>
          <w:bCs w:val="1"/>
          <w:i w:val="1"/>
          <w:iCs w:val="1"/>
          <w:u w:val="single" w:color="auto"/>
          <w:color w:val="0000FF"/>
        </w:rPr>
        <w:t>127</w:t>
      </w:r>
    </w:p>
    <w:p>
      <w:pPr>
        <w:spacing w:after="0" w:line="18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ARTICLE 9</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w:t>
      </w:r>
      <w:r>
        <w:rPr>
          <w:rFonts w:ascii="Arial" w:cs="Arial" w:eastAsia="Arial" w:hAnsi="Arial"/>
          <w:sz w:val="14"/>
          <w:szCs w:val="14"/>
          <w:b w:val="1"/>
          <w:bCs w:val="1"/>
          <w:i w:val="1"/>
          <w:iCs w:val="1"/>
          <w:color w:val="auto"/>
        </w:rPr>
        <w:t>HE</w:t>
      </w:r>
      <w:r>
        <w:rPr>
          <w:rFonts w:ascii="Arial" w:cs="Arial" w:eastAsia="Arial" w:hAnsi="Arial"/>
          <w:sz w:val="22"/>
          <w:szCs w:val="22"/>
          <w:b w:val="1"/>
          <w:bCs w:val="1"/>
          <w:i w:val="1"/>
          <w:iCs w:val="1"/>
          <w:color w:val="auto"/>
        </w:rPr>
        <w:t xml:space="preserve"> A</w:t>
      </w:r>
      <w:r>
        <w:rPr>
          <w:rFonts w:ascii="Arial" w:cs="Arial" w:eastAsia="Arial" w:hAnsi="Arial"/>
          <w:sz w:val="14"/>
          <w:szCs w:val="14"/>
          <w:b w:val="1"/>
          <w:bCs w:val="1"/>
          <w:i w:val="1"/>
          <w:iCs w:val="1"/>
          <w:color w:val="auto"/>
        </w:rPr>
        <w:t>DMINISTRATIVE</w:t>
      </w:r>
      <w:r>
        <w:rPr>
          <w:rFonts w:ascii="Arial" w:cs="Arial" w:eastAsia="Arial" w:hAnsi="Arial"/>
          <w:sz w:val="22"/>
          <w:szCs w:val="22"/>
          <w:b w:val="1"/>
          <w:bCs w:val="1"/>
          <w:i w:val="1"/>
          <w:iCs w:val="1"/>
          <w:color w:val="auto"/>
        </w:rPr>
        <w:t xml:space="preserve"> A</w:t>
      </w:r>
      <w:r>
        <w:rPr>
          <w:rFonts w:ascii="Arial" w:cs="Arial" w:eastAsia="Arial" w:hAnsi="Arial"/>
          <w:sz w:val="14"/>
          <w:szCs w:val="14"/>
          <w:b w:val="1"/>
          <w:bCs w:val="1"/>
          <w:i w:val="1"/>
          <w:iCs w:val="1"/>
          <w:color w:val="auto"/>
        </w:rPr>
        <w:t>GENT AND THE</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OLLATERAL</w:t>
      </w:r>
      <w:r>
        <w:rPr>
          <w:rFonts w:ascii="Arial" w:cs="Arial" w:eastAsia="Arial" w:hAnsi="Arial"/>
          <w:sz w:val="22"/>
          <w:szCs w:val="22"/>
          <w:b w:val="1"/>
          <w:bCs w:val="1"/>
          <w:i w:val="1"/>
          <w:iCs w:val="1"/>
          <w:color w:val="auto"/>
        </w:rPr>
        <w:t xml:space="preserve"> A</w:t>
      </w:r>
      <w:r>
        <w:rPr>
          <w:rFonts w:ascii="Arial" w:cs="Arial" w:eastAsia="Arial" w:hAnsi="Arial"/>
          <w:sz w:val="14"/>
          <w:szCs w:val="14"/>
          <w:b w:val="1"/>
          <w:bCs w:val="1"/>
          <w:i w:val="1"/>
          <w:iCs w:val="1"/>
          <w:color w:val="auto"/>
        </w:rPr>
        <w:t>GENT</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22"/>
          <w:szCs w:val="22"/>
          <w:b w:val="1"/>
          <w:bCs w:val="1"/>
          <w:i w:val="1"/>
          <w:iCs w:val="1"/>
          <w:color w:val="auto"/>
        </w:rPr>
        <w:t>ARTICLE 10</w:t>
      </w:r>
    </w:p>
    <w:p>
      <w:pPr>
        <w:ind w:left="4960"/>
        <w:spacing w:after="0" w:line="238" w:lineRule="auto"/>
        <w:rPr>
          <w:sz w:val="20"/>
          <w:szCs w:val="20"/>
          <w:color w:val="auto"/>
        </w:rPr>
      </w:pPr>
      <w:r>
        <w:rPr>
          <w:rFonts w:ascii="Arial" w:cs="Arial" w:eastAsia="Arial" w:hAnsi="Arial"/>
          <w:sz w:val="22"/>
          <w:szCs w:val="22"/>
          <w:b w:val="1"/>
          <w:bCs w:val="1"/>
          <w:i w:val="1"/>
          <w:iCs w:val="1"/>
          <w:color w:val="auto"/>
        </w:rPr>
        <w:t>M</w:t>
      </w:r>
      <w:r>
        <w:rPr>
          <w:rFonts w:ascii="Arial" w:cs="Arial" w:eastAsia="Arial" w:hAnsi="Arial"/>
          <w:sz w:val="14"/>
          <w:szCs w:val="14"/>
          <w:b w:val="1"/>
          <w:bCs w:val="1"/>
          <w:i w:val="1"/>
          <w:iCs w:val="1"/>
          <w:color w:val="auto"/>
        </w:rPr>
        <w:t>ISCELLANEOUS</w:t>
      </w:r>
    </w:p>
    <w:p>
      <w:pPr>
        <w:spacing w:after="0" w:line="230" w:lineRule="auto"/>
        <w:rPr>
          <w:sz w:val="20"/>
          <w:szCs w:val="20"/>
          <w:color w:val="auto"/>
        </w:rPr>
      </w:pPr>
      <w:r>
        <w:rPr>
          <w:rFonts w:ascii="Arial" w:cs="Arial" w:eastAsia="Arial" w:hAnsi="Arial"/>
          <w:sz w:val="22"/>
          <w:szCs w:val="22"/>
          <w:i w:val="1"/>
          <w:iCs w:val="1"/>
          <w:color w:val="auto"/>
        </w:rPr>
        <w:t>Section 10.01. Notices; Electronic Communications</w:t>
      </w:r>
      <w:r>
        <w:rPr>
          <w:rFonts w:ascii="Arial" w:cs="Arial" w:eastAsia="Arial" w:hAnsi="Arial"/>
          <w:sz w:val="22"/>
          <w:szCs w:val="22"/>
          <w:i w:val="1"/>
          <w:iCs w:val="1"/>
          <w:color w:val="FF0000"/>
          <w:strike w:val="1"/>
        </w:rPr>
        <w:t>130</w:t>
      </w:r>
      <w:r>
        <w:rPr>
          <w:rFonts w:ascii="Arial" w:cs="Arial" w:eastAsia="Arial" w:hAnsi="Arial"/>
          <w:sz w:val="22"/>
          <w:szCs w:val="22"/>
          <w:b w:val="1"/>
          <w:bCs w:val="1"/>
          <w:i w:val="1"/>
          <w:iCs w:val="1"/>
          <w:u w:val="single" w:color="auto"/>
          <w:color w:val="0000FF"/>
        </w:rPr>
        <w:t>132</w:t>
      </w:r>
    </w:p>
    <w:p>
      <w:pPr>
        <w:spacing w:after="0" w:line="231" w:lineRule="auto"/>
        <w:rPr>
          <w:sz w:val="20"/>
          <w:szCs w:val="20"/>
          <w:color w:val="auto"/>
        </w:rPr>
      </w:pPr>
      <w:r>
        <w:rPr>
          <w:rFonts w:ascii="Arial" w:cs="Arial" w:eastAsia="Arial" w:hAnsi="Arial"/>
          <w:sz w:val="22"/>
          <w:szCs w:val="22"/>
          <w:i w:val="1"/>
          <w:iCs w:val="1"/>
          <w:color w:val="auto"/>
        </w:rPr>
        <w:t>Section 10.02. Survival of Agreement</w:t>
      </w:r>
      <w:r>
        <w:rPr>
          <w:rFonts w:ascii="Arial" w:cs="Arial" w:eastAsia="Arial" w:hAnsi="Arial"/>
          <w:sz w:val="22"/>
          <w:szCs w:val="22"/>
          <w:i w:val="1"/>
          <w:iCs w:val="1"/>
          <w:color w:val="FF0000"/>
          <w:strike w:val="1"/>
        </w:rPr>
        <w:t>133</w:t>
      </w:r>
      <w:r>
        <w:rPr>
          <w:rFonts w:ascii="Arial" w:cs="Arial" w:eastAsia="Arial" w:hAnsi="Arial"/>
          <w:sz w:val="22"/>
          <w:szCs w:val="22"/>
          <w:b w:val="1"/>
          <w:bCs w:val="1"/>
          <w:i w:val="1"/>
          <w:iCs w:val="1"/>
          <w:u w:val="single" w:color="auto"/>
          <w:color w:val="0000FF"/>
        </w:rPr>
        <w:t>135</w:t>
      </w:r>
    </w:p>
    <w:p>
      <w:pPr>
        <w:spacing w:after="0" w:line="230" w:lineRule="auto"/>
        <w:rPr>
          <w:sz w:val="20"/>
          <w:szCs w:val="20"/>
          <w:color w:val="auto"/>
        </w:rPr>
      </w:pPr>
      <w:r>
        <w:rPr>
          <w:rFonts w:ascii="Arial" w:cs="Arial" w:eastAsia="Arial" w:hAnsi="Arial"/>
          <w:sz w:val="22"/>
          <w:szCs w:val="22"/>
          <w:i w:val="1"/>
          <w:iCs w:val="1"/>
          <w:color w:val="auto"/>
        </w:rPr>
        <w:t>Section 10.03. Binding Effect</w:t>
      </w:r>
      <w:r>
        <w:rPr>
          <w:rFonts w:ascii="Arial" w:cs="Arial" w:eastAsia="Arial" w:hAnsi="Arial"/>
          <w:sz w:val="22"/>
          <w:szCs w:val="22"/>
          <w:i w:val="1"/>
          <w:iCs w:val="1"/>
          <w:color w:val="FF0000"/>
          <w:strike w:val="1"/>
        </w:rPr>
        <w:t>134</w:t>
      </w:r>
      <w:r>
        <w:rPr>
          <w:rFonts w:ascii="Arial" w:cs="Arial" w:eastAsia="Arial" w:hAnsi="Arial"/>
          <w:sz w:val="22"/>
          <w:szCs w:val="22"/>
          <w:b w:val="1"/>
          <w:bCs w:val="1"/>
          <w:i w:val="1"/>
          <w:iCs w:val="1"/>
          <w:u w:val="single" w:color="auto"/>
          <w:color w:val="0000FF"/>
        </w:rPr>
        <w:t>135</w:t>
      </w:r>
    </w:p>
    <w:p>
      <w:pPr>
        <w:spacing w:after="0" w:line="231" w:lineRule="auto"/>
        <w:rPr>
          <w:sz w:val="20"/>
          <w:szCs w:val="20"/>
          <w:color w:val="auto"/>
        </w:rPr>
      </w:pPr>
      <w:r>
        <w:rPr>
          <w:rFonts w:ascii="Arial" w:cs="Arial" w:eastAsia="Arial" w:hAnsi="Arial"/>
          <w:sz w:val="22"/>
          <w:szCs w:val="22"/>
          <w:i w:val="1"/>
          <w:iCs w:val="1"/>
          <w:color w:val="auto"/>
        </w:rPr>
        <w:t>Section 10.04. Successors and Assigns</w:t>
      </w:r>
      <w:r>
        <w:rPr>
          <w:rFonts w:ascii="Arial" w:cs="Arial" w:eastAsia="Arial" w:hAnsi="Arial"/>
          <w:sz w:val="22"/>
          <w:szCs w:val="22"/>
          <w:i w:val="1"/>
          <w:iCs w:val="1"/>
          <w:color w:val="FF0000"/>
          <w:strike w:val="1"/>
        </w:rPr>
        <w:t>134</w:t>
      </w:r>
      <w:r>
        <w:rPr>
          <w:rFonts w:ascii="Arial" w:cs="Arial" w:eastAsia="Arial" w:hAnsi="Arial"/>
          <w:sz w:val="22"/>
          <w:szCs w:val="22"/>
          <w:b w:val="1"/>
          <w:bCs w:val="1"/>
          <w:i w:val="1"/>
          <w:iCs w:val="1"/>
          <w:u w:val="single" w:color="auto"/>
          <w:color w:val="0000FF"/>
        </w:rPr>
        <w:t>135</w:t>
      </w:r>
    </w:p>
    <w:p>
      <w:pPr>
        <w:spacing w:after="0" w:line="230" w:lineRule="auto"/>
        <w:rPr>
          <w:sz w:val="20"/>
          <w:szCs w:val="20"/>
          <w:color w:val="auto"/>
        </w:rPr>
      </w:pPr>
      <w:r>
        <w:rPr>
          <w:rFonts w:ascii="Arial" w:cs="Arial" w:eastAsia="Arial" w:hAnsi="Arial"/>
          <w:sz w:val="22"/>
          <w:szCs w:val="22"/>
          <w:i w:val="1"/>
          <w:iCs w:val="1"/>
          <w:color w:val="auto"/>
        </w:rPr>
        <w:t>Section 10.05. Expenses; Indemnity</w:t>
      </w:r>
      <w:r>
        <w:rPr>
          <w:rFonts w:ascii="Arial" w:cs="Arial" w:eastAsia="Arial" w:hAnsi="Arial"/>
          <w:sz w:val="22"/>
          <w:szCs w:val="22"/>
          <w:i w:val="1"/>
          <w:iCs w:val="1"/>
          <w:color w:val="FF0000"/>
          <w:strike w:val="1"/>
        </w:rPr>
        <w:t>139</w:t>
      </w:r>
      <w:r>
        <w:rPr>
          <w:rFonts w:ascii="Arial" w:cs="Arial" w:eastAsia="Arial" w:hAnsi="Arial"/>
          <w:sz w:val="22"/>
          <w:szCs w:val="22"/>
          <w:b w:val="1"/>
          <w:bCs w:val="1"/>
          <w:i w:val="1"/>
          <w:iCs w:val="1"/>
          <w:u w:val="single" w:color="auto"/>
          <w:color w:val="0000FF"/>
        </w:rPr>
        <w:t>141</w:t>
      </w:r>
    </w:p>
    <w:p>
      <w:pPr>
        <w:spacing w:after="0" w:line="231" w:lineRule="auto"/>
        <w:rPr>
          <w:sz w:val="20"/>
          <w:szCs w:val="20"/>
          <w:color w:val="auto"/>
        </w:rPr>
      </w:pPr>
      <w:r>
        <w:rPr>
          <w:rFonts w:ascii="Arial" w:cs="Arial" w:eastAsia="Arial" w:hAnsi="Arial"/>
          <w:sz w:val="22"/>
          <w:szCs w:val="22"/>
          <w:i w:val="1"/>
          <w:iCs w:val="1"/>
          <w:color w:val="auto"/>
        </w:rPr>
        <w:t>Section 10.06. Right of Setoff</w:t>
      </w:r>
      <w:r>
        <w:rPr>
          <w:rFonts w:ascii="Arial" w:cs="Arial" w:eastAsia="Arial" w:hAnsi="Arial"/>
          <w:sz w:val="22"/>
          <w:szCs w:val="22"/>
          <w:i w:val="1"/>
          <w:iCs w:val="1"/>
          <w:color w:val="FF0000"/>
          <w:strike w:val="1"/>
        </w:rPr>
        <w:t>142</w:t>
      </w:r>
      <w:r>
        <w:rPr>
          <w:rFonts w:ascii="Arial" w:cs="Arial" w:eastAsia="Arial" w:hAnsi="Arial"/>
          <w:sz w:val="22"/>
          <w:szCs w:val="22"/>
          <w:b w:val="1"/>
          <w:bCs w:val="1"/>
          <w:i w:val="1"/>
          <w:iCs w:val="1"/>
          <w:u w:val="single" w:color="auto"/>
          <w:color w:val="0000FF"/>
        </w:rPr>
        <w:t>143</w:t>
      </w:r>
    </w:p>
    <w:p>
      <w:pPr>
        <w:spacing w:after="0" w:line="230" w:lineRule="auto"/>
        <w:rPr>
          <w:sz w:val="20"/>
          <w:szCs w:val="20"/>
          <w:color w:val="auto"/>
        </w:rPr>
      </w:pPr>
      <w:r>
        <w:rPr>
          <w:rFonts w:ascii="Arial" w:cs="Arial" w:eastAsia="Arial" w:hAnsi="Arial"/>
          <w:sz w:val="22"/>
          <w:szCs w:val="22"/>
          <w:i w:val="1"/>
          <w:iCs w:val="1"/>
          <w:color w:val="auto"/>
        </w:rPr>
        <w:t>Section 10.07. Applicable Law</w:t>
      </w:r>
      <w:r>
        <w:rPr>
          <w:rFonts w:ascii="Arial" w:cs="Arial" w:eastAsia="Arial" w:hAnsi="Arial"/>
          <w:sz w:val="22"/>
          <w:szCs w:val="22"/>
          <w:i w:val="1"/>
          <w:iCs w:val="1"/>
          <w:color w:val="FF0000"/>
          <w:strike w:val="1"/>
        </w:rPr>
        <w:t>142</w:t>
      </w:r>
      <w:r>
        <w:rPr>
          <w:rFonts w:ascii="Arial" w:cs="Arial" w:eastAsia="Arial" w:hAnsi="Arial"/>
          <w:sz w:val="22"/>
          <w:szCs w:val="22"/>
          <w:b w:val="1"/>
          <w:bCs w:val="1"/>
          <w:i w:val="1"/>
          <w:iCs w:val="1"/>
          <w:u w:val="single" w:color="auto"/>
          <w:color w:val="0000FF"/>
        </w:rPr>
        <w:t>144</w:t>
      </w:r>
    </w:p>
    <w:p>
      <w:pPr>
        <w:spacing w:after="0" w:line="231" w:lineRule="auto"/>
        <w:rPr>
          <w:sz w:val="20"/>
          <w:szCs w:val="20"/>
          <w:color w:val="auto"/>
        </w:rPr>
      </w:pPr>
      <w:r>
        <w:rPr>
          <w:rFonts w:ascii="Arial" w:cs="Arial" w:eastAsia="Arial" w:hAnsi="Arial"/>
          <w:sz w:val="22"/>
          <w:szCs w:val="22"/>
          <w:i w:val="1"/>
          <w:iCs w:val="1"/>
          <w:color w:val="auto"/>
        </w:rPr>
        <w:t>Section 10.08. Waivers; Amendment</w:t>
      </w:r>
      <w:r>
        <w:rPr>
          <w:rFonts w:ascii="Arial" w:cs="Arial" w:eastAsia="Arial" w:hAnsi="Arial"/>
          <w:sz w:val="22"/>
          <w:szCs w:val="22"/>
          <w:i w:val="1"/>
          <w:iCs w:val="1"/>
          <w:color w:val="FF0000"/>
          <w:strike w:val="1"/>
        </w:rPr>
        <w:t>142</w:t>
      </w:r>
      <w:r>
        <w:rPr>
          <w:rFonts w:ascii="Arial" w:cs="Arial" w:eastAsia="Arial" w:hAnsi="Arial"/>
          <w:sz w:val="22"/>
          <w:szCs w:val="22"/>
          <w:b w:val="1"/>
          <w:bCs w:val="1"/>
          <w:i w:val="1"/>
          <w:iCs w:val="1"/>
          <w:u w:val="single" w:color="auto"/>
          <w:color w:val="0000FF"/>
        </w:rPr>
        <w:t>144</w:t>
      </w:r>
    </w:p>
    <w:p>
      <w:pPr>
        <w:spacing w:after="0" w:line="231" w:lineRule="auto"/>
        <w:rPr>
          <w:sz w:val="20"/>
          <w:szCs w:val="20"/>
          <w:color w:val="auto"/>
        </w:rPr>
      </w:pPr>
      <w:r>
        <w:rPr>
          <w:rFonts w:ascii="Arial" w:cs="Arial" w:eastAsia="Arial" w:hAnsi="Arial"/>
          <w:sz w:val="22"/>
          <w:szCs w:val="22"/>
          <w:i w:val="1"/>
          <w:iCs w:val="1"/>
          <w:color w:val="auto"/>
        </w:rPr>
        <w:t>Section 10.09. Interest Rate Limitation</w:t>
      </w:r>
      <w:r>
        <w:rPr>
          <w:rFonts w:ascii="Arial" w:cs="Arial" w:eastAsia="Arial" w:hAnsi="Arial"/>
          <w:sz w:val="22"/>
          <w:szCs w:val="22"/>
          <w:i w:val="1"/>
          <w:iCs w:val="1"/>
          <w:color w:val="FF0000"/>
          <w:strike w:val="1"/>
        </w:rPr>
        <w:t>145</w:t>
      </w:r>
      <w:r>
        <w:rPr>
          <w:rFonts w:ascii="Arial" w:cs="Arial" w:eastAsia="Arial" w:hAnsi="Arial"/>
          <w:sz w:val="22"/>
          <w:szCs w:val="22"/>
          <w:b w:val="1"/>
          <w:bCs w:val="1"/>
          <w:i w:val="1"/>
          <w:iCs w:val="1"/>
          <w:u w:val="single" w:color="auto"/>
          <w:color w:val="0000FF"/>
        </w:rPr>
        <w:t>146</w:t>
      </w:r>
    </w:p>
    <w:p>
      <w:pPr>
        <w:spacing w:after="0" w:line="230" w:lineRule="auto"/>
        <w:rPr>
          <w:sz w:val="20"/>
          <w:szCs w:val="20"/>
          <w:color w:val="auto"/>
        </w:rPr>
      </w:pPr>
      <w:r>
        <w:rPr>
          <w:rFonts w:ascii="Arial" w:cs="Arial" w:eastAsia="Arial" w:hAnsi="Arial"/>
          <w:sz w:val="22"/>
          <w:szCs w:val="22"/>
          <w:i w:val="1"/>
          <w:iCs w:val="1"/>
          <w:color w:val="auto"/>
        </w:rPr>
        <w:t>Section 10.10. Entire Agreement</w:t>
      </w:r>
      <w:r>
        <w:rPr>
          <w:rFonts w:ascii="Arial" w:cs="Arial" w:eastAsia="Arial" w:hAnsi="Arial"/>
          <w:sz w:val="22"/>
          <w:szCs w:val="22"/>
          <w:i w:val="1"/>
          <w:iCs w:val="1"/>
          <w:color w:val="FF0000"/>
          <w:strike w:val="1"/>
        </w:rPr>
        <w:t>145</w:t>
      </w:r>
      <w:r>
        <w:rPr>
          <w:rFonts w:ascii="Arial" w:cs="Arial" w:eastAsia="Arial" w:hAnsi="Arial"/>
          <w:sz w:val="22"/>
          <w:szCs w:val="22"/>
          <w:b w:val="1"/>
          <w:bCs w:val="1"/>
          <w:i w:val="1"/>
          <w:iCs w:val="1"/>
          <w:u w:val="single" w:color="auto"/>
          <w:color w:val="0000FF"/>
        </w:rPr>
        <w:t>146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10.11. WAIVER OF JURY TRIAL</w:t>
      </w:r>
      <w:r>
        <w:rPr>
          <w:rFonts w:ascii="Arial" w:cs="Arial" w:eastAsia="Arial" w:hAnsi="Arial"/>
          <w:sz w:val="22"/>
          <w:szCs w:val="22"/>
          <w:i w:val="1"/>
          <w:iCs w:val="1"/>
          <w:color w:val="FF0000"/>
          <w:strike w:val="1"/>
        </w:rPr>
        <w:t>145</w:t>
      </w:r>
      <w:r>
        <w:rPr>
          <w:rFonts w:ascii="Arial" w:cs="Arial" w:eastAsia="Arial" w:hAnsi="Arial"/>
          <w:sz w:val="22"/>
          <w:szCs w:val="22"/>
          <w:b w:val="1"/>
          <w:bCs w:val="1"/>
          <w:i w:val="1"/>
          <w:iCs w:val="1"/>
          <w:u w:val="single" w:color="auto"/>
          <w:color w:val="0000FF"/>
        </w:rPr>
        <w:t>147</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55" w:name="page56"/>
    <w:bookmarkEnd w:id="55"/>
    <w:p>
      <w:pPr>
        <w:spacing w:after="0"/>
        <w:rPr>
          <w:sz w:val="20"/>
          <w:szCs w:val="20"/>
          <w:color w:val="auto"/>
        </w:rPr>
      </w:pPr>
      <w:r>
        <w:rPr>
          <w:rFonts w:ascii="Arial" w:cs="Arial" w:eastAsia="Arial" w:hAnsi="Arial"/>
          <w:sz w:val="22"/>
          <w:szCs w:val="22"/>
          <w:i w:val="1"/>
          <w:iCs w:val="1"/>
          <w:color w:val="auto"/>
        </w:rPr>
        <w:t>Section 10.12. Severability</w:t>
      </w:r>
      <w:r>
        <w:rPr>
          <w:rFonts w:ascii="Arial" w:cs="Arial" w:eastAsia="Arial" w:hAnsi="Arial"/>
          <w:sz w:val="22"/>
          <w:szCs w:val="22"/>
          <w:i w:val="1"/>
          <w:iCs w:val="1"/>
          <w:color w:val="FF0000"/>
          <w:strike w:val="1"/>
        </w:rPr>
        <w:t>145</w:t>
      </w:r>
      <w:r>
        <w:rPr>
          <w:rFonts w:ascii="Arial" w:cs="Arial" w:eastAsia="Arial" w:hAnsi="Arial"/>
          <w:sz w:val="22"/>
          <w:szCs w:val="22"/>
          <w:b w:val="1"/>
          <w:bCs w:val="1"/>
          <w:i w:val="1"/>
          <w:iCs w:val="1"/>
          <w:u w:val="single" w:color="auto"/>
          <w:color w:val="0000FF"/>
        </w:rPr>
        <w:t>147</w:t>
      </w:r>
    </w:p>
    <w:p>
      <w:pPr>
        <w:spacing w:after="0" w:line="238" w:lineRule="auto"/>
        <w:rPr>
          <w:sz w:val="20"/>
          <w:szCs w:val="20"/>
          <w:color w:val="auto"/>
        </w:rPr>
      </w:pPr>
      <w:r>
        <w:rPr>
          <w:rFonts w:ascii="Arial" w:cs="Arial" w:eastAsia="Arial" w:hAnsi="Arial"/>
          <w:sz w:val="22"/>
          <w:szCs w:val="22"/>
          <w:i w:val="1"/>
          <w:iCs w:val="1"/>
          <w:color w:val="auto"/>
        </w:rPr>
        <w:t>Section 10.13. Counterparts</w:t>
      </w:r>
      <w:r>
        <w:rPr>
          <w:rFonts w:ascii="Arial" w:cs="Arial" w:eastAsia="Arial" w:hAnsi="Arial"/>
          <w:sz w:val="22"/>
          <w:szCs w:val="22"/>
          <w:i w:val="1"/>
          <w:iCs w:val="1"/>
          <w:color w:val="FF0000"/>
          <w:strike w:val="1"/>
        </w:rPr>
        <w:t>146</w:t>
      </w:r>
      <w:r>
        <w:rPr>
          <w:rFonts w:ascii="Arial" w:cs="Arial" w:eastAsia="Arial" w:hAnsi="Arial"/>
          <w:sz w:val="22"/>
          <w:szCs w:val="22"/>
          <w:b w:val="1"/>
          <w:bCs w:val="1"/>
          <w:i w:val="1"/>
          <w:iCs w:val="1"/>
          <w:u w:val="single" w:color="auto"/>
          <w:color w:val="0000FF"/>
        </w:rPr>
        <w:t>147</w:t>
      </w:r>
    </w:p>
    <w:p>
      <w:pPr>
        <w:spacing w:after="0" w:line="230" w:lineRule="auto"/>
        <w:rPr>
          <w:sz w:val="20"/>
          <w:szCs w:val="20"/>
          <w:color w:val="auto"/>
        </w:rPr>
      </w:pPr>
      <w:r>
        <w:rPr>
          <w:rFonts w:ascii="Arial" w:cs="Arial" w:eastAsia="Arial" w:hAnsi="Arial"/>
          <w:sz w:val="22"/>
          <w:szCs w:val="22"/>
          <w:i w:val="1"/>
          <w:iCs w:val="1"/>
          <w:color w:val="auto"/>
        </w:rPr>
        <w:t>Section 10.14. Headings</w:t>
      </w:r>
      <w:r>
        <w:rPr>
          <w:rFonts w:ascii="Arial" w:cs="Arial" w:eastAsia="Arial" w:hAnsi="Arial"/>
          <w:sz w:val="22"/>
          <w:szCs w:val="22"/>
          <w:i w:val="1"/>
          <w:iCs w:val="1"/>
          <w:color w:val="FF0000"/>
          <w:strike w:val="1"/>
        </w:rPr>
        <w:t>146</w:t>
      </w:r>
      <w:r>
        <w:rPr>
          <w:rFonts w:ascii="Arial" w:cs="Arial" w:eastAsia="Arial" w:hAnsi="Arial"/>
          <w:sz w:val="22"/>
          <w:szCs w:val="22"/>
          <w:b w:val="1"/>
          <w:bCs w:val="1"/>
          <w:i w:val="1"/>
          <w:iCs w:val="1"/>
          <w:u w:val="single" w:color="auto"/>
          <w:color w:val="0000FF"/>
        </w:rPr>
        <w:t>147</w:t>
      </w:r>
    </w:p>
    <w:p>
      <w:pPr>
        <w:spacing w:after="0" w:line="1" w:lineRule="exact"/>
        <w:rPr>
          <w:sz w:val="20"/>
          <w:szCs w:val="20"/>
          <w:color w:val="auto"/>
        </w:rPr>
      </w:pPr>
    </w:p>
    <w:p>
      <w:pPr>
        <w:ind w:right="4459"/>
        <w:spacing w:after="0" w:line="230" w:lineRule="auto"/>
        <w:rPr>
          <w:sz w:val="20"/>
          <w:szCs w:val="20"/>
          <w:color w:val="auto"/>
        </w:rPr>
      </w:pPr>
      <w:r>
        <w:rPr>
          <w:rFonts w:ascii="Arial" w:cs="Arial" w:eastAsia="Arial" w:hAnsi="Arial"/>
          <w:sz w:val="22"/>
          <w:szCs w:val="22"/>
          <w:i w:val="1"/>
          <w:iCs w:val="1"/>
          <w:color w:val="auto"/>
        </w:rPr>
        <w:t>Section 10.15. Jurisdiction; Consent to Service of Process</w:t>
      </w:r>
      <w:r>
        <w:rPr>
          <w:rFonts w:ascii="Arial" w:cs="Arial" w:eastAsia="Arial" w:hAnsi="Arial"/>
          <w:sz w:val="22"/>
          <w:szCs w:val="22"/>
          <w:i w:val="1"/>
          <w:iCs w:val="1"/>
          <w:color w:val="FF0000"/>
          <w:strike w:val="1"/>
        </w:rPr>
        <w:t>146</w:t>
      </w:r>
      <w:r>
        <w:rPr>
          <w:rFonts w:ascii="Arial" w:cs="Arial" w:eastAsia="Arial" w:hAnsi="Arial"/>
          <w:sz w:val="22"/>
          <w:szCs w:val="22"/>
          <w:b w:val="1"/>
          <w:bCs w:val="1"/>
          <w:i w:val="1"/>
          <w:iCs w:val="1"/>
          <w:u w:val="single" w:color="auto"/>
          <w:color w:val="0000FF"/>
        </w:rPr>
        <w:t>147</w:t>
      </w:r>
      <w:r>
        <w:rPr>
          <w:rFonts w:ascii="Arial" w:cs="Arial" w:eastAsia="Arial" w:hAnsi="Arial"/>
          <w:sz w:val="22"/>
          <w:szCs w:val="22"/>
          <w:i w:val="1"/>
          <w:iCs w:val="1"/>
          <w:color w:val="auto"/>
        </w:rPr>
        <w:t xml:space="preserve"> Section 10.16. Confidentiality</w:t>
      </w:r>
      <w:r>
        <w:rPr>
          <w:rFonts w:ascii="Arial" w:cs="Arial" w:eastAsia="Arial" w:hAnsi="Arial"/>
          <w:sz w:val="22"/>
          <w:szCs w:val="22"/>
          <w:i w:val="1"/>
          <w:iCs w:val="1"/>
          <w:color w:val="FF0000"/>
          <w:strike w:val="1"/>
        </w:rPr>
        <w:t>146</w:t>
      </w:r>
      <w:r>
        <w:rPr>
          <w:rFonts w:ascii="Arial" w:cs="Arial" w:eastAsia="Arial" w:hAnsi="Arial"/>
          <w:sz w:val="22"/>
          <w:szCs w:val="22"/>
          <w:b w:val="1"/>
          <w:bCs w:val="1"/>
          <w:i w:val="1"/>
          <w:iCs w:val="1"/>
          <w:u w:val="single" w:color="auto"/>
          <w:color w:val="0000FF"/>
        </w:rPr>
        <w:t>148</w:t>
      </w:r>
      <w:r>
        <w:rPr>
          <w:rFonts w:ascii="Arial" w:cs="Arial" w:eastAsia="Arial" w:hAnsi="Arial"/>
          <w:sz w:val="22"/>
          <w:szCs w:val="22"/>
          <w:i w:val="1"/>
          <w:iCs w:val="1"/>
          <w:color w:val="auto"/>
        </w:rPr>
        <w:t xml:space="preserve"> Section 10.17. Lender Action</w:t>
      </w:r>
      <w:r>
        <w:rPr>
          <w:rFonts w:ascii="Arial" w:cs="Arial" w:eastAsia="Arial" w:hAnsi="Arial"/>
          <w:sz w:val="22"/>
          <w:szCs w:val="22"/>
          <w:i w:val="1"/>
          <w:iCs w:val="1"/>
          <w:color w:val="FF0000"/>
          <w:strike w:val="1"/>
        </w:rPr>
        <w:t>147</w:t>
      </w:r>
      <w:r>
        <w:rPr>
          <w:rFonts w:ascii="Arial" w:cs="Arial" w:eastAsia="Arial" w:hAnsi="Arial"/>
          <w:sz w:val="22"/>
          <w:szCs w:val="22"/>
          <w:b w:val="1"/>
          <w:bCs w:val="1"/>
          <w:i w:val="1"/>
          <w:iCs w:val="1"/>
          <w:u w:val="single" w:color="auto"/>
          <w:color w:val="0000FF"/>
        </w:rPr>
        <w:t>149</w:t>
      </w:r>
    </w:p>
    <w:p>
      <w:pPr>
        <w:spacing w:after="0" w:line="232" w:lineRule="auto"/>
        <w:rPr>
          <w:sz w:val="20"/>
          <w:szCs w:val="20"/>
          <w:color w:val="auto"/>
        </w:rPr>
      </w:pPr>
      <w:r>
        <w:rPr>
          <w:rFonts w:ascii="Arial" w:cs="Arial" w:eastAsia="Arial" w:hAnsi="Arial"/>
          <w:sz w:val="22"/>
          <w:szCs w:val="22"/>
          <w:i w:val="1"/>
          <w:iCs w:val="1"/>
          <w:color w:val="auto"/>
        </w:rPr>
        <w:t>Section 10.18. USA PATRIOT Act Notice</w:t>
      </w:r>
      <w:r>
        <w:rPr>
          <w:rFonts w:ascii="Arial" w:cs="Arial" w:eastAsia="Arial" w:hAnsi="Arial"/>
          <w:sz w:val="22"/>
          <w:szCs w:val="22"/>
          <w:i w:val="1"/>
          <w:iCs w:val="1"/>
          <w:color w:val="FF0000"/>
          <w:strike w:val="1"/>
        </w:rPr>
        <w:t>147</w:t>
      </w:r>
      <w:r>
        <w:rPr>
          <w:rFonts w:ascii="Arial" w:cs="Arial" w:eastAsia="Arial" w:hAnsi="Arial"/>
          <w:sz w:val="22"/>
          <w:szCs w:val="22"/>
          <w:b w:val="1"/>
          <w:bCs w:val="1"/>
          <w:i w:val="1"/>
          <w:iCs w:val="1"/>
          <w:u w:val="single" w:color="auto"/>
          <w:color w:val="0000FF"/>
        </w:rPr>
        <w:t>149</w:t>
      </w:r>
    </w:p>
    <w:p>
      <w:pPr>
        <w:spacing w:after="0" w:line="230" w:lineRule="auto"/>
        <w:rPr>
          <w:sz w:val="20"/>
          <w:szCs w:val="20"/>
          <w:color w:val="auto"/>
        </w:rPr>
      </w:pPr>
      <w:r>
        <w:rPr>
          <w:rFonts w:ascii="Arial" w:cs="Arial" w:eastAsia="Arial" w:hAnsi="Arial"/>
          <w:sz w:val="22"/>
          <w:szCs w:val="22"/>
          <w:i w:val="1"/>
          <w:iCs w:val="1"/>
          <w:color w:val="auto"/>
        </w:rPr>
        <w:t>Section 10.19. Collateral And Guaranty Matters</w:t>
      </w:r>
      <w:r>
        <w:rPr>
          <w:rFonts w:ascii="Arial" w:cs="Arial" w:eastAsia="Arial" w:hAnsi="Arial"/>
          <w:sz w:val="22"/>
          <w:szCs w:val="22"/>
          <w:i w:val="1"/>
          <w:iCs w:val="1"/>
          <w:color w:val="FF0000"/>
          <w:strike w:val="1"/>
        </w:rPr>
        <w:t>147</w:t>
      </w:r>
      <w:r>
        <w:rPr>
          <w:rFonts w:ascii="Arial" w:cs="Arial" w:eastAsia="Arial" w:hAnsi="Arial"/>
          <w:sz w:val="22"/>
          <w:szCs w:val="22"/>
          <w:b w:val="1"/>
          <w:bCs w:val="1"/>
          <w:i w:val="1"/>
          <w:iCs w:val="1"/>
          <w:u w:val="single" w:color="auto"/>
          <w:color w:val="0000FF"/>
        </w:rPr>
        <w:t>149</w:t>
      </w:r>
    </w:p>
    <w:p>
      <w:pPr>
        <w:spacing w:after="0" w:line="231" w:lineRule="auto"/>
        <w:rPr>
          <w:sz w:val="20"/>
          <w:szCs w:val="20"/>
          <w:color w:val="auto"/>
        </w:rPr>
      </w:pPr>
      <w:r>
        <w:rPr>
          <w:rFonts w:ascii="Arial" w:cs="Arial" w:eastAsia="Arial" w:hAnsi="Arial"/>
          <w:sz w:val="22"/>
          <w:szCs w:val="22"/>
          <w:i w:val="1"/>
          <w:iCs w:val="1"/>
          <w:color w:val="auto"/>
        </w:rPr>
        <w:t>Section 10.20. [Reserved]</w:t>
      </w:r>
      <w:r>
        <w:rPr>
          <w:rFonts w:ascii="Arial" w:cs="Arial" w:eastAsia="Arial" w:hAnsi="Arial"/>
          <w:sz w:val="22"/>
          <w:szCs w:val="22"/>
          <w:i w:val="1"/>
          <w:iCs w:val="1"/>
          <w:color w:val="FF0000"/>
          <w:strike w:val="1"/>
        </w:rPr>
        <w:t>148</w:t>
      </w:r>
      <w:r>
        <w:rPr>
          <w:rFonts w:ascii="Arial" w:cs="Arial" w:eastAsia="Arial" w:hAnsi="Arial"/>
          <w:sz w:val="22"/>
          <w:szCs w:val="22"/>
          <w:b w:val="1"/>
          <w:bCs w:val="1"/>
          <w:i w:val="1"/>
          <w:iCs w:val="1"/>
          <w:u w:val="single" w:color="auto"/>
          <w:color w:val="0000FF"/>
        </w:rPr>
        <w:t>150</w:t>
      </w:r>
    </w:p>
    <w:p>
      <w:pPr>
        <w:spacing w:after="0" w:line="230" w:lineRule="auto"/>
        <w:rPr>
          <w:sz w:val="20"/>
          <w:szCs w:val="20"/>
          <w:color w:val="auto"/>
        </w:rPr>
      </w:pPr>
      <w:r>
        <w:rPr>
          <w:rFonts w:ascii="Arial" w:cs="Arial" w:eastAsia="Arial" w:hAnsi="Arial"/>
          <w:sz w:val="22"/>
          <w:szCs w:val="22"/>
          <w:i w:val="1"/>
          <w:iCs w:val="1"/>
          <w:color w:val="auto"/>
        </w:rPr>
        <w:t>Section 10.21. Payments Set Aside</w:t>
      </w:r>
      <w:r>
        <w:rPr>
          <w:rFonts w:ascii="Arial" w:cs="Arial" w:eastAsia="Arial" w:hAnsi="Arial"/>
          <w:sz w:val="22"/>
          <w:szCs w:val="22"/>
          <w:i w:val="1"/>
          <w:iCs w:val="1"/>
          <w:color w:val="FF0000"/>
          <w:strike w:val="1"/>
        </w:rPr>
        <w:t>148</w:t>
      </w:r>
      <w:r>
        <w:rPr>
          <w:rFonts w:ascii="Arial" w:cs="Arial" w:eastAsia="Arial" w:hAnsi="Arial"/>
          <w:sz w:val="22"/>
          <w:szCs w:val="22"/>
          <w:b w:val="1"/>
          <w:bCs w:val="1"/>
          <w:i w:val="1"/>
          <w:iCs w:val="1"/>
          <w:u w:val="single" w:color="auto"/>
          <w:color w:val="0000FF"/>
        </w:rPr>
        <w:t>150</w:t>
      </w:r>
    </w:p>
    <w:p>
      <w:pPr>
        <w:spacing w:after="0" w:line="1" w:lineRule="exact"/>
        <w:rPr>
          <w:sz w:val="20"/>
          <w:szCs w:val="20"/>
          <w:color w:val="auto"/>
        </w:rPr>
      </w:pPr>
    </w:p>
    <w:p>
      <w:pPr>
        <w:ind w:right="4699"/>
        <w:spacing w:after="0" w:line="287" w:lineRule="auto"/>
        <w:rPr>
          <w:sz w:val="20"/>
          <w:szCs w:val="20"/>
          <w:color w:val="auto"/>
        </w:rPr>
      </w:pPr>
      <w:r>
        <w:rPr>
          <w:rFonts w:ascii="Arial" w:cs="Arial" w:eastAsia="Arial" w:hAnsi="Arial"/>
          <w:sz w:val="19"/>
          <w:szCs w:val="19"/>
          <w:i w:val="1"/>
          <w:iCs w:val="1"/>
          <w:color w:val="auto"/>
        </w:rPr>
        <w:t>Section 10.22. No Advisory or Fiduciary Responsibility</w:t>
      </w:r>
      <w:r>
        <w:rPr>
          <w:rFonts w:ascii="Arial" w:cs="Arial" w:eastAsia="Arial" w:hAnsi="Arial"/>
          <w:sz w:val="19"/>
          <w:szCs w:val="19"/>
          <w:i w:val="1"/>
          <w:iCs w:val="1"/>
          <w:color w:val="FF0000"/>
          <w:strike w:val="1"/>
        </w:rPr>
        <w:t>149</w:t>
      </w:r>
      <w:r>
        <w:rPr>
          <w:rFonts w:ascii="Arial" w:cs="Arial" w:eastAsia="Arial" w:hAnsi="Arial"/>
          <w:sz w:val="19"/>
          <w:szCs w:val="19"/>
          <w:b w:val="1"/>
          <w:bCs w:val="1"/>
          <w:i w:val="1"/>
          <w:iCs w:val="1"/>
          <w:u w:val="single" w:color="auto"/>
          <w:color w:val="0000FF"/>
        </w:rPr>
        <w:t>150</w:t>
      </w:r>
      <w:r>
        <w:rPr>
          <w:rFonts w:ascii="Arial" w:cs="Arial" w:eastAsia="Arial" w:hAnsi="Arial"/>
          <w:sz w:val="19"/>
          <w:szCs w:val="19"/>
          <w:i w:val="1"/>
          <w:iCs w:val="1"/>
          <w:color w:val="auto"/>
        </w:rPr>
        <w:t xml:space="preserve"> Section 10.23. Intercreditor Agreements</w:t>
      </w:r>
      <w:r>
        <w:rPr>
          <w:rFonts w:ascii="Arial" w:cs="Arial" w:eastAsia="Arial" w:hAnsi="Arial"/>
          <w:sz w:val="19"/>
          <w:szCs w:val="19"/>
          <w:i w:val="1"/>
          <w:iCs w:val="1"/>
          <w:color w:val="FF0000"/>
          <w:strike w:val="1"/>
        </w:rPr>
        <w:t>149</w:t>
      </w:r>
      <w:r>
        <w:rPr>
          <w:rFonts w:ascii="Arial" w:cs="Arial" w:eastAsia="Arial" w:hAnsi="Arial"/>
          <w:sz w:val="19"/>
          <w:szCs w:val="19"/>
          <w:b w:val="1"/>
          <w:bCs w:val="1"/>
          <w:i w:val="1"/>
          <w:iCs w:val="1"/>
          <w:u w:val="single" w:color="auto"/>
          <w:color w:val="0000FF"/>
        </w:rPr>
        <w:t>151</w:t>
      </w:r>
      <w:r>
        <w:rPr>
          <w:rFonts w:ascii="Arial" w:cs="Arial" w:eastAsia="Arial" w:hAnsi="Arial"/>
          <w:sz w:val="19"/>
          <w:szCs w:val="19"/>
          <w:i w:val="1"/>
          <w:iCs w:val="1"/>
          <w:color w:val="auto"/>
        </w:rPr>
        <w:t xml:space="preserve"> Section 10.24. Alternative Interest Rates</w:t>
      </w:r>
      <w:r>
        <w:rPr>
          <w:rFonts w:ascii="Arial" w:cs="Arial" w:eastAsia="Arial" w:hAnsi="Arial"/>
          <w:sz w:val="19"/>
          <w:szCs w:val="19"/>
          <w:i w:val="1"/>
          <w:iCs w:val="1"/>
          <w:color w:val="FF0000"/>
          <w:strike w:val="1"/>
        </w:rPr>
        <w:t>150</w:t>
      </w:r>
      <w:r>
        <w:rPr>
          <w:rFonts w:ascii="Arial" w:cs="Arial" w:eastAsia="Arial" w:hAnsi="Arial"/>
          <w:sz w:val="19"/>
          <w:szCs w:val="19"/>
          <w:b w:val="1"/>
          <w:bCs w:val="1"/>
          <w:i w:val="1"/>
          <w:iCs w:val="1"/>
          <w:u w:val="single" w:color="auto"/>
          <w:color w:val="0000FF"/>
        </w:rPr>
        <w:t>152</w:t>
      </w:r>
    </w:p>
    <w:p>
      <w:pPr>
        <w:spacing w:after="0" w:line="14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i w:val="1"/>
          <w:iCs w:val="1"/>
          <w:color w:val="auto"/>
        </w:rPr>
        <w:t>ARTICLE 11</w:t>
      </w:r>
    </w:p>
    <w:p>
      <w:pPr>
        <w:spacing w:after="0" w:line="33" w:lineRule="exact"/>
        <w:rPr>
          <w:sz w:val="20"/>
          <w:szCs w:val="20"/>
          <w:color w:val="auto"/>
        </w:rPr>
      </w:pPr>
    </w:p>
    <w:p>
      <w:pPr>
        <w:ind w:left="5140"/>
        <w:spacing w:after="0"/>
        <w:rPr>
          <w:sz w:val="20"/>
          <w:szCs w:val="20"/>
          <w:color w:val="auto"/>
        </w:rPr>
      </w:pPr>
      <w:r>
        <w:rPr>
          <w:rFonts w:ascii="Arial" w:cs="Arial" w:eastAsia="Arial" w:hAnsi="Arial"/>
          <w:sz w:val="22"/>
          <w:szCs w:val="22"/>
          <w:b w:val="1"/>
          <w:bCs w:val="1"/>
          <w:i w:val="1"/>
          <w:iCs w:val="1"/>
          <w:color w:val="auto"/>
        </w:rPr>
        <w:t>G</w:t>
      </w:r>
      <w:r>
        <w:rPr>
          <w:rFonts w:ascii="Arial" w:cs="Arial" w:eastAsia="Arial" w:hAnsi="Arial"/>
          <w:sz w:val="14"/>
          <w:szCs w:val="14"/>
          <w:b w:val="1"/>
          <w:bCs w:val="1"/>
          <w:i w:val="1"/>
          <w:iCs w:val="1"/>
          <w:color w:val="auto"/>
        </w:rPr>
        <w:t>UARANTEE</w:t>
      </w:r>
    </w:p>
    <w:p>
      <w:pPr>
        <w:spacing w:after="0" w:line="230" w:lineRule="auto"/>
        <w:rPr>
          <w:sz w:val="20"/>
          <w:szCs w:val="20"/>
          <w:color w:val="auto"/>
        </w:rPr>
      </w:pPr>
      <w:r>
        <w:rPr>
          <w:rFonts w:ascii="Arial" w:cs="Arial" w:eastAsia="Arial" w:hAnsi="Arial"/>
          <w:sz w:val="22"/>
          <w:szCs w:val="22"/>
          <w:i w:val="1"/>
          <w:iCs w:val="1"/>
          <w:color w:val="auto"/>
        </w:rPr>
        <w:t>Section 11.01. The Guarantee</w:t>
      </w:r>
      <w:r>
        <w:rPr>
          <w:rFonts w:ascii="Arial" w:cs="Arial" w:eastAsia="Arial" w:hAnsi="Arial"/>
          <w:sz w:val="22"/>
          <w:szCs w:val="22"/>
          <w:i w:val="1"/>
          <w:iCs w:val="1"/>
          <w:color w:val="FF0000"/>
          <w:strike w:val="1"/>
        </w:rPr>
        <w:t>151</w:t>
      </w:r>
      <w:r>
        <w:rPr>
          <w:rFonts w:ascii="Arial" w:cs="Arial" w:eastAsia="Arial" w:hAnsi="Arial"/>
          <w:sz w:val="22"/>
          <w:szCs w:val="22"/>
          <w:b w:val="1"/>
          <w:bCs w:val="1"/>
          <w:i w:val="1"/>
          <w:iCs w:val="1"/>
          <w:u w:val="single" w:color="auto"/>
          <w:color w:val="0000FF"/>
        </w:rPr>
        <w:t>153</w:t>
      </w:r>
    </w:p>
    <w:p>
      <w:pPr>
        <w:spacing w:after="0" w:line="231" w:lineRule="auto"/>
        <w:rPr>
          <w:sz w:val="20"/>
          <w:szCs w:val="20"/>
          <w:color w:val="auto"/>
        </w:rPr>
      </w:pPr>
      <w:r>
        <w:rPr>
          <w:rFonts w:ascii="Arial" w:cs="Arial" w:eastAsia="Arial" w:hAnsi="Arial"/>
          <w:sz w:val="22"/>
          <w:szCs w:val="22"/>
          <w:i w:val="1"/>
          <w:iCs w:val="1"/>
          <w:color w:val="auto"/>
        </w:rPr>
        <w:t>Section 11.02. Obligations Unconditional</w:t>
      </w:r>
      <w:r>
        <w:rPr>
          <w:rFonts w:ascii="Arial" w:cs="Arial" w:eastAsia="Arial" w:hAnsi="Arial"/>
          <w:sz w:val="22"/>
          <w:szCs w:val="22"/>
          <w:i w:val="1"/>
          <w:iCs w:val="1"/>
          <w:color w:val="FF0000"/>
          <w:strike w:val="1"/>
        </w:rPr>
        <w:t>152</w:t>
      </w:r>
      <w:r>
        <w:rPr>
          <w:rFonts w:ascii="Arial" w:cs="Arial" w:eastAsia="Arial" w:hAnsi="Arial"/>
          <w:sz w:val="22"/>
          <w:szCs w:val="22"/>
          <w:b w:val="1"/>
          <w:bCs w:val="1"/>
          <w:i w:val="1"/>
          <w:iCs w:val="1"/>
          <w:u w:val="single" w:color="auto"/>
          <w:color w:val="0000FF"/>
        </w:rPr>
        <w:t>153</w:t>
      </w:r>
    </w:p>
    <w:p>
      <w:pPr>
        <w:spacing w:after="0" w:line="230" w:lineRule="auto"/>
        <w:rPr>
          <w:sz w:val="20"/>
          <w:szCs w:val="20"/>
          <w:color w:val="auto"/>
        </w:rPr>
      </w:pPr>
      <w:r>
        <w:rPr>
          <w:rFonts w:ascii="Arial" w:cs="Arial" w:eastAsia="Arial" w:hAnsi="Arial"/>
          <w:sz w:val="22"/>
          <w:szCs w:val="22"/>
          <w:i w:val="1"/>
          <w:iCs w:val="1"/>
          <w:color w:val="auto"/>
        </w:rPr>
        <w:t>Section 11.03. Certain Waivers</w:t>
      </w:r>
      <w:r>
        <w:rPr>
          <w:rFonts w:ascii="Arial" w:cs="Arial" w:eastAsia="Arial" w:hAnsi="Arial"/>
          <w:sz w:val="22"/>
          <w:szCs w:val="22"/>
          <w:i w:val="1"/>
          <w:iCs w:val="1"/>
          <w:color w:val="FF0000"/>
          <w:strike w:val="1"/>
        </w:rPr>
        <w:t>152</w:t>
      </w:r>
      <w:r>
        <w:rPr>
          <w:rFonts w:ascii="Arial" w:cs="Arial" w:eastAsia="Arial" w:hAnsi="Arial"/>
          <w:sz w:val="22"/>
          <w:szCs w:val="22"/>
          <w:b w:val="1"/>
          <w:bCs w:val="1"/>
          <w:i w:val="1"/>
          <w:iCs w:val="1"/>
          <w:u w:val="single" w:color="auto"/>
          <w:color w:val="0000FF"/>
        </w:rPr>
        <w:t>154</w:t>
      </w:r>
    </w:p>
    <w:p>
      <w:pPr>
        <w:spacing w:after="0" w:line="231" w:lineRule="auto"/>
        <w:rPr>
          <w:sz w:val="20"/>
          <w:szCs w:val="20"/>
          <w:color w:val="auto"/>
        </w:rPr>
      </w:pPr>
      <w:r>
        <w:rPr>
          <w:rFonts w:ascii="Arial" w:cs="Arial" w:eastAsia="Arial" w:hAnsi="Arial"/>
          <w:sz w:val="22"/>
          <w:szCs w:val="22"/>
          <w:i w:val="1"/>
          <w:iCs w:val="1"/>
          <w:color w:val="auto"/>
        </w:rPr>
        <w:t>Section 11.04. Reinstatement</w:t>
      </w:r>
      <w:r>
        <w:rPr>
          <w:rFonts w:ascii="Arial" w:cs="Arial" w:eastAsia="Arial" w:hAnsi="Arial"/>
          <w:sz w:val="22"/>
          <w:szCs w:val="22"/>
          <w:i w:val="1"/>
          <w:iCs w:val="1"/>
          <w:color w:val="FF0000"/>
          <w:strike w:val="1"/>
        </w:rPr>
        <w:t>153</w:t>
      </w:r>
      <w:r>
        <w:rPr>
          <w:rFonts w:ascii="Arial" w:cs="Arial" w:eastAsia="Arial" w:hAnsi="Arial"/>
          <w:sz w:val="22"/>
          <w:szCs w:val="22"/>
          <w:b w:val="1"/>
          <w:bCs w:val="1"/>
          <w:i w:val="1"/>
          <w:iCs w:val="1"/>
          <w:u w:val="single" w:color="auto"/>
          <w:color w:val="0000FF"/>
        </w:rPr>
        <w:t>155</w:t>
      </w:r>
    </w:p>
    <w:p>
      <w:pPr>
        <w:spacing w:after="0" w:line="230" w:lineRule="auto"/>
        <w:rPr>
          <w:sz w:val="20"/>
          <w:szCs w:val="20"/>
          <w:color w:val="auto"/>
        </w:rPr>
      </w:pPr>
      <w:r>
        <w:rPr>
          <w:rFonts w:ascii="Arial" w:cs="Arial" w:eastAsia="Arial" w:hAnsi="Arial"/>
          <w:sz w:val="22"/>
          <w:szCs w:val="22"/>
          <w:i w:val="1"/>
          <w:iCs w:val="1"/>
          <w:color w:val="auto"/>
        </w:rPr>
        <w:t>Section 11.05. Subrogation; Subordination</w:t>
      </w:r>
      <w:r>
        <w:rPr>
          <w:rFonts w:ascii="Arial" w:cs="Arial" w:eastAsia="Arial" w:hAnsi="Arial"/>
          <w:sz w:val="22"/>
          <w:szCs w:val="22"/>
          <w:i w:val="1"/>
          <w:iCs w:val="1"/>
          <w:color w:val="FF0000"/>
          <w:strike w:val="1"/>
        </w:rPr>
        <w:t>153</w:t>
      </w:r>
      <w:r>
        <w:rPr>
          <w:rFonts w:ascii="Arial" w:cs="Arial" w:eastAsia="Arial" w:hAnsi="Arial"/>
          <w:sz w:val="22"/>
          <w:szCs w:val="22"/>
          <w:b w:val="1"/>
          <w:bCs w:val="1"/>
          <w:i w:val="1"/>
          <w:iCs w:val="1"/>
          <w:u w:val="single" w:color="auto"/>
          <w:color w:val="0000FF"/>
        </w:rPr>
        <w:t>155</w:t>
      </w:r>
    </w:p>
    <w:p>
      <w:pPr>
        <w:spacing w:after="0" w:line="231" w:lineRule="auto"/>
        <w:rPr>
          <w:sz w:val="20"/>
          <w:szCs w:val="20"/>
          <w:color w:val="auto"/>
        </w:rPr>
      </w:pPr>
      <w:r>
        <w:rPr>
          <w:rFonts w:ascii="Arial" w:cs="Arial" w:eastAsia="Arial" w:hAnsi="Arial"/>
          <w:sz w:val="22"/>
          <w:szCs w:val="22"/>
          <w:i w:val="1"/>
          <w:iCs w:val="1"/>
          <w:color w:val="auto"/>
        </w:rPr>
        <w:t>Section 11.06. Remedies</w:t>
      </w:r>
      <w:r>
        <w:rPr>
          <w:rFonts w:ascii="Arial" w:cs="Arial" w:eastAsia="Arial" w:hAnsi="Arial"/>
          <w:sz w:val="22"/>
          <w:szCs w:val="22"/>
          <w:i w:val="1"/>
          <w:iCs w:val="1"/>
          <w:color w:val="FF0000"/>
          <w:strike w:val="1"/>
        </w:rPr>
        <w:t>153</w:t>
      </w:r>
      <w:r>
        <w:rPr>
          <w:rFonts w:ascii="Arial" w:cs="Arial" w:eastAsia="Arial" w:hAnsi="Arial"/>
          <w:sz w:val="22"/>
          <w:szCs w:val="22"/>
          <w:b w:val="1"/>
          <w:bCs w:val="1"/>
          <w:i w:val="1"/>
          <w:iCs w:val="1"/>
          <w:u w:val="single" w:color="auto"/>
          <w:color w:val="0000FF"/>
        </w:rPr>
        <w:t>155</w:t>
      </w:r>
    </w:p>
    <w:p>
      <w:pPr>
        <w:ind w:right="4979"/>
        <w:spacing w:after="0" w:line="266" w:lineRule="auto"/>
        <w:rPr>
          <w:sz w:val="20"/>
          <w:szCs w:val="20"/>
          <w:color w:val="auto"/>
        </w:rPr>
      </w:pPr>
      <w:r>
        <w:rPr>
          <w:rFonts w:ascii="Arial" w:cs="Arial" w:eastAsia="Arial" w:hAnsi="Arial"/>
          <w:sz w:val="19"/>
          <w:szCs w:val="19"/>
          <w:i w:val="1"/>
          <w:iCs w:val="1"/>
          <w:color w:val="auto"/>
        </w:rPr>
        <w:t>Section 11.07. Instrument for the Payment of Money</w:t>
      </w:r>
      <w:r>
        <w:rPr>
          <w:rFonts w:ascii="Arial" w:cs="Arial" w:eastAsia="Arial" w:hAnsi="Arial"/>
          <w:sz w:val="19"/>
          <w:szCs w:val="19"/>
          <w:i w:val="1"/>
          <w:iCs w:val="1"/>
          <w:color w:val="FF0000"/>
          <w:strike w:val="1"/>
        </w:rPr>
        <w:t>154</w:t>
      </w:r>
      <w:r>
        <w:rPr>
          <w:rFonts w:ascii="Arial" w:cs="Arial" w:eastAsia="Arial" w:hAnsi="Arial"/>
          <w:sz w:val="19"/>
          <w:szCs w:val="19"/>
          <w:b w:val="1"/>
          <w:bCs w:val="1"/>
          <w:i w:val="1"/>
          <w:iCs w:val="1"/>
          <w:u w:val="single" w:color="auto"/>
          <w:color w:val="0000FF"/>
        </w:rPr>
        <w:t>155</w:t>
      </w:r>
      <w:r>
        <w:rPr>
          <w:rFonts w:ascii="Arial" w:cs="Arial" w:eastAsia="Arial" w:hAnsi="Arial"/>
          <w:sz w:val="19"/>
          <w:szCs w:val="19"/>
          <w:i w:val="1"/>
          <w:iCs w:val="1"/>
          <w:color w:val="auto"/>
        </w:rPr>
        <w:t xml:space="preserve"> Section 11.08. Continuing Guarantee</w:t>
      </w:r>
      <w:r>
        <w:rPr>
          <w:rFonts w:ascii="Arial" w:cs="Arial" w:eastAsia="Arial" w:hAnsi="Arial"/>
          <w:sz w:val="19"/>
          <w:szCs w:val="19"/>
          <w:i w:val="1"/>
          <w:iCs w:val="1"/>
          <w:color w:val="FF0000"/>
          <w:strike w:val="1"/>
        </w:rPr>
        <w:t>154</w:t>
      </w:r>
      <w:r>
        <w:rPr>
          <w:rFonts w:ascii="Arial" w:cs="Arial" w:eastAsia="Arial" w:hAnsi="Arial"/>
          <w:sz w:val="19"/>
          <w:szCs w:val="19"/>
          <w:b w:val="1"/>
          <w:bCs w:val="1"/>
          <w:i w:val="1"/>
          <w:iCs w:val="1"/>
          <w:u w:val="single" w:color="auto"/>
          <w:color w:val="0000FF"/>
        </w:rPr>
        <w:t>155</w:t>
      </w:r>
    </w:p>
    <w:p>
      <w:pPr>
        <w:spacing w:after="0" w:line="2" w:lineRule="exact"/>
        <w:rPr>
          <w:sz w:val="20"/>
          <w:szCs w:val="20"/>
          <w:color w:val="auto"/>
        </w:rPr>
      </w:pPr>
    </w:p>
    <w:p>
      <w:pPr>
        <w:ind w:right="4219"/>
        <w:spacing w:after="0" w:line="241" w:lineRule="auto"/>
        <w:rPr>
          <w:sz w:val="20"/>
          <w:szCs w:val="20"/>
          <w:color w:val="auto"/>
        </w:rPr>
      </w:pPr>
      <w:r>
        <w:rPr>
          <w:rFonts w:ascii="Arial" w:cs="Arial" w:eastAsia="Arial" w:hAnsi="Arial"/>
          <w:sz w:val="21"/>
          <w:szCs w:val="21"/>
          <w:i w:val="1"/>
          <w:iCs w:val="1"/>
          <w:color w:val="auto"/>
        </w:rPr>
        <w:t>Section 11.09. General Limitation on Guarantee Obligations</w:t>
      </w:r>
      <w:r>
        <w:rPr>
          <w:rFonts w:ascii="Arial" w:cs="Arial" w:eastAsia="Arial" w:hAnsi="Arial"/>
          <w:sz w:val="21"/>
          <w:szCs w:val="21"/>
          <w:i w:val="1"/>
          <w:iCs w:val="1"/>
          <w:color w:val="FF0000"/>
          <w:strike w:val="1"/>
        </w:rPr>
        <w:t>154</w:t>
      </w:r>
      <w:r>
        <w:rPr>
          <w:rFonts w:ascii="Arial" w:cs="Arial" w:eastAsia="Arial" w:hAnsi="Arial"/>
          <w:sz w:val="21"/>
          <w:szCs w:val="21"/>
          <w:b w:val="1"/>
          <w:bCs w:val="1"/>
          <w:i w:val="1"/>
          <w:iCs w:val="1"/>
          <w:u w:val="single" w:color="auto"/>
          <w:color w:val="0000FF"/>
        </w:rPr>
        <w:t>156</w:t>
      </w:r>
      <w:r>
        <w:rPr>
          <w:rFonts w:ascii="Arial" w:cs="Arial" w:eastAsia="Arial" w:hAnsi="Arial"/>
          <w:sz w:val="21"/>
          <w:szCs w:val="21"/>
          <w:i w:val="1"/>
          <w:iCs w:val="1"/>
          <w:color w:val="auto"/>
        </w:rPr>
        <w:t xml:space="preserve"> Section 11.10. Release of Guarantors</w:t>
      </w:r>
      <w:r>
        <w:rPr>
          <w:rFonts w:ascii="Arial" w:cs="Arial" w:eastAsia="Arial" w:hAnsi="Arial"/>
          <w:sz w:val="21"/>
          <w:szCs w:val="21"/>
          <w:i w:val="1"/>
          <w:iCs w:val="1"/>
          <w:color w:val="FF0000"/>
          <w:strike w:val="1"/>
        </w:rPr>
        <w:t>154</w:t>
      </w:r>
      <w:r>
        <w:rPr>
          <w:rFonts w:ascii="Arial" w:cs="Arial" w:eastAsia="Arial" w:hAnsi="Arial"/>
          <w:sz w:val="21"/>
          <w:szCs w:val="21"/>
          <w:b w:val="1"/>
          <w:bCs w:val="1"/>
          <w:i w:val="1"/>
          <w:iCs w:val="1"/>
          <w:u w:val="single" w:color="auto"/>
          <w:color w:val="0000FF"/>
        </w:rPr>
        <w:t>156</w:t>
      </w:r>
      <w:r>
        <w:rPr>
          <w:rFonts w:ascii="Arial" w:cs="Arial" w:eastAsia="Arial" w:hAnsi="Arial"/>
          <w:sz w:val="21"/>
          <w:szCs w:val="21"/>
          <w:i w:val="1"/>
          <w:iCs w:val="1"/>
          <w:color w:val="auto"/>
        </w:rPr>
        <w:t xml:space="preserve"> Section 11.11. Right of Contribution</w:t>
      </w:r>
      <w:r>
        <w:rPr>
          <w:rFonts w:ascii="Arial" w:cs="Arial" w:eastAsia="Arial" w:hAnsi="Arial"/>
          <w:sz w:val="21"/>
          <w:szCs w:val="21"/>
          <w:i w:val="1"/>
          <w:iCs w:val="1"/>
          <w:color w:val="FF0000"/>
          <w:strike w:val="1"/>
        </w:rPr>
        <w:t>155</w:t>
      </w:r>
      <w:r>
        <w:rPr>
          <w:rFonts w:ascii="Arial" w:cs="Arial" w:eastAsia="Arial" w:hAnsi="Arial"/>
          <w:sz w:val="21"/>
          <w:szCs w:val="21"/>
          <w:b w:val="1"/>
          <w:bCs w:val="1"/>
          <w:i w:val="1"/>
          <w:iCs w:val="1"/>
          <w:u w:val="single" w:color="auto"/>
          <w:color w:val="0000FF"/>
        </w:rPr>
        <w:t>156</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Section 11.12. Additional Guarantor Waivers and Agreements</w:t>
      </w:r>
      <w:r>
        <w:rPr>
          <w:rFonts w:ascii="Arial" w:cs="Arial" w:eastAsia="Arial" w:hAnsi="Arial"/>
          <w:sz w:val="19"/>
          <w:szCs w:val="19"/>
          <w:i w:val="1"/>
          <w:iCs w:val="1"/>
          <w:color w:val="FF0000"/>
          <w:strike w:val="1"/>
        </w:rPr>
        <w:t>155</w:t>
      </w:r>
      <w:r>
        <w:rPr>
          <w:rFonts w:ascii="Arial" w:cs="Arial" w:eastAsia="Arial" w:hAnsi="Arial"/>
          <w:sz w:val="19"/>
          <w:szCs w:val="19"/>
          <w:b w:val="1"/>
          <w:bCs w:val="1"/>
          <w:i w:val="1"/>
          <w:iCs w:val="1"/>
          <w:u w:val="single" w:color="auto"/>
          <w:color w:val="0000FF"/>
        </w:rPr>
        <w:t>157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SCHEDULES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1.01(a)</w:t>
            </w:r>
          </w:p>
        </w:tc>
        <w:tc>
          <w:tcPr>
            <w:tcW w:w="40" w:type="dxa"/>
            <w:vAlign w:val="bottom"/>
          </w:tcPr>
          <w:p>
            <w:pPr>
              <w:spacing w:after="0"/>
              <w:rPr>
                <w:sz w:val="21"/>
                <w:szCs w:val="21"/>
                <w:color w:val="auto"/>
              </w:rPr>
            </w:pPr>
          </w:p>
        </w:tc>
        <w:tc>
          <w:tcPr>
            <w:tcW w:w="5240" w:type="dxa"/>
            <w:vAlign w:val="bottom"/>
          </w:tcPr>
          <w:p>
            <w:pPr>
              <w:ind w:left="280"/>
              <w:spacing w:after="0"/>
              <w:rPr>
                <w:sz w:val="20"/>
                <w:szCs w:val="20"/>
                <w:color w:val="auto"/>
              </w:rPr>
            </w:pPr>
            <w:r>
              <w:rPr>
                <w:rFonts w:ascii="Arial" w:cs="Arial" w:eastAsia="Arial" w:hAnsi="Arial"/>
                <w:sz w:val="22"/>
                <w:szCs w:val="22"/>
                <w:color w:val="auto"/>
              </w:rPr>
              <w:t>Excluded Real Property</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1.01(b)</w:t>
            </w:r>
          </w:p>
        </w:tc>
        <w:tc>
          <w:tcPr>
            <w:tcW w:w="40" w:type="dxa"/>
            <w:vAlign w:val="bottom"/>
          </w:tcPr>
          <w:p>
            <w:pPr>
              <w:spacing w:after="0"/>
              <w:rPr>
                <w:sz w:val="21"/>
                <w:szCs w:val="21"/>
                <w:color w:val="auto"/>
              </w:rPr>
            </w:pPr>
          </w:p>
        </w:tc>
        <w:tc>
          <w:tcPr>
            <w:tcW w:w="5240" w:type="dxa"/>
            <w:vAlign w:val="bottom"/>
          </w:tcPr>
          <w:p>
            <w:pPr>
              <w:ind w:left="300"/>
              <w:spacing w:after="0" w:line="243" w:lineRule="exact"/>
              <w:rPr>
                <w:sz w:val="20"/>
                <w:szCs w:val="20"/>
                <w:color w:val="auto"/>
              </w:rPr>
            </w:pPr>
            <w:r>
              <w:rPr>
                <w:rFonts w:ascii="Arial" w:cs="Arial" w:eastAsia="Arial" w:hAnsi="Arial"/>
                <w:sz w:val="22"/>
                <w:szCs w:val="22"/>
                <w:color w:val="auto"/>
              </w:rPr>
              <w:t>Guarantors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1.01(c)</w:t>
            </w:r>
          </w:p>
        </w:tc>
        <w:tc>
          <w:tcPr>
            <w:tcW w:w="40" w:type="dxa"/>
            <w:vAlign w:val="bottom"/>
          </w:tcPr>
          <w:p>
            <w:pPr>
              <w:spacing w:after="0"/>
              <w:rPr>
                <w:sz w:val="21"/>
                <w:szCs w:val="21"/>
                <w:color w:val="auto"/>
              </w:rPr>
            </w:pPr>
          </w:p>
        </w:tc>
        <w:tc>
          <w:tcPr>
            <w:tcW w:w="5240" w:type="dxa"/>
            <w:vAlign w:val="bottom"/>
          </w:tcPr>
          <w:p>
            <w:pPr>
              <w:ind w:left="240"/>
              <w:spacing w:after="0" w:line="243" w:lineRule="exact"/>
              <w:rPr>
                <w:sz w:val="20"/>
                <w:szCs w:val="20"/>
                <w:color w:val="auto"/>
              </w:rPr>
            </w:pPr>
            <w:r>
              <w:rPr>
                <w:rFonts w:ascii="Arial" w:cs="Arial" w:eastAsia="Arial" w:hAnsi="Arial"/>
                <w:sz w:val="22"/>
                <w:szCs w:val="22"/>
                <w:color w:val="auto"/>
              </w:rPr>
              <w:t>Mortgaged Properties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1.01(d)</w:t>
            </w:r>
          </w:p>
        </w:tc>
        <w:tc>
          <w:tcPr>
            <w:tcW w:w="40" w:type="dxa"/>
            <w:vAlign w:val="bottom"/>
          </w:tcPr>
          <w:p>
            <w:pPr>
              <w:spacing w:after="0"/>
              <w:rPr>
                <w:sz w:val="21"/>
                <w:szCs w:val="21"/>
                <w:color w:val="auto"/>
              </w:rPr>
            </w:pPr>
          </w:p>
        </w:tc>
        <w:tc>
          <w:tcPr>
            <w:tcW w:w="5240" w:type="dxa"/>
            <w:vAlign w:val="bottom"/>
          </w:tcPr>
          <w:p>
            <w:pPr>
              <w:ind w:left="240"/>
              <w:spacing w:after="0" w:line="243" w:lineRule="exact"/>
              <w:rPr>
                <w:sz w:val="20"/>
                <w:szCs w:val="20"/>
                <w:color w:val="auto"/>
              </w:rPr>
            </w:pPr>
            <w:r>
              <w:rPr>
                <w:rFonts w:ascii="Arial" w:cs="Arial" w:eastAsia="Arial" w:hAnsi="Arial"/>
                <w:sz w:val="22"/>
                <w:szCs w:val="22"/>
                <w:color w:val="auto"/>
              </w:rPr>
              <w:t>Pension Fund Entities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2.01</w:t>
            </w:r>
          </w:p>
        </w:tc>
        <w:tc>
          <w:tcPr>
            <w:tcW w:w="40" w:type="dxa"/>
            <w:vAlign w:val="bottom"/>
          </w:tcPr>
          <w:p>
            <w:pPr>
              <w:spacing w:after="0"/>
              <w:rPr>
                <w:sz w:val="21"/>
                <w:szCs w:val="21"/>
                <w:color w:val="auto"/>
              </w:rPr>
            </w:pPr>
          </w:p>
        </w:tc>
        <w:tc>
          <w:tcPr>
            <w:tcW w:w="5240" w:type="dxa"/>
            <w:vAlign w:val="bottom"/>
          </w:tcPr>
          <w:p>
            <w:pPr>
              <w:spacing w:after="0" w:line="243" w:lineRule="exact"/>
              <w:rPr>
                <w:sz w:val="20"/>
                <w:szCs w:val="20"/>
                <w:color w:val="auto"/>
              </w:rPr>
            </w:pPr>
            <w:r>
              <w:rPr>
                <w:rFonts w:ascii="Arial" w:cs="Arial" w:eastAsia="Arial" w:hAnsi="Arial"/>
                <w:sz w:val="22"/>
                <w:szCs w:val="22"/>
                <w:color w:val="auto"/>
              </w:rPr>
              <w:t>Lenders and Commitments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4.02(b)</w:t>
            </w:r>
          </w:p>
        </w:tc>
        <w:tc>
          <w:tcPr>
            <w:tcW w:w="40" w:type="dxa"/>
            <w:vAlign w:val="bottom"/>
          </w:tcPr>
          <w:p>
            <w:pPr>
              <w:spacing w:after="0"/>
              <w:rPr>
                <w:sz w:val="21"/>
                <w:szCs w:val="21"/>
                <w:color w:val="auto"/>
              </w:rPr>
            </w:pPr>
          </w:p>
        </w:tc>
        <w:tc>
          <w:tcPr>
            <w:tcW w:w="5240" w:type="dxa"/>
            <w:vAlign w:val="bottom"/>
          </w:tcPr>
          <w:p>
            <w:pPr>
              <w:ind w:left="240"/>
              <w:spacing w:after="0" w:line="243" w:lineRule="exact"/>
              <w:rPr>
                <w:sz w:val="20"/>
                <w:szCs w:val="20"/>
                <w:color w:val="auto"/>
              </w:rPr>
            </w:pPr>
            <w:r>
              <w:rPr>
                <w:rFonts w:ascii="Arial" w:cs="Arial" w:eastAsia="Arial" w:hAnsi="Arial"/>
                <w:sz w:val="22"/>
                <w:szCs w:val="22"/>
                <w:color w:val="auto"/>
              </w:rPr>
              <w:t>Local Counsel Opinions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5.10(b)</w:t>
            </w:r>
          </w:p>
        </w:tc>
        <w:tc>
          <w:tcPr>
            <w:tcW w:w="40" w:type="dxa"/>
            <w:vAlign w:val="bottom"/>
          </w:tcPr>
          <w:p>
            <w:pPr>
              <w:spacing w:after="0"/>
              <w:rPr>
                <w:sz w:val="21"/>
                <w:szCs w:val="21"/>
                <w:color w:val="auto"/>
              </w:rPr>
            </w:pPr>
          </w:p>
        </w:tc>
        <w:tc>
          <w:tcPr>
            <w:tcW w:w="5240" w:type="dxa"/>
            <w:vAlign w:val="bottom"/>
          </w:tcPr>
          <w:p>
            <w:pPr>
              <w:ind w:left="240"/>
              <w:spacing w:after="0" w:line="243" w:lineRule="exact"/>
              <w:rPr>
                <w:sz w:val="20"/>
                <w:szCs w:val="20"/>
                <w:color w:val="auto"/>
              </w:rPr>
            </w:pPr>
            <w:r>
              <w:rPr>
                <w:rFonts w:ascii="Arial" w:cs="Arial" w:eastAsia="Arial" w:hAnsi="Arial"/>
                <w:sz w:val="22"/>
                <w:szCs w:val="22"/>
                <w:color w:val="auto"/>
              </w:rPr>
              <w:t>Multiemployer Plans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5.11</w:t>
            </w:r>
          </w:p>
        </w:tc>
        <w:tc>
          <w:tcPr>
            <w:tcW w:w="5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Subsidiaries and Other Equity Interests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5.14</w:t>
            </w:r>
          </w:p>
        </w:tc>
        <w:tc>
          <w:tcPr>
            <w:tcW w:w="40" w:type="dxa"/>
            <w:vAlign w:val="bottom"/>
          </w:tcPr>
          <w:p>
            <w:pPr>
              <w:spacing w:after="0"/>
              <w:rPr>
                <w:sz w:val="21"/>
                <w:szCs w:val="21"/>
                <w:color w:val="auto"/>
              </w:rPr>
            </w:pPr>
          </w:p>
        </w:tc>
        <w:tc>
          <w:tcPr>
            <w:tcW w:w="5240" w:type="dxa"/>
            <w:vAlign w:val="bottom"/>
          </w:tcPr>
          <w:p>
            <w:pPr>
              <w:spacing w:after="0" w:line="243" w:lineRule="exact"/>
              <w:rPr>
                <w:sz w:val="20"/>
                <w:szCs w:val="20"/>
                <w:color w:val="auto"/>
              </w:rPr>
            </w:pPr>
            <w:r>
              <w:rPr>
                <w:rFonts w:ascii="Arial" w:cs="Arial" w:eastAsia="Arial" w:hAnsi="Arial"/>
                <w:sz w:val="22"/>
                <w:szCs w:val="22"/>
                <w:color w:val="auto"/>
              </w:rPr>
              <w:t>Labor Matters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6.13(a)</w:t>
            </w:r>
          </w:p>
        </w:tc>
        <w:tc>
          <w:tcPr>
            <w:tcW w:w="40" w:type="dxa"/>
            <w:vAlign w:val="bottom"/>
          </w:tcPr>
          <w:p>
            <w:pPr>
              <w:spacing w:after="0"/>
              <w:rPr>
                <w:sz w:val="21"/>
                <w:szCs w:val="21"/>
                <w:color w:val="auto"/>
              </w:rPr>
            </w:pPr>
          </w:p>
        </w:tc>
        <w:tc>
          <w:tcPr>
            <w:tcW w:w="5240" w:type="dxa"/>
            <w:vAlign w:val="bottom"/>
          </w:tcPr>
          <w:p>
            <w:pPr>
              <w:ind w:left="280"/>
              <w:spacing w:after="0" w:line="243" w:lineRule="exact"/>
              <w:rPr>
                <w:sz w:val="20"/>
                <w:szCs w:val="20"/>
                <w:color w:val="auto"/>
              </w:rPr>
            </w:pPr>
            <w:r>
              <w:rPr>
                <w:rFonts w:ascii="Arial" w:cs="Arial" w:eastAsia="Arial" w:hAnsi="Arial"/>
                <w:sz w:val="22"/>
                <w:szCs w:val="22"/>
                <w:color w:val="auto"/>
              </w:rPr>
              <w:t>Post Closing Schedule</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7.01(b)</w:t>
            </w:r>
          </w:p>
        </w:tc>
        <w:tc>
          <w:tcPr>
            <w:tcW w:w="40" w:type="dxa"/>
            <w:vAlign w:val="bottom"/>
          </w:tcPr>
          <w:p>
            <w:pPr>
              <w:spacing w:after="0"/>
              <w:rPr>
                <w:sz w:val="21"/>
                <w:szCs w:val="21"/>
                <w:color w:val="auto"/>
              </w:rPr>
            </w:pPr>
          </w:p>
        </w:tc>
        <w:tc>
          <w:tcPr>
            <w:tcW w:w="5240" w:type="dxa"/>
            <w:vAlign w:val="bottom"/>
          </w:tcPr>
          <w:p>
            <w:pPr>
              <w:ind w:left="240"/>
              <w:spacing w:after="0" w:line="243" w:lineRule="exact"/>
              <w:rPr>
                <w:sz w:val="20"/>
                <w:szCs w:val="20"/>
                <w:color w:val="auto"/>
              </w:rPr>
            </w:pPr>
            <w:r>
              <w:rPr>
                <w:rFonts w:ascii="Arial" w:cs="Arial" w:eastAsia="Arial" w:hAnsi="Arial"/>
                <w:sz w:val="22"/>
                <w:szCs w:val="22"/>
                <w:color w:val="auto"/>
              </w:rPr>
              <w:t>Existing Liens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7.02(e)</w:t>
            </w:r>
          </w:p>
        </w:tc>
        <w:tc>
          <w:tcPr>
            <w:tcW w:w="40" w:type="dxa"/>
            <w:vAlign w:val="bottom"/>
          </w:tcPr>
          <w:p>
            <w:pPr>
              <w:spacing w:after="0"/>
              <w:rPr>
                <w:sz w:val="21"/>
                <w:szCs w:val="21"/>
                <w:color w:val="auto"/>
              </w:rPr>
            </w:pPr>
          </w:p>
        </w:tc>
        <w:tc>
          <w:tcPr>
            <w:tcW w:w="5240" w:type="dxa"/>
            <w:vAlign w:val="bottom"/>
          </w:tcPr>
          <w:p>
            <w:pPr>
              <w:ind w:left="240"/>
              <w:spacing w:after="0" w:line="243" w:lineRule="exact"/>
              <w:rPr>
                <w:sz w:val="20"/>
                <w:szCs w:val="20"/>
                <w:color w:val="auto"/>
              </w:rPr>
            </w:pPr>
            <w:r>
              <w:rPr>
                <w:rFonts w:ascii="Arial" w:cs="Arial" w:eastAsia="Arial" w:hAnsi="Arial"/>
                <w:sz w:val="22"/>
                <w:szCs w:val="22"/>
                <w:color w:val="auto"/>
              </w:rPr>
              <w:t>Existing Investments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7.03(b)</w:t>
            </w:r>
          </w:p>
        </w:tc>
        <w:tc>
          <w:tcPr>
            <w:tcW w:w="40" w:type="dxa"/>
            <w:vAlign w:val="bottom"/>
          </w:tcPr>
          <w:p>
            <w:pPr>
              <w:spacing w:after="0"/>
              <w:rPr>
                <w:sz w:val="21"/>
                <w:szCs w:val="21"/>
                <w:color w:val="auto"/>
              </w:rPr>
            </w:pPr>
          </w:p>
        </w:tc>
        <w:tc>
          <w:tcPr>
            <w:tcW w:w="5240" w:type="dxa"/>
            <w:vAlign w:val="bottom"/>
          </w:tcPr>
          <w:p>
            <w:pPr>
              <w:ind w:left="240"/>
              <w:spacing w:after="0" w:line="243" w:lineRule="exact"/>
              <w:rPr>
                <w:sz w:val="20"/>
                <w:szCs w:val="20"/>
                <w:color w:val="auto"/>
              </w:rPr>
            </w:pPr>
            <w:r>
              <w:rPr>
                <w:rFonts w:ascii="Arial" w:cs="Arial" w:eastAsia="Arial" w:hAnsi="Arial"/>
                <w:sz w:val="22"/>
                <w:szCs w:val="22"/>
                <w:color w:val="auto"/>
              </w:rPr>
              <w:t>Existing Indebtedness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7.08</w:t>
            </w:r>
          </w:p>
        </w:tc>
        <w:tc>
          <w:tcPr>
            <w:tcW w:w="40" w:type="dxa"/>
            <w:vAlign w:val="bottom"/>
          </w:tcPr>
          <w:p>
            <w:pPr>
              <w:spacing w:after="0"/>
              <w:rPr>
                <w:sz w:val="21"/>
                <w:szCs w:val="21"/>
                <w:color w:val="auto"/>
              </w:rPr>
            </w:pPr>
          </w:p>
        </w:tc>
        <w:tc>
          <w:tcPr>
            <w:tcW w:w="5240" w:type="dxa"/>
            <w:vAlign w:val="bottom"/>
          </w:tcPr>
          <w:p>
            <w:pPr>
              <w:spacing w:after="0" w:line="243" w:lineRule="exact"/>
              <w:rPr>
                <w:sz w:val="20"/>
                <w:szCs w:val="20"/>
                <w:color w:val="auto"/>
              </w:rPr>
            </w:pPr>
            <w:r>
              <w:rPr>
                <w:rFonts w:ascii="Arial" w:cs="Arial" w:eastAsia="Arial" w:hAnsi="Arial"/>
                <w:sz w:val="22"/>
                <w:szCs w:val="22"/>
                <w:color w:val="auto"/>
              </w:rPr>
              <w:t>Transactions with Affiliates</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7.09</w:t>
            </w:r>
          </w:p>
        </w:tc>
        <w:tc>
          <w:tcPr>
            <w:tcW w:w="4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Certain Contractual Obligations</w:t>
            </w:r>
          </w:p>
        </w:tc>
      </w:tr>
      <w:tr>
        <w:trPr>
          <w:trHeight w:val="675"/>
        </w:trPr>
        <w:tc>
          <w:tcPr>
            <w:tcW w:w="1000" w:type="dxa"/>
            <w:vAlign w:val="bottom"/>
          </w:tcPr>
          <w:p>
            <w:pPr>
              <w:spacing w:after="0"/>
              <w:rPr>
                <w:sz w:val="20"/>
                <w:szCs w:val="20"/>
                <w:color w:val="auto"/>
              </w:rPr>
            </w:pPr>
            <w:r>
              <w:rPr>
                <w:rFonts w:ascii="Arial" w:cs="Arial" w:eastAsia="Arial" w:hAnsi="Arial"/>
                <w:sz w:val="22"/>
                <w:szCs w:val="22"/>
                <w:color w:val="auto"/>
                <w:w w:val="97"/>
              </w:rPr>
              <w:t>EXHIBITS</w:t>
            </w:r>
          </w:p>
        </w:tc>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428"/>
        </w:trPr>
        <w:tc>
          <w:tcPr>
            <w:tcW w:w="1000" w:type="dxa"/>
            <w:vAlign w:val="bottom"/>
          </w:tcPr>
          <w:p>
            <w:pPr>
              <w:spacing w:after="0"/>
              <w:rPr>
                <w:sz w:val="20"/>
                <w:szCs w:val="20"/>
                <w:color w:val="auto"/>
              </w:rPr>
            </w:pPr>
            <w:r>
              <w:rPr>
                <w:rFonts w:ascii="Arial" w:cs="Arial" w:eastAsia="Arial" w:hAnsi="Arial"/>
                <w:sz w:val="22"/>
                <w:szCs w:val="22"/>
                <w:color w:val="auto"/>
              </w:rPr>
              <w:t>Exhibit A</w:t>
            </w:r>
          </w:p>
        </w:tc>
        <w:tc>
          <w:tcPr>
            <w:tcW w:w="4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22"/>
                <w:szCs w:val="22"/>
                <w:color w:val="auto"/>
              </w:rPr>
              <w:t>Form of Administrative Questionnaire</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40" w:type="dxa"/>
            <w:vAlign w:val="bottom"/>
          </w:tcPr>
          <w:p>
            <w:pPr>
              <w:spacing w:after="0"/>
              <w:rPr>
                <w:sz w:val="21"/>
                <w:szCs w:val="21"/>
                <w:color w:val="auto"/>
              </w:rPr>
            </w:pPr>
          </w:p>
        </w:tc>
        <w:tc>
          <w:tcPr>
            <w:tcW w:w="5240" w:type="dxa"/>
            <w:vAlign w:val="bottom"/>
          </w:tcPr>
          <w:p>
            <w:pPr>
              <w:ind w:left="460"/>
              <w:spacing w:after="0" w:line="243" w:lineRule="exact"/>
              <w:rPr>
                <w:sz w:val="20"/>
                <w:szCs w:val="20"/>
                <w:color w:val="auto"/>
              </w:rPr>
            </w:pPr>
            <w:r>
              <w:rPr>
                <w:rFonts w:ascii="Arial" w:cs="Arial" w:eastAsia="Arial" w:hAnsi="Arial"/>
                <w:sz w:val="22"/>
                <w:szCs w:val="22"/>
                <w:color w:val="auto"/>
              </w:rPr>
              <w:t>Form of Assignment and Acceptance</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C</w:t>
            </w:r>
          </w:p>
        </w:tc>
        <w:tc>
          <w:tcPr>
            <w:tcW w:w="40" w:type="dxa"/>
            <w:vAlign w:val="bottom"/>
          </w:tcPr>
          <w:p>
            <w:pPr>
              <w:spacing w:after="0"/>
              <w:rPr>
                <w:sz w:val="21"/>
                <w:szCs w:val="21"/>
                <w:color w:val="auto"/>
              </w:rPr>
            </w:pPr>
          </w:p>
        </w:tc>
        <w:tc>
          <w:tcPr>
            <w:tcW w:w="5240" w:type="dxa"/>
            <w:vAlign w:val="bottom"/>
          </w:tcPr>
          <w:p>
            <w:pPr>
              <w:ind w:left="460"/>
              <w:spacing w:after="0" w:line="243" w:lineRule="exact"/>
              <w:rPr>
                <w:sz w:val="20"/>
                <w:szCs w:val="20"/>
                <w:color w:val="auto"/>
              </w:rPr>
            </w:pPr>
            <w:r>
              <w:rPr>
                <w:rFonts w:ascii="Arial" w:cs="Arial" w:eastAsia="Arial" w:hAnsi="Arial"/>
                <w:sz w:val="22"/>
                <w:szCs w:val="22"/>
                <w:color w:val="auto"/>
              </w:rPr>
              <w:t>Form of Request for Credit Extension</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D</w:t>
            </w:r>
          </w:p>
        </w:tc>
        <w:tc>
          <w:tcPr>
            <w:tcW w:w="40" w:type="dxa"/>
            <w:vAlign w:val="bottom"/>
          </w:tcPr>
          <w:p>
            <w:pPr>
              <w:spacing w:after="0"/>
              <w:rPr>
                <w:sz w:val="21"/>
                <w:szCs w:val="21"/>
                <w:color w:val="auto"/>
              </w:rPr>
            </w:pPr>
          </w:p>
        </w:tc>
        <w:tc>
          <w:tcPr>
            <w:tcW w:w="5240" w:type="dxa"/>
            <w:vAlign w:val="bottom"/>
          </w:tcPr>
          <w:p>
            <w:pPr>
              <w:ind w:left="460"/>
              <w:spacing w:after="0" w:line="243" w:lineRule="exact"/>
              <w:rPr>
                <w:sz w:val="20"/>
                <w:szCs w:val="20"/>
                <w:color w:val="auto"/>
              </w:rPr>
            </w:pPr>
            <w:r>
              <w:rPr>
                <w:rFonts w:ascii="Arial" w:cs="Arial" w:eastAsia="Arial" w:hAnsi="Arial"/>
                <w:sz w:val="22"/>
                <w:szCs w:val="22"/>
                <w:color w:val="auto"/>
              </w:rPr>
              <w:t>[Reserved]</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E</w:t>
            </w:r>
          </w:p>
        </w:tc>
        <w:tc>
          <w:tcPr>
            <w:tcW w:w="40" w:type="dxa"/>
            <w:vAlign w:val="bottom"/>
          </w:tcPr>
          <w:p>
            <w:pPr>
              <w:spacing w:after="0"/>
              <w:rPr>
                <w:sz w:val="21"/>
                <w:szCs w:val="21"/>
                <w:color w:val="auto"/>
              </w:rPr>
            </w:pPr>
          </w:p>
        </w:tc>
        <w:tc>
          <w:tcPr>
            <w:tcW w:w="5240" w:type="dxa"/>
            <w:vAlign w:val="bottom"/>
          </w:tcPr>
          <w:p>
            <w:pPr>
              <w:ind w:left="440"/>
              <w:spacing w:after="0" w:line="243" w:lineRule="exact"/>
              <w:rPr>
                <w:sz w:val="20"/>
                <w:szCs w:val="20"/>
                <w:color w:val="auto"/>
              </w:rPr>
            </w:pPr>
            <w:r>
              <w:rPr>
                <w:rFonts w:ascii="Arial" w:cs="Arial" w:eastAsia="Arial" w:hAnsi="Arial"/>
                <w:sz w:val="22"/>
                <w:szCs w:val="22"/>
                <w:color w:val="auto"/>
              </w:rPr>
              <w:t>Form of Intercompany Note</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F</w:t>
            </w:r>
          </w:p>
        </w:tc>
        <w:tc>
          <w:tcPr>
            <w:tcW w:w="40" w:type="dxa"/>
            <w:vAlign w:val="bottom"/>
          </w:tcPr>
          <w:p>
            <w:pPr>
              <w:spacing w:after="0"/>
              <w:rPr>
                <w:sz w:val="21"/>
                <w:szCs w:val="21"/>
                <w:color w:val="auto"/>
              </w:rPr>
            </w:pPr>
          </w:p>
        </w:tc>
        <w:tc>
          <w:tcPr>
            <w:tcW w:w="5240" w:type="dxa"/>
            <w:vAlign w:val="bottom"/>
          </w:tcPr>
          <w:p>
            <w:pPr>
              <w:ind w:left="420"/>
              <w:spacing w:after="0" w:line="243" w:lineRule="exact"/>
              <w:rPr>
                <w:sz w:val="20"/>
                <w:szCs w:val="20"/>
                <w:color w:val="auto"/>
              </w:rPr>
            </w:pPr>
            <w:r>
              <w:rPr>
                <w:rFonts w:ascii="Arial" w:cs="Arial" w:eastAsia="Arial" w:hAnsi="Arial"/>
                <w:sz w:val="22"/>
                <w:szCs w:val="22"/>
                <w:color w:val="auto"/>
              </w:rPr>
              <w:t>Form of Compliance Certificate</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color w:val="auto"/>
                <w:w w:val="93"/>
              </w:rPr>
              <w:t>Exhibit G-1</w:t>
            </w: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w w:val="93"/>
              </w:rPr>
              <w:t>Form of United States Tax Compliance Certificate</w:t>
            </w:r>
          </w:p>
        </w:tc>
      </w:tr>
      <w:tr>
        <w:trPr>
          <w:trHeight w:val="243"/>
        </w:trPr>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w w:val="95"/>
              </w:rPr>
              <w:t>(For Non-U.S. Lenders that are not Partnerships)</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color w:val="auto"/>
                <w:w w:val="93"/>
              </w:rPr>
              <w:t>Exhibit G-2</w:t>
            </w: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w w:val="93"/>
              </w:rPr>
              <w:t>Form of United States Tax Compliance Certificate</w:t>
            </w:r>
          </w:p>
        </w:tc>
      </w:tr>
      <w:tr>
        <w:trPr>
          <w:trHeight w:val="243"/>
        </w:trPr>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rPr>
              <w:t>(For Non-U.S. Lenders that are Partnerships)</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color w:val="auto"/>
                <w:w w:val="93"/>
              </w:rPr>
              <w:t>Exhibit G-3</w:t>
            </w: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w w:val="93"/>
              </w:rPr>
              <w:t>Form of United States Tax Compliance Certificate</w:t>
            </w:r>
          </w:p>
        </w:tc>
      </w:tr>
      <w:tr>
        <w:trPr>
          <w:trHeight w:val="243"/>
        </w:trPr>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w w:val="88"/>
              </w:rPr>
              <w:t>(For Non-U.S. Participants that are not Partnerships)</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color w:val="auto"/>
                <w:w w:val="93"/>
              </w:rPr>
              <w:t>Exhibit G-4</w:t>
            </w: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w w:val="93"/>
              </w:rPr>
              <w:t>Form of United States Tax Compliance Certificate</w:t>
            </w:r>
          </w:p>
        </w:tc>
      </w:tr>
      <w:tr>
        <w:trPr>
          <w:trHeight w:val="243"/>
        </w:trPr>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40" w:type="dxa"/>
            <w:vAlign w:val="bottom"/>
          </w:tcPr>
          <w:p>
            <w:pPr>
              <w:ind w:left="680"/>
              <w:spacing w:after="0" w:line="243" w:lineRule="exact"/>
              <w:rPr>
                <w:sz w:val="20"/>
                <w:szCs w:val="20"/>
                <w:color w:val="auto"/>
              </w:rPr>
            </w:pPr>
            <w:r>
              <w:rPr>
                <w:rFonts w:ascii="Arial" w:cs="Arial" w:eastAsia="Arial" w:hAnsi="Arial"/>
                <w:sz w:val="22"/>
                <w:szCs w:val="22"/>
                <w:color w:val="auto"/>
                <w:w w:val="95"/>
              </w:rPr>
              <w:t>(For Non-U.S. Participants that are Partnerships)</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H</w:t>
            </w:r>
          </w:p>
        </w:tc>
        <w:tc>
          <w:tcPr>
            <w:tcW w:w="40" w:type="dxa"/>
            <w:vAlign w:val="bottom"/>
          </w:tcPr>
          <w:p>
            <w:pPr>
              <w:spacing w:after="0"/>
              <w:rPr>
                <w:sz w:val="21"/>
                <w:szCs w:val="21"/>
                <w:color w:val="auto"/>
              </w:rPr>
            </w:pPr>
          </w:p>
        </w:tc>
        <w:tc>
          <w:tcPr>
            <w:tcW w:w="5240" w:type="dxa"/>
            <w:vAlign w:val="bottom"/>
          </w:tcPr>
          <w:p>
            <w:pPr>
              <w:ind w:left="460"/>
              <w:spacing w:after="0" w:line="243" w:lineRule="exact"/>
              <w:rPr>
                <w:sz w:val="20"/>
                <w:szCs w:val="20"/>
                <w:color w:val="auto"/>
              </w:rPr>
            </w:pPr>
            <w:r>
              <w:rPr>
                <w:rFonts w:ascii="Arial" w:cs="Arial" w:eastAsia="Arial" w:hAnsi="Arial"/>
                <w:sz w:val="22"/>
                <w:szCs w:val="22"/>
                <w:color w:val="auto"/>
              </w:rPr>
              <w:t>Form of Solvency Certificate</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I</w:t>
            </w:r>
          </w:p>
        </w:tc>
        <w:tc>
          <w:tcPr>
            <w:tcW w:w="40" w:type="dxa"/>
            <w:vAlign w:val="bottom"/>
          </w:tcPr>
          <w:p>
            <w:pPr>
              <w:spacing w:after="0"/>
              <w:rPr>
                <w:sz w:val="21"/>
                <w:szCs w:val="21"/>
                <w:color w:val="auto"/>
              </w:rPr>
            </w:pPr>
          </w:p>
        </w:tc>
        <w:tc>
          <w:tcPr>
            <w:tcW w:w="5240" w:type="dxa"/>
            <w:vAlign w:val="bottom"/>
          </w:tcPr>
          <w:p>
            <w:pPr>
              <w:ind w:left="380"/>
              <w:spacing w:after="0" w:line="243" w:lineRule="exact"/>
              <w:rPr>
                <w:sz w:val="20"/>
                <w:szCs w:val="20"/>
                <w:color w:val="auto"/>
              </w:rPr>
            </w:pPr>
            <w:r>
              <w:rPr>
                <w:rFonts w:ascii="Arial" w:cs="Arial" w:eastAsia="Arial" w:hAnsi="Arial"/>
                <w:sz w:val="22"/>
                <w:szCs w:val="22"/>
                <w:color w:val="auto"/>
              </w:rPr>
              <w:t>[Reserved]</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Exhibit J</w:t>
            </w:r>
          </w:p>
        </w:tc>
        <w:tc>
          <w:tcPr>
            <w:tcW w:w="40" w:type="dxa"/>
            <w:vAlign w:val="bottom"/>
          </w:tcPr>
          <w:p>
            <w:pPr>
              <w:spacing w:after="0"/>
              <w:rPr>
                <w:sz w:val="21"/>
                <w:szCs w:val="21"/>
                <w:color w:val="auto"/>
              </w:rPr>
            </w:pPr>
          </w:p>
        </w:tc>
        <w:tc>
          <w:tcPr>
            <w:tcW w:w="5240" w:type="dxa"/>
            <w:vAlign w:val="bottom"/>
          </w:tcPr>
          <w:p>
            <w:pPr>
              <w:ind w:left="400"/>
              <w:spacing w:after="0" w:line="243" w:lineRule="exact"/>
              <w:rPr>
                <w:sz w:val="20"/>
                <w:szCs w:val="20"/>
                <w:color w:val="auto"/>
              </w:rPr>
            </w:pPr>
            <w:r>
              <w:rPr>
                <w:rFonts w:ascii="Arial" w:cs="Arial" w:eastAsia="Arial" w:hAnsi="Arial"/>
                <w:sz w:val="22"/>
                <w:szCs w:val="22"/>
                <w:color w:val="auto"/>
              </w:rPr>
              <w:t>Form of Term Note</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Exhibit K</w:t>
            </w:r>
          </w:p>
        </w:tc>
        <w:tc>
          <w:tcPr>
            <w:tcW w:w="40" w:type="dxa"/>
            <w:vAlign w:val="bottom"/>
          </w:tcPr>
          <w:p>
            <w:pPr>
              <w:spacing w:after="0"/>
              <w:rPr>
                <w:sz w:val="23"/>
                <w:szCs w:val="23"/>
                <w:color w:val="auto"/>
              </w:rPr>
            </w:pPr>
          </w:p>
        </w:tc>
        <w:tc>
          <w:tcPr>
            <w:tcW w:w="5240" w:type="dxa"/>
            <w:vAlign w:val="bottom"/>
          </w:tcPr>
          <w:p>
            <w:pPr>
              <w:ind w:left="460"/>
              <w:spacing w:after="0"/>
              <w:rPr>
                <w:sz w:val="20"/>
                <w:szCs w:val="20"/>
                <w:color w:val="auto"/>
              </w:rPr>
            </w:pPr>
            <w:r>
              <w:rPr>
                <w:rFonts w:ascii="Arial" w:cs="Arial" w:eastAsia="Arial" w:hAnsi="Arial"/>
                <w:sz w:val="22"/>
                <w:szCs w:val="22"/>
                <w:color w:val="auto"/>
              </w:rPr>
              <w:t>Auction Procedures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57" w:name="page58"/>
    <w:bookmarkEnd w:id="57"/>
    <w:p>
      <w:pPr>
        <w:jc w:val="both"/>
        <w:ind w:firstLine="864"/>
        <w:spacing w:after="0" w:line="280" w:lineRule="auto"/>
        <w:rPr>
          <w:sz w:val="20"/>
          <w:szCs w:val="20"/>
          <w:color w:val="auto"/>
        </w:rPr>
      </w:pPr>
      <w:r>
        <w:rPr>
          <w:rFonts w:ascii="Arial" w:cs="Arial" w:eastAsia="Arial" w:hAnsi="Arial"/>
          <w:sz w:val="19"/>
          <w:szCs w:val="19"/>
          <w:color w:val="auto"/>
        </w:rPr>
        <w:t>AMENDED AND RESTATED CREDIT AGREEMENT, dated as of September 11, 2019 (</w:t>
      </w:r>
      <w:r>
        <w:rPr>
          <w:rFonts w:ascii="Arial" w:cs="Arial" w:eastAsia="Arial" w:hAnsi="Arial"/>
          <w:sz w:val="19"/>
          <w:szCs w:val="19"/>
          <w:b w:val="1"/>
          <w:bCs w:val="1"/>
          <w:u w:val="single" w:color="auto"/>
          <w:color w:val="0000FF"/>
        </w:rPr>
        <w:t>as amended by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Amendment No. 1,</w:t>
      </w:r>
      <w:r>
        <w:rPr>
          <w:rFonts w:ascii="Arial" w:cs="Arial" w:eastAsia="Arial" w:hAnsi="Arial"/>
          <w:sz w:val="19"/>
          <w:szCs w:val="19"/>
          <w:b w:val="1"/>
          <w:bCs w:val="1"/>
          <w:color w:val="0000FF"/>
        </w:rPr>
        <w:t xml:space="preserve"> </w:t>
      </w:r>
      <w:r>
        <w:rPr>
          <w:rFonts w:ascii="Arial" w:cs="Arial" w:eastAsia="Arial" w:hAnsi="Arial"/>
          <w:sz w:val="19"/>
          <w:szCs w:val="19"/>
          <w:color w:val="000000"/>
        </w:rPr>
        <w:t>this “</w:t>
      </w:r>
      <w:r>
        <w:rPr>
          <w:rFonts w:ascii="Arial" w:cs="Arial" w:eastAsia="Arial" w:hAnsi="Arial"/>
          <w:sz w:val="19"/>
          <w:szCs w:val="19"/>
          <w:b w:val="1"/>
          <w:bCs w:val="1"/>
          <w:color w:val="000000"/>
        </w:rPr>
        <w:t>Agreement</w:t>
      </w:r>
      <w:r>
        <w:rPr>
          <w:rFonts w:ascii="Arial" w:cs="Arial" w:eastAsia="Arial" w:hAnsi="Arial"/>
          <w:sz w:val="19"/>
          <w:szCs w:val="19"/>
          <w:color w:val="000000"/>
        </w:rPr>
        <w:t>”), among YRC WORLDWIDE INC., a Delaware corporation (the “</w:t>
      </w:r>
      <w:r>
        <w:rPr>
          <w:rFonts w:ascii="Arial" w:cs="Arial" w:eastAsia="Arial" w:hAnsi="Arial"/>
          <w:sz w:val="19"/>
          <w:szCs w:val="19"/>
          <w:b w:val="1"/>
          <w:bCs w:val="1"/>
          <w:color w:val="000000"/>
        </w:rPr>
        <w:t>Borrower</w:t>
      </w:r>
      <w:r>
        <w:rPr>
          <w:rFonts w:ascii="Arial" w:cs="Arial" w:eastAsia="Arial" w:hAnsi="Arial"/>
          <w:sz w:val="19"/>
          <w:szCs w:val="19"/>
          <w:color w:val="000000"/>
        </w:rPr>
        <w:t>”),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Guarantors party hereto from time to time, the Lenders (such term and each other capitalized term used but not defined in this introductory statement having the meaning given it in Article 1), and CORTLAND PRODUCTS CORP., as administrative agent (in such capacity, including any permitted successor or assign thereto, the “</w:t>
      </w:r>
      <w:r>
        <w:rPr>
          <w:rFonts w:ascii="Arial" w:cs="Arial" w:eastAsia="Arial" w:hAnsi="Arial"/>
          <w:sz w:val="19"/>
          <w:szCs w:val="19"/>
          <w:b w:val="1"/>
          <w:bCs w:val="1"/>
          <w:color w:val="000000"/>
        </w:rPr>
        <w:t>Administrative Agent</w:t>
      </w:r>
      <w:r>
        <w:rPr>
          <w:rFonts w:ascii="Arial" w:cs="Arial" w:eastAsia="Arial" w:hAnsi="Arial"/>
          <w:sz w:val="19"/>
          <w:szCs w:val="19"/>
          <w:color w:val="000000"/>
        </w:rPr>
        <w:t>”) and as collateral agent (in such capacity, including any permitted successor or assign thereto, the “</w:t>
      </w:r>
      <w:r>
        <w:rPr>
          <w:rFonts w:ascii="Arial" w:cs="Arial" w:eastAsia="Arial" w:hAnsi="Arial"/>
          <w:sz w:val="19"/>
          <w:szCs w:val="19"/>
          <w:b w:val="1"/>
          <w:bCs w:val="1"/>
          <w:color w:val="000000"/>
        </w:rPr>
        <w:t>Collateral Agent</w:t>
      </w:r>
      <w:r>
        <w:rPr>
          <w:rFonts w:ascii="Arial" w:cs="Arial" w:eastAsia="Arial" w:hAnsi="Arial"/>
          <w:sz w:val="19"/>
          <w:szCs w:val="19"/>
          <w:color w:val="000000"/>
        </w:rPr>
        <w:t>”) for the Lenders.</w:t>
      </w:r>
    </w:p>
    <w:p>
      <w:pPr>
        <w:spacing w:after="0" w:line="15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WHEREAS, the Borrower, the financial institutions party thereto and Credit Suisse AG, Cayman Islands Branch, as predecessor Administrative Agent and predecessor Collateral Agent, are parties to a Credit Agreement dated as of February 13, 2014 (as amendment, supplemented and modified and in effect on the Restatement Effective Date, the “</w:t>
      </w:r>
      <w:r>
        <w:rPr>
          <w:rFonts w:ascii="Arial" w:cs="Arial" w:eastAsia="Arial" w:hAnsi="Arial"/>
          <w:sz w:val="22"/>
          <w:szCs w:val="22"/>
          <w:b w:val="1"/>
          <w:bCs w:val="1"/>
          <w:color w:val="auto"/>
        </w:rPr>
        <w:t>Existing Credit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5"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WHEREAS, (i) the Borrower has requested that the Tranche B-2 Term Lenders (as defined below) make, and the Tranche B-2 Term Lenders have agreed to make subject to the conditions set forth herein, the Tranche B-2 Term Loans the proceeds of which shall be used to refinance the Term Loans outstanding under the Existing Credit Agreement in full (the “</w:t>
      </w:r>
      <w:r>
        <w:rPr>
          <w:rFonts w:ascii="Arial" w:cs="Arial" w:eastAsia="Arial" w:hAnsi="Arial"/>
          <w:sz w:val="19"/>
          <w:szCs w:val="19"/>
          <w:b w:val="1"/>
          <w:bCs w:val="1"/>
          <w:color w:val="auto"/>
        </w:rPr>
        <w:t>Refinancing Transaction</w:t>
      </w:r>
      <w:r>
        <w:rPr>
          <w:rFonts w:ascii="Arial" w:cs="Arial" w:eastAsia="Arial" w:hAnsi="Arial"/>
          <w:sz w:val="19"/>
          <w:szCs w:val="19"/>
          <w:color w:val="auto"/>
        </w:rPr>
        <w:t>”), for working capital and other corporate purposes and (ii) in connection with the Refinancing Transaction, the Borrower and the other Loan Parties and the Tranche B-2 Term Lenders, have agreed to amend and restate the Existing Credit Agreement in its entirety pursuant to this Agreement (the “</w:t>
      </w:r>
      <w:r>
        <w:rPr>
          <w:rFonts w:ascii="Arial" w:cs="Arial" w:eastAsia="Arial" w:hAnsi="Arial"/>
          <w:sz w:val="19"/>
          <w:szCs w:val="19"/>
          <w:b w:val="1"/>
          <w:bCs w:val="1"/>
          <w:color w:val="auto"/>
        </w:rPr>
        <w:t>Restatement</w:t>
      </w:r>
      <w:r>
        <w:rPr>
          <w:rFonts w:ascii="Arial" w:cs="Arial" w:eastAsia="Arial" w:hAnsi="Arial"/>
          <w:sz w:val="19"/>
          <w:szCs w:val="19"/>
          <w:color w:val="auto"/>
        </w:rPr>
        <w:t>”).</w:t>
      </w:r>
    </w:p>
    <w:p>
      <w:pPr>
        <w:spacing w:after="0" w:line="150" w:lineRule="exact"/>
        <w:rPr>
          <w:sz w:val="20"/>
          <w:szCs w:val="20"/>
          <w:color w:val="auto"/>
        </w:rPr>
      </w:pPr>
    </w:p>
    <w:p>
      <w:pPr>
        <w:ind w:right="120" w:firstLine="864"/>
        <w:spacing w:after="0"/>
        <w:rPr>
          <w:sz w:val="20"/>
          <w:szCs w:val="20"/>
          <w:color w:val="auto"/>
        </w:rPr>
      </w:pPr>
      <w:r>
        <w:rPr>
          <w:rFonts w:ascii="Arial" w:cs="Arial" w:eastAsia="Arial" w:hAnsi="Arial"/>
          <w:sz w:val="22"/>
          <w:szCs w:val="22"/>
          <w:color w:val="auto"/>
        </w:rPr>
        <w:t>NOW, THEREFORE, for good and valuable consideration, the receipt and sufficiency of which are hereby acknowledged by the parties hereto, the parties hereto agree that the Existing Credit Agreement shall be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EFINITIONS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Defined Terms</w:t>
      </w:r>
    </w:p>
    <w:p>
      <w:pPr>
        <w:spacing w:after="0" w:line="206" w:lineRule="exact"/>
        <w:rPr>
          <w:sz w:val="20"/>
          <w:szCs w:val="20"/>
          <w:color w:val="auto"/>
        </w:rPr>
      </w:pPr>
    </w:p>
    <w:p>
      <w:pPr>
        <w:ind w:left="1040" w:hanging="168"/>
        <w:spacing w:after="0"/>
        <w:tabs>
          <w:tab w:leader="none" w:pos="1040" w:val="left"/>
        </w:tabs>
        <w:numPr>
          <w:ilvl w:val="0"/>
          <w:numId w:val="35"/>
        </w:numPr>
        <w:rPr>
          <w:rFonts w:ascii="Arial" w:cs="Arial" w:eastAsia="Arial" w:hAnsi="Arial"/>
          <w:sz w:val="22"/>
          <w:szCs w:val="22"/>
          <w:i w:val="1"/>
          <w:iCs w:val="1"/>
          <w:color w:val="auto"/>
        </w:rPr>
      </w:pPr>
      <w:r>
        <w:rPr>
          <w:rFonts w:ascii="Arial" w:cs="Arial" w:eastAsia="Arial" w:hAnsi="Arial"/>
          <w:sz w:val="22"/>
          <w:szCs w:val="22"/>
          <w:color w:val="auto"/>
        </w:rPr>
        <w:t>As used in this Agreement, the following terms shall have the meanings specified below:</w:t>
      </w:r>
    </w:p>
    <w:p>
      <w:pPr>
        <w:spacing w:after="0" w:line="20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Agent</w:t>
      </w:r>
      <w:r>
        <w:rPr>
          <w:rFonts w:ascii="Arial" w:cs="Arial" w:eastAsia="Arial" w:hAnsi="Arial"/>
          <w:sz w:val="22"/>
          <w:szCs w:val="22"/>
          <w:color w:val="auto"/>
        </w:rPr>
        <w:t>” shall mean, as the context may require, Citizens Business Capital (a division of Citizens Asset Finance, Inc., a subsidiary of Citizens, N.A.), in its capacity as administrative agent under the ABL Facility Documentation, Citizens Business Capital (a division of Citizens Asset Finance, Inc., a subsidiary of Citizens, N.A.), in its capacity as collateral agent under the ABL Facility Documentation, such agents collectively or any permitted successor or assignee administrative agent or collateral agent under the ABL Facility Documentation.</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Credit Agreement</w:t>
      </w:r>
      <w:r>
        <w:rPr>
          <w:rFonts w:ascii="Arial" w:cs="Arial" w:eastAsia="Arial" w:hAnsi="Arial"/>
          <w:sz w:val="22"/>
          <w:szCs w:val="22"/>
          <w:color w:val="auto"/>
        </w:rPr>
        <w:t>” shall mean that certain asset-based revolving credit agreement dated as of the Original Closing Date, among the Borrower, YRC Inc., a Delaware corporation, USF Reddaway Inc., an Oregon corporation, USF Holland LLC, a Delaware limited liability company (as successor to USF Holland, Inc., a Michigan corporation) and New Penn Motor Express, LLC, a Delaware limited liability company (as successor to New Penn Motor Express, Inc., a Pennsylvania corporation), the other subsidiaries of the Borrower party thereto, the lenders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9"/>
          <w:szCs w:val="19"/>
          <w:color w:val="auto"/>
        </w:rPr>
        <w:t>party thereto and the ABL Agent, as amended by that certain Amendment No. 1, dated September 23, 2015, Amendment No. 2, dated June 28, 2016, Amendment No. 3 and Limited Consent, dated January 30, 2018, Amendment No. 4, dated February 12, 2019 and Amendment No. 5, dated September 11, 2019, and as the same may be further amended, restated, modified, supplemented, extended, renewed, restructured, refunded, replaced or refinanced from time to time in one or more agreements (in each case with the same or new lenders, institutional investors or agents and resulting in a financing that constitutes (or that would constitute if incurred as a new financing) a Permitted Refinancing of the ABL Facility Indebtedness), including any agreement extending the maturity thereof or otherwise restructuring all or any portion of the Indebtedness thereunder or increasing the amount loaned or issued thereunder or altering the maturity thereof), in each case as and to the extent permitted by this Agreement and, if applicable, the ABL Intercreditor Agreement</w:t>
      </w:r>
      <w:r>
        <w:rPr>
          <w:rFonts w:ascii="Arial" w:cs="Arial" w:eastAsia="Arial" w:hAnsi="Arial"/>
          <w:sz w:val="19"/>
          <w:szCs w:val="19"/>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that any such amendment, restatement,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modification supplement, extension, renewal, restructuring, refunding, replacement or refinancing shall be permitted hereunder only if not less than a majority of its aggregate commitments are provided by lenders who are third party commercial banks or other financial institutions that customarily provide asset based lending credit facilities and other financial institutions consented to by the Administrative Agent (such consent not to be unreasonably withheld or delayed).</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Facility</w:t>
      </w:r>
      <w:r>
        <w:rPr>
          <w:rFonts w:ascii="Arial" w:cs="Arial" w:eastAsia="Arial" w:hAnsi="Arial"/>
          <w:sz w:val="22"/>
          <w:szCs w:val="22"/>
          <w:color w:val="auto"/>
        </w:rPr>
        <w:t>” shall mean the asset-based revolving credit facility made available to the Borrower and certain of its Subsidiaries pursuant to the ABL Credit Agreement.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Facility Documentation</w:t>
      </w:r>
      <w:r>
        <w:rPr>
          <w:rFonts w:ascii="Arial" w:cs="Arial" w:eastAsia="Arial" w:hAnsi="Arial"/>
          <w:sz w:val="22"/>
          <w:szCs w:val="22"/>
          <w:color w:val="auto"/>
        </w:rPr>
        <w:t>” shall mean the ABL Credit Agreement and all security agreements, guarantees, pledge agreements and other agreements or instruments executed in connection therewith and including all “Loan Documents” (as defined in the ABL Credit Agreement) or similar term.</w:t>
      </w:r>
    </w:p>
    <w:p>
      <w:pPr>
        <w:spacing w:after="0" w:line="177"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ABL Facility Indebtedness</w:t>
      </w:r>
      <w:r>
        <w:rPr>
          <w:rFonts w:ascii="Arial" w:cs="Arial" w:eastAsia="Arial" w:hAnsi="Arial"/>
          <w:sz w:val="19"/>
          <w:szCs w:val="19"/>
          <w:color w:val="auto"/>
        </w:rPr>
        <w:t>” shall mean Indebtedness of the Borrower or any Restricted Subsidiary outstanding under the ABL Facility Documentation, including Bank Product Debt (as defined in the ABL Credit Agreement).</w:t>
      </w:r>
    </w:p>
    <w:p>
      <w:pPr>
        <w:spacing w:after="0" w:line="94"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ABL Intercreditor Agreement</w:t>
      </w:r>
      <w:r>
        <w:rPr>
          <w:rFonts w:ascii="Arial" w:cs="Arial" w:eastAsia="Arial" w:hAnsi="Arial"/>
          <w:sz w:val="19"/>
          <w:szCs w:val="19"/>
          <w:color w:val="auto"/>
        </w:rPr>
        <w:t>” shall mean the intercreditor agreement dated as of the Original Closing Date among the Administrative Agent and/or Collateral Agent, the ABL Agent and the Loan Parties, as amended by that Amendment No. 1 and Limited Waiver dated as of the Restatement Effective Date (the “</w:t>
      </w:r>
      <w:r>
        <w:rPr>
          <w:rFonts w:ascii="Arial" w:cs="Arial" w:eastAsia="Arial" w:hAnsi="Arial"/>
          <w:sz w:val="19"/>
          <w:szCs w:val="19"/>
          <w:b w:val="1"/>
          <w:bCs w:val="1"/>
          <w:color w:val="auto"/>
        </w:rPr>
        <w:t>ABL Intercreditor Amendment</w:t>
      </w:r>
      <w:r>
        <w:rPr>
          <w:rFonts w:ascii="Arial" w:cs="Arial" w:eastAsia="Arial" w:hAnsi="Arial"/>
          <w:sz w:val="19"/>
          <w:szCs w:val="19"/>
          <w:color w:val="auto"/>
        </w:rPr>
        <w:t>”), and as the same may be further amended, restated, modified, supplemented, extended, renewed, restructured, waived or replaced from time to time.</w:t>
      </w:r>
    </w:p>
    <w:p>
      <w:pPr>
        <w:spacing w:after="0" w:line="13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ABL Intercreditor Amendment</w:t>
      </w:r>
      <w:r>
        <w:rPr>
          <w:rFonts w:ascii="Arial" w:cs="Arial" w:eastAsia="Arial" w:hAnsi="Arial"/>
          <w:sz w:val="22"/>
          <w:szCs w:val="22"/>
          <w:color w:val="auto"/>
        </w:rPr>
        <w:t>” shall have the meaning assigned to such term in the definition of “ABL Intercreditor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ABL Priority Collateral</w:t>
      </w:r>
      <w:r>
        <w:rPr>
          <w:rFonts w:ascii="Arial" w:cs="Arial" w:eastAsia="Arial" w:hAnsi="Arial"/>
          <w:sz w:val="21"/>
          <w:szCs w:val="21"/>
          <w:color w:val="auto"/>
        </w:rPr>
        <w:t>” shall have the meaning assigned to such term in the ABL Intercreditor Agreement.</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ABL Secured Parties</w:t>
      </w:r>
      <w:r>
        <w:rPr>
          <w:rFonts w:ascii="Arial" w:cs="Arial" w:eastAsia="Arial" w:hAnsi="Arial"/>
          <w:sz w:val="21"/>
          <w:szCs w:val="21"/>
          <w:color w:val="auto"/>
        </w:rPr>
        <w:t>” shall have the meaning assigned to such term in the ABL Intercreditor Agreement.</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w:t>
      </w:r>
      <w:r>
        <w:rPr>
          <w:rFonts w:ascii="Arial" w:cs="Arial" w:eastAsia="Arial" w:hAnsi="Arial"/>
          <w:sz w:val="22"/>
          <w:szCs w:val="22"/>
          <w:color w:val="auto"/>
        </w:rPr>
        <w:t xml:space="preserve">” shall mean, with respect to any Refinancing Amendment or in respect of any bank, financial institution or investor not theretofor a Lender that agrees to provide an Other Term Loan pursuant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Administrative Agent shall have consented (not to be unreasonably withheld, conditioned or delayed) to such bank, financial institution or investor as would be required under </w:t>
      </w:r>
      <w:r>
        <w:rPr>
          <w:rFonts w:ascii="Arial" w:cs="Arial" w:eastAsia="Arial" w:hAnsi="Arial"/>
          <w:sz w:val="22"/>
          <w:szCs w:val="22"/>
          <w:u w:val="single" w:color="auto"/>
          <w:color w:val="auto"/>
        </w:rPr>
        <w:t>Section 10.04(b)</w:t>
      </w:r>
      <w:r>
        <w:rPr>
          <w:rFonts w:ascii="Arial" w:cs="Arial" w:eastAsia="Arial" w:hAnsi="Arial"/>
          <w:sz w:val="22"/>
          <w:szCs w:val="22"/>
          <w:color w:val="auto"/>
        </w:rPr>
        <w:t xml:space="preserve"> for an assignment of Loans to such bank, financial institution or investor.</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LIBO Rate</w:t>
      </w:r>
      <w:r>
        <w:rPr>
          <w:rFonts w:ascii="Arial" w:cs="Arial" w:eastAsia="Arial" w:hAnsi="Arial"/>
          <w:sz w:val="22"/>
          <w:szCs w:val="22"/>
          <w:color w:val="auto"/>
        </w:rPr>
        <w:t>” shall mean, with respect to any Eurodollar Borrowing for any Interest Period, an interest rate per annum equal to the greater of (a) 1.00% per annum and (b) the product of (i) the LIBO Rate in effect for such Interest Period and (ii) Statutory Reserves.</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Agent</w:t>
      </w:r>
      <w:r>
        <w:rPr>
          <w:rFonts w:ascii="Arial" w:cs="Arial" w:eastAsia="Arial" w:hAnsi="Arial"/>
          <w:sz w:val="21"/>
          <w:szCs w:val="21"/>
          <w:color w:val="auto"/>
        </w:rPr>
        <w:t xml:space="preserve">” shall have the meaning assigned to such term in the introductory statement to this Agreement, together with its successors and any replacement designated pursuant to </w:t>
      </w:r>
      <w:r>
        <w:rPr>
          <w:rFonts w:ascii="Arial" w:cs="Arial" w:eastAsia="Arial" w:hAnsi="Arial"/>
          <w:sz w:val="21"/>
          <w:szCs w:val="21"/>
          <w:u w:val="single" w:color="auto"/>
          <w:color w:val="auto"/>
        </w:rPr>
        <w:t>Article 9</w:t>
      </w:r>
      <w:r>
        <w:rPr>
          <w:rFonts w:ascii="Arial" w:cs="Arial" w:eastAsia="Arial" w:hAnsi="Arial"/>
          <w:sz w:val="21"/>
          <w:szCs w:val="21"/>
          <w:color w:val="auto"/>
        </w:rPr>
        <w:t xml:space="preserve"> of this Agreement.</w:t>
      </w:r>
    </w:p>
    <w:p>
      <w:pPr>
        <w:spacing w:after="0" w:line="13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 Fee Letter</w:t>
      </w:r>
      <w:r>
        <w:rPr>
          <w:rFonts w:ascii="Arial" w:cs="Arial" w:eastAsia="Arial" w:hAnsi="Arial"/>
          <w:sz w:val="22"/>
          <w:szCs w:val="22"/>
          <w:color w:val="auto"/>
        </w:rPr>
        <w:t>” means that certain fee letter dated as of the date hereof, by and between Borrower and Administrative Agent, as amended, amended and restated, supplemented, waived, replaced or otherwise modified from time to time.</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Agent’s Office</w:t>
      </w:r>
      <w:r>
        <w:rPr>
          <w:rFonts w:ascii="Arial" w:cs="Arial" w:eastAsia="Arial" w:hAnsi="Arial"/>
          <w:sz w:val="22"/>
          <w:szCs w:val="22"/>
          <w:color w:val="auto"/>
        </w:rPr>
        <w:t>” means the Administrative Agent’s office or account as it may from time to time designate, in writing, to the Borrower and each Lender.</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Questionnaire</w:t>
      </w:r>
      <w:r>
        <w:rPr>
          <w:rFonts w:ascii="Arial" w:cs="Arial" w:eastAsia="Arial" w:hAnsi="Arial"/>
          <w:sz w:val="22"/>
          <w:szCs w:val="22"/>
          <w:color w:val="auto"/>
        </w:rPr>
        <w:t xml:space="preserve">” shall mean an Administrative Questionnaire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or such other form as may be supplied from time to time by the Administrative Agent and approved by the Borrower (such approval not to be unreasonably withheld, conditioned or delayed).</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another Person that directly, or indirectly through one or more intermediaries, Controls or is Controlled by or is under common Control with the Person specified. “</w:t>
      </w:r>
      <w:r>
        <w:rPr>
          <w:rFonts w:ascii="Arial" w:cs="Arial" w:eastAsia="Arial" w:hAnsi="Arial"/>
          <w:sz w:val="22"/>
          <w:szCs w:val="22"/>
          <w:b w:val="1"/>
          <w:bCs w:val="1"/>
          <w:color w:val="auto"/>
        </w:rPr>
        <w:t>Control</w:t>
      </w:r>
      <w:r>
        <w:rPr>
          <w:rFonts w:ascii="Arial" w:cs="Arial" w:eastAsia="Arial" w:hAnsi="Arial"/>
          <w:sz w:val="22"/>
          <w:szCs w:val="22"/>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thereto.</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Indemnitees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10.05(b)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Agents</w:t>
      </w:r>
      <w:r>
        <w:rPr>
          <w:rFonts w:ascii="Arial" w:cs="Arial" w:eastAsia="Arial" w:hAnsi="Arial"/>
          <w:sz w:val="22"/>
          <w:szCs w:val="22"/>
          <w:color w:val="auto"/>
        </w:rPr>
        <w:t>” shall have the meaning assigned to such term in Article 9.</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have the meaning assigned to such term in the introductory statement to this Agreement.</w:t>
      </w:r>
    </w:p>
    <w:p>
      <w:pPr>
        <w:spacing w:after="0" w:line="21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Alternate Base Rate</w:t>
      </w:r>
      <w:r>
        <w:rPr>
          <w:rFonts w:ascii="Arial" w:cs="Arial" w:eastAsia="Arial" w:hAnsi="Arial"/>
          <w:sz w:val="22"/>
          <w:szCs w:val="22"/>
          <w:color w:val="auto"/>
        </w:rPr>
        <w:t>” shall mean, for any day, a rate per annum equal to the greatest of (a) the Prime Rate in effect on such day, (b) the Federal Funds Effective Rate in effect on such day plus 1/2 of 1% and (c) the Adjusted LIBO Rate for a one month Interest Period on such day (or if</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jc w:val="both"/>
        <w:spacing w:after="0" w:line="272" w:lineRule="auto"/>
        <w:rPr>
          <w:sz w:val="20"/>
          <w:szCs w:val="20"/>
          <w:color w:val="auto"/>
        </w:rPr>
      </w:pPr>
      <w:r>
        <w:rPr>
          <w:rFonts w:ascii="Arial" w:cs="Arial" w:eastAsia="Arial" w:hAnsi="Arial"/>
          <w:sz w:val="19"/>
          <w:szCs w:val="19"/>
          <w:color w:val="auto"/>
        </w:rPr>
        <w:t xml:space="preserve">such day is not a Business Day, the immediately preceding Business Day) plus 1.00%;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for the avoidance of doubt, the Adjusted LIBO Rate for any day shall be based on the rate published on the applicable Bloomberg LIBOR screen page determined on such day at approximately 11 a.m. (London time) for deposits in Dollars (as set forth by any service selected by the Administrative Agent that has been nominated by the ICE Benchmark Administration as an authorized vendor for the purpose of displaying such rates) and (ii) in no event shall the Alternate Base Rate be less than 2.00% per annum.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of the preceding sentence until the circumstances giving rise to such inability no longer exist. Any change in the Alternate Base Rate due to a change in the Prime Rate, the Federal Funds Effective Rate or the Adjusted LIBO Rate shall be effective on the effective date of such change in the Prime Rate, the Federal Funds Effective Rate or the Adjusted LIBO Rate, as the case may be.</w:t>
      </w:r>
    </w:p>
    <w:p>
      <w:pPr>
        <w:spacing w:after="0" w:line="200" w:lineRule="exact"/>
        <w:rPr>
          <w:sz w:val="20"/>
          <w:szCs w:val="20"/>
          <w:color w:val="auto"/>
        </w:rPr>
      </w:pPr>
    </w:p>
    <w:p>
      <w:pPr>
        <w:spacing w:after="0" w:line="20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Alternative Incremental Indebtedness</w:t>
      </w:r>
      <w:r>
        <w:rPr>
          <w:rFonts w:ascii="Arial" w:cs="Arial" w:eastAsia="Arial" w:hAnsi="Arial"/>
          <w:sz w:val="19"/>
          <w:szCs w:val="19"/>
          <w:color w:val="auto"/>
        </w:rPr>
        <w:t xml:space="preserve">” shall mean all Permitted Additional Debt incurred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7.03(p)</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aggregate principal amount at the time of the incurrence thereof (when taken together with any Alternative Incremental Indebtedness that has been incurred or will be incurred simultaneously therewith) shall not exceed the Maximum Incremental Facility Amount, (ii) the maturity date of such Alternative Incremental Indebtedness shall not be earlier than 91 days after the Latest Maturity Date (measured as of the date of incurrence of such Permitted Additional Debt), (iii) such Permitted Additional Debt shall have no amortization, (iv) such Alternative Incremental Indebtedness shall either rank junior in right of security with the Term Loans or be unsecured, (v) at the time of incurrence thereof, no Event of Default shall have occurred of be continuing or would result therefrom (provided that, to the extent the proceeds of such Alternative Incremental Indebtedness are to be used by the Borrower or any other Loan Party to finance, in whole or in part, any Permitted Acquisition, other permitted </w:t>
      </w:r>
      <w:r>
        <w:rPr>
          <w:rFonts w:ascii="Arial" w:cs="Arial" w:eastAsia="Arial" w:hAnsi="Arial"/>
          <w:sz w:val="19"/>
          <w:szCs w:val="19"/>
          <w:color w:val="FF0000"/>
          <w:strike w:val="1"/>
        </w:rPr>
        <w:t>acquisition or permitted</w:t>
      </w:r>
      <w:r>
        <w:rPr>
          <w:rFonts w:ascii="Arial" w:cs="Arial" w:eastAsia="Arial" w:hAnsi="Arial"/>
          <w:sz w:val="19"/>
          <w:szCs w:val="19"/>
          <w:color w:val="auto"/>
        </w:rPr>
        <w:t xml:space="preserve"> Investment in third parties that become Collateral (in each case including any such transaction that is subject to a letter of intent or purchase agreement) whose consummation is not conditioned on the availability of, or on obtaining, third party financing, then the effectiveness of such incurrence shall instead be subject solely to the absence of any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w:t>
      </w:r>
      <w:r>
        <w:rPr>
          <w:rFonts w:ascii="Arial" w:cs="Arial" w:eastAsia="Arial" w:hAnsi="Arial"/>
          <w:sz w:val="19"/>
          <w:szCs w:val="19"/>
          <w:u w:val="single" w:color="auto"/>
          <w:color w:val="auto"/>
        </w:rPr>
        <w:t>f</w:t>
      </w:r>
      <w:r>
        <w:rPr>
          <w:rFonts w:ascii="Arial" w:cs="Arial" w:eastAsia="Arial" w:hAnsi="Arial"/>
          <w:sz w:val="19"/>
          <w:szCs w:val="19"/>
          <w:color w:val="auto"/>
        </w:rPr>
        <w:t>)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after giving effect to such incurrence), and (vi) the proceeds of such Permitted Additional Debt shall be in the form of cash and used solely (i) first, to make the mandatory prepayments required under </w:t>
      </w:r>
      <w:r>
        <w:rPr>
          <w:rFonts w:ascii="Arial" w:cs="Arial" w:eastAsia="Arial" w:hAnsi="Arial"/>
          <w:sz w:val="19"/>
          <w:szCs w:val="19"/>
          <w:u w:val="single" w:color="auto"/>
          <w:color w:val="auto"/>
        </w:rPr>
        <w:t>Section 2.13(a)(iv)</w:t>
      </w:r>
      <w:r>
        <w:rPr>
          <w:rFonts w:ascii="Arial" w:cs="Arial" w:eastAsia="Arial" w:hAnsi="Arial"/>
          <w:sz w:val="19"/>
          <w:szCs w:val="19"/>
          <w:color w:val="auto"/>
        </w:rPr>
        <w:t>, and (ii) second, with the remaining proceeds, to finance Permitted Acquisitions and Investments in third parties that become Collateral (and not, for the avoidance of doubt, to pay, redeem, defease, acquire or otherwise satisfy any Indebtedness or pension obligations, other than Indebtedness of the third party target of such Permitted Acquisition or Investment in connection with the consummation of such Permitted Acquisition or Investment).</w:t>
      </w:r>
    </w:p>
    <w:p>
      <w:pPr>
        <w:spacing w:after="0" w:line="39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Alternative Interest Rate Election Event</w:t>
      </w:r>
      <w:r>
        <w:rPr>
          <w:rFonts w:ascii="Arial" w:cs="Arial" w:eastAsia="Arial" w:hAnsi="Arial"/>
          <w:sz w:val="21"/>
          <w:szCs w:val="21"/>
          <w:color w:val="auto"/>
        </w:rPr>
        <w:t xml:space="preserve">” shall have the meaning assigned to such term in </w:t>
      </w:r>
      <w:r>
        <w:rPr>
          <w:rFonts w:ascii="Arial" w:cs="Arial" w:eastAsia="Arial" w:hAnsi="Arial"/>
          <w:sz w:val="21"/>
          <w:szCs w:val="21"/>
          <w:u w:val="single" w:color="auto"/>
          <w:color w:val="auto"/>
        </w:rPr>
        <w:t>Section 10.24</w:t>
      </w:r>
      <w:r>
        <w:rPr>
          <w:rFonts w:ascii="Arial" w:cs="Arial" w:eastAsia="Arial" w:hAnsi="Arial"/>
          <w:sz w:val="21"/>
          <w:szCs w:val="21"/>
          <w:color w:val="auto"/>
        </w:rPr>
        <w:t>.</w:t>
      </w:r>
    </w:p>
    <w:p>
      <w:pPr>
        <w:spacing w:after="0" w:line="218" w:lineRule="exact"/>
        <w:rPr>
          <w:sz w:val="20"/>
          <w:szCs w:val="20"/>
          <w:color w:val="auto"/>
        </w:rPr>
      </w:pPr>
    </w:p>
    <w:p>
      <w:pPr>
        <w:jc w:val="both"/>
        <w:ind w:left="1740" w:firstLine="731"/>
        <w:spacing w:after="0" w:line="243" w:lineRule="auto"/>
        <w:rPr>
          <w:sz w:val="20"/>
          <w:szCs w:val="20"/>
          <w:color w:val="auto"/>
        </w:rPr>
      </w:pPr>
      <w:r>
        <w:rPr>
          <w:rFonts w:ascii="Arial" w:cs="Arial" w:eastAsia="Arial" w:hAnsi="Arial"/>
          <w:sz w:val="22"/>
          <w:szCs w:val="22"/>
          <w:b w:val="1"/>
          <w:bCs w:val="1"/>
          <w:u w:val="single" w:color="auto"/>
          <w:color w:val="0000FF"/>
        </w:rPr>
        <w:t>“Amendment No. 1” means that certain Amendment No. 1 to Amended and Restated Credit Agreement, dated as of the Amendment No. 1 Effective Date, by and among the Borrower, the “Guarantors” referred to on the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 w:name="page62"/>
    <w:bookmarkEnd w:id="61"/>
    <w:p>
      <w:pPr>
        <w:jc w:val="center"/>
        <w:ind w:right="200"/>
        <w:spacing w:after="0"/>
        <w:rPr>
          <w:sz w:val="20"/>
          <w:szCs w:val="20"/>
          <w:color w:val="auto"/>
        </w:rPr>
      </w:pPr>
      <w:r>
        <w:rPr>
          <w:rFonts w:ascii="Arial" w:cs="Arial" w:eastAsia="Arial" w:hAnsi="Arial"/>
          <w:sz w:val="22"/>
          <w:szCs w:val="22"/>
          <w:b w:val="1"/>
          <w:bCs w:val="1"/>
          <w:u w:val="single" w:color="auto"/>
          <w:color w:val="0000FF"/>
        </w:rPr>
        <w:t>signature pages thereto, the Administrative Agent and the Lenders party thereto.</w:t>
      </w:r>
    </w:p>
    <w:p>
      <w:pPr>
        <w:spacing w:after="0" w:line="206" w:lineRule="exact"/>
        <w:rPr>
          <w:sz w:val="20"/>
          <w:szCs w:val="20"/>
          <w:color w:val="auto"/>
        </w:rPr>
      </w:pPr>
    </w:p>
    <w:p>
      <w:pPr>
        <w:ind w:left="1840" w:firstLine="731"/>
        <w:spacing w:after="0" w:line="256" w:lineRule="auto"/>
        <w:rPr>
          <w:sz w:val="20"/>
          <w:szCs w:val="20"/>
          <w:color w:val="auto"/>
        </w:rPr>
      </w:pPr>
      <w:r>
        <w:rPr>
          <w:rFonts w:ascii="Arial" w:cs="Arial" w:eastAsia="Arial" w:hAnsi="Arial"/>
          <w:sz w:val="22"/>
          <w:szCs w:val="22"/>
          <w:b w:val="1"/>
          <w:bCs w:val="1"/>
          <w:u w:val="single" w:color="auto"/>
          <w:color w:val="0000FF"/>
        </w:rPr>
        <w:t>“Amendment No. 1 Effective Date” means the date on which the conditions set forth in Section 2 of the Amendment No. 1 were satisfied, which date was April 7, 2020.</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2"/>
          <w:szCs w:val="22"/>
          <w:b w:val="1"/>
          <w:bCs w:val="1"/>
          <w:u w:val="single" w:color="auto"/>
          <w:color w:val="0000FF"/>
        </w:rPr>
        <w:t>“Anti-Cash Hoarding Sweep” shall have the meaning assigned to such term in Section 2.13(a)(vi).</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Apollo</w:t>
      </w:r>
      <w:r>
        <w:rPr>
          <w:rFonts w:ascii="Arial" w:cs="Arial" w:eastAsia="Arial" w:hAnsi="Arial"/>
          <w:sz w:val="19"/>
          <w:szCs w:val="19"/>
          <w:color w:val="auto"/>
        </w:rPr>
        <w:t>” means, collectively, Apollo Capital Management, L.P. and one or more funds and/or accounts managed by its</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affiliates.</w:t>
      </w:r>
    </w:p>
    <w:p>
      <w:pPr>
        <w:spacing w:after="0" w:line="182" w:lineRule="exact"/>
        <w:rPr>
          <w:sz w:val="20"/>
          <w:szCs w:val="20"/>
          <w:color w:val="auto"/>
        </w:rPr>
      </w:pPr>
    </w:p>
    <w:p>
      <w:pPr>
        <w:jc w:val="both"/>
        <w:ind w:left="100"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ECF Percentage</w:t>
      </w:r>
      <w:r>
        <w:rPr>
          <w:rFonts w:ascii="Arial" w:cs="Arial" w:eastAsia="Arial" w:hAnsi="Arial"/>
          <w:sz w:val="19"/>
          <w:szCs w:val="19"/>
          <w:color w:val="auto"/>
        </w:rPr>
        <w:t>” shall mean, for any Excess Cash Flow Period, (a) 75% if the Total Leverage Ratio as of the last day of such Excess Cash Flow Period is greater than 3.25:1.00, (b) 50% if the Total Leverage Ratio as of the last day of such Excess Cash Flow Period is less than or equal to 3.25:1.00 and greater than 3.00:1.00, (c) 25% if the Total Leverage Ratio as of the last day of such Excess Cash Flow Period is less than or equal to 3.00:1.00 but is greater than 2.50:1.00, and (d) 0% if the Total Leverage Ratio as of the last day of such Excess Cash Flow Period is less than or equal to 2.50:1.00.</w:t>
      </w:r>
    </w:p>
    <w:p>
      <w:pPr>
        <w:spacing w:after="0" w:line="143" w:lineRule="exact"/>
        <w:rPr>
          <w:sz w:val="20"/>
          <w:szCs w:val="20"/>
          <w:color w:val="auto"/>
        </w:rPr>
      </w:pPr>
    </w:p>
    <w:p>
      <w:pPr>
        <w:jc w:val="both"/>
        <w:ind w:left="100"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Margin</w:t>
      </w:r>
      <w:r>
        <w:rPr>
          <w:rFonts w:ascii="Arial" w:cs="Arial" w:eastAsia="Arial" w:hAnsi="Arial"/>
          <w:sz w:val="19"/>
          <w:szCs w:val="19"/>
          <w:color w:val="auto"/>
        </w:rPr>
        <w:t xml:space="preserve">” shall mean, with respect to any Loan, a percentage per annum equal to, (a) until delivery of financial statements and Compliance Certificate for the fiscal quarter ending September 30, 2019 pursuant to </w:t>
      </w:r>
      <w:r>
        <w:rPr>
          <w:rFonts w:ascii="Arial" w:cs="Arial" w:eastAsia="Arial" w:hAnsi="Arial"/>
          <w:sz w:val="19"/>
          <w:szCs w:val="19"/>
          <w:u w:val="single" w:color="auto"/>
          <w:color w:val="auto"/>
        </w:rPr>
        <w:t>Sections 6.01(b)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6.02(a)</w:t>
      </w:r>
      <w:r>
        <w:rPr>
          <w:rFonts w:ascii="Arial" w:cs="Arial" w:eastAsia="Arial" w:hAnsi="Arial"/>
          <w:sz w:val="19"/>
          <w:szCs w:val="19"/>
          <w:color w:val="auto"/>
        </w:rPr>
        <w:t xml:space="preserve">, (i) 7.50% per annum for Eurodollar Term Loans and (ii) 6.50% per annum for ABR Term Loans; and (b) thereafter, the percentages per annum set forth in the table below, based upon Consolidated EBITDA for the most recent Test Period as set forth in the most recent Compliance Certificate received by the Administrative Agent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1"/>
              </w:rPr>
              <w:t>Pricing</w:t>
            </w:r>
          </w:p>
        </w:tc>
        <w:tc>
          <w:tcPr>
            <w:tcW w:w="282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1"/>
              </w:rPr>
              <w:t>Consolidated EBITDA</w:t>
            </w:r>
          </w:p>
        </w:tc>
        <w:tc>
          <w:tcPr>
            <w:tcW w:w="278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6"/>
              </w:rPr>
              <w:t>ABR</w:t>
            </w:r>
          </w:p>
        </w:tc>
        <w:tc>
          <w:tcPr>
            <w:tcW w:w="284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0"/>
              </w:rPr>
              <w:t>Eurodollar Term Loans</w:t>
            </w:r>
          </w:p>
        </w:tc>
      </w:tr>
      <w:tr>
        <w:trPr>
          <w:trHeight w:val="270"/>
        </w:trPr>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Level</w:t>
            </w:r>
          </w:p>
        </w:tc>
        <w:tc>
          <w:tcPr>
            <w:tcW w:w="282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Term Loans</w:t>
            </w:r>
          </w:p>
        </w:tc>
        <w:tc>
          <w:tcPr>
            <w:tcW w:w="2840" w:type="dxa"/>
            <w:vAlign w:val="bottom"/>
            <w:tcBorders>
              <w:bottom w:val="single" w:sz="8" w:color="auto"/>
              <w:right w:val="single" w:sz="8" w:color="auto"/>
            </w:tcBorders>
          </w:tcPr>
          <w:p>
            <w:pPr>
              <w:spacing w:after="0"/>
              <w:rPr>
                <w:sz w:val="23"/>
                <w:szCs w:val="23"/>
                <w:color w:val="auto"/>
              </w:rPr>
            </w:pPr>
          </w:p>
        </w:tc>
      </w:tr>
      <w:tr>
        <w:trPr>
          <w:trHeight w:val="237"/>
        </w:trPr>
        <w:tc>
          <w:tcPr>
            <w:tcW w:w="2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I</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 $400,000,000</w:t>
            </w:r>
          </w:p>
        </w:tc>
        <w:tc>
          <w:tcPr>
            <w:tcW w:w="2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6.50%</w:t>
            </w:r>
          </w:p>
        </w:tc>
        <w:tc>
          <w:tcPr>
            <w:tcW w:w="2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7.50%</w:t>
            </w:r>
          </w:p>
        </w:tc>
      </w:tr>
      <w:tr>
        <w:trPr>
          <w:trHeight w:val="236"/>
        </w:trPr>
        <w:tc>
          <w:tcPr>
            <w:tcW w:w="2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II</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&gt; $400,000,000</w:t>
            </w:r>
          </w:p>
        </w:tc>
        <w:tc>
          <w:tcPr>
            <w:tcW w:w="2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5.50%</w:t>
            </w:r>
          </w:p>
        </w:tc>
        <w:tc>
          <w:tcPr>
            <w:tcW w:w="2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6.50%</w:t>
            </w:r>
          </w:p>
        </w:tc>
      </w:tr>
    </w:tbl>
    <w:p>
      <w:pPr>
        <w:spacing w:after="0" w:line="195" w:lineRule="exact"/>
        <w:rPr>
          <w:sz w:val="20"/>
          <w:szCs w:val="20"/>
          <w:color w:val="auto"/>
        </w:rPr>
      </w:pPr>
    </w:p>
    <w:p>
      <w:pPr>
        <w:jc w:val="both"/>
        <w:ind w:left="100" w:firstLine="864"/>
        <w:spacing w:after="0"/>
        <w:rPr>
          <w:sz w:val="20"/>
          <w:szCs w:val="20"/>
          <w:color w:val="auto"/>
        </w:rPr>
      </w:pPr>
      <w:r>
        <w:rPr>
          <w:rFonts w:ascii="Arial" w:cs="Arial" w:eastAsia="Arial" w:hAnsi="Arial"/>
          <w:sz w:val="22"/>
          <w:szCs w:val="22"/>
          <w:color w:val="auto"/>
        </w:rPr>
        <w:t xml:space="preserve">Any increase or decrease in the Applicable Margin resulting from a change in Consolidated EBITDA shall become effective as of the first Business Day immediately following the date a Compliance Certificate is delivered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6.02(a)</w:t>
      </w:r>
      <w:r>
        <w:rPr>
          <w:rFonts w:ascii="Arial" w:cs="Arial" w:eastAsia="Arial" w:hAnsi="Arial"/>
          <w:sz w:val="22"/>
          <w:szCs w:val="22"/>
          <w:color w:val="auto"/>
        </w:rPr>
        <w:t>.</w:t>
      </w:r>
    </w:p>
    <w:p>
      <w:pPr>
        <w:spacing w:after="0" w:line="186" w:lineRule="exact"/>
        <w:rPr>
          <w:sz w:val="20"/>
          <w:szCs w:val="20"/>
          <w:color w:val="auto"/>
        </w:rPr>
      </w:pPr>
    </w:p>
    <w:p>
      <w:pPr>
        <w:jc w:val="both"/>
        <w:ind w:left="100" w:firstLine="864"/>
        <w:spacing w:after="0" w:line="249" w:lineRule="auto"/>
        <w:rPr>
          <w:sz w:val="20"/>
          <w:szCs w:val="20"/>
          <w:color w:val="auto"/>
        </w:rPr>
      </w:pPr>
      <w:r>
        <w:rPr>
          <w:rFonts w:ascii="Arial" w:cs="Arial" w:eastAsia="Arial" w:hAnsi="Arial"/>
          <w:sz w:val="21"/>
          <w:szCs w:val="21"/>
          <w:color w:val="auto"/>
        </w:rPr>
        <w:t>In addition, at any time an Event of Default exists as a result of the Borrower failing to deliver the applicable Compliance Certificate, at the option of the Lenders having more than 50% of the sum of the outstanding Term Loans, Consolidated EBITDA shall be deemed to be in Pricing Level I solely for the purposes of determining the Applicable Margin (but only for so long as such failure continues, after which such ratio and the Pricing Level shall be determined based on Consolidated EBITDA as set forth in the most recently-delivered Compliance Certificate).</w:t>
      </w:r>
    </w:p>
    <w:p>
      <w:pPr>
        <w:spacing w:after="0" w:line="178" w:lineRule="exact"/>
        <w:rPr>
          <w:sz w:val="20"/>
          <w:szCs w:val="20"/>
          <w:color w:val="auto"/>
        </w:rPr>
      </w:pPr>
    </w:p>
    <w:p>
      <w:pPr>
        <w:jc w:val="both"/>
        <w:ind w:left="100" w:right="20" w:firstLine="864"/>
        <w:spacing w:after="0" w:line="250" w:lineRule="auto"/>
        <w:rPr>
          <w:sz w:val="20"/>
          <w:szCs w:val="20"/>
          <w:color w:val="auto"/>
        </w:rPr>
      </w:pPr>
      <w:r>
        <w:rPr>
          <w:rFonts w:ascii="Arial" w:cs="Arial" w:eastAsia="Arial" w:hAnsi="Arial"/>
          <w:sz w:val="22"/>
          <w:szCs w:val="22"/>
          <w:color w:val="auto"/>
        </w:rPr>
        <w:t xml:space="preserve">In the event that any financial statement or compliance certificate delivered pursuant to </w:t>
      </w:r>
      <w:r>
        <w:rPr>
          <w:rFonts w:ascii="Arial" w:cs="Arial" w:eastAsia="Arial" w:hAnsi="Arial"/>
          <w:sz w:val="22"/>
          <w:szCs w:val="22"/>
          <w:u w:val="single" w:color="auto"/>
          <w:color w:val="auto"/>
        </w:rPr>
        <w:t>Sections 6.01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6.02</w:t>
      </w:r>
      <w:r>
        <w:rPr>
          <w:rFonts w:ascii="Arial" w:cs="Arial" w:eastAsia="Arial" w:hAnsi="Arial"/>
          <w:sz w:val="22"/>
          <w:szCs w:val="22"/>
          <w:color w:val="auto"/>
        </w:rPr>
        <w:t xml:space="preserve"> is inaccurate (and this Agreement remains in effect when such inaccuracy is</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64135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220" w:top="328" w:right="339" w:bottom="1440" w:gutter="0" w:footer="0" w:header="0"/>
        </w:sectPr>
      </w:pPr>
    </w:p>
    <w:bookmarkStart w:id="62" w:name="page63"/>
    <w:bookmarkEnd w:id="62"/>
    <w:p>
      <w:pPr>
        <w:jc w:val="both"/>
        <w:spacing w:after="0" w:line="274" w:lineRule="auto"/>
        <w:rPr>
          <w:sz w:val="20"/>
          <w:szCs w:val="20"/>
          <w:color w:val="auto"/>
        </w:rPr>
      </w:pPr>
      <w:r>
        <w:rPr>
          <w:rFonts w:ascii="Arial" w:cs="Arial" w:eastAsia="Arial" w:hAnsi="Arial"/>
          <w:sz w:val="19"/>
          <w:szCs w:val="19"/>
          <w:color w:val="auto"/>
        </w:rPr>
        <w:t>discovered), and such inaccuracy, if corrected, would have led to the application of a higher Applicable Margin for any period (an “</w:t>
      </w:r>
      <w:r>
        <w:rPr>
          <w:rFonts w:ascii="Arial" w:cs="Arial" w:eastAsia="Arial" w:hAnsi="Arial"/>
          <w:sz w:val="19"/>
          <w:szCs w:val="19"/>
          <w:b w:val="1"/>
          <w:bCs w:val="1"/>
          <w:color w:val="auto"/>
        </w:rPr>
        <w:t>Applicable Period</w:t>
      </w:r>
      <w:r>
        <w:rPr>
          <w:rFonts w:ascii="Arial" w:cs="Arial" w:eastAsia="Arial" w:hAnsi="Arial"/>
          <w:sz w:val="19"/>
          <w:szCs w:val="19"/>
          <w:color w:val="auto"/>
        </w:rPr>
        <w:t xml:space="preserve">”) than the Applicable Margin applied for such Applicable Period, then (i) the Borrower shall promptly upon obtaining knowledge of such inaccuracy deliver to the Administrative Agent a corrected financial statement and a corrected compliance certificate for such Applicable Period, (ii) the Applicable Margin shall be determined based on the corrected financial statement and corrected compliance certificate for such Applicable Period and (iii) the Borrower shall promptly pay to the Administrative Agent (for the account of the Lenders during the Applicable Period or their successors and assigns) the accrued additional interest owing as a result of such increased Applicable Margin for such Applicable Period. This paragraph shall not limit the rights of the Administrative Agent or the Lenders with respect to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hereof. No Default or Event of Default shall arise or exist as a result of the initial non-payment of such amounts so long as the Borrower complies with this paragraph.</w:t>
      </w:r>
    </w:p>
    <w:p>
      <w:pPr>
        <w:spacing w:after="0" w:line="15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and Acceptance</w:t>
      </w:r>
      <w:r>
        <w:rPr>
          <w:rFonts w:ascii="Arial" w:cs="Arial" w:eastAsia="Arial" w:hAnsi="Arial"/>
          <w:sz w:val="22"/>
          <w:szCs w:val="22"/>
          <w:color w:val="auto"/>
        </w:rPr>
        <w:t xml:space="preserve">” shall mean an assignment and acceptance entered into by a Lender and an Eligible Assignee, and accepted by the Administrative Agent,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such other form as shall be approved by the Administrative Agent and the Borrower (such approval of the Borrower shall not be unreasonably withheld, conditioned or delayed).</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Attorney Costs</w:t>
      </w:r>
      <w:r>
        <w:rPr>
          <w:rFonts w:ascii="Arial" w:cs="Arial" w:eastAsia="Arial" w:hAnsi="Arial"/>
          <w:sz w:val="22"/>
          <w:szCs w:val="22"/>
          <w:color w:val="auto"/>
        </w:rPr>
        <w:t>” shall mean and shall include all reasonable and documented fees, expenses and disbursements of any law firm or other external legal counsel.</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Attributable Indebtedness</w:t>
      </w:r>
      <w:r>
        <w:rPr>
          <w:rFonts w:ascii="Arial" w:cs="Arial" w:eastAsia="Arial" w:hAnsi="Arial"/>
          <w:sz w:val="22"/>
          <w:szCs w:val="22"/>
          <w:color w:val="auto"/>
        </w:rPr>
        <w:t xml:space="preserve"> ” shall mean, on any date, in respect of any Capitalized Lease of any Person, the capitalized amount thereof that would appear on a balance sheet of such Person prepared as of such date in accordance with GAAP.</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Auction Procedures</w:t>
      </w:r>
      <w:r>
        <w:rPr>
          <w:rFonts w:ascii="Arial" w:cs="Arial" w:eastAsia="Arial" w:hAnsi="Arial"/>
          <w:sz w:val="22"/>
          <w:szCs w:val="22"/>
          <w:color w:val="auto"/>
        </w:rPr>
        <w:t xml:space="preserve">” shall mean the auction procedures with respect to non-pro rata assignments of Term Loans pursuant to </w:t>
      </w:r>
      <w:r>
        <w:rPr>
          <w:rFonts w:ascii="Arial" w:cs="Arial" w:eastAsia="Arial" w:hAnsi="Arial"/>
          <w:sz w:val="22"/>
          <w:szCs w:val="22"/>
          <w:u w:val="single" w:color="auto"/>
          <w:color w:val="auto"/>
        </w:rPr>
        <w:t>Section 10.04(k)</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K</w:t>
      </w:r>
      <w:r>
        <w:rPr>
          <w:rFonts w:ascii="Arial" w:cs="Arial" w:eastAsia="Arial" w:hAnsi="Arial"/>
          <w:sz w:val="22"/>
          <w:szCs w:val="22"/>
          <w:color w:val="auto"/>
        </w:rPr>
        <w:t xml:space="preserve"> hereto.</w:t>
      </w:r>
    </w:p>
    <w:p>
      <w:pPr>
        <w:spacing w:after="0" w:line="16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Audited Financial Statements</w:t>
      </w:r>
      <w:r>
        <w:rPr>
          <w:rFonts w:ascii="Arial" w:cs="Arial" w:eastAsia="Arial" w:hAnsi="Arial"/>
          <w:sz w:val="19"/>
          <w:szCs w:val="19"/>
          <w:color w:val="auto"/>
        </w:rPr>
        <w:t>” shall mean the audited consolidated balance sheets of the Borrower and its consolidated subsidiaries for the fiscal years ending December 31, 2018 and December 31, 2017 and the related consolidated statements of operations, changes in shareholders’ equity and cash flows of the Borrower and its consolidated subsidiaries.</w:t>
      </w:r>
    </w:p>
    <w:p>
      <w:pPr>
        <w:spacing w:after="0" w:line="12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u w:val="single" w:color="auto"/>
          <w:color w:val="0000FF"/>
        </w:rPr>
        <w:t>“Available Cash” means, at any time, the aggregate amount of all cash and Cash Equivalents on the balance sheet of the Borrower and its Subsidiaries in excess of the Available Cash Threshold, subject to the satisfaction of the condition to prepayment of the Term Loans contained in Section 10.2.13(a)(vii) of the ABL Credit Agreement (as in effect on the effective date of the Amendment).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“Available Cash Threshold” means $200,000,000.</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Blocked Person</w:t>
      </w:r>
      <w:r>
        <w:rPr>
          <w:rFonts w:ascii="Arial" w:cs="Arial" w:eastAsia="Arial" w:hAnsi="Arial"/>
          <w:sz w:val="22"/>
          <w:szCs w:val="22"/>
          <w:color w:val="auto"/>
        </w:rPr>
        <w:t>” shall mean any Person that is publicly identified on the most current list of “Specially Designated Nationals and Blocked Persons” published by the Office of Foreign Assets Control of the U.S. Department of the Treasury (“</w:t>
      </w:r>
      <w:r>
        <w:rPr>
          <w:rFonts w:ascii="Arial" w:cs="Arial" w:eastAsia="Arial" w:hAnsi="Arial"/>
          <w:sz w:val="22"/>
          <w:szCs w:val="22"/>
          <w:b w:val="1"/>
          <w:bCs w:val="1"/>
          <w:color w:val="auto"/>
        </w:rPr>
        <w:t>OFAC</w:t>
      </w:r>
      <w:r>
        <w:rPr>
          <w:rFonts w:ascii="Arial" w:cs="Arial" w:eastAsia="Arial" w:hAnsi="Arial"/>
          <w:sz w:val="22"/>
          <w:szCs w:val="22"/>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shall mean the Board of Governors of the Federal Reserve System of the United States of America.</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3" w:name="page64"/>
    <w:bookmarkEnd w:id="63"/>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shall have the meaning assigned to such term in the introductory statement to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Materials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w:t>
      </w:r>
      <w:r>
        <w:rPr>
          <w:rFonts w:ascii="Arial" w:cs="Arial" w:eastAsia="Arial" w:hAnsi="Arial"/>
          <w:sz w:val="22"/>
          <w:szCs w:val="22"/>
          <w:color w:val="auto"/>
        </w:rPr>
        <w:t>” shall mean Loans of the same Class and Type made, converted or continued on the same date and, in the case of Eurodollar Loans, as to which a single Interest Period is in effect.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xml:space="preserve">” shall mean any day other than a Saturday, Sunday or day on which banks in New York City are authorized or required by law to close; </w:t>
      </w:r>
      <w:r>
        <w:rPr>
          <w:rFonts w:ascii="Arial" w:cs="Arial" w:eastAsia="Arial" w:hAnsi="Arial"/>
          <w:sz w:val="22"/>
          <w:szCs w:val="22"/>
          <w:i w:val="1"/>
          <w:iCs w:val="1"/>
          <w:color w:val="auto"/>
        </w:rPr>
        <w:t>provided, however</w:t>
      </w:r>
      <w:r>
        <w:rPr>
          <w:rFonts w:ascii="Arial" w:cs="Arial" w:eastAsia="Arial" w:hAnsi="Arial"/>
          <w:sz w:val="22"/>
          <w:szCs w:val="22"/>
          <w:color w:val="auto"/>
        </w:rPr>
        <w:t>, that when used in connection with a Eurodollar Loan, the term “</w:t>
      </w:r>
      <w:r>
        <w:rPr>
          <w:rFonts w:ascii="Arial" w:cs="Arial" w:eastAsia="Arial" w:hAnsi="Arial"/>
          <w:sz w:val="22"/>
          <w:szCs w:val="22"/>
          <w:b w:val="1"/>
          <w:bCs w:val="1"/>
          <w:color w:val="auto"/>
        </w:rPr>
        <w:t>Business Day</w:t>
      </w:r>
      <w:r>
        <w:rPr>
          <w:rFonts w:ascii="Arial" w:cs="Arial" w:eastAsia="Arial" w:hAnsi="Arial"/>
          <w:sz w:val="22"/>
          <w:szCs w:val="22"/>
          <w:color w:val="auto"/>
        </w:rPr>
        <w:t>” shall also exclude any day on which banks are not open for dealings in Dollar deposits in the London interbank market.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Canadian Subsidiary</w:t>
      </w:r>
      <w:r>
        <w:rPr>
          <w:rFonts w:ascii="Arial" w:cs="Arial" w:eastAsia="Arial" w:hAnsi="Arial"/>
          <w:sz w:val="19"/>
          <w:szCs w:val="19"/>
          <w:color w:val="auto"/>
        </w:rPr>
        <w:t>” shall mean any Subsidiary that is organized under the Laws of Canada or any state or province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Expenditures</w:t>
      </w:r>
      <w:r>
        <w:rPr>
          <w:rFonts w:ascii="Arial" w:cs="Arial" w:eastAsia="Arial" w:hAnsi="Arial"/>
          <w:sz w:val="22"/>
          <w:szCs w:val="22"/>
          <w:color w:val="auto"/>
        </w:rPr>
        <w:t>” shall mean, for any period, the aggregate of (a) all amounts that would be reflected as additions to property, plant or equipment on a consolidated statement of cash flows of the Borrower and its Restricted Subsidiaries in accordance with GAAP and (b) the value of all assets under Capitalized Leases incurred by the Borrower and its Restricted Subsidiaries during such period.</w:t>
      </w:r>
    </w:p>
    <w:p>
      <w:pPr>
        <w:spacing w:after="0" w:line="180"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Leases</w:t>
      </w:r>
      <w:r>
        <w:rPr>
          <w:rFonts w:ascii="Arial" w:cs="Arial" w:eastAsia="Arial" w:hAnsi="Arial"/>
          <w:sz w:val="19"/>
          <w:szCs w:val="19"/>
          <w:color w:val="auto"/>
        </w:rPr>
        <w:t xml:space="preserve">” shall mean all leases that have been or are required to be, in accordance with GAAP, recorded as capitalized leases;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1.11</w:t>
      </w:r>
      <w:r>
        <w:rPr>
          <w:rFonts w:ascii="Arial" w:cs="Arial" w:eastAsia="Arial" w:hAnsi="Arial"/>
          <w:sz w:val="19"/>
          <w:szCs w:val="19"/>
          <w:color w:val="auto"/>
        </w:rPr>
        <w:t>, for all purposes hereunder the amount of obligations under any Capitalized Lease shall be the amount thereof accounted for as a liability in accordance with GAAP.</w:t>
      </w:r>
    </w:p>
    <w:p>
      <w:pPr>
        <w:spacing w:after="0" w:line="12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Collateral Account</w:t>
      </w:r>
      <w:r>
        <w:rPr>
          <w:rFonts w:ascii="Arial" w:cs="Arial" w:eastAsia="Arial" w:hAnsi="Arial"/>
          <w:sz w:val="19"/>
          <w:szCs w:val="19"/>
          <w:color w:val="auto"/>
        </w:rPr>
        <w:t>” shall mean a blocked account at a commercial bank reasonably satisfactory to the Required Lenders and the Administrative Agent, in the name of the Administrative Agent and under the sole dominion and control of the Administrative Agent, and otherwise established in a manner reasonably satisfactory to the Administrative Agent.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Equivalents</w:t>
      </w:r>
      <w:r>
        <w:rPr>
          <w:rFonts w:ascii="Arial" w:cs="Arial" w:eastAsia="Arial" w:hAnsi="Arial"/>
          <w:sz w:val="19"/>
          <w:szCs w:val="19"/>
          <w:color w:val="auto"/>
        </w:rPr>
        <w:t>” shall mean any of the following types of Investments, to the extent owned by the Borrower or any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Restricted Subsidiary:</w:t>
      </w:r>
    </w:p>
    <w:p>
      <w:pPr>
        <w:spacing w:after="0" w:line="188"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Dollars and, to the extent consistent with past practice, Canadian Dollars;</w:t>
      </w:r>
    </w:p>
    <w:p>
      <w:pPr>
        <w:spacing w:after="0" w:line="206" w:lineRule="exact"/>
        <w:rPr>
          <w:sz w:val="20"/>
          <w:szCs w:val="20"/>
          <w:color w:val="auto"/>
        </w:rPr>
      </w:pPr>
    </w:p>
    <w:p>
      <w:pPr>
        <w:jc w:val="both"/>
        <w:ind w:left="860" w:hanging="784"/>
        <w:spacing w:after="0" w:line="297"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w:t>
      </w:r>
    </w:p>
    <w:p>
      <w:pPr>
        <w:spacing w:after="0" w:line="134" w:lineRule="exact"/>
        <w:rPr>
          <w:sz w:val="20"/>
          <w:szCs w:val="20"/>
          <w:color w:val="auto"/>
        </w:rPr>
      </w:pPr>
    </w:p>
    <w:p>
      <w:pPr>
        <w:ind w:left="860" w:hanging="784"/>
        <w:spacing w:after="0" w:line="250"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investments in commercial paper maturing within 270 days from the date of issuance thereof and having, at such date of acquisition, rated at least A-2 or P-2 by S&amp;P or Moody’s;</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both"/>
        <w:ind w:left="860" w:hanging="784"/>
        <w:spacing w:after="0" w:line="234" w:lineRule="auto"/>
        <w:tabs>
          <w:tab w:leader="none" w:pos="8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investments in demand deposits, certificates of deposit, banker’s acceptances and time deposits maturing within one year from the date of acquisition thereof issued or guaranteed by or placed with, and money market deposit accounts issued or offered by, the Administrative Agent, the ABL Agent or any domestic office of any commercial bank organized under the laws of the United States of America or any State thereof that has a combined capital and surplus and undivided profits of not less than $500,000,000 and that issues (or the parent of which issues) commercial paper rated at least “Prime 1” (or the then equivalent grade) by Moody’s or “A 1” (or the then equivalent grade) by S&amp;P;</w:t>
      </w:r>
    </w:p>
    <w:p>
      <w:pPr>
        <w:spacing w:after="0" w:line="191" w:lineRule="exact"/>
        <w:rPr>
          <w:sz w:val="20"/>
          <w:szCs w:val="20"/>
          <w:color w:val="auto"/>
        </w:rPr>
      </w:pPr>
    </w:p>
    <w:p>
      <w:pPr>
        <w:ind w:left="860" w:hanging="784"/>
        <w:spacing w:after="0" w:line="250" w:lineRule="auto"/>
        <w:tabs>
          <w:tab w:leader="none" w:pos="8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fully collateralized repurchase agreements with a term of not more than 30 days for securities described in clause (b) above and entered into with a financial institution satisfying the criteria of clause (d) above;</w:t>
      </w:r>
    </w:p>
    <w:p>
      <w:pPr>
        <w:spacing w:after="0" w:line="175"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investments in “money market funds” within the meaning of Rule 2a-7 of the Investment Company Act of 1940, as amended, substantially all of whose assets are invested in investments of the type described in clauses (a) through (e) above; and</w:t>
      </w:r>
    </w:p>
    <w:p>
      <w:pPr>
        <w:spacing w:after="0" w:line="186" w:lineRule="exact"/>
        <w:rPr>
          <w:sz w:val="20"/>
          <w:szCs w:val="20"/>
          <w:color w:val="auto"/>
        </w:rPr>
      </w:pPr>
    </w:p>
    <w:p>
      <w:pPr>
        <w:jc w:val="both"/>
        <w:ind w:left="860" w:hanging="784"/>
        <w:spacing w:after="0" w:line="238" w:lineRule="auto"/>
        <w:tabs>
          <w:tab w:leader="none" w:pos="8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other short-term investments entered into in accordance with normal investment policies and practices of any Foreign Subsidiary consistent with past practices for cash management and constituting investments in governmental obligations and investment funds analogous to and having a credit risk not greater than investments of the type described in clauses (a) through (f) above.</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Notwithstanding the foregoing, Cash Equivalents shall include amounts denominated in currencies other than set forth in clause (a) above;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amounts are converted into currencies listed in clause (a) within ten Business Days following the receipt of such amounts.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“Cash Interest Portion” shall have the meaning assigned to such term in Section 2.06(d).</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Casualty Event</w:t>
      </w:r>
      <w:r>
        <w:rPr>
          <w:rFonts w:ascii="Arial" w:cs="Arial" w:eastAsia="Arial" w:hAnsi="Arial"/>
          <w:sz w:val="22"/>
          <w:szCs w:val="22"/>
          <w:color w:val="auto"/>
        </w:rPr>
        <w:t>” shall mean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 or as compensation for such condemnation event.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CDA First Lien Obligations</w:t>
      </w:r>
      <w:r>
        <w:rPr>
          <w:rFonts w:ascii="Arial" w:cs="Arial" w:eastAsia="Arial" w:hAnsi="Arial"/>
          <w:sz w:val="19"/>
          <w:szCs w:val="19"/>
          <w:color w:val="auto"/>
        </w:rPr>
        <w:t>” shall have the meaning assigned to such term in the definition of “Net Proceeds”.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shall mean:</w:t>
      </w:r>
    </w:p>
    <w:p>
      <w:pPr>
        <w:spacing w:after="0" w:line="212" w:lineRule="exact"/>
        <w:rPr>
          <w:sz w:val="20"/>
          <w:szCs w:val="20"/>
          <w:color w:val="auto"/>
        </w:rPr>
      </w:pPr>
    </w:p>
    <w:p>
      <w:pPr>
        <w:jc w:val="both"/>
        <w:ind w:left="860" w:hanging="784"/>
        <w:spacing w:after="0" w:line="252"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35% of the aggregate ordinary voting power represented by the issued and outstanding Equity Interests of the Borrower;</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5" w:name="page66"/>
    <w:bookmarkEnd w:id="65"/>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2"/>
              </w:rPr>
              <w:t>occupation of a majority of the seats (other than vacant seats) on the board of directors of the Borrower by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3"/>
              </w:rPr>
              <w:t>Persons who were neither (i) nominated or approved by the board of directors of the Borrower nor (ii) appointed by</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directors so nominated or approved; or</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(c)</w:t>
            </w:r>
          </w:p>
        </w:tc>
        <w:tc>
          <w:tcPr>
            <w:tcW w:w="10640" w:type="dxa"/>
            <w:vAlign w:val="bottom"/>
            <w:gridSpan w:val="3"/>
          </w:tcPr>
          <w:p>
            <w:pPr>
              <w:ind w:left="1060"/>
              <w:spacing w:after="0"/>
              <w:rPr>
                <w:sz w:val="20"/>
                <w:szCs w:val="20"/>
                <w:color w:val="auto"/>
              </w:rPr>
            </w:pPr>
            <w:r>
              <w:rPr>
                <w:rFonts w:ascii="Arial" w:cs="Arial" w:eastAsia="Arial" w:hAnsi="Arial"/>
                <w:sz w:val="22"/>
                <w:szCs w:val="22"/>
                <w:color w:val="auto"/>
                <w:w w:val="98"/>
              </w:rPr>
              <w:t>a “</w:t>
            </w:r>
            <w:r>
              <w:rPr>
                <w:rFonts w:ascii="Arial" w:cs="Arial" w:eastAsia="Arial" w:hAnsi="Arial"/>
                <w:sz w:val="22"/>
                <w:szCs w:val="22"/>
                <w:b w:val="1"/>
                <w:bCs w:val="1"/>
                <w:color w:val="auto"/>
                <w:w w:val="98"/>
              </w:rPr>
              <w:t>change of control</w:t>
            </w:r>
            <w:r>
              <w:rPr>
                <w:rFonts w:ascii="Arial" w:cs="Arial" w:eastAsia="Arial" w:hAnsi="Arial"/>
                <w:sz w:val="22"/>
                <w:szCs w:val="22"/>
                <w:color w:val="auto"/>
                <w:w w:val="98"/>
              </w:rPr>
              <w:t>” (or similar event) shall occur under (i) the ABL Facility Documentation or any</w:t>
            </w:r>
          </w:p>
        </w:tc>
      </w:tr>
      <w:tr>
        <w:trPr>
          <w:trHeight w:val="243"/>
        </w:trPr>
        <w:tc>
          <w:tcPr>
            <w:tcW w:w="520" w:type="dxa"/>
            <w:vAlign w:val="bottom"/>
          </w:tcPr>
          <w:p>
            <w:pPr>
              <w:spacing w:after="0"/>
              <w:rPr>
                <w:sz w:val="21"/>
                <w:szCs w:val="21"/>
                <w:color w:val="auto"/>
              </w:rPr>
            </w:pPr>
          </w:p>
        </w:tc>
        <w:tc>
          <w:tcPr>
            <w:tcW w:w="1064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0"/>
              </w:rPr>
              <w:t>Permitted Refinancing thereof or (ii) any other Indebtedness for borrowed money, with an aggregate principal amount</w:t>
            </w:r>
          </w:p>
        </w:tc>
      </w:tr>
      <w:tr>
        <w:trPr>
          <w:trHeight w:val="274"/>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(in the case of this clause (ii)) in excess of the Threshold Amount.</w:t>
            </w:r>
          </w:p>
        </w:tc>
      </w:tr>
      <w:tr>
        <w:trPr>
          <w:trHeight w:val="408"/>
        </w:trPr>
        <w:tc>
          <w:tcPr>
            <w:tcW w:w="5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Charges</w:t>
            </w:r>
            <w:r>
              <w:rPr>
                <w:rFonts w:ascii="Arial" w:cs="Arial" w:eastAsia="Arial" w:hAnsi="Arial"/>
                <w:sz w:val="22"/>
                <w:szCs w:val="22"/>
                <w:color w:val="auto"/>
              </w:rPr>
              <w:t>” shall have the meaning assigned to such term in Section 10.09.</w:t>
            </w:r>
          </w:p>
        </w:tc>
      </w:tr>
      <w:tr>
        <w:trPr>
          <w:trHeight w:val="20"/>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w:t>
      </w:r>
      <w:r>
        <w:rPr>
          <w:rFonts w:ascii="Arial" w:cs="Arial" w:eastAsia="Arial" w:hAnsi="Arial"/>
          <w:sz w:val="19"/>
          <w:szCs w:val="19"/>
          <w:color w:val="auto"/>
        </w:rPr>
        <w:t>” when used in reference to (a) any Loan or Borrowing, refers to whether such Loan, or the Loans comprising such Borrowing, are Tranche B-2 Term Loans, Other Term Loans or Extended Term Loans, (b) any Commitment, refers to whether such Commitment is a Term Loan Commitment, Other Term Loan Commitment (and, in the case of an Other Term Loan Commitment, the Class of Term Loans to which such commitment relates), or a commitment in respect of Term Loans to be made pursuant to an Extension Offer and (c) any Lender, refers to whether such Lender has a Loan or Commitment with respect to a particular Class of Loans or Commitments. Other Term Loan Commitments, Other Term Loans and Extended Term Loans that have different terms and conditions, and each tranche of Extended Term Loans, shall be construed to be in different Classes.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 from time to time.</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 shall mean all the “</w:t>
      </w:r>
      <w:r>
        <w:rPr>
          <w:rFonts w:ascii="Arial" w:cs="Arial" w:eastAsia="Arial" w:hAnsi="Arial"/>
          <w:sz w:val="22"/>
          <w:szCs w:val="22"/>
          <w:b w:val="1"/>
          <w:bCs w:val="1"/>
          <w:color w:val="auto"/>
        </w:rPr>
        <w:t>Collateral</w:t>
      </w:r>
      <w:r>
        <w:rPr>
          <w:rFonts w:ascii="Arial" w:cs="Arial" w:eastAsia="Arial" w:hAnsi="Arial"/>
          <w:sz w:val="22"/>
          <w:szCs w:val="22"/>
          <w:color w:val="auto"/>
        </w:rPr>
        <w:t>” as defined in any Collateral Document and shall also include the Mortgaged Properties.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Agent</w:t>
      </w:r>
      <w:r>
        <w:rPr>
          <w:rFonts w:ascii="Arial" w:cs="Arial" w:eastAsia="Arial" w:hAnsi="Arial"/>
          <w:sz w:val="19"/>
          <w:szCs w:val="19"/>
          <w:color w:val="auto"/>
        </w:rPr>
        <w:t>” shall have the meaning assigned to such term in the introductory statement to this Agreement.</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and Guarantee Requirement</w:t>
      </w:r>
      <w:r>
        <w:rPr>
          <w:rFonts w:ascii="Arial" w:cs="Arial" w:eastAsia="Arial" w:hAnsi="Arial"/>
          <w:sz w:val="22"/>
          <w:szCs w:val="22"/>
          <w:color w:val="auto"/>
        </w:rPr>
        <w:t>” shall mean, at any time, the requirement that:</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500" w:type="dxa"/>
            <w:vAlign w:val="bottom"/>
            <w:gridSpan w:val="3"/>
          </w:tcPr>
          <w:p>
            <w:pPr>
              <w:spacing w:after="0"/>
              <w:rPr>
                <w:sz w:val="20"/>
                <w:szCs w:val="20"/>
                <w:color w:val="auto"/>
              </w:rPr>
            </w:pPr>
            <w:r>
              <w:rPr>
                <w:rFonts w:ascii="Arial" w:cs="Arial" w:eastAsia="Arial" w:hAnsi="Arial"/>
                <w:sz w:val="22"/>
                <w:szCs w:val="22"/>
                <w:color w:val="auto"/>
              </w:rPr>
              <w:t>(a)</w:t>
            </w:r>
          </w:p>
        </w:tc>
        <w:tc>
          <w:tcPr>
            <w:tcW w:w="9660" w:type="dxa"/>
            <w:vAlign w:val="bottom"/>
            <w:gridSpan w:val="4"/>
          </w:tcPr>
          <w:p>
            <w:pPr>
              <w:jc w:val="center"/>
              <w:spacing w:after="0"/>
              <w:rPr>
                <w:sz w:val="20"/>
                <w:szCs w:val="20"/>
                <w:color w:val="auto"/>
              </w:rPr>
            </w:pPr>
            <w:r>
              <w:rPr>
                <w:rFonts w:ascii="Arial" w:cs="Arial" w:eastAsia="Arial" w:hAnsi="Arial"/>
                <w:sz w:val="22"/>
                <w:szCs w:val="22"/>
                <w:color w:val="auto"/>
                <w:w w:val="89"/>
              </w:rPr>
              <w:t>on the Restatement Effective Date the Administrative Agent and the Collateral Agent shall have received each</w:t>
            </w:r>
          </w:p>
        </w:tc>
      </w:tr>
      <w:tr>
        <w:trPr>
          <w:trHeight w:val="224"/>
        </w:trPr>
        <w:tc>
          <w:tcPr>
            <w:tcW w:w="780" w:type="dxa"/>
            <w:vAlign w:val="bottom"/>
          </w:tcPr>
          <w:p>
            <w:pPr>
              <w:spacing w:after="0"/>
              <w:rPr>
                <w:sz w:val="19"/>
                <w:szCs w:val="19"/>
                <w:color w:val="auto"/>
              </w:rPr>
            </w:pPr>
          </w:p>
        </w:tc>
        <w:tc>
          <w:tcPr>
            <w:tcW w:w="10380" w:type="dxa"/>
            <w:vAlign w:val="bottom"/>
            <w:gridSpan w:val="6"/>
          </w:tcPr>
          <w:p>
            <w:pPr>
              <w:spacing w:after="0" w:line="224" w:lineRule="exact"/>
              <w:rPr>
                <w:sz w:val="20"/>
                <w:szCs w:val="20"/>
                <w:color w:val="auto"/>
              </w:rPr>
            </w:pPr>
            <w:r>
              <w:rPr>
                <w:rFonts w:ascii="Arial" w:cs="Arial" w:eastAsia="Arial" w:hAnsi="Arial"/>
                <w:sz w:val="22"/>
                <w:szCs w:val="22"/>
                <w:color w:val="auto"/>
                <w:w w:val="94"/>
              </w:rPr>
              <w:t>Collateral Document to the extent required to be delivered on the Restatement Effective Date pursuant to Section</w:t>
            </w:r>
          </w:p>
        </w:tc>
      </w:tr>
      <w:tr>
        <w:trPr>
          <w:trHeight w:val="20"/>
        </w:trPr>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10380" w:type="dxa"/>
            <w:vAlign w:val="bottom"/>
            <w:gridSpan w:val="6"/>
          </w:tcPr>
          <w:p>
            <w:pPr>
              <w:spacing w:after="0" w:line="223" w:lineRule="exact"/>
              <w:rPr>
                <w:sz w:val="20"/>
                <w:szCs w:val="20"/>
                <w:color w:val="auto"/>
              </w:rPr>
            </w:pPr>
            <w:r>
              <w:rPr>
                <w:rFonts w:ascii="Arial" w:cs="Arial" w:eastAsia="Arial" w:hAnsi="Arial"/>
                <w:sz w:val="22"/>
                <w:szCs w:val="22"/>
                <w:color w:val="auto"/>
                <w:w w:val="91"/>
              </w:rPr>
              <w:t>4.02(d), subject to the limitations and exceptions of this Agreement, duly executed by each Loan Party that is a party</w:t>
            </w:r>
          </w:p>
        </w:tc>
      </w:tr>
      <w:tr>
        <w:trPr>
          <w:trHeight w:val="20"/>
        </w:trPr>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73"/>
        </w:trPr>
        <w:tc>
          <w:tcPr>
            <w:tcW w:w="780" w:type="dxa"/>
            <w:vAlign w:val="bottom"/>
          </w:tcPr>
          <w:p>
            <w:pPr>
              <w:spacing w:after="0"/>
              <w:rPr>
                <w:sz w:val="23"/>
                <w:szCs w:val="23"/>
                <w:color w:val="auto"/>
              </w:rPr>
            </w:pPr>
          </w:p>
        </w:tc>
        <w:tc>
          <w:tcPr>
            <w:tcW w:w="720" w:type="dxa"/>
            <w:vAlign w:val="bottom"/>
            <w:gridSpan w:val="2"/>
          </w:tcPr>
          <w:p>
            <w:pPr>
              <w:spacing w:after="0"/>
              <w:rPr>
                <w:sz w:val="20"/>
                <w:szCs w:val="20"/>
                <w:color w:val="auto"/>
              </w:rPr>
            </w:pPr>
            <w:r>
              <w:rPr>
                <w:rFonts w:ascii="Arial" w:cs="Arial" w:eastAsia="Arial" w:hAnsi="Arial"/>
                <w:sz w:val="22"/>
                <w:szCs w:val="22"/>
                <w:color w:val="auto"/>
                <w:w w:val="93"/>
              </w:rPr>
              <w:t>thereto;</w:t>
            </w:r>
          </w:p>
        </w:tc>
        <w:tc>
          <w:tcPr>
            <w:tcW w:w="7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28"/>
        </w:trPr>
        <w:tc>
          <w:tcPr>
            <w:tcW w:w="1500" w:type="dxa"/>
            <w:vAlign w:val="bottom"/>
            <w:gridSpan w:val="3"/>
          </w:tcPr>
          <w:p>
            <w:pPr>
              <w:spacing w:after="0"/>
              <w:rPr>
                <w:sz w:val="20"/>
                <w:szCs w:val="20"/>
                <w:color w:val="auto"/>
              </w:rPr>
            </w:pPr>
            <w:r>
              <w:rPr>
                <w:rFonts w:ascii="Arial" w:cs="Arial" w:eastAsia="Arial" w:hAnsi="Arial"/>
                <w:sz w:val="22"/>
                <w:szCs w:val="22"/>
                <w:color w:val="auto"/>
              </w:rPr>
              <w:t>(b)</w:t>
            </w:r>
          </w:p>
        </w:tc>
        <w:tc>
          <w:tcPr>
            <w:tcW w:w="9660" w:type="dxa"/>
            <w:vAlign w:val="bottom"/>
            <w:gridSpan w:val="4"/>
          </w:tcPr>
          <w:p>
            <w:pPr>
              <w:jc w:val="center"/>
              <w:spacing w:after="0"/>
              <w:rPr>
                <w:sz w:val="20"/>
                <w:szCs w:val="20"/>
                <w:color w:val="auto"/>
              </w:rPr>
            </w:pPr>
            <w:r>
              <w:rPr>
                <w:rFonts w:ascii="Arial" w:cs="Arial" w:eastAsia="Arial" w:hAnsi="Arial"/>
                <w:sz w:val="22"/>
                <w:szCs w:val="22"/>
                <w:color w:val="auto"/>
                <w:w w:val="99"/>
              </w:rPr>
              <w:t>in each case subject to the limitations and exceptions set forth in this Agreement and the Collateral</w:t>
            </w:r>
          </w:p>
        </w:tc>
      </w:tr>
      <w:tr>
        <w:trPr>
          <w:trHeight w:val="243"/>
        </w:trPr>
        <w:tc>
          <w:tcPr>
            <w:tcW w:w="780" w:type="dxa"/>
            <w:vAlign w:val="bottom"/>
          </w:tcPr>
          <w:p>
            <w:pPr>
              <w:spacing w:after="0"/>
              <w:rPr>
                <w:sz w:val="21"/>
                <w:szCs w:val="21"/>
                <w:color w:val="auto"/>
              </w:rPr>
            </w:pPr>
          </w:p>
        </w:tc>
        <w:tc>
          <w:tcPr>
            <w:tcW w:w="10380" w:type="dxa"/>
            <w:vAlign w:val="bottom"/>
            <w:gridSpan w:val="6"/>
          </w:tcPr>
          <w:p>
            <w:pPr>
              <w:spacing w:after="0" w:line="243" w:lineRule="exact"/>
              <w:rPr>
                <w:sz w:val="20"/>
                <w:szCs w:val="20"/>
                <w:color w:val="auto"/>
              </w:rPr>
            </w:pPr>
            <w:r>
              <w:rPr>
                <w:rFonts w:ascii="Arial" w:cs="Arial" w:eastAsia="Arial" w:hAnsi="Arial"/>
                <w:sz w:val="22"/>
                <w:szCs w:val="22"/>
                <w:color w:val="auto"/>
                <w:w w:val="89"/>
              </w:rPr>
              <w:t>Documents, and to any action required to be taken by the Collateral Agent or the Administrative Agent to effectuate the</w:t>
            </w:r>
          </w:p>
        </w:tc>
      </w:tr>
      <w:tr>
        <w:trPr>
          <w:trHeight w:val="274"/>
        </w:trPr>
        <w:tc>
          <w:tcPr>
            <w:tcW w:w="780" w:type="dxa"/>
            <w:vAlign w:val="bottom"/>
          </w:tcPr>
          <w:p>
            <w:pPr>
              <w:spacing w:after="0"/>
              <w:rPr>
                <w:sz w:val="23"/>
                <w:szCs w:val="23"/>
                <w:color w:val="auto"/>
              </w:rPr>
            </w:pPr>
          </w:p>
        </w:tc>
        <w:tc>
          <w:tcPr>
            <w:tcW w:w="10380" w:type="dxa"/>
            <w:vAlign w:val="bottom"/>
            <w:gridSpan w:val="6"/>
          </w:tcPr>
          <w:p>
            <w:pPr>
              <w:spacing w:after="0"/>
              <w:rPr>
                <w:sz w:val="20"/>
                <w:szCs w:val="20"/>
                <w:color w:val="auto"/>
              </w:rPr>
            </w:pPr>
            <w:r>
              <w:rPr>
                <w:rFonts w:ascii="Arial" w:cs="Arial" w:eastAsia="Arial" w:hAnsi="Arial"/>
                <w:sz w:val="22"/>
                <w:szCs w:val="22"/>
                <w:color w:val="auto"/>
              </w:rPr>
              <w:t>same, the Obligations shall have been secured by:</w:t>
            </w:r>
          </w:p>
        </w:tc>
      </w:tr>
      <w:tr>
        <w:trPr>
          <w:trHeight w:val="408"/>
        </w:trPr>
        <w:tc>
          <w:tcPr>
            <w:tcW w:w="7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22"/>
                <w:szCs w:val="22"/>
                <w:color w:val="auto"/>
              </w:rPr>
              <w:t>(i)</w:t>
            </w:r>
          </w:p>
        </w:tc>
        <w:tc>
          <w:tcPr>
            <w:tcW w:w="9660" w:type="dxa"/>
            <w:vAlign w:val="bottom"/>
            <w:gridSpan w:val="4"/>
          </w:tcPr>
          <w:p>
            <w:pPr>
              <w:ind w:left="120"/>
              <w:spacing w:after="0"/>
              <w:rPr>
                <w:sz w:val="20"/>
                <w:szCs w:val="20"/>
                <w:color w:val="auto"/>
              </w:rPr>
            </w:pPr>
            <w:r>
              <w:rPr>
                <w:rFonts w:ascii="Arial" w:cs="Arial" w:eastAsia="Arial" w:hAnsi="Arial"/>
                <w:sz w:val="22"/>
                <w:szCs w:val="22"/>
                <w:color w:val="auto"/>
                <w:w w:val="96"/>
              </w:rPr>
              <w:t>a perfected second priority security interest (subject to Liens permitted by Section 7.01) in all personal</w:t>
            </w:r>
          </w:p>
        </w:tc>
      </w:tr>
      <w:tr>
        <w:trPr>
          <w:trHeight w:val="20"/>
        </w:trPr>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42"/>
        </w:trPr>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60" w:type="dxa"/>
            <w:vAlign w:val="bottom"/>
            <w:gridSpan w:val="4"/>
          </w:tcPr>
          <w:p>
            <w:pPr>
              <w:jc w:val="center"/>
              <w:spacing w:after="0" w:line="242" w:lineRule="exact"/>
              <w:rPr>
                <w:sz w:val="20"/>
                <w:szCs w:val="20"/>
                <w:color w:val="auto"/>
              </w:rPr>
            </w:pPr>
            <w:r>
              <w:rPr>
                <w:rFonts w:ascii="Arial" w:cs="Arial" w:eastAsia="Arial" w:hAnsi="Arial"/>
                <w:sz w:val="22"/>
                <w:szCs w:val="22"/>
                <w:color w:val="auto"/>
                <w:w w:val="99"/>
              </w:rPr>
              <w:t>property of the Borrower and each Guarantor consisting of all accounts receivable, cash and Cash</w:t>
            </w:r>
          </w:p>
        </w:tc>
      </w:tr>
      <w:tr>
        <w:trPr>
          <w:trHeight w:val="243"/>
        </w:trPr>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60" w:type="dxa"/>
            <w:vAlign w:val="bottom"/>
            <w:gridSpan w:val="4"/>
          </w:tcPr>
          <w:p>
            <w:pPr>
              <w:jc w:val="center"/>
              <w:ind w:left="12"/>
              <w:spacing w:after="0" w:line="243" w:lineRule="exact"/>
              <w:rPr>
                <w:sz w:val="20"/>
                <w:szCs w:val="20"/>
                <w:color w:val="auto"/>
              </w:rPr>
            </w:pPr>
            <w:r>
              <w:rPr>
                <w:rFonts w:ascii="Arial" w:cs="Arial" w:eastAsia="Arial" w:hAnsi="Arial"/>
                <w:sz w:val="22"/>
                <w:szCs w:val="22"/>
                <w:color w:val="auto"/>
                <w:w w:val="91"/>
              </w:rPr>
              <w:t>Equivalents, deposit accounts (other than Term Loan Priority Accounts (as defined in the ABL Intercreditor))</w:t>
            </w:r>
          </w:p>
        </w:tc>
      </w:tr>
      <w:tr>
        <w:trPr>
          <w:trHeight w:val="274"/>
        </w:trPr>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60" w:type="dxa"/>
            <w:vAlign w:val="bottom"/>
            <w:gridSpan w:val="4"/>
          </w:tcPr>
          <w:p>
            <w:pPr>
              <w:jc w:val="center"/>
              <w:spacing w:after="0"/>
              <w:rPr>
                <w:sz w:val="20"/>
                <w:szCs w:val="20"/>
                <w:color w:val="auto"/>
              </w:rPr>
            </w:pPr>
            <w:r>
              <w:rPr>
                <w:rFonts w:ascii="Arial" w:cs="Arial" w:eastAsia="Arial" w:hAnsi="Arial"/>
                <w:sz w:val="22"/>
                <w:szCs w:val="22"/>
                <w:color w:val="auto"/>
                <w:w w:val="87"/>
              </w:rPr>
              <w:t>and supporting obligations and books and records related to the foregoing and, in each case, proceeds thereof;</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ind w:left="1700" w:hanging="842"/>
        <w:spacing w:after="0" w:line="250" w:lineRule="auto"/>
        <w:tabs>
          <w:tab w:leader="none" w:pos="17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 perfected first priority pledge (subject to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 of all Equity Interests directly held by the Borrower or any Guarantor;</w:t>
      </w:r>
    </w:p>
    <w:p>
      <w:pPr>
        <w:spacing w:after="0" w:line="174" w:lineRule="exact"/>
        <w:rPr>
          <w:rFonts w:ascii="Arial" w:cs="Arial" w:eastAsia="Arial" w:hAnsi="Arial"/>
          <w:sz w:val="22"/>
          <w:szCs w:val="22"/>
          <w:color w:val="auto"/>
        </w:rPr>
      </w:pPr>
    </w:p>
    <w:p>
      <w:pPr>
        <w:jc w:val="both"/>
        <w:ind w:left="1700" w:hanging="842"/>
        <w:spacing w:after="0" w:line="246" w:lineRule="auto"/>
        <w:tabs>
          <w:tab w:leader="none" w:pos="17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with respect to each Material Real Property, (1) a first priority mortgage, deed of trust or deed to secure debt (as applicable) (subject to Liens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on such Material Real Property pursuant to Mortgages that satisfy the requirements of clause (c)(i) below and (2) a perfected first priority security interest (subject to Liens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in all personal property relating to such Material Real Property and all fixtures thereon, provided, that, to the extent the opinion delivered to Collateral Agent confirms that the filing of the applicable Mortgage itself perfects Collateral Agent’s first priority security interest in such fixtures, no separate fixture filing shall be required; and</w:t>
      </w:r>
    </w:p>
    <w:p>
      <w:pPr>
        <w:spacing w:after="0" w:line="184" w:lineRule="exact"/>
        <w:rPr>
          <w:rFonts w:ascii="Arial" w:cs="Arial" w:eastAsia="Arial" w:hAnsi="Arial"/>
          <w:sz w:val="21"/>
          <w:szCs w:val="21"/>
          <w:color w:val="auto"/>
        </w:rPr>
      </w:pPr>
    </w:p>
    <w:p>
      <w:pPr>
        <w:jc w:val="both"/>
        <w:ind w:left="1700" w:hanging="842"/>
        <w:spacing w:after="0" w:line="272" w:lineRule="auto"/>
        <w:tabs>
          <w:tab w:leader="none" w:pos="17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within one hundred twenty (120) days following the repayment in full of the CDA First Lien Obligations (or, if the proviso to this clause (iv) applies, the date the Requisite CDA Consent is obtained, as applicable), a first priority mortgage, deed of trust or deed to secure debt (as applicable) on each Pension Real Property (such mortgage, deed of trust or deed, a “</w:t>
      </w:r>
      <w:r>
        <w:rPr>
          <w:rFonts w:ascii="Arial" w:cs="Arial" w:eastAsia="Arial" w:hAnsi="Arial"/>
          <w:sz w:val="19"/>
          <w:szCs w:val="19"/>
          <w:b w:val="1"/>
          <w:bCs w:val="1"/>
          <w:color w:val="auto"/>
        </w:rPr>
        <w:t>Pension Property Mortgage</w:t>
      </w:r>
      <w:r>
        <w:rPr>
          <w:rFonts w:ascii="Arial" w:cs="Arial" w:eastAsia="Arial" w:hAnsi="Arial"/>
          <w:sz w:val="19"/>
          <w:szCs w:val="19"/>
          <w:color w:val="auto"/>
        </w:rPr>
        <w:t xml:space="preserve">”) pursuant to Mortgages that satisfy the requirements of clause (c)(i) below (subject to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a perfected first priority security interest (subject to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in all personal property relating to such Pension Real Property and all fixtures thereon;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Pension Property Mortgage is prohibited under the terms of the Contribution Deferral Agreement (as in effect as of the date hereof), the Loan Parties shall use commercially reasonable efforts to obtain the necessary consents under the Contribution Deferral Agreement to permit such Pension Property Mortgage (the “</w:t>
      </w:r>
      <w:r>
        <w:rPr>
          <w:rFonts w:ascii="Arial" w:cs="Arial" w:eastAsia="Arial" w:hAnsi="Arial"/>
          <w:sz w:val="19"/>
          <w:szCs w:val="19"/>
          <w:u w:val="single" w:color="auto"/>
          <w:color w:val="auto"/>
        </w:rPr>
        <w:t>Requisite CDA Consent</w:t>
      </w:r>
      <w:r>
        <w:rPr>
          <w:rFonts w:ascii="Arial" w:cs="Arial" w:eastAsia="Arial" w:hAnsi="Arial"/>
          <w:sz w:val="19"/>
          <w:szCs w:val="19"/>
          <w:color w:val="auto"/>
        </w:rPr>
        <w:t xml:space="preserve">”) and if after using such commercially reasonable efforts, such consent is not obtained, the Loan Parties shall not be required to deliver such Pension Property Mortgage until all obligations under the Contribution Deferral Agreement to the extent permitted under </w:t>
      </w:r>
      <w:r>
        <w:rPr>
          <w:rFonts w:ascii="Arial" w:cs="Arial" w:eastAsia="Arial" w:hAnsi="Arial"/>
          <w:sz w:val="19"/>
          <w:szCs w:val="19"/>
          <w:u w:val="single" w:color="auto"/>
          <w:color w:val="auto"/>
        </w:rPr>
        <w:t>Section 7.03(u)</w:t>
      </w:r>
      <w:r>
        <w:rPr>
          <w:rFonts w:ascii="Arial" w:cs="Arial" w:eastAsia="Arial" w:hAnsi="Arial"/>
          <w:sz w:val="19"/>
          <w:szCs w:val="19"/>
          <w:color w:val="auto"/>
        </w:rPr>
        <w:t xml:space="preserve"> shall have been paid in full; and</w:t>
      </w:r>
    </w:p>
    <w:p>
      <w:pPr>
        <w:spacing w:after="0" w:line="155" w:lineRule="exact"/>
        <w:rPr>
          <w:rFonts w:ascii="Arial" w:cs="Arial" w:eastAsia="Arial" w:hAnsi="Arial"/>
          <w:sz w:val="19"/>
          <w:szCs w:val="19"/>
          <w:color w:val="auto"/>
        </w:rPr>
      </w:pPr>
    </w:p>
    <w:p>
      <w:pPr>
        <w:jc w:val="both"/>
        <w:ind w:left="1700" w:hanging="842"/>
        <w:spacing w:after="0" w:line="235" w:lineRule="auto"/>
        <w:tabs>
          <w:tab w:leader="none" w:pos="17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 perfected first priority security interest (subject to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 in substantially all other personal property of the Borrower and each Guarantor, including Term Loan Priority Accounts (as defined in the ABL Intercreditor), investment property, contracts, patents, copyrights, trademarks and other general intangibles (subject to a license in favor of the ABL Agent to use intellectual property, subject to the ABL Intercreditor Agreement), commercial tort claims, letter of credit rights, intercompany notes and proceeds of the foregoing;</w:t>
      </w:r>
    </w:p>
    <w:p>
      <w:pPr>
        <w:spacing w:after="0" w:line="188" w:lineRule="exact"/>
        <w:rPr>
          <w:sz w:val="20"/>
          <w:szCs w:val="20"/>
          <w:color w:val="auto"/>
        </w:rPr>
      </w:pPr>
    </w:p>
    <w:p>
      <w:pPr>
        <w:jc w:val="both"/>
        <w:ind w:left="860" w:hanging="784"/>
        <w:spacing w:after="0" w:line="249"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1"/>
          <w:szCs w:val="21"/>
          <w:color w:val="auto"/>
        </w:rPr>
        <w:t xml:space="preserve">subject to the limitations and exceptions set forth in this Agreement and the Collateral Documents, to the extent a security interest in and mortgage lien on any Material Real Property (or, solely with respect to clause (b)(iv) above, any Pension Real Property) is required under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w:t>
      </w:r>
      <w:r>
        <w:rPr>
          <w:rFonts w:ascii="Arial" w:cs="Arial" w:eastAsia="Arial" w:hAnsi="Arial"/>
          <w:sz w:val="21"/>
          <w:szCs w:val="21"/>
          <w:u w:val="single" w:color="auto"/>
          <w:color w:val="auto"/>
        </w:rPr>
        <w:t>6.11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6.13</w:t>
      </w:r>
      <w:r>
        <w:rPr>
          <w:rFonts w:ascii="Arial" w:cs="Arial" w:eastAsia="Arial" w:hAnsi="Arial"/>
          <w:sz w:val="21"/>
          <w:szCs w:val="21"/>
          <w:color w:val="auto"/>
        </w:rPr>
        <w:t xml:space="preserve"> (together with any Material Real Property that is subject to a Mortgage on the Restatement Effective Date pursuant to </w:t>
      </w:r>
      <w:r>
        <w:rPr>
          <w:rFonts w:ascii="Arial" w:cs="Arial" w:eastAsia="Arial" w:hAnsi="Arial"/>
          <w:sz w:val="21"/>
          <w:szCs w:val="21"/>
          <w:u w:val="single" w:color="auto"/>
          <w:color w:val="auto"/>
        </w:rPr>
        <w:t>clause (b)(iii)</w:t>
      </w:r>
      <w:r>
        <w:rPr>
          <w:rFonts w:ascii="Arial" w:cs="Arial" w:eastAsia="Arial" w:hAnsi="Arial"/>
          <w:sz w:val="21"/>
          <w:szCs w:val="21"/>
          <w:color w:val="auto"/>
        </w:rPr>
        <w:t xml:space="preserve"> above, each, a “</w:t>
      </w:r>
      <w:r>
        <w:rPr>
          <w:rFonts w:ascii="Arial" w:cs="Arial" w:eastAsia="Arial" w:hAnsi="Arial"/>
          <w:sz w:val="21"/>
          <w:szCs w:val="21"/>
          <w:b w:val="1"/>
          <w:bCs w:val="1"/>
          <w:color w:val="auto"/>
        </w:rPr>
        <w:t>Mortgaged Property</w:t>
      </w:r>
      <w:r>
        <w:rPr>
          <w:rFonts w:ascii="Arial" w:cs="Arial" w:eastAsia="Arial" w:hAnsi="Arial"/>
          <w:sz w:val="21"/>
          <w:szCs w:val="21"/>
          <w:color w:val="auto"/>
        </w:rPr>
        <w:t>”), the Administrative Agent and the Collateral Agent shall have received:</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7" w:name="page68"/>
    <w:bookmarkEnd w:id="67"/>
    <w:p>
      <w:pPr>
        <w:jc w:val="both"/>
        <w:ind w:left="1700" w:hanging="842"/>
        <w:spacing w:after="0" w:line="273" w:lineRule="auto"/>
        <w:tabs>
          <w:tab w:leader="none" w:pos="17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counterparts of a Mortgage with respect to such Real Property duly executed and delivered by the record owner of such property in form suitable for filing or recording in all filing or recording offices that the Collateral Agent may reasonably deem necessary or desirable in order to create a valid and subsisting perfected Lien on the property and/or rights described therein in favor of the Collateral Agent for the benefit of the Secured Parties, and evidence that all filing and recording taxes and fees have been paid or otherwise provided for in a manner reasonably satisfactory to the Collateral Agent and the Required Lenders (it being understood that if a mortgage tax will be owed on the entire amount of the indebtedness evidenced hereby, then the amount secured by the Mortgage shall be limited to 120% (or, in the case of Real Property located in the state of New York, 100%) of the fair market value of the property at the time the Mortgage is entered into if such limitation results in such mortgage tax being calculated based upon such fair market value);</w:t>
      </w:r>
    </w:p>
    <w:p>
      <w:pPr>
        <w:spacing w:after="0" w:line="160" w:lineRule="exact"/>
        <w:rPr>
          <w:rFonts w:ascii="Arial" w:cs="Arial" w:eastAsia="Arial" w:hAnsi="Arial"/>
          <w:sz w:val="19"/>
          <w:szCs w:val="19"/>
          <w:color w:val="auto"/>
        </w:rPr>
      </w:pPr>
    </w:p>
    <w:p>
      <w:pPr>
        <w:jc w:val="both"/>
        <w:ind w:left="1700" w:hanging="842"/>
        <w:spacing w:after="0" w:line="270" w:lineRule="auto"/>
        <w:tabs>
          <w:tab w:leader="none" w:pos="17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fully paid policies of title insurance (or marked-up title insurance commitments having the effect of policies of title insurance) with respect to such Material Real Property issued by the Title Company or another nationally recognized title insurance company reasonably acceptable to the Collateral Agent in form and in an amount reasonably acceptable to the Collateral Agent (not to exceed 100% of the fair market value of such Material Real Property (or interest therein, as applicable) covered thereby), insuring the Mortgages to be valid, subsisting Liens on the property described therein, free and clear of all Liens other than Liens permitted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(such policies, “</w:t>
      </w:r>
      <w:r>
        <w:rPr>
          <w:rFonts w:ascii="Arial" w:cs="Arial" w:eastAsia="Arial" w:hAnsi="Arial"/>
          <w:sz w:val="19"/>
          <w:szCs w:val="19"/>
          <w:b w:val="1"/>
          <w:bCs w:val="1"/>
          <w:color w:val="auto"/>
        </w:rPr>
        <w:t>Mortgage Policies</w:t>
      </w:r>
      <w:r>
        <w:rPr>
          <w:rFonts w:ascii="Arial" w:cs="Arial" w:eastAsia="Arial" w:hAnsi="Arial"/>
          <w:sz w:val="19"/>
          <w:szCs w:val="19"/>
          <w:color w:val="auto"/>
        </w:rPr>
        <w:t>”), each of which shall (A) to the extent reasonably necessary, include such reinsurance arrangements (with provisions for direct access, if reasonably necessary) as shall be reasonably acceptable to the Collateral Agent, (B) contain a “tie-in” or “cluster” endorsement, if available under applicable law (i.e., policies which insure against losses regardless of location or allocated value of the insured property up to a stated maximum coverage amount), (C) have been supplemented by such endorsements (or where such endorsements are not available, customary opinions of special counsel, architects or other professionals reasonably acceptable to the Collateral Agent and the Required Lenders) as shall be reasonably requested by the Collateral Agent or the Required Lenders (including endorsements on matters relating to usury, first loss, last dollar, zoning, contiguity, revolving credit (if available after the applicable Loan Party uses commercially reasonable efforts), doing business, public road access, variable rate, environmental lien, subdivision, mortgage recording tax, separate tax lot and so-called comprehensive coverage over covenants and restrictions);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left="1700" w:hanging="842"/>
        <w:spacing w:after="0" w:line="235" w:lineRule="auto"/>
        <w:tabs>
          <w:tab w:leader="none" w:pos="17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either (1) an American Land Title Association/National Society for Professional Surveyors (ALTA/NSPS) form of survey for which all charges have been paid, dated a date, containing a certification and otherwise being in form and substance reasonably satisfactory to the Collateral Agent (a “</w:t>
      </w:r>
      <w:r>
        <w:rPr>
          <w:rFonts w:ascii="Arial" w:cs="Arial" w:eastAsia="Arial" w:hAnsi="Arial"/>
          <w:sz w:val="22"/>
          <w:szCs w:val="22"/>
          <w:b w:val="1"/>
          <w:bCs w:val="1"/>
          <w:color w:val="auto"/>
        </w:rPr>
        <w:t>Survey</w:t>
      </w:r>
      <w:r>
        <w:rPr>
          <w:rFonts w:ascii="Arial" w:cs="Arial" w:eastAsia="Arial" w:hAnsi="Arial"/>
          <w:sz w:val="22"/>
          <w:szCs w:val="22"/>
          <w:color w:val="auto"/>
        </w:rPr>
        <w:t>”) or (2) such documentation (“</w:t>
      </w:r>
      <w:r>
        <w:rPr>
          <w:rFonts w:ascii="Arial" w:cs="Arial" w:eastAsia="Arial" w:hAnsi="Arial"/>
          <w:sz w:val="22"/>
          <w:szCs w:val="22"/>
          <w:b w:val="1"/>
          <w:bCs w:val="1"/>
          <w:color w:val="auto"/>
        </w:rPr>
        <w:t>Other Survey Documentation</w:t>
      </w:r>
      <w:r>
        <w:rPr>
          <w:rFonts w:ascii="Arial" w:cs="Arial" w:eastAsia="Arial" w:hAnsi="Arial"/>
          <w:sz w:val="22"/>
          <w:szCs w:val="22"/>
          <w:color w:val="auto"/>
        </w:rPr>
        <w:t>”) as may be required by the Title Company to omit the standard survey exception to coverage under the Mortgage Policy with respect to such Material Real Property and issue affirmative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ind w:left="1700"/>
        <w:spacing w:after="0" w:line="250" w:lineRule="auto"/>
        <w:rPr>
          <w:sz w:val="20"/>
          <w:szCs w:val="20"/>
          <w:color w:val="auto"/>
        </w:rPr>
      </w:pPr>
      <w:r>
        <w:rPr>
          <w:rFonts w:ascii="Arial" w:cs="Arial" w:eastAsia="Arial" w:hAnsi="Arial"/>
          <w:sz w:val="22"/>
          <w:szCs w:val="22"/>
          <w:color w:val="auto"/>
        </w:rPr>
        <w:t>endorsements reasonably requested by the Collateral Agent, including “same as” survey and comprehensive endorsements;</w:t>
      </w:r>
    </w:p>
    <w:p>
      <w:pPr>
        <w:spacing w:after="0" w:line="175" w:lineRule="exact"/>
        <w:rPr>
          <w:sz w:val="20"/>
          <w:szCs w:val="20"/>
          <w:color w:val="auto"/>
        </w:rPr>
      </w:pPr>
    </w:p>
    <w:p>
      <w:pPr>
        <w:jc w:val="both"/>
        <w:ind w:left="1700" w:hanging="839"/>
        <w:spacing w:after="0" w:line="238" w:lineRule="auto"/>
        <w:tabs>
          <w:tab w:leader="none" w:pos="168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color w:val="auto"/>
        </w:rPr>
        <w:t>a customary legal opinion, addressed to the Collateral Agent and the Secured Parties with respect to the Mortgage on such Material Real Property; provided, however, with respect to any Material Real Property as of the Restatement Effective Date, Borrower shall only be required to deliver a legal opinion if such Material Real Property is located in a Required Opinion State; and</w:t>
      </w:r>
    </w:p>
    <w:p>
      <w:pPr>
        <w:spacing w:after="0" w:line="185" w:lineRule="exact"/>
        <w:rPr>
          <w:sz w:val="20"/>
          <w:szCs w:val="20"/>
          <w:color w:val="auto"/>
        </w:rPr>
      </w:pPr>
    </w:p>
    <w:p>
      <w:pPr>
        <w:jc w:val="both"/>
        <w:ind w:left="1700" w:hanging="839"/>
        <w:spacing w:after="0" w:line="244" w:lineRule="auto"/>
        <w:tabs>
          <w:tab w:leader="none" w:pos="1680" w:val="left"/>
        </w:tabs>
        <w:rPr>
          <w:sz w:val="20"/>
          <w:szCs w:val="20"/>
          <w:color w:val="auto"/>
        </w:rPr>
      </w:pPr>
      <w:r>
        <w:rPr>
          <w:rFonts w:ascii="Arial" w:cs="Arial" w:eastAsia="Arial" w:hAnsi="Arial"/>
          <w:sz w:val="21"/>
          <w:szCs w:val="21"/>
          <w:color w:val="auto"/>
        </w:rPr>
        <w:t>(v)</w:t>
      </w:r>
      <w:r>
        <w:rPr>
          <w:sz w:val="20"/>
          <w:szCs w:val="20"/>
          <w:color w:val="auto"/>
        </w:rPr>
        <w:tab/>
      </w:r>
      <w:r>
        <w:rPr>
          <w:rFonts w:ascii="Arial" w:cs="Arial" w:eastAsia="Arial" w:hAnsi="Arial"/>
          <w:sz w:val="21"/>
          <w:szCs w:val="21"/>
          <w:color w:val="auto"/>
        </w:rPr>
        <w:t>in order to comply with the Flood Laws, the following documents: (A) a completed standard “life of loan” flood hazard determination form (a “</w:t>
      </w:r>
      <w:r>
        <w:rPr>
          <w:rFonts w:ascii="Arial" w:cs="Arial" w:eastAsia="Arial" w:hAnsi="Arial"/>
          <w:sz w:val="21"/>
          <w:szCs w:val="21"/>
          <w:b w:val="1"/>
          <w:bCs w:val="1"/>
          <w:color w:val="auto"/>
        </w:rPr>
        <w:t>Flood Determination Form</w:t>
      </w:r>
      <w:r>
        <w:rPr>
          <w:rFonts w:ascii="Arial" w:cs="Arial" w:eastAsia="Arial" w:hAnsi="Arial"/>
          <w:sz w:val="21"/>
          <w:szCs w:val="21"/>
          <w:color w:val="auto"/>
        </w:rPr>
        <w:t>”); (B) if any of the material improvement(s) to the improved Material Real Property is located in a special flood hazard area, a notification thereof to the Borrower (“</w:t>
      </w:r>
      <w:r>
        <w:rPr>
          <w:rFonts w:ascii="Arial" w:cs="Arial" w:eastAsia="Arial" w:hAnsi="Arial"/>
          <w:sz w:val="21"/>
          <w:szCs w:val="21"/>
          <w:b w:val="1"/>
          <w:bCs w:val="1"/>
          <w:color w:val="auto"/>
        </w:rPr>
        <w:t>Borrower Notice</w:t>
      </w:r>
      <w:r>
        <w:rPr>
          <w:rFonts w:ascii="Arial" w:cs="Arial" w:eastAsia="Arial" w:hAnsi="Arial"/>
          <w:sz w:val="21"/>
          <w:szCs w:val="21"/>
          <w:color w:val="auto"/>
        </w:rPr>
        <w:t>”) and, if applicable, notification to the Borrower that flood insurance coverage under the National Flood Insurance Program (“</w:t>
      </w:r>
      <w:r>
        <w:rPr>
          <w:rFonts w:ascii="Arial" w:cs="Arial" w:eastAsia="Arial" w:hAnsi="Arial"/>
          <w:sz w:val="21"/>
          <w:szCs w:val="21"/>
          <w:b w:val="1"/>
          <w:bCs w:val="1"/>
          <w:color w:val="auto"/>
        </w:rPr>
        <w:t>NFIP</w:t>
      </w:r>
      <w:r>
        <w:rPr>
          <w:rFonts w:ascii="Arial" w:cs="Arial" w:eastAsia="Arial" w:hAnsi="Arial"/>
          <w:sz w:val="21"/>
          <w:szCs w:val="21"/>
          <w:color w:val="auto"/>
        </w:rPr>
        <w:t>”) is not available because the community in which the property is located does not participate in the NFIP; (C) documentation evidencing the Borrower’s receipt of the Borrower Notice (e.g., a countersigned Borrower Notice or return receipt of certified U.S. Mail or overnight delivery); and (D) if the Borrower Notice is required to be given and flood insurance is available in the community in which such Material Real Property is located, a copy of one of the following: the flood insurance policy, the Borrower’s application for a flood insurance policy plus proof of premium payment, a declaration page confirming that flood insurance has been issued or such other evidence of flood insurance reasonably satisfactory to the Required Lenders, Administrative Agent and the Collateral Agent (any of the foregoing being “</w:t>
      </w:r>
      <w:r>
        <w:rPr>
          <w:rFonts w:ascii="Arial" w:cs="Arial" w:eastAsia="Arial" w:hAnsi="Arial"/>
          <w:sz w:val="21"/>
          <w:szCs w:val="21"/>
          <w:b w:val="1"/>
          <w:bCs w:val="1"/>
          <w:color w:val="auto"/>
        </w:rPr>
        <w:t>Evidence of Flood Insurance</w:t>
      </w:r>
      <w:r>
        <w:rPr>
          <w:rFonts w:ascii="Arial" w:cs="Arial" w:eastAsia="Arial" w:hAnsi="Arial"/>
          <w:sz w:val="21"/>
          <w:szCs w:val="21"/>
          <w:color w:val="auto"/>
        </w:rPr>
        <w:t>”)(the foregoing, collectively, the “</w:t>
      </w:r>
      <w:r>
        <w:rPr>
          <w:rFonts w:ascii="Arial" w:cs="Arial" w:eastAsia="Arial" w:hAnsi="Arial"/>
          <w:sz w:val="21"/>
          <w:szCs w:val="21"/>
          <w:b w:val="1"/>
          <w:bCs w:val="1"/>
          <w:color w:val="auto"/>
        </w:rPr>
        <w:t>Mortgage Policy Conditions</w:t>
      </w:r>
      <w:r>
        <w:rPr>
          <w:rFonts w:ascii="Arial" w:cs="Arial" w:eastAsia="Arial" w:hAnsi="Arial"/>
          <w:sz w:val="21"/>
          <w:szCs w:val="21"/>
          <w:color w:val="auto"/>
        </w:rPr>
        <w:t>”);</w:t>
      </w:r>
    </w:p>
    <w:p>
      <w:pPr>
        <w:spacing w:after="0" w:line="181"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after the Restatement Effective Date, each Restricted Subsidiary of the Borrower that is not an Excluded</w:t>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10660" w:type="dxa"/>
            <w:vAlign w:val="bottom"/>
            <w:gridSpan w:val="6"/>
          </w:tcPr>
          <w:p>
            <w:pPr>
              <w:ind w:left="280"/>
              <w:spacing w:after="0"/>
              <w:rPr>
                <w:sz w:val="20"/>
                <w:szCs w:val="20"/>
                <w:color w:val="auto"/>
              </w:rPr>
            </w:pPr>
            <w:r>
              <w:rPr>
                <w:rFonts w:ascii="Arial" w:cs="Arial" w:eastAsia="Arial" w:hAnsi="Arial"/>
                <w:sz w:val="22"/>
                <w:szCs w:val="22"/>
                <w:color w:val="auto"/>
                <w:w w:val="90"/>
              </w:rPr>
              <w:t>Subsidiary shall become a Guarantor and signatory to this Agreement pursuant to a joinder agreement in accordance</w:t>
            </w:r>
          </w:p>
        </w:tc>
      </w:tr>
      <w:tr>
        <w:trPr>
          <w:trHeight w:val="224"/>
        </w:trPr>
        <w:tc>
          <w:tcPr>
            <w:tcW w:w="500" w:type="dxa"/>
            <w:vAlign w:val="bottom"/>
          </w:tcPr>
          <w:p>
            <w:pPr>
              <w:spacing w:after="0"/>
              <w:rPr>
                <w:sz w:val="19"/>
                <w:szCs w:val="19"/>
                <w:color w:val="auto"/>
              </w:rPr>
            </w:pPr>
          </w:p>
        </w:tc>
        <w:tc>
          <w:tcPr>
            <w:tcW w:w="10660" w:type="dxa"/>
            <w:vAlign w:val="bottom"/>
            <w:gridSpan w:val="6"/>
          </w:tcPr>
          <w:p>
            <w:pPr>
              <w:ind w:left="280"/>
              <w:spacing w:after="0" w:line="224" w:lineRule="exact"/>
              <w:rPr>
                <w:sz w:val="20"/>
                <w:szCs w:val="20"/>
                <w:color w:val="auto"/>
              </w:rPr>
            </w:pPr>
            <w:r>
              <w:rPr>
                <w:rFonts w:ascii="Arial" w:cs="Arial" w:eastAsia="Arial" w:hAnsi="Arial"/>
                <w:sz w:val="22"/>
                <w:szCs w:val="22"/>
                <w:color w:val="auto"/>
                <w:w w:val="90"/>
              </w:rPr>
              <w:t xml:space="preserve">with Section 6.11 or 6.13; </w:t>
            </w:r>
            <w:r>
              <w:rPr>
                <w:rFonts w:ascii="Arial" w:cs="Arial" w:eastAsia="Arial" w:hAnsi="Arial"/>
                <w:sz w:val="22"/>
                <w:szCs w:val="22"/>
                <w:i w:val="1"/>
                <w:iCs w:val="1"/>
                <w:color w:val="auto"/>
                <w:w w:val="90"/>
              </w:rPr>
              <w:t>provided</w:t>
            </w:r>
            <w:r>
              <w:rPr>
                <w:rFonts w:ascii="Arial" w:cs="Arial" w:eastAsia="Arial" w:hAnsi="Arial"/>
                <w:sz w:val="22"/>
                <w:szCs w:val="22"/>
                <w:color w:val="auto"/>
                <w:w w:val="90"/>
              </w:rPr>
              <w:t xml:space="preserve"> that, notwithstanding the foregoing provisions, any Subsidiary of the Borrower that</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42"/>
        </w:trPr>
        <w:tc>
          <w:tcPr>
            <w:tcW w:w="500" w:type="dxa"/>
            <w:vAlign w:val="bottom"/>
          </w:tcPr>
          <w:p>
            <w:pPr>
              <w:spacing w:after="0"/>
              <w:rPr>
                <w:sz w:val="21"/>
                <w:szCs w:val="21"/>
                <w:color w:val="auto"/>
              </w:rPr>
            </w:pPr>
          </w:p>
        </w:tc>
        <w:tc>
          <w:tcPr>
            <w:tcW w:w="10660" w:type="dxa"/>
            <w:vAlign w:val="bottom"/>
            <w:gridSpan w:val="6"/>
          </w:tcPr>
          <w:p>
            <w:pPr>
              <w:ind w:left="280"/>
              <w:spacing w:after="0" w:line="242" w:lineRule="exact"/>
              <w:rPr>
                <w:sz w:val="20"/>
                <w:szCs w:val="20"/>
                <w:color w:val="auto"/>
              </w:rPr>
            </w:pPr>
            <w:r>
              <w:rPr>
                <w:rFonts w:ascii="Arial" w:cs="Arial" w:eastAsia="Arial" w:hAnsi="Arial"/>
                <w:sz w:val="22"/>
                <w:szCs w:val="22"/>
                <w:color w:val="auto"/>
                <w:w w:val="96"/>
              </w:rPr>
              <w:t>would otherwise constitute an Excluded Subsidiary that Guarantees any ABL Facility Indebtedness, any Junior</w:t>
            </w:r>
          </w:p>
        </w:tc>
      </w:tr>
      <w:tr>
        <w:trPr>
          <w:trHeight w:val="243"/>
        </w:trPr>
        <w:tc>
          <w:tcPr>
            <w:tcW w:w="500" w:type="dxa"/>
            <w:vAlign w:val="bottom"/>
          </w:tcPr>
          <w:p>
            <w:pPr>
              <w:spacing w:after="0"/>
              <w:rPr>
                <w:sz w:val="21"/>
                <w:szCs w:val="21"/>
                <w:color w:val="auto"/>
              </w:rPr>
            </w:pPr>
          </w:p>
        </w:tc>
        <w:tc>
          <w:tcPr>
            <w:tcW w:w="10660" w:type="dxa"/>
            <w:vAlign w:val="bottom"/>
            <w:gridSpan w:val="6"/>
          </w:tcPr>
          <w:p>
            <w:pPr>
              <w:ind w:left="280"/>
              <w:spacing w:after="0" w:line="243" w:lineRule="exact"/>
              <w:rPr>
                <w:sz w:val="20"/>
                <w:szCs w:val="20"/>
                <w:color w:val="auto"/>
              </w:rPr>
            </w:pPr>
            <w:r>
              <w:rPr>
                <w:rFonts w:ascii="Arial" w:cs="Arial" w:eastAsia="Arial" w:hAnsi="Arial"/>
                <w:sz w:val="22"/>
                <w:szCs w:val="22"/>
                <w:color w:val="auto"/>
                <w:w w:val="90"/>
              </w:rPr>
              <w:t>Financing, Permitted Additional Debt, or any Permitted Refinancing of any Indebtedness thereof, or that is a borrower</w:t>
            </w:r>
          </w:p>
        </w:tc>
      </w:tr>
      <w:tr>
        <w:trPr>
          <w:trHeight w:val="243"/>
        </w:trPr>
        <w:tc>
          <w:tcPr>
            <w:tcW w:w="500" w:type="dxa"/>
            <w:vAlign w:val="bottom"/>
          </w:tcPr>
          <w:p>
            <w:pPr>
              <w:spacing w:after="0"/>
              <w:rPr>
                <w:sz w:val="21"/>
                <w:szCs w:val="21"/>
                <w:color w:val="auto"/>
              </w:rPr>
            </w:pPr>
          </w:p>
        </w:tc>
        <w:tc>
          <w:tcPr>
            <w:tcW w:w="10660" w:type="dxa"/>
            <w:vAlign w:val="bottom"/>
            <w:gridSpan w:val="6"/>
          </w:tcPr>
          <w:p>
            <w:pPr>
              <w:ind w:left="280"/>
              <w:spacing w:after="0" w:line="243" w:lineRule="exact"/>
              <w:rPr>
                <w:sz w:val="20"/>
                <w:szCs w:val="20"/>
                <w:color w:val="auto"/>
              </w:rPr>
            </w:pPr>
            <w:r>
              <w:rPr>
                <w:rFonts w:ascii="Arial" w:cs="Arial" w:eastAsia="Arial" w:hAnsi="Arial"/>
                <w:sz w:val="22"/>
                <w:szCs w:val="22"/>
                <w:color w:val="auto"/>
                <w:w w:val="97"/>
              </w:rPr>
              <w:t>under the ABL Facility (or any Permitted Refinancing thereof) shall be a Guarantor hereunder for so long as it</w:t>
            </w:r>
          </w:p>
        </w:tc>
      </w:tr>
      <w:tr>
        <w:trPr>
          <w:trHeight w:val="274"/>
        </w:trPr>
        <w:tc>
          <w:tcPr>
            <w:tcW w:w="500" w:type="dxa"/>
            <w:vAlign w:val="bottom"/>
          </w:tcPr>
          <w:p>
            <w:pPr>
              <w:spacing w:after="0"/>
              <w:rPr>
                <w:sz w:val="23"/>
                <w:szCs w:val="23"/>
                <w:color w:val="auto"/>
              </w:rPr>
            </w:pPr>
          </w:p>
        </w:tc>
        <w:tc>
          <w:tcPr>
            <w:tcW w:w="10660" w:type="dxa"/>
            <w:vAlign w:val="bottom"/>
            <w:gridSpan w:val="6"/>
          </w:tcPr>
          <w:p>
            <w:pPr>
              <w:ind w:left="280"/>
              <w:spacing w:after="0"/>
              <w:rPr>
                <w:sz w:val="20"/>
                <w:szCs w:val="20"/>
                <w:color w:val="auto"/>
              </w:rPr>
            </w:pPr>
            <w:r>
              <w:rPr>
                <w:rFonts w:ascii="Arial" w:cs="Arial" w:eastAsia="Arial" w:hAnsi="Arial"/>
                <w:sz w:val="22"/>
                <w:szCs w:val="22"/>
                <w:color w:val="auto"/>
              </w:rPr>
              <w:t>Guarantees such Indebtedness (or is a borrower with respect thereto); and</w:t>
            </w:r>
          </w:p>
        </w:tc>
      </w:tr>
      <w:tr>
        <w:trPr>
          <w:trHeight w:val="428"/>
        </w:trPr>
        <w:tc>
          <w:tcPr>
            <w:tcW w:w="500" w:type="dxa"/>
            <w:vAlign w:val="bottom"/>
          </w:tcPr>
          <w:p>
            <w:pPr>
              <w:spacing w:after="0"/>
              <w:rPr>
                <w:sz w:val="20"/>
                <w:szCs w:val="20"/>
                <w:color w:val="auto"/>
              </w:rPr>
            </w:pPr>
            <w:r>
              <w:rPr>
                <w:rFonts w:ascii="Arial" w:cs="Arial" w:eastAsia="Arial" w:hAnsi="Arial"/>
                <w:sz w:val="22"/>
                <w:szCs w:val="22"/>
                <w:color w:val="auto"/>
              </w:rPr>
              <w:t>(e)</w:t>
            </w:r>
          </w:p>
        </w:tc>
        <w:tc>
          <w:tcPr>
            <w:tcW w:w="720" w:type="dxa"/>
            <w:vAlign w:val="bottom"/>
          </w:tcPr>
          <w:p>
            <w:pPr>
              <w:spacing w:after="0"/>
              <w:rPr>
                <w:sz w:val="24"/>
                <w:szCs w:val="24"/>
                <w:color w:val="auto"/>
              </w:rPr>
            </w:pPr>
          </w:p>
        </w:tc>
        <w:tc>
          <w:tcPr>
            <w:tcW w:w="9940" w:type="dxa"/>
            <w:vAlign w:val="bottom"/>
            <w:gridSpan w:val="5"/>
          </w:tcPr>
          <w:p>
            <w:pPr>
              <w:ind w:left="360"/>
              <w:spacing w:after="0"/>
              <w:rPr>
                <w:sz w:val="20"/>
                <w:szCs w:val="20"/>
                <w:color w:val="auto"/>
              </w:rPr>
            </w:pPr>
            <w:r>
              <w:rPr>
                <w:rFonts w:ascii="Arial" w:cs="Arial" w:eastAsia="Arial" w:hAnsi="Arial"/>
                <w:sz w:val="22"/>
                <w:szCs w:val="22"/>
                <w:color w:val="auto"/>
                <w:w w:val="89"/>
              </w:rPr>
              <w:t>after the Restatement Effective Date, YRC Freight Canada Company and Reimer Holding B.V. shall become a</w:t>
            </w:r>
          </w:p>
        </w:tc>
      </w:tr>
      <w:tr>
        <w:trPr>
          <w:trHeight w:val="243"/>
        </w:trPr>
        <w:tc>
          <w:tcPr>
            <w:tcW w:w="500" w:type="dxa"/>
            <w:vAlign w:val="bottom"/>
          </w:tcPr>
          <w:p>
            <w:pPr>
              <w:spacing w:after="0"/>
              <w:rPr>
                <w:sz w:val="21"/>
                <w:szCs w:val="21"/>
                <w:color w:val="auto"/>
              </w:rPr>
            </w:pPr>
          </w:p>
        </w:tc>
        <w:tc>
          <w:tcPr>
            <w:tcW w:w="10660" w:type="dxa"/>
            <w:vAlign w:val="bottom"/>
            <w:gridSpan w:val="6"/>
          </w:tcPr>
          <w:p>
            <w:pPr>
              <w:ind w:left="280"/>
              <w:spacing w:after="0" w:line="243" w:lineRule="exact"/>
              <w:rPr>
                <w:sz w:val="20"/>
                <w:szCs w:val="20"/>
                <w:color w:val="auto"/>
              </w:rPr>
            </w:pPr>
            <w:r>
              <w:rPr>
                <w:rFonts w:ascii="Arial" w:cs="Arial" w:eastAsia="Arial" w:hAnsi="Arial"/>
                <w:sz w:val="22"/>
                <w:szCs w:val="22"/>
                <w:color w:val="auto"/>
                <w:w w:val="93"/>
              </w:rPr>
              <w:t>Guarantor and signatory to this Agreement pursuant to a joinder agreement in accordance with, and take the other</w:t>
            </w:r>
          </w:p>
        </w:tc>
      </w:tr>
      <w:tr>
        <w:trPr>
          <w:trHeight w:val="224"/>
        </w:trPr>
        <w:tc>
          <w:tcPr>
            <w:tcW w:w="500" w:type="dxa"/>
            <w:vAlign w:val="bottom"/>
          </w:tcPr>
          <w:p>
            <w:pPr>
              <w:spacing w:after="0"/>
              <w:rPr>
                <w:sz w:val="19"/>
                <w:szCs w:val="19"/>
                <w:color w:val="auto"/>
              </w:rPr>
            </w:pPr>
          </w:p>
        </w:tc>
        <w:tc>
          <w:tcPr>
            <w:tcW w:w="10660" w:type="dxa"/>
            <w:vAlign w:val="bottom"/>
            <w:gridSpan w:val="6"/>
          </w:tcPr>
          <w:p>
            <w:pPr>
              <w:ind w:left="280"/>
              <w:spacing w:after="0" w:line="224" w:lineRule="exact"/>
              <w:rPr>
                <w:sz w:val="20"/>
                <w:szCs w:val="20"/>
                <w:color w:val="auto"/>
              </w:rPr>
            </w:pPr>
            <w:r>
              <w:rPr>
                <w:rFonts w:ascii="Arial" w:cs="Arial" w:eastAsia="Arial" w:hAnsi="Arial"/>
                <w:sz w:val="22"/>
                <w:szCs w:val="22"/>
                <w:color w:val="auto"/>
              </w:rPr>
              <w:t>actions specified in, Schedule 6.13(a).</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Notwithstanding the foregoing provisions of this definition or anything in this Agreement or any other Loan Document to the contrary:</w:t>
      </w:r>
    </w:p>
    <w:p>
      <w:pPr>
        <w:spacing w:after="0" w:line="175" w:lineRule="exact"/>
        <w:rPr>
          <w:sz w:val="20"/>
          <w:szCs w:val="20"/>
          <w:color w:val="auto"/>
        </w:rPr>
      </w:pPr>
    </w:p>
    <w:p>
      <w:pPr>
        <w:ind w:left="860" w:hanging="787"/>
        <w:spacing w:after="0" w:line="250" w:lineRule="auto"/>
        <w:tabs>
          <w:tab w:leader="none" w:pos="165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foregoing definition shall not require, unless otherwise stated in this clause (A), the creation or perfection of pledges of, security interests in, Mortgages on, the obtaining of title</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9" w:name="page70"/>
    <w:bookmarkEnd w:id="69"/>
    <w:p>
      <w:pPr>
        <w:jc w:val="both"/>
        <w:ind w:left="860" w:firstLine="798"/>
        <w:spacing w:after="0" w:line="268" w:lineRule="auto"/>
        <w:rPr>
          <w:sz w:val="20"/>
          <w:szCs w:val="20"/>
          <w:color w:val="auto"/>
        </w:rPr>
      </w:pPr>
      <w:r>
        <w:rPr>
          <w:rFonts w:ascii="Arial" w:cs="Arial" w:eastAsia="Arial" w:hAnsi="Arial"/>
          <w:sz w:val="19"/>
          <w:szCs w:val="19"/>
          <w:color w:val="auto"/>
        </w:rPr>
        <w:t xml:space="preserve">insurance with respect to or the taking of any other actions with respect to: (i) any fee owned Real Property that is not Material Real Property (other than Pension Property Mortgages solely to the extent required to be delivered pursuant to clause (b)(iv) of this definition) and any Leasehold Property (it being understood there shall be no requirement to obtain any landlord waivers, estoppels or collateral access letters), (ii) motor vehicles (other than tractors, trucks, trailers and other rolling stock) consisting of an employee or light vehicle and other assets subject to certificates of title with an individual fair market value of less than $40,000,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fair market value of all assets excluded from the Collateral and Guarantee Requirement pursuant to this sub-clause (ii) of this clause (A), together with the aggregate book value of all assets excluded from the Collateral and Guarantee Requirement pursuant to sub-clause (xiv) of this clause (A), shall not exceed $5,000,000 in the aggregate at any time outstanding, (iii) letter of credit rights (other than to the extent consisting of supporting obligations that can be perfected solely by the filing of a UCC financing statement) of an amount less than $5,000,000 and commercial tort claims where the amount of damages claimed by the applicable Loan Party is less than $5,000,000, (iv) any governmental licenses or state or local franchises, charters and authorizations, to the extent security interests in such licenses, franchises, charters or authorizations are prohibited or restricted thereby (except to the extent such prohibition or restriction is rendered ineffective under the UCC or other applicable law), (v) Collateral in which pledges or security interests are prohibited or restricted by applicable law or require the consent of any governmental authority or third party, which consent has not been obtained, (vi) Margin Stock, (vii) Equity Interests in a bona fide joint venture formed after the Restatement Effective Date with any Person that is not an Affiliate of any Loan Party (but only to the extent that the organizational documents of such Subsidiaries or agreements with other equity holders prohibit or restrict the pledge thereof without the consent of the other equity holders under restrictions that are enforceable under the UCC or other applicable law and such consent has not been obtained), (viii) Equity Interests of (or held as assets by) Immaterial Subsidiaries, or captive insurance Subsidiaries, (ix) any lease, license or agreement or any property to the extent a grant of a security interest therein would violate or invalidate such lease, license or agreement or similar arrangement or create a right of termination in favor of any other party thereto after giving effect to the applicable anti-assignment provisions of the UCC or other applicable law, other than proceeds and receivables thereof, the assignment of which is deemed effective under the UCC or other applicable law, notwithstanding such prohibition, (x) any assets or rights subject to a purchase money security interest, Capitalized Lease or similar arrangement, (xi) [reserved], (xii) any assets to the extent a security interest in such assets could result in adverse Tax consequences as reasonably determined by the Borrower, in consultation with the Administrative Agent (provided that the Borrower shall give notice of such determination to the Required Lenders and, at the request of the Required Lenders, shall consult with the Required Lenders), (xiii)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(xiv) any equipment or other collateral with a net book value in an aggregate amount not to exceed $5,000,000 for all such equipment or other collateral (other than to the extent consisting of supporting obligations that can be perfected solely by the filing of a UCC financing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fair market value of all assets excluded from the Collateral and Guarantee Requirement pursuant to this sub-clause (xiv), together with the aggregate net book value of all assets excluded from the Collateral and Guarantee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0" w:name="page71"/>
    <w:bookmarkEnd w:id="70"/>
    <w:p>
      <w:pPr>
        <w:jc w:val="both"/>
        <w:ind w:left="860" w:firstLine="798"/>
        <w:spacing w:after="0" w:line="287" w:lineRule="auto"/>
        <w:rPr>
          <w:sz w:val="20"/>
          <w:szCs w:val="20"/>
          <w:color w:val="auto"/>
        </w:rPr>
      </w:pPr>
      <w:r>
        <w:rPr>
          <w:rFonts w:ascii="Arial" w:cs="Arial" w:eastAsia="Arial" w:hAnsi="Arial"/>
          <w:sz w:val="19"/>
          <w:szCs w:val="19"/>
          <w:color w:val="auto"/>
        </w:rPr>
        <w:t>Requirement pursuant to sub-clause (ii) of this clause (A), shall not exceed $5,000,000 in the aggregate at any time outstanding, and (xv) other assets not specifically included in the Collateral in circumstances where the cost of obtaining a security interest in such assets exceeds the practical benefit to the Lenders afforded thereby as reasonably determined by the Administrative Agent in consultation with the Borrower.</w:t>
      </w:r>
    </w:p>
    <w:p>
      <w:pPr>
        <w:spacing w:after="0" w:line="137" w:lineRule="exact"/>
        <w:rPr>
          <w:sz w:val="20"/>
          <w:szCs w:val="20"/>
          <w:color w:val="auto"/>
        </w:rPr>
      </w:pPr>
    </w:p>
    <w:p>
      <w:pPr>
        <w:jc w:val="both"/>
        <w:ind w:left="860" w:hanging="787"/>
        <w:spacing w:after="0" w:line="271" w:lineRule="auto"/>
        <w:tabs>
          <w:tab w:leader="none" w:pos="1658" w:val="left"/>
        </w:tabs>
        <w:numPr>
          <w:ilvl w:val="0"/>
          <w:numId w:val="39"/>
        </w:numPr>
        <w:rPr>
          <w:rFonts w:ascii="Arial" w:cs="Arial" w:eastAsia="Arial" w:hAnsi="Arial"/>
          <w:sz w:val="19"/>
          <w:szCs w:val="19"/>
          <w:color w:val="auto"/>
        </w:rPr>
      </w:pPr>
      <w:r>
        <w:rPr>
          <w:rFonts w:ascii="Arial" w:cs="Arial" w:eastAsia="Arial" w:hAnsi="Arial"/>
          <w:sz w:val="19"/>
          <w:szCs w:val="19"/>
          <w:color w:val="auto"/>
        </w:rPr>
        <w:t>(i) the foregoing definition shall not require perfection by “</w:t>
      </w:r>
      <w:r>
        <w:rPr>
          <w:rFonts w:ascii="Arial" w:cs="Arial" w:eastAsia="Arial" w:hAnsi="Arial"/>
          <w:sz w:val="19"/>
          <w:szCs w:val="19"/>
          <w:b w:val="1"/>
          <w:bCs w:val="1"/>
          <w:color w:val="auto"/>
        </w:rPr>
        <w:t>control</w:t>
      </w:r>
      <w:r>
        <w:rPr>
          <w:rFonts w:ascii="Arial" w:cs="Arial" w:eastAsia="Arial" w:hAnsi="Arial"/>
          <w:sz w:val="19"/>
          <w:szCs w:val="19"/>
          <w:color w:val="auto"/>
        </w:rPr>
        <w:t>” except with respect to (1) Equity Interests or Indebtedness represented or evidenced by certificates or instruments and (2) deposit accounts and security accounts (which are required to be subject to Control Agreements pursuant to Section 3.04 of the Security Agreement), other than Excluded Accounts; (ii) perfection by possession or control shall not be required with respect to (x) any intercompany notes in an aggregate principal amount not to exceed $5,000,000 and (y) any other notes or other evidence of Indebtedness in an aggregate principal amount not to exceed $5,000,000; (iii) except in the case of (A) Canadian Subsidiaries, (B) Dutch Subsidiaries and (C) other Foreign Subsidiaries that are not Excluded Foreign Subsidiaries, no actions in any non-U.S. jurisdiction or required by the laws of any non-U.S. jurisdiction shall be required in order to create any security interests in assets located or titled outside of the United States (including the Equity Interests of any Foreign Subsidiary) or to perfect such security interests (it being understood that there shall be no security agreements or pledge agreements governed under the laws of any non-U.S. jurisdiction); and (iv) except to the extent that perfection and priority may be achieved (w) by the filing of a financing statement under the Uniform Commercial Code with respect to the Borrower or a Guarantor, (x) with respect to Real Property and the recordation of Mortgages in respect thereof, as contemplated by clauses (b)(iii) and (c) above, (y) with respect to Equity Interests or Indebtedness, by the delivery of certificates or instruments representing or evidencing such Equity Interests or Indebtedness along with appropriate undated instruments of transfer executed in blank or (z) by notation of liens on certificate of title, the Loan Documents shall not contain any requirements as to perfection or priority with respect to any assets or property described in clause (A) above and this clause (B);</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860" w:hanging="787"/>
        <w:spacing w:after="0" w:line="272" w:lineRule="auto"/>
        <w:tabs>
          <w:tab w:leader="none" w:pos="1658"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Collateral Agent in its reasonable discretion may grant extensions of time for the creation or perfection of security interests in, and Mortgages on, or obtaining of title insurance or taking of other actions with respect to, particular assets (including extensions beyond the Restatement Effective Date) or any other compliance with the requirements of this definition (or any similar requirements set forth herein or in any other Loan Documents) where it reasonably determines, in consultation with the Borrower, that such creation or perfection of security interests or Mortgages, or such obtaining of title insurance or taking of other actions, or any other compliance with the requirements of this definition cannot be accomplished without undue delay, burden or expense by the time or times at which such act would otherwise be required by this Agreement or any Collateral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Collateral Agent shall have received on or prior to the Restatement Effective Date, (i) UCC financing statements in appropriate form for filing under the UCC in the jurisdiction of incorporation or organization of each Loan Party, (ii) any certificates or instruments representing or evidencing Equity Interests of each direct wholly owned Subsidiary of the Borrower or any Guarantor, in each case accompanied by undated instruments of transfer and stock powers endorsed in blank and (iii) Mortgages and Mortgage Policies for each Material Real Property; and</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ind w:left="860" w:hanging="787"/>
        <w:spacing w:after="0" w:line="274" w:lineRule="auto"/>
        <w:tabs>
          <w:tab w:leader="none" w:pos="1658" w:val="left"/>
        </w:tabs>
        <w:numPr>
          <w:ilvl w:val="0"/>
          <w:numId w:val="40"/>
        </w:numPr>
        <w:rPr>
          <w:rFonts w:ascii="Arial" w:cs="Arial" w:eastAsia="Arial" w:hAnsi="Arial"/>
          <w:sz w:val="21"/>
          <w:szCs w:val="21"/>
          <w:color w:val="auto"/>
        </w:rPr>
      </w:pPr>
      <w:r>
        <w:rPr>
          <w:rFonts w:ascii="Arial" w:cs="Arial" w:eastAsia="Arial" w:hAnsi="Arial"/>
          <w:sz w:val="21"/>
          <w:szCs w:val="21"/>
          <w:color w:val="auto"/>
        </w:rPr>
        <w:t>Liens required to be granted from time to time pursuant to the Collateral and Guarantee Requirement shall be subject to the exceptions and limitations set forth in this Agreement and the Collateral Documents.</w:t>
      </w:r>
    </w:p>
    <w:p>
      <w:pPr>
        <w:spacing w:after="0" w:line="14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 Documents</w:t>
      </w:r>
      <w:r>
        <w:rPr>
          <w:rFonts w:ascii="Arial" w:cs="Arial" w:eastAsia="Arial" w:hAnsi="Arial"/>
          <w:sz w:val="22"/>
          <w:szCs w:val="22"/>
          <w:color w:val="auto"/>
        </w:rPr>
        <w:t xml:space="preserve"> ” shall mean, collectively, the Security Agreement, each of the Mortgages, collateral assignments, security agreements, pledge agreements, intellectual property security agreements, Control Agreements or other similar agreements delivered to the Administrative Agent or the Collateral Agent pursuant to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6.13</w:t>
      </w:r>
      <w:r>
        <w:rPr>
          <w:rFonts w:ascii="Arial" w:cs="Arial" w:eastAsia="Arial" w:hAnsi="Arial"/>
          <w:sz w:val="22"/>
          <w:szCs w:val="22"/>
          <w:color w:val="auto"/>
        </w:rPr>
        <w:t>, each of the other agreements, instruments or documents that creates or purports to create a Lien in favor of the Collateral Agent for the benefit of the Secured Parties, the ABL Intercreditor Agreement and the Second Lien Intercreditor Agreement (if any).</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w:t>
      </w:r>
      <w:r>
        <w:rPr>
          <w:rFonts w:ascii="Arial" w:cs="Arial" w:eastAsia="Arial" w:hAnsi="Arial"/>
          <w:sz w:val="22"/>
          <w:szCs w:val="22"/>
          <w:color w:val="auto"/>
        </w:rPr>
        <w:t>” shall mean, with respect to any Lender, such Lender’s Term Loan Commitment (including pursuant to any Refinancing Amendment or Extension Amendment).</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10660" w:type="dxa"/>
            <w:vAlign w:val="bottom"/>
            <w:gridSpan w:val="5"/>
          </w:tcPr>
          <w:p>
            <w:pPr>
              <w:ind w:left="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Communications</w:t>
            </w:r>
            <w:r>
              <w:rPr>
                <w:rFonts w:ascii="Arial" w:cs="Arial" w:eastAsia="Arial" w:hAnsi="Arial"/>
                <w:sz w:val="22"/>
                <w:szCs w:val="22"/>
                <w:color w:val="auto"/>
              </w:rPr>
              <w:t>” shall have the meaning assigned to such term in Section 10.01.</w:t>
            </w:r>
          </w:p>
        </w:tc>
      </w:tr>
      <w:tr>
        <w:trPr>
          <w:trHeight w:val="20"/>
        </w:trPr>
        <w:tc>
          <w:tcPr>
            <w:tcW w:w="5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0660" w:type="dxa"/>
            <w:vAlign w:val="bottom"/>
            <w:gridSpan w:val="5"/>
          </w:tcPr>
          <w:p>
            <w:pPr>
              <w:ind w:left="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 shall mean a certificate substantially in the form of Exhibit F.</w:t>
            </w:r>
          </w:p>
        </w:tc>
      </w:tr>
      <w:tr>
        <w:trPr>
          <w:trHeight w:val="20"/>
        </w:trPr>
        <w:tc>
          <w:tcPr>
            <w:tcW w:w="50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90"/>
        </w:trPr>
        <w:tc>
          <w:tcPr>
            <w:tcW w:w="500" w:type="dxa"/>
            <w:vAlign w:val="bottom"/>
          </w:tcPr>
          <w:p>
            <w:pPr>
              <w:spacing w:after="0"/>
              <w:rPr>
                <w:sz w:val="24"/>
                <w:szCs w:val="24"/>
                <w:color w:val="auto"/>
              </w:rPr>
            </w:pPr>
          </w:p>
        </w:tc>
        <w:tc>
          <w:tcPr>
            <w:tcW w:w="10660" w:type="dxa"/>
            <w:vAlign w:val="bottom"/>
            <w:gridSpan w:val="5"/>
          </w:tcPr>
          <w:p>
            <w:pPr>
              <w:ind w:left="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EBITDA</w:t>
            </w:r>
            <w:r>
              <w:rPr>
                <w:rFonts w:ascii="Arial" w:cs="Arial" w:eastAsia="Arial" w:hAnsi="Arial"/>
                <w:sz w:val="22"/>
                <w:szCs w:val="22"/>
                <w:color w:val="auto"/>
              </w:rPr>
              <w:t>” shall mean, for any period, the Consolidated Net Income for such period, plus:</w:t>
            </w:r>
          </w:p>
        </w:tc>
      </w:tr>
      <w:tr>
        <w:trPr>
          <w:trHeight w:val="428"/>
        </w:trPr>
        <w:tc>
          <w:tcPr>
            <w:tcW w:w="500" w:type="dxa"/>
            <w:vAlign w:val="bottom"/>
          </w:tcPr>
          <w:p>
            <w:pPr>
              <w:spacing w:after="0"/>
              <w:rPr>
                <w:sz w:val="20"/>
                <w:szCs w:val="20"/>
                <w:color w:val="auto"/>
              </w:rPr>
            </w:pPr>
            <w:r>
              <w:rPr>
                <w:rFonts w:ascii="Arial" w:cs="Arial" w:eastAsia="Arial" w:hAnsi="Arial"/>
                <w:sz w:val="22"/>
                <w:szCs w:val="22"/>
                <w:color w:val="auto"/>
              </w:rPr>
              <w:t>(a)</w:t>
            </w:r>
          </w:p>
        </w:tc>
        <w:tc>
          <w:tcPr>
            <w:tcW w:w="10660" w:type="dxa"/>
            <w:vAlign w:val="bottom"/>
            <w:gridSpan w:val="5"/>
          </w:tcPr>
          <w:p>
            <w:pPr>
              <w:ind w:left="1080"/>
              <w:spacing w:after="0"/>
              <w:rPr>
                <w:sz w:val="20"/>
                <w:szCs w:val="20"/>
                <w:color w:val="auto"/>
              </w:rPr>
            </w:pPr>
            <w:r>
              <w:rPr>
                <w:rFonts w:ascii="Arial" w:cs="Arial" w:eastAsia="Arial" w:hAnsi="Arial"/>
                <w:sz w:val="22"/>
                <w:szCs w:val="22"/>
                <w:color w:val="auto"/>
                <w:w w:val="99"/>
              </w:rPr>
              <w:t>without duplication and to the extent deducted (and not added back or excluded) in arriving at such</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280"/>
              <w:spacing w:after="0" w:line="243" w:lineRule="exact"/>
              <w:rPr>
                <w:sz w:val="20"/>
                <w:szCs w:val="20"/>
                <w:color w:val="auto"/>
              </w:rPr>
            </w:pPr>
            <w:r>
              <w:rPr>
                <w:rFonts w:ascii="Arial" w:cs="Arial" w:eastAsia="Arial" w:hAnsi="Arial"/>
                <w:sz w:val="22"/>
                <w:szCs w:val="22"/>
                <w:color w:val="auto"/>
                <w:w w:val="95"/>
              </w:rPr>
              <w:t>Consolidated Net Income (other than clauses (viii) or (xi)), the sum of the following amounts for such period with</w:t>
            </w:r>
          </w:p>
        </w:tc>
      </w:tr>
      <w:tr>
        <w:trPr>
          <w:trHeight w:val="274"/>
        </w:trPr>
        <w:tc>
          <w:tcPr>
            <w:tcW w:w="500" w:type="dxa"/>
            <w:vAlign w:val="bottom"/>
          </w:tcPr>
          <w:p>
            <w:pPr>
              <w:spacing w:after="0"/>
              <w:rPr>
                <w:sz w:val="23"/>
                <w:szCs w:val="23"/>
                <w:color w:val="auto"/>
              </w:rPr>
            </w:pPr>
          </w:p>
        </w:tc>
        <w:tc>
          <w:tcPr>
            <w:tcW w:w="10660" w:type="dxa"/>
            <w:vAlign w:val="bottom"/>
            <w:gridSpan w:val="5"/>
          </w:tcPr>
          <w:p>
            <w:pPr>
              <w:ind w:left="280"/>
              <w:spacing w:after="0"/>
              <w:rPr>
                <w:sz w:val="20"/>
                <w:szCs w:val="20"/>
                <w:color w:val="auto"/>
              </w:rPr>
            </w:pPr>
            <w:r>
              <w:rPr>
                <w:rFonts w:ascii="Arial" w:cs="Arial" w:eastAsia="Arial" w:hAnsi="Arial"/>
                <w:sz w:val="22"/>
                <w:szCs w:val="22"/>
                <w:color w:val="auto"/>
              </w:rPr>
              <w:t>respect to Borrower and its Restricted Subsidiaries:</w:t>
            </w:r>
          </w:p>
        </w:tc>
      </w:tr>
      <w:tr>
        <w:trPr>
          <w:trHeight w:val="428"/>
        </w:trPr>
        <w:tc>
          <w:tcPr>
            <w:tcW w:w="500" w:type="dxa"/>
            <w:vAlign w:val="bottom"/>
          </w:tcPr>
          <w:p>
            <w:pPr>
              <w:spacing w:after="0"/>
              <w:rPr>
                <w:sz w:val="24"/>
                <w:szCs w:val="24"/>
                <w:color w:val="auto"/>
              </w:rPr>
            </w:pPr>
          </w:p>
        </w:tc>
        <w:tc>
          <w:tcPr>
            <w:tcW w:w="10660" w:type="dxa"/>
            <w:vAlign w:val="bottom"/>
            <w:gridSpan w:val="5"/>
          </w:tcPr>
          <w:p>
            <w:pPr>
              <w:ind w:left="1080"/>
              <w:spacing w:after="0"/>
              <w:rPr>
                <w:sz w:val="20"/>
                <w:szCs w:val="20"/>
                <w:color w:val="auto"/>
              </w:rPr>
            </w:pPr>
            <w:r>
              <w:rPr>
                <w:rFonts w:ascii="Arial" w:cs="Arial" w:eastAsia="Arial" w:hAnsi="Arial"/>
                <w:sz w:val="22"/>
                <w:szCs w:val="22"/>
                <w:color w:val="auto"/>
                <w:w w:val="93"/>
              </w:rPr>
              <w:t>(i)total interest expense determined in accordance with GAAP and, to the extent not reflected in such total</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2"/>
              </w:rPr>
              <w:t>interest expense, any expenses or losses on hedging obligations or other derivative instruments entered into for the</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1"/>
              </w:rPr>
              <w:t>purpose of hedging interest rate risk, net of interest income and gains on such hedging obligations or other derivative</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2"/>
              </w:rPr>
              <w:t>obligations, letter of credit fees, costs of surety bonds in connection with financing activities and any bank fees and</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1"/>
              </w:rPr>
              <w:t>financing fees (including commitment, underwriting, funding, “rollover” and similar fees and commissions, discounts,</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88"/>
              </w:rPr>
              <w:t>yields and other fees, charges and amounts incurred in connection with the issuance or incurrence of Indebtedness and</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0"/>
              </w:rPr>
              <w:t>all commissions, discounts and other fees and charges owed with respect to letters of credit and bankers’ acceptance</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0"/>
              </w:rPr>
              <w:t>financing and net costs under Swap Contracts entered into for the purpose of hedging interest or commodity rate risk)</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2"/>
              </w:rPr>
              <w:t>and annual agency, unused line, facility or similar fees paid under definitive documentation related to Indebtedness</w:t>
            </w:r>
          </w:p>
        </w:tc>
      </w:tr>
      <w:tr>
        <w:trPr>
          <w:trHeight w:val="274"/>
        </w:trPr>
        <w:tc>
          <w:tcPr>
            <w:tcW w:w="500" w:type="dxa"/>
            <w:vAlign w:val="bottom"/>
          </w:tcPr>
          <w:p>
            <w:pPr>
              <w:spacing w:after="0"/>
              <w:rPr>
                <w:sz w:val="23"/>
                <w:szCs w:val="23"/>
                <w:color w:val="auto"/>
              </w:rPr>
            </w:pPr>
          </w:p>
        </w:tc>
        <w:tc>
          <w:tcPr>
            <w:tcW w:w="10660" w:type="dxa"/>
            <w:vAlign w:val="bottom"/>
            <w:gridSpan w:val="5"/>
          </w:tcPr>
          <w:p>
            <w:pPr>
              <w:ind w:left="300"/>
              <w:spacing w:after="0"/>
              <w:rPr>
                <w:sz w:val="20"/>
                <w:szCs w:val="20"/>
                <w:color w:val="auto"/>
              </w:rPr>
            </w:pPr>
            <w:r>
              <w:rPr>
                <w:rFonts w:ascii="Arial" w:cs="Arial" w:eastAsia="Arial" w:hAnsi="Arial"/>
                <w:sz w:val="22"/>
                <w:szCs w:val="22"/>
                <w:color w:val="auto"/>
              </w:rPr>
              <w:t>(whether amortized or immediately expensed),</w:t>
            </w:r>
          </w:p>
        </w:tc>
      </w:tr>
      <w:tr>
        <w:trPr>
          <w:trHeight w:val="428"/>
        </w:trPr>
        <w:tc>
          <w:tcPr>
            <w:tcW w:w="500" w:type="dxa"/>
            <w:vAlign w:val="bottom"/>
          </w:tcPr>
          <w:p>
            <w:pPr>
              <w:spacing w:after="0"/>
              <w:rPr>
                <w:sz w:val="24"/>
                <w:szCs w:val="24"/>
                <w:color w:val="auto"/>
              </w:rPr>
            </w:pPr>
          </w:p>
        </w:tc>
        <w:tc>
          <w:tcPr>
            <w:tcW w:w="10660" w:type="dxa"/>
            <w:vAlign w:val="bottom"/>
            <w:gridSpan w:val="5"/>
          </w:tcPr>
          <w:p>
            <w:pPr>
              <w:ind w:left="1080"/>
              <w:spacing w:after="0"/>
              <w:rPr>
                <w:sz w:val="20"/>
                <w:szCs w:val="20"/>
                <w:color w:val="auto"/>
              </w:rPr>
            </w:pPr>
            <w:r>
              <w:rPr>
                <w:rFonts w:ascii="Arial" w:cs="Arial" w:eastAsia="Arial" w:hAnsi="Arial"/>
                <w:sz w:val="22"/>
                <w:szCs w:val="22"/>
                <w:color w:val="auto"/>
              </w:rPr>
              <w:t>(ii)provision for taxes based on income, profits or capital gains of the Borrower and the Restricted</w:t>
            </w:r>
          </w:p>
        </w:tc>
      </w:tr>
      <w:tr>
        <w:trPr>
          <w:trHeight w:val="243"/>
        </w:trPr>
        <w:tc>
          <w:tcPr>
            <w:tcW w:w="500" w:type="dxa"/>
            <w:vAlign w:val="bottom"/>
          </w:tcPr>
          <w:p>
            <w:pPr>
              <w:spacing w:after="0"/>
              <w:rPr>
                <w:sz w:val="21"/>
                <w:szCs w:val="21"/>
                <w:color w:val="auto"/>
              </w:rPr>
            </w:pPr>
          </w:p>
        </w:tc>
        <w:tc>
          <w:tcPr>
            <w:tcW w:w="10660" w:type="dxa"/>
            <w:vAlign w:val="bottom"/>
            <w:gridSpan w:val="5"/>
          </w:tcPr>
          <w:p>
            <w:pPr>
              <w:ind w:left="300"/>
              <w:spacing w:after="0" w:line="243" w:lineRule="exact"/>
              <w:rPr>
                <w:sz w:val="20"/>
                <w:szCs w:val="20"/>
                <w:color w:val="auto"/>
              </w:rPr>
            </w:pPr>
            <w:r>
              <w:rPr>
                <w:rFonts w:ascii="Arial" w:cs="Arial" w:eastAsia="Arial" w:hAnsi="Arial"/>
                <w:sz w:val="22"/>
                <w:szCs w:val="22"/>
                <w:color w:val="auto"/>
                <w:w w:val="94"/>
              </w:rPr>
              <w:t>Subsidiaries, including, without limitation, federal, state, local, franchise and similar taxes and foreign withholding</w:t>
            </w:r>
          </w:p>
        </w:tc>
      </w:tr>
      <w:tr>
        <w:trPr>
          <w:trHeight w:val="274"/>
        </w:trPr>
        <w:tc>
          <w:tcPr>
            <w:tcW w:w="500" w:type="dxa"/>
            <w:vAlign w:val="bottom"/>
          </w:tcPr>
          <w:p>
            <w:pPr>
              <w:spacing w:after="0"/>
              <w:rPr>
                <w:sz w:val="23"/>
                <w:szCs w:val="23"/>
                <w:color w:val="auto"/>
              </w:rPr>
            </w:pPr>
          </w:p>
        </w:tc>
        <w:tc>
          <w:tcPr>
            <w:tcW w:w="10660" w:type="dxa"/>
            <w:vAlign w:val="bottom"/>
            <w:gridSpan w:val="5"/>
          </w:tcPr>
          <w:p>
            <w:pPr>
              <w:ind w:left="300"/>
              <w:spacing w:after="0"/>
              <w:rPr>
                <w:sz w:val="20"/>
                <w:szCs w:val="20"/>
                <w:color w:val="auto"/>
              </w:rPr>
            </w:pPr>
            <w:r>
              <w:rPr>
                <w:rFonts w:ascii="Arial" w:cs="Arial" w:eastAsia="Arial" w:hAnsi="Arial"/>
                <w:sz w:val="22"/>
                <w:szCs w:val="22"/>
                <w:color w:val="auto"/>
              </w:rPr>
              <w:t>taxes paid or accrued during such period,</w:t>
            </w:r>
          </w:p>
        </w:tc>
      </w:tr>
      <w:tr>
        <w:trPr>
          <w:trHeight w:val="459"/>
        </w:trPr>
        <w:tc>
          <w:tcPr>
            <w:tcW w:w="500" w:type="dxa"/>
            <w:vAlign w:val="bottom"/>
          </w:tcPr>
          <w:p>
            <w:pPr>
              <w:spacing w:after="0"/>
              <w:rPr>
                <w:sz w:val="24"/>
                <w:szCs w:val="24"/>
                <w:color w:val="auto"/>
              </w:rPr>
            </w:pPr>
          </w:p>
        </w:tc>
        <w:tc>
          <w:tcPr>
            <w:tcW w:w="10660" w:type="dxa"/>
            <w:vAlign w:val="bottom"/>
            <w:gridSpan w:val="5"/>
          </w:tcPr>
          <w:p>
            <w:pPr>
              <w:ind w:left="1080"/>
              <w:spacing w:after="0"/>
              <w:rPr>
                <w:sz w:val="20"/>
                <w:szCs w:val="20"/>
                <w:color w:val="auto"/>
              </w:rPr>
            </w:pPr>
            <w:r>
              <w:rPr>
                <w:rFonts w:ascii="Arial" w:cs="Arial" w:eastAsia="Arial" w:hAnsi="Arial"/>
                <w:sz w:val="22"/>
                <w:szCs w:val="22"/>
                <w:color w:val="auto"/>
              </w:rPr>
              <w:t>(iii)depreciation and amortization,</w:t>
            </w:r>
          </w:p>
        </w:tc>
      </w:tr>
      <w:tr>
        <w:trPr>
          <w:trHeight w:val="428"/>
        </w:trPr>
        <w:tc>
          <w:tcPr>
            <w:tcW w:w="500" w:type="dxa"/>
            <w:vAlign w:val="bottom"/>
          </w:tcPr>
          <w:p>
            <w:pPr>
              <w:spacing w:after="0"/>
              <w:rPr>
                <w:sz w:val="24"/>
                <w:szCs w:val="24"/>
                <w:color w:val="auto"/>
              </w:rPr>
            </w:pPr>
          </w:p>
        </w:tc>
        <w:tc>
          <w:tcPr>
            <w:tcW w:w="10660" w:type="dxa"/>
            <w:vAlign w:val="bottom"/>
            <w:gridSpan w:val="5"/>
          </w:tcPr>
          <w:p>
            <w:pPr>
              <w:ind w:left="1080"/>
              <w:spacing w:after="0"/>
              <w:rPr>
                <w:sz w:val="20"/>
                <w:szCs w:val="20"/>
                <w:color w:val="auto"/>
              </w:rPr>
            </w:pPr>
            <w:r>
              <w:rPr>
                <w:rFonts w:ascii="Arial" w:cs="Arial" w:eastAsia="Arial" w:hAnsi="Arial"/>
                <w:sz w:val="22"/>
                <w:szCs w:val="22"/>
                <w:color w:val="auto"/>
                <w:w w:val="90"/>
              </w:rPr>
              <w:t xml:space="preserve">(iv)extraordinary, unusual or non-recurring charges, expenses or losses, </w:t>
            </w:r>
            <w:r>
              <w:rPr>
                <w:rFonts w:ascii="Arial" w:cs="Arial" w:eastAsia="Arial" w:hAnsi="Arial"/>
                <w:sz w:val="22"/>
                <w:szCs w:val="22"/>
                <w:i w:val="1"/>
                <w:iCs w:val="1"/>
                <w:color w:val="auto"/>
                <w:w w:val="90"/>
              </w:rPr>
              <w:t>provided</w:t>
            </w:r>
            <w:r>
              <w:rPr>
                <w:rFonts w:ascii="Arial" w:cs="Arial" w:eastAsia="Arial" w:hAnsi="Arial"/>
                <w:sz w:val="22"/>
                <w:szCs w:val="22"/>
                <w:color w:val="auto"/>
                <w:w w:val="90"/>
              </w:rPr>
              <w:t xml:space="preserve"> that the aggregate amount</w:t>
            </w:r>
          </w:p>
        </w:tc>
      </w:tr>
      <w:tr>
        <w:trPr>
          <w:trHeight w:val="274"/>
        </w:trPr>
        <w:tc>
          <w:tcPr>
            <w:tcW w:w="500" w:type="dxa"/>
            <w:vAlign w:val="bottom"/>
          </w:tcPr>
          <w:p>
            <w:pPr>
              <w:spacing w:after="0"/>
              <w:rPr>
                <w:sz w:val="23"/>
                <w:szCs w:val="23"/>
                <w:color w:val="auto"/>
              </w:rPr>
            </w:pPr>
          </w:p>
        </w:tc>
        <w:tc>
          <w:tcPr>
            <w:tcW w:w="10660" w:type="dxa"/>
            <w:vAlign w:val="bottom"/>
            <w:gridSpan w:val="5"/>
          </w:tcPr>
          <w:p>
            <w:pPr>
              <w:ind w:left="300"/>
              <w:spacing w:after="0"/>
              <w:rPr>
                <w:sz w:val="20"/>
                <w:szCs w:val="20"/>
                <w:color w:val="auto"/>
              </w:rPr>
            </w:pPr>
            <w:r>
              <w:rPr>
                <w:rFonts w:ascii="Arial" w:cs="Arial" w:eastAsia="Arial" w:hAnsi="Arial"/>
                <w:sz w:val="22"/>
                <w:szCs w:val="22"/>
                <w:color w:val="auto"/>
              </w:rPr>
              <w:t>added to “Consolidated EBITDA” pursuant to this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2" w:name="page73"/>
    <w:bookmarkEnd w:id="72"/>
    <w:p>
      <w:pPr>
        <w:ind w:left="880"/>
        <w:spacing w:after="0"/>
        <w:rPr>
          <w:sz w:val="20"/>
          <w:szCs w:val="20"/>
          <w:color w:val="auto"/>
        </w:rPr>
      </w:pPr>
      <w:r>
        <w:rPr>
          <w:rFonts w:ascii="Arial" w:cs="Arial" w:eastAsia="Arial" w:hAnsi="Arial"/>
          <w:sz w:val="19"/>
          <w:szCs w:val="19"/>
          <w:color w:val="auto"/>
        </w:rPr>
        <w:t>clause (a)(iv) in any period, together with the aggregate amount added to Consolidated EBITDA pursuant to clause (a)</w:t>
      </w:r>
    </w:p>
    <w:p>
      <w:pPr>
        <w:spacing w:after="0" w:line="43" w:lineRule="exact"/>
        <w:rPr>
          <w:sz w:val="20"/>
          <w:szCs w:val="20"/>
          <w:color w:val="auto"/>
        </w:rPr>
      </w:pPr>
    </w:p>
    <w:p>
      <w:pPr>
        <w:ind w:left="880" w:hanging="8"/>
        <w:spacing w:after="0" w:line="236" w:lineRule="auto"/>
        <w:tabs>
          <w:tab w:leader="none" w:pos="1247" w:val="left"/>
        </w:tabs>
        <w:numPr>
          <w:ilvl w:val="0"/>
          <w:numId w:val="41"/>
        </w:numPr>
        <w:rPr>
          <w:rFonts w:ascii="Arial" w:cs="Arial" w:eastAsia="Arial" w:hAnsi="Arial"/>
          <w:sz w:val="22"/>
          <w:szCs w:val="22"/>
          <w:color w:val="auto"/>
        </w:rPr>
      </w:pPr>
      <w:r>
        <w:rPr>
          <w:rFonts w:ascii="Arial" w:cs="Arial" w:eastAsia="Arial" w:hAnsi="Arial"/>
          <w:sz w:val="22"/>
          <w:szCs w:val="22"/>
          <w:color w:val="auto"/>
        </w:rPr>
        <w:t>of the definition of “Consolidated EBITDA”, shall not exceed in the aggregate 10.0% of Consolidated EBITDA for such period (as calculated prior to giving effect to any such adjustments),</w:t>
      </w:r>
    </w:p>
    <w:p>
      <w:pPr>
        <w:spacing w:after="0" w:line="187" w:lineRule="exact"/>
        <w:rPr>
          <w:sz w:val="20"/>
          <w:szCs w:val="20"/>
          <w:color w:val="auto"/>
        </w:rPr>
      </w:pPr>
    </w:p>
    <w:p>
      <w:pPr>
        <w:jc w:val="both"/>
        <w:ind w:left="880" w:firstLine="797"/>
        <w:spacing w:after="0" w:line="245" w:lineRule="auto"/>
        <w:rPr>
          <w:sz w:val="20"/>
          <w:szCs w:val="20"/>
          <w:color w:val="auto"/>
        </w:rPr>
      </w:pPr>
      <w:r>
        <w:rPr>
          <w:rFonts w:ascii="Arial" w:cs="Arial" w:eastAsia="Arial" w:hAnsi="Arial"/>
          <w:sz w:val="21"/>
          <w:szCs w:val="21"/>
          <w:color w:val="auto"/>
        </w:rPr>
        <w:t xml:space="preserve">(v)non-cash expenses, charges and losses (including reserves, impairment charges or asset write-offs, write-offs of deferred financing fees, losses from investments recorded using the equity method, purchase accounting adjustments and stock-based awards compensation expense), in each case other than (A) any non-cash charge representing amortization of a prepaid cash item that was paid and not expensed in a prior period and (B) any non-cash charge relating to write-offs, write-downs or reserves with respect to accounts receivable in the normal course or inventory;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of the non-cash charges referred to in this clause (v) represents an accrual or reserve for potential cash items in any future period, (1) the Borrower may determine not to add back such non-cash charge in the current period and (2) to the extent the Borrower does decide to add back such non-cash charge, the cash payment in respect thereof in such future period shall be subtracted from Consolidated EBITDA in such future period to the extent paid,</w:t>
      </w:r>
    </w:p>
    <w:p>
      <w:pPr>
        <w:spacing w:after="0" w:line="181" w:lineRule="exact"/>
        <w:rPr>
          <w:sz w:val="20"/>
          <w:szCs w:val="20"/>
          <w:color w:val="auto"/>
        </w:rPr>
      </w:pPr>
    </w:p>
    <w:p>
      <w:pPr>
        <w:jc w:val="both"/>
        <w:ind w:left="880" w:firstLine="797"/>
        <w:spacing w:after="0" w:line="248" w:lineRule="auto"/>
        <w:rPr>
          <w:sz w:val="20"/>
          <w:szCs w:val="20"/>
          <w:color w:val="auto"/>
        </w:rPr>
      </w:pPr>
      <w:r>
        <w:rPr>
          <w:rFonts w:ascii="Arial" w:cs="Arial" w:eastAsia="Arial" w:hAnsi="Arial"/>
          <w:sz w:val="21"/>
          <w:szCs w:val="21"/>
          <w:color w:val="auto"/>
        </w:rPr>
        <w:t xml:space="preserve">(vi)restructuring costs and charges, integration costs, retention, recruiting, relocation and signing bonuses and expenses, and severance costs (including, for the avoidance of doubt, any bonuses payable in connection with the IBT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aggregate amount added to “Consolidated EBITDA” pursuant to this clause (a)(vi) in any period, together with the aggregate amount added to Consolidated EBITDA pursuant to clause (a)(iv) of the definition of “Consolidated EBITDA”, shall not exceed in the aggregate 10.0% of Consolidated EBITDA for such period (as calculated prior to giving effect to any such adjustments),</w:t>
      </w:r>
    </w:p>
    <w:p>
      <w:pPr>
        <w:spacing w:after="0" w:line="177"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(vii)Transaction Expenses,</w:t>
      </w:r>
    </w:p>
    <w:p>
      <w:pPr>
        <w:spacing w:after="0" w:line="206" w:lineRule="exact"/>
        <w:rPr>
          <w:sz w:val="20"/>
          <w:szCs w:val="20"/>
          <w:color w:val="auto"/>
        </w:rPr>
      </w:pPr>
    </w:p>
    <w:p>
      <w:pPr>
        <w:jc w:val="both"/>
        <w:ind w:left="880" w:firstLine="797"/>
        <w:spacing w:after="0" w:line="269" w:lineRule="auto"/>
        <w:rPr>
          <w:sz w:val="20"/>
          <w:szCs w:val="20"/>
          <w:color w:val="auto"/>
        </w:rPr>
      </w:pPr>
      <w:r>
        <w:rPr>
          <w:rFonts w:ascii="Arial" w:cs="Arial" w:eastAsia="Arial" w:hAnsi="Arial"/>
          <w:sz w:val="19"/>
          <w:szCs w:val="19"/>
          <w:color w:val="auto"/>
        </w:rPr>
        <w:t>(viii)pro forma cost savings for acquisitions (including the commencement of activities constituting such business), material dispositions (including the termination or discontinuance of activities constituting such business) of business entities or properties or assets, constituting a division or line of business of any business entity, division or line of business that is the subject of any such acquisition or disposition and operational changes and operational initiatives (collectively, “</w:t>
      </w:r>
      <w:r>
        <w:rPr>
          <w:rFonts w:ascii="Arial" w:cs="Arial" w:eastAsia="Arial" w:hAnsi="Arial"/>
          <w:sz w:val="19"/>
          <w:szCs w:val="19"/>
          <w:b w:val="1"/>
          <w:bCs w:val="1"/>
          <w:color w:val="auto"/>
        </w:rPr>
        <w:t>Cost Savings</w:t>
      </w:r>
      <w:r>
        <w:rPr>
          <w:rFonts w:ascii="Arial" w:cs="Arial" w:eastAsia="Arial" w:hAnsi="Arial"/>
          <w:sz w:val="19"/>
          <w:szCs w:val="19"/>
          <w:color w:val="auto"/>
        </w:rPr>
        <w:t xml:space="preserve">”), scheduled to be executed and realized (in the good faith determination of a Senior Financial Officer of the Borrower) in connection with any such transaction permitted hereunder, net of the amount of actual Cost Savings realized from such actions during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Cost Savings are factually supportable and specifically identified, (B) such Cost Savings are scheduled to be executed and realized within twelve</w:t>
      </w:r>
    </w:p>
    <w:p>
      <w:pPr>
        <w:spacing w:after="0" w:line="3" w:lineRule="exact"/>
        <w:rPr>
          <w:sz w:val="20"/>
          <w:szCs w:val="20"/>
          <w:color w:val="auto"/>
        </w:rPr>
      </w:pPr>
    </w:p>
    <w:p>
      <w:pPr>
        <w:jc w:val="both"/>
        <w:ind w:left="880" w:hanging="8"/>
        <w:spacing w:after="0" w:line="266" w:lineRule="auto"/>
        <w:tabs>
          <w:tab w:leader="none" w:pos="1303" w:val="left"/>
        </w:tabs>
        <w:numPr>
          <w:ilvl w:val="0"/>
          <w:numId w:val="42"/>
        </w:numPr>
        <w:rPr>
          <w:rFonts w:ascii="Arial" w:cs="Arial" w:eastAsia="Arial" w:hAnsi="Arial"/>
          <w:sz w:val="19"/>
          <w:szCs w:val="19"/>
          <w:color w:val="auto"/>
        </w:rPr>
      </w:pPr>
      <w:r>
        <w:rPr>
          <w:rFonts w:ascii="Arial" w:cs="Arial" w:eastAsia="Arial" w:hAnsi="Arial"/>
          <w:sz w:val="19"/>
          <w:szCs w:val="19"/>
          <w:color w:val="auto"/>
        </w:rPr>
        <w:t>months after the consummation of such transaction, (C) the Administrative Agent and the Required Lenders shall have received a certificate of a Senior Financial Officer of the Borrower, certifying the foregoing requirements and accompanied by a reasonably detailed statement or schedule of such Cost Savings; (D) the actions responsible for any expected Cost Savings are actually taken within twelve (12) months of the consummation of the relevant transaction,</w:t>
      </w:r>
    </w:p>
    <w:p>
      <w:pPr>
        <w:spacing w:after="0" w:line="3" w:lineRule="exact"/>
        <w:rPr>
          <w:rFonts w:ascii="Arial" w:cs="Arial" w:eastAsia="Arial" w:hAnsi="Arial"/>
          <w:sz w:val="19"/>
          <w:szCs w:val="19"/>
          <w:color w:val="auto"/>
        </w:rPr>
      </w:pPr>
    </w:p>
    <w:p>
      <w:pPr>
        <w:ind w:left="880"/>
        <w:spacing w:after="0" w:line="236" w:lineRule="auto"/>
        <w:rPr>
          <w:rFonts w:ascii="Arial" w:cs="Arial" w:eastAsia="Arial" w:hAnsi="Arial"/>
          <w:sz w:val="19"/>
          <w:szCs w:val="19"/>
          <w:color w:val="auto"/>
        </w:rPr>
      </w:pPr>
      <w:r>
        <w:rPr>
          <w:rFonts w:ascii="Arial" w:cs="Arial" w:eastAsia="Arial" w:hAnsi="Arial"/>
          <w:sz w:val="22"/>
          <w:szCs w:val="22"/>
          <w:color w:val="auto"/>
        </w:rPr>
        <w:t>(E) any projected Cost Savings in respect of actions which are not actually taken within such twelve (12)-month period or have not been realized within such (12)-month period may no longer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3" w:name="page74"/>
    <w:bookmarkEnd w:id="73"/>
    <w:p>
      <w:pPr>
        <w:jc w:val="both"/>
        <w:ind w:left="880"/>
        <w:spacing w:after="0" w:line="282" w:lineRule="auto"/>
        <w:rPr>
          <w:sz w:val="20"/>
          <w:szCs w:val="20"/>
          <w:color w:val="auto"/>
        </w:rPr>
      </w:pPr>
      <w:r>
        <w:rPr>
          <w:rFonts w:ascii="Arial" w:cs="Arial" w:eastAsia="Arial" w:hAnsi="Arial"/>
          <w:sz w:val="19"/>
          <w:szCs w:val="19"/>
          <w:color w:val="auto"/>
        </w:rPr>
        <w:t xml:space="preserve">be added back in calculating Consolidated EBITDA pursuant to this clause (viii) for the applicable periods, (F) such Cost Savings are not duplicative of any other adjustments to Consolidated EBITDA pursuant to this definition and (G) the aggregate amount added to Consolidated EBITDA pursuant to this clause (a)(viii) in any period, together with the aggregate amount of all adjustments pursuant to </w:t>
      </w:r>
      <w:r>
        <w:rPr>
          <w:rFonts w:ascii="Arial" w:cs="Arial" w:eastAsia="Arial" w:hAnsi="Arial"/>
          <w:sz w:val="19"/>
          <w:szCs w:val="19"/>
          <w:u w:val="single" w:color="auto"/>
          <w:color w:val="auto"/>
        </w:rPr>
        <w:t>Section 1.10(c)</w:t>
      </w:r>
      <w:r>
        <w:rPr>
          <w:rFonts w:ascii="Arial" w:cs="Arial" w:eastAsia="Arial" w:hAnsi="Arial"/>
          <w:sz w:val="19"/>
          <w:szCs w:val="19"/>
          <w:color w:val="auto"/>
        </w:rPr>
        <w:t>, shall not exceed in the aggregate 5.0% of Consolidated EBITDA for such period (as calculated prior to giving effect to any such adjustments),</w:t>
      </w:r>
    </w:p>
    <w:p>
      <w:pPr>
        <w:spacing w:after="0" w:line="147"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(ix)[reserved],</w:t>
      </w:r>
    </w:p>
    <w:p>
      <w:pPr>
        <w:spacing w:after="0" w:line="206" w:lineRule="exact"/>
        <w:rPr>
          <w:sz w:val="20"/>
          <w:szCs w:val="20"/>
          <w:color w:val="auto"/>
        </w:rPr>
      </w:pPr>
    </w:p>
    <w:p>
      <w:pPr>
        <w:jc w:val="both"/>
        <w:ind w:left="880" w:firstLine="797"/>
        <w:spacing w:after="0" w:line="279" w:lineRule="auto"/>
        <w:rPr>
          <w:sz w:val="20"/>
          <w:szCs w:val="20"/>
          <w:color w:val="auto"/>
        </w:rPr>
      </w:pPr>
      <w:r>
        <w:rPr>
          <w:rFonts w:ascii="Arial" w:cs="Arial" w:eastAsia="Arial" w:hAnsi="Arial"/>
          <w:sz w:val="19"/>
          <w:szCs w:val="19"/>
          <w:color w:val="auto"/>
        </w:rPr>
        <w:t>(x)other transaction specific accruals, costs, charges, fees and expenses (including legal, tax, structuring and other costs and expenses) related to the Transactions, acquisitions, investments, restricted payments, dispositions or issuances, amendments, waivers or modifications of debt or equity (whether or not consummated) reasonably expected to be permitted under this Agreement or the consummation of which would result in the repayment in full of the Obligations (other than unasserted contingent indemnity and reimbursement obligations) (it being understood and agreed that this clause (a)(x) shall not permit adjustments of the type specified in clauses (a)(iv), (vi) or (viii)),</w:t>
      </w:r>
    </w:p>
    <w:p>
      <w:pPr>
        <w:spacing w:after="0" w:line="150"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(xi)to the extent not already included in Consolidated Net Income, proceeds of business interruption insurance</w:t>
      </w:r>
    </w:p>
    <w:p>
      <w:pPr>
        <w:spacing w:after="0" w:line="43" w:lineRule="exact"/>
        <w:rPr>
          <w:sz w:val="20"/>
          <w:szCs w:val="20"/>
          <w:color w:val="auto"/>
        </w:rPr>
      </w:pPr>
    </w:p>
    <w:p>
      <w:pPr>
        <w:jc w:val="both"/>
        <w:ind w:left="880"/>
        <w:spacing w:after="0" w:line="246" w:lineRule="auto"/>
        <w:rPr>
          <w:sz w:val="20"/>
          <w:szCs w:val="20"/>
          <w:color w:val="auto"/>
        </w:rPr>
      </w:pPr>
      <w:r>
        <w:rPr>
          <w:rFonts w:ascii="Arial" w:cs="Arial" w:eastAsia="Arial" w:hAnsi="Arial"/>
          <w:sz w:val="21"/>
          <w:szCs w:val="21"/>
          <w:b w:val="1"/>
          <w:bCs w:val="1"/>
          <w:u w:val="single" w:color="auto"/>
          <w:color w:val="0000FF"/>
        </w:rPr>
        <w:t xml:space="preserve">(other than business interruption insurance relating to COVID 19 (or any related virus) or any related events) </w:t>
      </w:r>
      <w:r>
        <w:rPr>
          <w:rFonts w:ascii="Arial" w:cs="Arial" w:eastAsia="Arial" w:hAnsi="Arial"/>
          <w:sz w:val="21"/>
          <w:szCs w:val="21"/>
          <w:color w:val="000000"/>
        </w:rPr>
        <w:t xml:space="preserve">received or reasonably expected to be received within 365 days after the end of such period;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that any such expected proceeds that are not actually received in such 365 day period shall be deducted from Consolidated EBITDA in the fiscal quarter immediately following such 365 day period,</w:t>
      </w:r>
    </w:p>
    <w:p>
      <w:pPr>
        <w:spacing w:after="0" w:line="180" w:lineRule="exact"/>
        <w:rPr>
          <w:sz w:val="20"/>
          <w:szCs w:val="20"/>
          <w:color w:val="auto"/>
        </w:rPr>
      </w:pPr>
    </w:p>
    <w:p>
      <w:pPr>
        <w:jc w:val="both"/>
        <w:ind w:left="880" w:firstLine="797"/>
        <w:spacing w:after="0" w:line="252" w:lineRule="auto"/>
        <w:rPr>
          <w:sz w:val="20"/>
          <w:szCs w:val="20"/>
          <w:color w:val="auto"/>
        </w:rPr>
      </w:pPr>
      <w:r>
        <w:rPr>
          <w:rFonts w:ascii="Arial" w:cs="Arial" w:eastAsia="Arial" w:hAnsi="Arial"/>
          <w:sz w:val="21"/>
          <w:szCs w:val="21"/>
          <w:color w:val="auto"/>
        </w:rPr>
        <w:t xml:space="preserve">(xii)charges, losses or expenses to the extent indemnified or insured or reimbursed or reasonably expected to be indemnified, insured or reimbursed by a third party within 365 days after the end of such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expected amounts that are not actually received in such 365 day period shall be deducted from Consolidated EBITDA in the fiscal quarter immediately following such 365 day period,</w:t>
      </w:r>
    </w:p>
    <w:p>
      <w:pPr>
        <w:spacing w:after="0" w:line="174"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(xiii)the amount of any minority interest expense attributable to minority interests of third parties in the positive income of any non-wholly owned Restricted Subsidiary,</w:t>
      </w:r>
    </w:p>
    <w:p>
      <w:pPr>
        <w:spacing w:after="0" w:line="17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(xiv)any net loss from disposed, abandoned or discontinued operations,</w:t>
      </w:r>
    </w:p>
    <w:p>
      <w:pPr>
        <w:spacing w:after="0" w:line="206"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(xv)the amount of loss on sale of Securitization Assets and related assets to the Securitization Subsidiary in connection with a Qualified Securitization Financing,</w:t>
      </w:r>
    </w:p>
    <w:p>
      <w:pPr>
        <w:spacing w:after="0" w:line="175" w:lineRule="exact"/>
        <w:rPr>
          <w:sz w:val="20"/>
          <w:szCs w:val="20"/>
          <w:color w:val="auto"/>
        </w:rPr>
      </w:pPr>
    </w:p>
    <w:p>
      <w:pPr>
        <w:jc w:val="both"/>
        <w:ind w:left="880" w:firstLine="797"/>
        <w:spacing w:after="0" w:line="328" w:lineRule="auto"/>
        <w:rPr>
          <w:sz w:val="20"/>
          <w:szCs w:val="20"/>
          <w:color w:val="auto"/>
        </w:rPr>
      </w:pPr>
      <w:r>
        <w:rPr>
          <w:rFonts w:ascii="Arial" w:cs="Arial" w:eastAsia="Arial" w:hAnsi="Arial"/>
          <w:sz w:val="19"/>
          <w:szCs w:val="19"/>
          <w:color w:val="auto"/>
        </w:rPr>
        <w:t>(xvi)net realized losses under any Swap Contract or embedded derivatives that require similar accounting treatment and the application of Accounting Standard Codification Topic 815 and related pronouncements,</w:t>
      </w:r>
    </w:p>
    <w:p>
      <w:pPr>
        <w:spacing w:after="0" w:line="10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(xvii)the cumulative effect of a change in accounting principles,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ind w:left="880" w:firstLine="797"/>
        <w:spacing w:after="0" w:line="274" w:lineRule="auto"/>
        <w:rPr>
          <w:sz w:val="20"/>
          <w:szCs w:val="20"/>
          <w:color w:val="auto"/>
        </w:rPr>
      </w:pPr>
      <w:r>
        <w:rPr>
          <w:rFonts w:ascii="Arial" w:cs="Arial" w:eastAsia="Arial" w:hAnsi="Arial"/>
          <w:sz w:val="21"/>
          <w:szCs w:val="21"/>
          <w:color w:val="auto"/>
        </w:rPr>
        <w:t>(xviii)realized non-cash foreign exchange losses resulting from the impact of foreign currency changes on the valuation of assets or liabilities on the balance sheet of the Borrower and its Restricted Subsidiaries,</w:t>
      </w:r>
    </w:p>
    <w:p>
      <w:pPr>
        <w:spacing w:after="0" w:line="15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(xix)any losses attributable to Dispositions of Real Property,</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u w:val="single" w:color="auto"/>
          <w:color w:val="auto"/>
        </w:rPr>
        <w:t>less</w:t>
      </w:r>
      <w:r>
        <w:rPr>
          <w:rFonts w:ascii="Arial" w:cs="Arial" w:eastAsia="Arial" w:hAnsi="Arial"/>
          <w:sz w:val="19"/>
          <w:szCs w:val="19"/>
          <w:color w:val="auto"/>
        </w:rPr>
        <w:t xml:space="preserve"> (b) without duplication and to the extent included in arriving at such Consolidated Net Income, (i) non-cash gains (excluding any non-cash gain to the extent it represents the reversal of an accrual or reserve for a potential cash item that reduced Consolidated EBITDA in any prior period) and all other non-cash items of income for such period, (ii) any gains and income from investments recorded using the equity method, (iii) extraordinary, unusual or non-recurring gains, (iv) non-cash gains representing adjustments to pension assets, (v) any gains attributable to Dispositions of Real Property and (vi) any gains arising out of transactions of the types described in clauses (a)(xii), (xiii), (xiv), (xv) and (xvi)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any gain representing the reversal of any non-cash charge referred to in clause (a)(v)(B) above for a prior period shall be added (together with, without duplication, any amounts received in respect thereof to the extent not increasing Consolidated Net Income) to Consolidated EBITDA in any subsequent period to such extent so reversed (or received).</w:t>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0000FF"/>
        </w:rPr>
        <w:t>Notwithstanding the foregoing, Consolidated Net Income and Consolidated EBITDA shall be calculated to exclude any amounts otherwise increasing or included in Consolidated Net Income and/or Consolidated EBITDA relating to (x) business interruption insurance relating to COVID 19 (or any related virus) or any related events or (y) any assistance programs provided by Governmental Agencies (or the equivalent).</w:t>
      </w:r>
    </w:p>
    <w:p>
      <w:pPr>
        <w:spacing w:after="0" w:line="18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Net Income</w:t>
      </w:r>
      <w:r>
        <w:rPr>
          <w:rFonts w:ascii="Arial" w:cs="Arial" w:eastAsia="Arial" w:hAnsi="Arial"/>
          <w:sz w:val="19"/>
          <w:szCs w:val="19"/>
          <w:color w:val="auto"/>
        </w:rPr>
        <w:t xml:space="preserve">” shall mean, with reference to any period, the net income (or loss) of the Borrower and its Subsidiaries for such period determined on a consolidated basis in accordance with GAAP on a consolidated basis (without duplication) for such period (without deduction for minority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determining Consolidated Net Income, (a) the net income of any other Person which is not a Subsidiary of the Borrower or is accounted for by the Borrower by the equity method of accounting shall be included only to the extent of the payment of cash dividends or cash distributions by such other Person to the Borrower or a Guarantor that could be made during such period;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purposes of calculating the Cumulative Credit for purposes of </w:t>
      </w:r>
      <w:r>
        <w:rPr>
          <w:rFonts w:ascii="Arial" w:cs="Arial" w:eastAsia="Arial" w:hAnsi="Arial"/>
          <w:sz w:val="19"/>
          <w:szCs w:val="19"/>
          <w:u w:val="single" w:color="auto"/>
          <w:color w:val="auto"/>
        </w:rPr>
        <w:t>Section 7.06(e)(y)</w:t>
      </w:r>
      <w:r>
        <w:rPr>
          <w:rFonts w:ascii="Arial" w:cs="Arial" w:eastAsia="Arial" w:hAnsi="Arial"/>
          <w:sz w:val="19"/>
          <w:szCs w:val="19"/>
          <w:color w:val="auto"/>
        </w:rPr>
        <w:t>, such income shall only be included (directly or indirectly) to the extent such cash dividends or other cash distributions are actually received from such other Person by the Borrower or a Guarantor, (b) the net income of any Subsidiary of the Borrower shall be excluded to the extent that the declaration or payment of cash dividends or similar cash distributions by that Subsidiary of that net income is not at the date of determination permitted by operation of its charter or any agreement, instrument or law applicable to such Subsidiary (other than (i) restrictions that have been waived or otherwise released, (ii) restrictions pursuant to the Loan Documents and or the ABL Facility Documentation or any agreements or documentation governing Alternative Incremental Indebtedness and (iii) restrictions arising pursuant to an agreement or instrument if the encumbrances and restrictions contained in any such agreement or instrument taken as a whole are not materially less favorable to the Secured Parties than the encumbrances and restrictions contained in the Loan Documents (as determined by the Borrower in good faith)), and (c) the income or loss of any Person accrued prior to the date it becomes a Subsidiary or is merged into or consolidated with the Borrower or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spacing w:after="0"/>
        <w:rPr>
          <w:sz w:val="20"/>
          <w:szCs w:val="20"/>
          <w:color w:val="auto"/>
        </w:rPr>
      </w:pPr>
      <w:r>
        <w:rPr>
          <w:rFonts w:ascii="Arial" w:cs="Arial" w:eastAsia="Arial" w:hAnsi="Arial"/>
          <w:sz w:val="21"/>
          <w:szCs w:val="21"/>
          <w:color w:val="auto"/>
        </w:rPr>
        <w:t>any Subsidiary or the date that such Person’s assets are acquired by the Borrower or any Subsidiary shall be excluded.</w:t>
      </w:r>
    </w:p>
    <w:p>
      <w:pPr>
        <w:spacing w:after="0" w:line="21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Assets</w:t>
      </w:r>
      <w:r>
        <w:rPr>
          <w:rFonts w:ascii="Arial" w:cs="Arial" w:eastAsia="Arial" w:hAnsi="Arial"/>
          <w:sz w:val="19"/>
          <w:szCs w:val="19"/>
          <w:color w:val="auto"/>
        </w:rPr>
        <w:t xml:space="preserve">” shall mean the total assets of the Borrower and its Restricted Subsidiaries, determined on a consolidated basis in accordance with GAAP, as shown on the consolidated balance sheet of the Borrower for the most recently completed fiscal quarter for which financial statements have been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2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Total Debt</w:t>
      </w:r>
      <w:r>
        <w:rPr>
          <w:rFonts w:ascii="Arial" w:cs="Arial" w:eastAsia="Arial" w:hAnsi="Arial"/>
          <w:sz w:val="21"/>
          <w:szCs w:val="21"/>
          <w:color w:val="auto"/>
        </w:rPr>
        <w:t xml:space="preserve">” shall mean, as of any date of determination, the aggregate principal amount of Indebtedness of the Borrower and its Restricted Subsidiaries (on a consolidated basis) outstanding on such date, in an amount that would be reflected on a balance sheet prepared as of such date on a consolidated basis in accordance with GAAP as long as such amount is no less than the aggregate face amount of such Indebtedness on such date, consisting of Indebtedness for borrowed money, Attributable Indebtedness or purchase money Indebtedness, debt obligations evidenced by bonds, debentures, promissory notes, loan agreements or similar instruments, and all Guarantees of any of the foregoing;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Consolidated Total Debt shall not include Indebtedness in respect of letters of credit, bankers’ acceptances and other similar contingent obligations, except to the extent of unreimbursed amounts thereunder, and (ii) Consolidated Total Debt shall not include obligations under Swap Contracts permitted hereunder.</w:t>
      </w:r>
    </w:p>
    <w:p>
      <w:pPr>
        <w:spacing w:after="0" w:line="175"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Working Capital</w:t>
      </w:r>
      <w:r>
        <w:rPr>
          <w:rFonts w:ascii="Arial" w:cs="Arial" w:eastAsia="Arial" w:hAnsi="Arial"/>
          <w:sz w:val="19"/>
          <w:szCs w:val="19"/>
          <w:color w:val="auto"/>
        </w:rPr>
        <w:t>” shall mean, with respect to the Borrower and its Restricted Subsidiaries on a consolidated basis at any date of determination, Current Assets at such date of determination minus Current Liabilities at such date of determination; provided,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43"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Contractual Obligation</w:t>
      </w:r>
      <w:r>
        <w:rPr>
          <w:rFonts w:ascii="Arial" w:cs="Arial" w:eastAsia="Arial" w:hAnsi="Arial"/>
          <w:sz w:val="19"/>
          <w:szCs w:val="19"/>
          <w:color w:val="auto"/>
        </w:rPr>
        <w:t>” shall mean, as to any Person, any provision of any security issued by such Person or of any agreement, instrument or other undertaking to which such Person is a party or by which it or any of its property is bound.</w:t>
      </w:r>
    </w:p>
    <w:p>
      <w:pPr>
        <w:spacing w:after="0" w:line="94"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Contribution Deferral Agreement</w:t>
      </w:r>
      <w:r>
        <w:rPr>
          <w:rFonts w:ascii="Arial" w:cs="Arial" w:eastAsia="Arial" w:hAnsi="Arial"/>
          <w:sz w:val="19"/>
          <w:szCs w:val="19"/>
          <w:color w:val="auto"/>
        </w:rPr>
        <w:t>” means that certain Second Amended and Restated Contribution Deferral Agreement, dated as of January 31, 2014, by and between YRC Inc., USF Holland LLC (f/k/a USF Holland Inc.), New Penn Motor Express LLC (f/k/a New Penn Motor Express, Inc.), USF Reddaway Inc., certain other of the Subsidiaries of the Borrower, the Trustees for the Central States, Southeast and Southwest Areas Pension Fund, the Pension Fund Entities and each other pension fund from time to time party thereto and Wilmington Trust Company, all as the same may be amended, amended and restated, restated, supplemented or otherwise modified in accordance with the terms hereof.</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shall have the meaning specified in the definition of “Affiliate”.</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 Agreement</w:t>
      </w:r>
      <w:r>
        <w:rPr>
          <w:rFonts w:ascii="Arial" w:cs="Arial" w:eastAsia="Arial" w:hAnsi="Arial"/>
          <w:sz w:val="22"/>
          <w:szCs w:val="22"/>
          <w:color w:val="auto"/>
        </w:rPr>
        <w:t>” means an agreement, in form and substance reasonably satisfactory to the Required Lenders, which provides for the Collateral Agent to have “control” (for purposes of this definition, as defined in Section 9 104 of the UCC of the State of New York or Section 8-</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22"/>
          <w:szCs w:val="22"/>
          <w:color w:val="auto"/>
        </w:rPr>
        <w:t>106 of the UCC of the State of New York, as applicable) of Cash Collateral Accounts, Deposit Accounts or Securities Accounts, as applicable.</w:t>
      </w:r>
    </w:p>
    <w:p>
      <w:pPr>
        <w:spacing w:after="0" w:line="16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Agreement Refinancing Indebtedness</w:t>
      </w:r>
      <w:r>
        <w:rPr>
          <w:rFonts w:ascii="Arial" w:cs="Arial" w:eastAsia="Arial" w:hAnsi="Arial"/>
          <w:sz w:val="19"/>
          <w:szCs w:val="19"/>
          <w:color w:val="auto"/>
        </w:rPr>
        <w:t>” shall mean Permitted Additional Debt or Indebtedness incurred pursuant to a Refinancing Amendment, in each case, issued, incurred or otherwise obtained (including by means of the extension or renewal of existing Indebtedness) in exchange for, or to extend, renew, replace, restructure or refinance, in whole or part, existing Term Loans (including any successive Credit Agreement Refinancing Indebtedness) (“</w:t>
      </w:r>
      <w:r>
        <w:rPr>
          <w:rFonts w:ascii="Arial" w:cs="Arial" w:eastAsia="Arial" w:hAnsi="Arial"/>
          <w:sz w:val="19"/>
          <w:szCs w:val="19"/>
          <w:b w:val="1"/>
          <w:bCs w:val="1"/>
          <w:color w:val="auto"/>
        </w:rPr>
        <w:t>Refinanced Debt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2" w:lineRule="exact"/>
        <w:rPr>
          <w:sz w:val="20"/>
          <w:szCs w:val="20"/>
          <w:color w:val="auto"/>
        </w:rPr>
      </w:pPr>
    </w:p>
    <w:p>
      <w:pPr>
        <w:jc w:val="both"/>
        <w:ind w:firstLine="8"/>
        <w:spacing w:after="0" w:line="270" w:lineRule="auto"/>
        <w:tabs>
          <w:tab w:leader="none" w:pos="261" w:val="left"/>
        </w:tabs>
        <w:numPr>
          <w:ilvl w:val="0"/>
          <w:numId w:val="43"/>
        </w:numPr>
        <w:rPr>
          <w:rFonts w:ascii="Arial" w:cs="Arial" w:eastAsia="Arial" w:hAnsi="Arial"/>
          <w:sz w:val="19"/>
          <w:szCs w:val="19"/>
          <w:color w:val="auto"/>
        </w:rPr>
      </w:pPr>
      <w:r>
        <w:rPr>
          <w:rFonts w:ascii="Arial" w:cs="Arial" w:eastAsia="Arial" w:hAnsi="Arial"/>
          <w:sz w:val="19"/>
          <w:szCs w:val="19"/>
          <w:color w:val="auto"/>
        </w:rPr>
        <w:t>such extending, renewing, replacing, restructuring or refinancing Indebtedness is in an original aggregate principal amount (or accreted value, if applicable) not greater than the aggregate principal amount (or accreted value, if applicable) of the Refinanced Debt, except by an amount equal to accrued but unpaid interest, premiums and fees payable by the terms of such Indebtedness and reasonable fees, expenses, original issue discount and upfront fees incurred in connection with such exchange, modification, refinancing, refunding, renewal, restructuring, replacement or extension, (ii) such Refinanced Debt shall be repaid, defeased or satisfied and discharged with 100% of the Net Proceeds of the applicable Credit Agreement Refinancing Indebtedness and all accrued, due and payable interest, fees and premiums (if any) in connection therewith shall be paid promptly upon receipt of the proceeds of such Credit Agreement Refinancing Indebtedness, (iii) such Indebtedness does not have an earlier maturity and has a Weighted Average Life to Maturity equal to or greater than the Refinanced Debt; and (iv) and, in the case of any high yield notes constituting Credit Agreement Refinancing Indebtedness, such Indebtedness will not have mandatory prepayment provisions (other than related to customary asset sale and change of control and similar offers and AHYDO “catch up” payments) that would result in mandatory prepayment of such Indebtedness prior to the Refinanced Debt.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 Extension</w:t>
      </w:r>
      <w:r>
        <w:rPr>
          <w:rFonts w:ascii="Arial" w:cs="Arial" w:eastAsia="Arial" w:hAnsi="Arial"/>
          <w:sz w:val="22"/>
          <w:szCs w:val="22"/>
          <w:color w:val="auto"/>
        </w:rPr>
        <w:t>” shall mean a Borrowing.</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Cumulative Credit</w:t>
      </w:r>
      <w:r>
        <w:rPr>
          <w:rFonts w:ascii="Arial" w:cs="Arial" w:eastAsia="Arial" w:hAnsi="Arial"/>
          <w:sz w:val="22"/>
          <w:szCs w:val="22"/>
          <w:color w:val="auto"/>
        </w:rPr>
        <w:t>” shall mean, at any date, an amount, not less than zero in the aggregate, determined on a cumulative basis equal to, without duplication: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(a)the Cumulative Retained Excess Cash Flow Amount at such time, </w:t>
      </w:r>
      <w:r>
        <w:rPr>
          <w:rFonts w:ascii="Arial" w:cs="Arial" w:eastAsia="Arial" w:hAnsi="Arial"/>
          <w:sz w:val="22"/>
          <w:szCs w:val="22"/>
          <w:u w:val="single" w:color="auto"/>
          <w:color w:val="auto"/>
        </w:rPr>
        <w:t>plus</w:t>
      </w:r>
    </w:p>
    <w:p>
      <w:pPr>
        <w:spacing w:after="0" w:line="206" w:lineRule="exact"/>
        <w:rPr>
          <w:sz w:val="20"/>
          <w:szCs w:val="20"/>
          <w:color w:val="auto"/>
        </w:rPr>
      </w:pPr>
    </w:p>
    <w:p>
      <w:pPr>
        <w:ind w:right="60" w:firstLine="864"/>
        <w:spacing w:after="0" w:line="328" w:lineRule="auto"/>
        <w:rPr>
          <w:sz w:val="20"/>
          <w:szCs w:val="20"/>
          <w:color w:val="auto"/>
        </w:rPr>
      </w:pPr>
      <w:r>
        <w:rPr>
          <w:rFonts w:ascii="Arial" w:cs="Arial" w:eastAsia="Arial" w:hAnsi="Arial"/>
          <w:sz w:val="19"/>
          <w:szCs w:val="19"/>
          <w:color w:val="auto"/>
        </w:rPr>
        <w:t xml:space="preserve">(b)the cumulative amount of cash and Cash Equivalent proceeds from the sale of Equity Interests of the Borrower or of any direct or indirect parent of the Borrower after the Restatement Effective Date to the extent Not Otherwise Applied, </w:t>
      </w:r>
      <w:r>
        <w:rPr>
          <w:rFonts w:ascii="Arial" w:cs="Arial" w:eastAsia="Arial" w:hAnsi="Arial"/>
          <w:sz w:val="19"/>
          <w:szCs w:val="19"/>
          <w:u w:val="single" w:color="auto"/>
          <w:color w:val="auto"/>
        </w:rPr>
        <w:t>plus</w:t>
      </w:r>
    </w:p>
    <w:p>
      <w:pPr>
        <w:spacing w:after="0" w:line="10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(c)the aggregate amount of Declined Proceeds at such time that have been retained by the Borrower in accordance with </w:t>
      </w:r>
      <w:r>
        <w:rPr>
          <w:rFonts w:ascii="Arial" w:cs="Arial" w:eastAsia="Arial" w:hAnsi="Arial"/>
          <w:sz w:val="22"/>
          <w:szCs w:val="22"/>
          <w:u w:val="single" w:color="auto"/>
          <w:color w:val="auto"/>
        </w:rPr>
        <w:t>Section 2.13(d)</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p>
    <w:p>
      <w:pPr>
        <w:spacing w:after="0" w:line="17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(d)to the extent not already included in the Cumulative Retained Excess Cash Flow Amount, an amount equal to any returns in cash and Cash Equivalents (including dividends, interest, distributions, returns of principal, profits on sale, repayments, income and similar amounts) actually received by the Borrower or any Restricted Subsidiary after the Restatement Effective Date in respect of any Investments made pursuant to </w:t>
      </w:r>
      <w:r>
        <w:rPr>
          <w:rFonts w:ascii="Arial" w:cs="Arial" w:eastAsia="Arial" w:hAnsi="Arial"/>
          <w:sz w:val="19"/>
          <w:szCs w:val="19"/>
          <w:u w:val="single" w:color="auto"/>
          <w:color w:val="auto"/>
        </w:rPr>
        <w:t>Section 7.02(p)(y)</w:t>
      </w:r>
      <w:r>
        <w:rPr>
          <w:rFonts w:ascii="Arial" w:cs="Arial" w:eastAsia="Arial" w:hAnsi="Arial"/>
          <w:sz w:val="19"/>
          <w:szCs w:val="19"/>
          <w:color w:val="auto"/>
        </w:rPr>
        <w:t xml:space="preserv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that such amount does not exceed the amount of the original Investment made pursuant to </w:t>
      </w:r>
      <w:r>
        <w:rPr>
          <w:rFonts w:ascii="Arial" w:cs="Arial" w:eastAsia="Arial" w:hAnsi="Arial"/>
          <w:sz w:val="19"/>
          <w:szCs w:val="19"/>
          <w:u w:val="single" w:color="auto"/>
          <w:color w:val="auto"/>
        </w:rPr>
        <w:t>Section 7.02(p)(y)</w:t>
      </w:r>
      <w:r>
        <w:rPr>
          <w:rFonts w:ascii="Arial" w:cs="Arial" w:eastAsia="Arial" w:hAnsi="Arial"/>
          <w:sz w:val="19"/>
          <w:szCs w:val="19"/>
          <w:color w:val="auto"/>
        </w:rPr>
        <w:t xml:space="preserve">; </w:t>
      </w:r>
      <w:r>
        <w:rPr>
          <w:rFonts w:ascii="Arial" w:cs="Arial" w:eastAsia="Arial" w:hAnsi="Arial"/>
          <w:sz w:val="19"/>
          <w:szCs w:val="19"/>
          <w:u w:val="single" w:color="auto"/>
          <w:color w:val="auto"/>
        </w:rPr>
        <w:t>minus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(e)any amount of the Cumulative Credit used to make Investments pursuant to </w:t>
      </w:r>
      <w:r>
        <w:rPr>
          <w:rFonts w:ascii="Arial" w:cs="Arial" w:eastAsia="Arial" w:hAnsi="Arial"/>
          <w:sz w:val="22"/>
          <w:szCs w:val="22"/>
          <w:u w:val="single" w:color="auto"/>
          <w:color w:val="auto"/>
        </w:rPr>
        <w:t>Section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u w:val="single" w:color="auto"/>
          <w:color w:val="auto"/>
        </w:rPr>
        <w:t>7.02(p)(y)</w:t>
      </w:r>
      <w:r>
        <w:rPr>
          <w:rFonts w:ascii="Arial" w:cs="Arial" w:eastAsia="Arial" w:hAnsi="Arial"/>
          <w:sz w:val="22"/>
          <w:szCs w:val="22"/>
          <w:color w:val="auto"/>
        </w:rPr>
        <w:t xml:space="preserve"> after the Restatement Effective Date and prior to such time, </w:t>
      </w:r>
      <w:r>
        <w:rPr>
          <w:rFonts w:ascii="Arial" w:cs="Arial" w:eastAsia="Arial" w:hAnsi="Arial"/>
          <w:sz w:val="22"/>
          <w:szCs w:val="22"/>
          <w:u w:val="single" w:color="auto"/>
          <w:color w:val="auto"/>
        </w:rPr>
        <w:t>minus</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 xml:space="preserve">(f)any amount of the Cumulative Credit used to pay dividends or make distributions or other Restricted Payments pursuant to </w:t>
      </w:r>
      <w:r>
        <w:rPr>
          <w:rFonts w:ascii="Arial" w:cs="Arial" w:eastAsia="Arial" w:hAnsi="Arial"/>
          <w:sz w:val="19"/>
          <w:szCs w:val="19"/>
          <w:u w:val="single" w:color="auto"/>
          <w:color w:val="auto"/>
        </w:rPr>
        <w:t>Section 7.06(d)(ii)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7.06(e)(y)</w:t>
      </w:r>
      <w:r>
        <w:rPr>
          <w:rFonts w:ascii="Arial" w:cs="Arial" w:eastAsia="Arial" w:hAnsi="Arial"/>
          <w:sz w:val="19"/>
          <w:szCs w:val="19"/>
          <w:color w:val="auto"/>
        </w:rPr>
        <w:t xml:space="preserve"> after the Restatement Effective Date and prior to such time, </w:t>
      </w:r>
      <w:r>
        <w:rPr>
          <w:rFonts w:ascii="Arial" w:cs="Arial" w:eastAsia="Arial" w:hAnsi="Arial"/>
          <w:sz w:val="19"/>
          <w:szCs w:val="19"/>
          <w:u w:val="single" w:color="auto"/>
          <w:color w:val="auto"/>
        </w:rPr>
        <w:t>minus</w:t>
      </w:r>
    </w:p>
    <w:p>
      <w:pPr>
        <w:spacing w:after="0" w:line="10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(g)any amount of the Cumulative Credit used to make payments or distributions in respect of Permitted Additional Debt or Junior Financing (or any Permitted Refinancing thereof) pursuant to </w:t>
      </w:r>
      <w:r>
        <w:rPr>
          <w:rFonts w:ascii="Arial" w:cs="Arial" w:eastAsia="Arial" w:hAnsi="Arial"/>
          <w:sz w:val="22"/>
          <w:szCs w:val="22"/>
          <w:u w:val="single" w:color="auto"/>
          <w:color w:val="auto"/>
        </w:rPr>
        <w:t>Section 7.13(a)(vi)</w:t>
      </w:r>
      <w:r>
        <w:rPr>
          <w:rFonts w:ascii="Arial" w:cs="Arial" w:eastAsia="Arial" w:hAnsi="Arial"/>
          <w:sz w:val="22"/>
          <w:szCs w:val="22"/>
          <w:color w:val="auto"/>
        </w:rPr>
        <w:t xml:space="preserve"> after the Restatement Effective Date and prior to such time.</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0000FF"/>
        </w:rPr>
        <w:t>Notwithstanding anything to the contrary in this Agreement, during the Specified Amendment No. 1 Period, the Cumulative Credit shall be unavailable for use under this Agreement and shall be disregarded in any calculation of or reference to any other term or provision herein.</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Cumulative Retained Excess Cash Flow Amount</w:t>
      </w:r>
      <w:r>
        <w:rPr>
          <w:rFonts w:ascii="Arial" w:cs="Arial" w:eastAsia="Arial" w:hAnsi="Arial"/>
          <w:sz w:val="21"/>
          <w:szCs w:val="21"/>
          <w:color w:val="auto"/>
        </w:rPr>
        <w:t xml:space="preserve">” shall mean, at any date, an amount, not less than zero in any fiscal year, determined on a cumulative basis equal to the aggregate cumulative sum of the Retained Percentage of Excess Cash Flow for all Excess Cash Flow Periods ending after the Restatement Effective Date and prior to such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purposes of </w:t>
      </w:r>
      <w:r>
        <w:rPr>
          <w:rFonts w:ascii="Arial" w:cs="Arial" w:eastAsia="Arial" w:hAnsi="Arial"/>
          <w:sz w:val="21"/>
          <w:szCs w:val="21"/>
          <w:u w:val="single" w:color="auto"/>
          <w:color w:val="auto"/>
        </w:rPr>
        <w:t>Section 7.06(e)(y)</w:t>
      </w:r>
      <w:r>
        <w:rPr>
          <w:rFonts w:ascii="Arial" w:cs="Arial" w:eastAsia="Arial" w:hAnsi="Arial"/>
          <w:sz w:val="21"/>
          <w:szCs w:val="21"/>
          <w:color w:val="auto"/>
        </w:rPr>
        <w:t xml:space="preserve">, (a) the Cumulative Retained Excess Cash Flow Amount shall only be available if the Total Leverage Ratio at the time of the making of such Investment, Restricted Payment or prepayment, redemption, purchase, defeasance or other payment, as the case may be, calculated on a Pro Forma Basis, is less than or equal to 3.75 to 1.00 and (b) the Cumulative Retained Excess Cash Flow Amount shall be reduced by the amount of Excess Cash Flow attributable to Foreign Subsidiaries to the extent and for so long as such Excess Cash Flow is excluded from Excess Cash Flow prepayments pursuant to </w:t>
      </w:r>
      <w:r>
        <w:rPr>
          <w:rFonts w:ascii="Arial" w:cs="Arial" w:eastAsia="Arial" w:hAnsi="Arial"/>
          <w:sz w:val="21"/>
          <w:szCs w:val="21"/>
          <w:u w:val="single" w:color="auto"/>
          <w:color w:val="auto"/>
        </w:rPr>
        <w:t>Section 2.13(f)</w:t>
      </w:r>
      <w:r>
        <w:rPr>
          <w:rFonts w:ascii="Arial" w:cs="Arial" w:eastAsia="Arial" w:hAnsi="Arial"/>
          <w:sz w:val="21"/>
          <w:szCs w:val="21"/>
          <w:color w:val="auto"/>
        </w:rPr>
        <w:t>.</w:t>
      </w:r>
    </w:p>
    <w:p>
      <w:pPr>
        <w:spacing w:after="0" w:line="17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Assets</w:t>
      </w:r>
      <w:r>
        <w:rPr>
          <w:rFonts w:ascii="Arial" w:cs="Arial" w:eastAsia="Arial" w:hAnsi="Arial"/>
          <w:sz w:val="19"/>
          <w:szCs w:val="19"/>
          <w:color w:val="auto"/>
        </w:rPr>
        <w:t>” shall mean, with respect to the Borrower and the Restricted Subsidiaries on a consolidated basis at any date of determination, all assets that would, in accordance with GAAP, be classified on a consolidated balance sheet of the Borrower and its Restricted Subsidiaries as current assets at such date of determination, other than (a) cash and Cash Equivalents,</w:t>
      </w:r>
    </w:p>
    <w:p>
      <w:pPr>
        <w:spacing w:after="0" w:line="2" w:lineRule="exact"/>
        <w:rPr>
          <w:sz w:val="20"/>
          <w:szCs w:val="20"/>
          <w:color w:val="auto"/>
        </w:rPr>
      </w:pPr>
    </w:p>
    <w:p>
      <w:pPr>
        <w:ind w:firstLine="8"/>
        <w:spacing w:after="0" w:line="236" w:lineRule="auto"/>
        <w:tabs>
          <w:tab w:leader="none" w:pos="312" w:val="left"/>
        </w:tabs>
        <w:numPr>
          <w:ilvl w:val="0"/>
          <w:numId w:val="44"/>
        </w:numPr>
        <w:rPr>
          <w:rFonts w:ascii="Arial" w:cs="Arial" w:eastAsia="Arial" w:hAnsi="Arial"/>
          <w:sz w:val="22"/>
          <w:szCs w:val="22"/>
          <w:color w:val="auto"/>
        </w:rPr>
      </w:pPr>
      <w:r>
        <w:rPr>
          <w:rFonts w:ascii="Arial" w:cs="Arial" w:eastAsia="Arial" w:hAnsi="Arial"/>
          <w:sz w:val="22"/>
          <w:szCs w:val="22"/>
          <w:color w:val="auto"/>
        </w:rPr>
        <w:t>amounts related to current or deferred Taxes based on income or profits, (c) assets held for sale, (d) loans (permitted) to third parties, (e) pension assets, (f) deferred bank fees, and (g) derivative financial instruments.</w:t>
      </w:r>
    </w:p>
    <w:p>
      <w:pPr>
        <w:spacing w:after="0" w:line="181"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Liabilities</w:t>
      </w:r>
      <w:r>
        <w:rPr>
          <w:rFonts w:ascii="Arial" w:cs="Arial" w:eastAsia="Arial" w:hAnsi="Arial"/>
          <w:sz w:val="19"/>
          <w:szCs w:val="19"/>
          <w:color w:val="auto"/>
        </w:rPr>
        <w:t xml:space="preserve">” shall mean, with respect to the Borrower and the Restricted Subsidiaries on a consolidated basis at any date of determination, all liabilities that would, in accordance with GAAP, be classified on a consolidated balance sheet of the Borrower and its Restricted Subsidiaries as current liabilities at such date of determination, other than, without duplication (and to the extent otherwise included therein) (a) the current portion of any Indebtedness, (b) accruals of interest expense (excluding interest expense that is past due and unpaid), (c) accruals for current or deferred Taxes based on income or profits, (d) accruals of any costs or expenses related to restructuring reserves, (e) </w:t>
      </w:r>
      <w:r>
        <w:rPr>
          <w:rFonts w:ascii="Arial" w:cs="Arial" w:eastAsia="Arial" w:hAnsi="Arial"/>
          <w:sz w:val="18"/>
          <w:szCs w:val="18"/>
          <w:color w:val="auto"/>
        </w:rPr>
        <w:t>the current portion of pension liabilities</w:t>
      </w:r>
      <w:r>
        <w:rPr>
          <w:rFonts w:ascii="Arial" w:cs="Arial" w:eastAsia="Arial" w:hAnsi="Arial"/>
          <w:sz w:val="19"/>
          <w:szCs w:val="19"/>
          <w:color w:val="auto"/>
        </w:rPr>
        <w:t xml:space="preserve"> and (f) revolving loans, swing line loans and letter of credit obligations under the ABL Facility or any other revolving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8" w:name="page79"/>
    <w:bookmarkEnd w:id="78"/>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Custodial Administration Agreement”</w:t>
      </w:r>
      <w:r>
        <w:rPr>
          <w:rFonts w:ascii="Arial" w:cs="Arial" w:eastAsia="Arial" w:hAnsi="Arial"/>
          <w:sz w:val="21"/>
          <w:szCs w:val="21"/>
          <w:color w:val="auto"/>
        </w:rPr>
        <w:t xml:space="preserve"> shall mean the custodial administration agreement, dated as of the Restatement Effective Date, by and among the Borrower, the Subsidiaries from time to time parties thereto, VINtek, Inc., as custodial administrator, the Collateral Agent, as administrative and collateral agent for the benefit of the Secured Parties, the ABL Agent, as administrative and collateral agent for the benefit of the ABL Secured Parties and the Collateral Agent, as collateral agent for the benefit of the Secured Parties and the ABL Secured Parties.</w:t>
      </w:r>
    </w:p>
    <w:p>
      <w:pPr>
        <w:spacing w:after="0" w:line="16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Debtor Relief Laws</w:t>
      </w:r>
      <w:r>
        <w:rPr>
          <w:rFonts w:ascii="Arial" w:cs="Arial" w:eastAsia="Arial" w:hAnsi="Arial"/>
          <w:sz w:val="22"/>
          <w:szCs w:val="22"/>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Declined Proceeds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2.13(d)</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shall mean any event or condition that constitutes an Event of Default or that, with the giving of any notice, the passage of any grace period, or both, without cure or waiver hereunder, would be an Event of Default.</w:t>
      </w:r>
    </w:p>
    <w:p>
      <w:pPr>
        <w:spacing w:after="0" w:line="139"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Deposit Account</w:t>
      </w:r>
      <w:r>
        <w:rPr>
          <w:rFonts w:ascii="Arial" w:cs="Arial" w:eastAsia="Arial" w:hAnsi="Arial"/>
          <w:sz w:val="21"/>
          <w:szCs w:val="21"/>
          <w:color w:val="auto"/>
        </w:rPr>
        <w:t>” means a demand, time, savings, passbook or like account with a bank, savings and loan association, credit union or like organization, other than an account evidenced by a negotiable certificate of deposit.</w:t>
      </w:r>
    </w:p>
    <w:p>
      <w:pPr>
        <w:spacing w:after="0" w:line="13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or “</w:t>
      </w:r>
      <w:r>
        <w:rPr>
          <w:rFonts w:ascii="Arial" w:cs="Arial" w:eastAsia="Arial" w:hAnsi="Arial"/>
          <w:sz w:val="22"/>
          <w:szCs w:val="22"/>
          <w:b w:val="1"/>
          <w:bCs w:val="1"/>
          <w:color w:val="auto"/>
        </w:rPr>
        <w:t>Dispose</w:t>
      </w:r>
      <w:r>
        <w:rPr>
          <w:rFonts w:ascii="Arial" w:cs="Arial" w:eastAsia="Arial" w:hAnsi="Arial"/>
          <w:sz w:val="22"/>
          <w:szCs w:val="22"/>
          <w:color w:val="auto"/>
        </w:rPr>
        <w:t>” shall mean the sale, transfer, license, lease or other disposition (including any sale and leaseback transaction and any sale or issuance of Equity Interests in a Restricted Subsidiary) of any property by any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Disqualified Equity Interests</w:t>
      </w:r>
      <w:r>
        <w:rPr>
          <w:rFonts w:ascii="Arial" w:cs="Arial" w:eastAsia="Arial" w:hAnsi="Arial"/>
          <w:sz w:val="21"/>
          <w:szCs w:val="21"/>
          <w:color w:val="auto"/>
        </w:rPr>
        <w:t xml:space="preserve">”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(b) is redeemable at the option of the holder thereof (other than solely for Qualified Equity Interests), in whole or in part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(c) provides for scheduled payments of dividends in cash, or (d) is or becomes convertible into or exchangeable for Indebtedness or any other Equity Interests that would constitute Disqualified Equity Interests, in each case, prior to the date that is ninety-one (91) days after the then Latest Maturity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Equity Interests are issued pursuant to, or in accordance with a plan for the benefit of employees of the Borrower or the Restricted Subsidiaries or by any such plan to such employees, such Equity Interests shall not constitute Disqualified Equity Interests solely because they may be required to be repurchased by the Borrower or its Restricted Subsidiaries in order to satisfy applicable statutory or regulatory obligations or as a result of such employee’s termination, death or disability.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Disqualified Lenders</w:t>
      </w:r>
      <w:r>
        <w:rPr>
          <w:rFonts w:ascii="Arial" w:cs="Arial" w:eastAsia="Arial" w:hAnsi="Arial"/>
          <w:sz w:val="21"/>
          <w:szCs w:val="21"/>
          <w:color w:val="auto"/>
        </w:rPr>
        <w:t>” shall mean (i) each of those banks, financial institutions and other entities identified in writing prior to the Restatement Effective Date by the Borrower to the Administrative Agent and the Required Lenders, (ii) competitors of the Borrower or the Guarantors identified in writing from time to time by the Borrower to the Administrative Agent, and (iii) any known affiliates of the Persons identified pursuant to clause (i) or (ii); provided that a “competitor” or an affiliate of a competitor or an entity referenced in clause (i) shall not include any bona fide debt fund or investment vehicle (other than a Person which is excluded pursuant to clause (i) above) that is primarily engaged in making, purchasing, holding or otherwise investing in commercial loans and similar extensions of credit in the ordinary course of business and whose managers are not involved with any equity or equity-like investments or other investments with an equity component or characteristic managed by any Person described in clause (i) or (ii) above.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shall mean lawful money of the United States of America.</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Domestic Subsidiary</w:t>
      </w:r>
      <w:r>
        <w:rPr>
          <w:rFonts w:ascii="Arial" w:cs="Arial" w:eastAsia="Arial" w:hAnsi="Arial"/>
          <w:sz w:val="22"/>
          <w:szCs w:val="22"/>
          <w:color w:val="auto"/>
        </w:rPr>
        <w:t>” shall mean any Subsidiary that is organized under the Laws of the United States, any state thereof or the District of Columbia.</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Dutch Auction</w:t>
      </w:r>
      <w:r>
        <w:rPr>
          <w:rFonts w:ascii="Arial" w:cs="Arial" w:eastAsia="Arial" w:hAnsi="Arial"/>
          <w:sz w:val="22"/>
          <w:szCs w:val="22"/>
          <w:color w:val="auto"/>
        </w:rPr>
        <w:t xml:space="preserve">” shall mean an auction conducted by the Borrower in order to purchase Term Loans as contemplated by </w:t>
      </w:r>
      <w:r>
        <w:rPr>
          <w:rFonts w:ascii="Arial" w:cs="Arial" w:eastAsia="Arial" w:hAnsi="Arial"/>
          <w:sz w:val="22"/>
          <w:szCs w:val="22"/>
          <w:u w:val="single" w:color="auto"/>
          <w:color w:val="auto"/>
        </w:rPr>
        <w:t>Section 10.04(k)</w:t>
      </w:r>
      <w:r>
        <w:rPr>
          <w:rFonts w:ascii="Arial" w:cs="Arial" w:eastAsia="Arial" w:hAnsi="Arial"/>
          <w:sz w:val="22"/>
          <w:szCs w:val="22"/>
          <w:color w:val="auto"/>
        </w:rPr>
        <w:t xml:space="preserve">, in accordance in all material respects with the procedures set forth in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Dutch Subsidiary</w:t>
      </w:r>
      <w:r>
        <w:rPr>
          <w:rFonts w:ascii="Arial" w:cs="Arial" w:eastAsia="Arial" w:hAnsi="Arial"/>
          <w:sz w:val="22"/>
          <w:szCs w:val="22"/>
          <w:color w:val="auto"/>
        </w:rPr>
        <w:t>” shall mean any Subsidiary that is organized under the Laws of the Netherlands or any state or province thereof.</w:t>
      </w:r>
    </w:p>
    <w:p>
      <w:pPr>
        <w:spacing w:after="0" w:line="16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xml:space="preserve">” shall mean (i) a Lender, (ii) an Affiliate of a Lender, (iii) a Related Fund of a Lender, and (iv) any other Person (other than a natural person) approved by the Administrative Agent and, unless an Event of Default under Section 8.01(a), 8.01(f) or 8.01(g) has occurred and is continuing and except during the primary syndication of the Commitments to those institutions disclosed in writing by the Required Lenders to the Borrower and approved by the Borrower prior to the Restatement Effective Date, the Borrower (each such approval not to be unreasonably withheld, conditioned or delayed and the Borrower’s approval being deemed to have been given in the event that the Borrower does not object in writing to an assignment within </w:t>
      </w:r>
      <w:r>
        <w:rPr>
          <w:rFonts w:ascii="Arial" w:cs="Arial" w:eastAsia="Arial" w:hAnsi="Arial"/>
          <w:sz w:val="19"/>
          <w:szCs w:val="19"/>
          <w:color w:val="FF0000"/>
          <w:strike w:val="1"/>
        </w:rPr>
        <w:t>10</w:t>
      </w:r>
      <w:r>
        <w:rPr>
          <w:rFonts w:ascii="Arial" w:cs="Arial" w:eastAsia="Arial" w:hAnsi="Arial"/>
          <w:sz w:val="19"/>
          <w:szCs w:val="19"/>
          <w:color w:val="auto"/>
        </w:rPr>
        <w:t xml:space="preserve"> </w:t>
      </w:r>
      <w:r>
        <w:rPr>
          <w:rFonts w:ascii="Arial" w:cs="Arial" w:eastAsia="Arial" w:hAnsi="Arial"/>
          <w:sz w:val="19"/>
          <w:szCs w:val="19"/>
          <w:color w:val="FF0000"/>
          <w:strike w:val="1"/>
        </w:rPr>
        <w:t>days</w:t>
      </w:r>
      <w:r>
        <w:rPr>
          <w:rFonts w:ascii="Arial" w:cs="Arial" w:eastAsia="Arial" w:hAnsi="Arial"/>
          <w:sz w:val="19"/>
          <w:szCs w:val="19"/>
          <w:b w:val="1"/>
          <w:bCs w:val="1"/>
          <w:u w:val="single" w:color="auto"/>
          <w:color w:val="0000FF"/>
        </w:rPr>
        <w:t>three (3) Business Days</w:t>
      </w:r>
      <w:r>
        <w:rPr>
          <w:rFonts w:ascii="Arial" w:cs="Arial" w:eastAsia="Arial" w:hAnsi="Arial"/>
          <w:sz w:val="19"/>
          <w:szCs w:val="19"/>
          <w:color w:val="FF0000"/>
        </w:rPr>
        <w:t xml:space="preserve"> </w:t>
      </w:r>
      <w:r>
        <w:rPr>
          <w:rFonts w:ascii="Arial" w:cs="Arial" w:eastAsia="Arial" w:hAnsi="Arial"/>
          <w:sz w:val="19"/>
          <w:szCs w:val="19"/>
          <w:color w:val="000000"/>
        </w:rPr>
        <w:t>after receipt of written notice of such assignment);</w:t>
      </w:r>
      <w:r>
        <w:rPr>
          <w:rFonts w:ascii="Arial" w:cs="Arial" w:eastAsia="Arial" w:hAnsi="Arial"/>
          <w:sz w:val="19"/>
          <w:szCs w:val="19"/>
          <w:color w:val="FF0000"/>
        </w:rPr>
        <w:t xml:space="preserve"> </w:t>
      </w:r>
      <w:r>
        <w:rPr>
          <w:rFonts w:ascii="Arial" w:cs="Arial" w:eastAsia="Arial" w:hAnsi="Arial"/>
          <w:sz w:val="19"/>
          <w:szCs w:val="19"/>
          <w:i w:val="1"/>
          <w:iCs w:val="1"/>
          <w:color w:val="000000"/>
        </w:rPr>
        <w:t>provided</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000000"/>
        </w:rPr>
        <w:t>that</w:t>
      </w:r>
      <w:r>
        <w:rPr>
          <w:rFonts w:ascii="Arial" w:cs="Arial" w:eastAsia="Arial" w:hAnsi="Arial"/>
          <w:sz w:val="19"/>
          <w:szCs w:val="19"/>
          <w:b w:val="1"/>
          <w:bCs w:val="1"/>
          <w:u w:val="single" w:color="auto"/>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notwithstanding the foregoing,</w:t>
      </w:r>
    </w:p>
    <w:p>
      <w:pPr>
        <w:spacing w:after="0" w:line="4" w:lineRule="exact"/>
        <w:rPr>
          <w:sz w:val="20"/>
          <w:szCs w:val="20"/>
          <w:color w:val="auto"/>
        </w:rPr>
      </w:pPr>
    </w:p>
    <w:p>
      <w:pPr>
        <w:jc w:val="both"/>
        <w:ind w:firstLine="8"/>
        <w:spacing w:after="0" w:line="272" w:lineRule="auto"/>
        <w:tabs>
          <w:tab w:leader="none" w:pos="367" w:val="left"/>
        </w:tabs>
        <w:numPr>
          <w:ilvl w:val="0"/>
          <w:numId w:val="45"/>
        </w:numPr>
        <w:rPr>
          <w:rFonts w:ascii="Arial" w:cs="Arial" w:eastAsia="Arial" w:hAnsi="Arial"/>
          <w:sz w:val="19"/>
          <w:szCs w:val="19"/>
          <w:b w:val="1"/>
          <w:bCs w:val="1"/>
          <w:u w:val="single" w:color="auto"/>
          <w:color w:val="0000FF"/>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xml:space="preserve">” shall not include the Borrower or any other Controlled Affiliate of the Borrower (it being understood that assignments to the Borrower may only be made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w:t>
      </w:r>
      <w:r>
        <w:rPr>
          <w:rFonts w:ascii="Arial" w:cs="Arial" w:eastAsia="Arial" w:hAnsi="Arial"/>
          <w:sz w:val="19"/>
          <w:szCs w:val="19"/>
          <w:b w:val="1"/>
          <w:bCs w:val="1"/>
          <w:color w:val="0000FF"/>
        </w:rPr>
        <w:t>and (B) no Borrower consent shall be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required if any Lender is required to assign all or any portion of its Loans by any Governmental Authority</w:t>
      </w:r>
      <w:r>
        <w:rPr>
          <w:rFonts w:ascii="Arial" w:cs="Arial" w:eastAsia="Arial" w:hAnsi="Arial"/>
          <w:sz w:val="19"/>
          <w:szCs w:val="19"/>
          <w:color w:val="000000"/>
        </w:rPr>
        <w:t>. “</w:t>
      </w:r>
      <w:r>
        <w:rPr>
          <w:rFonts w:ascii="Arial" w:cs="Arial" w:eastAsia="Arial" w:hAnsi="Arial"/>
          <w:sz w:val="19"/>
          <w:szCs w:val="19"/>
          <w:b w:val="1"/>
          <w:bCs w:val="1"/>
          <w:color w:val="000000"/>
        </w:rPr>
        <w:t>Eligible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000000"/>
        </w:rPr>
        <w:t>Assignee</w:t>
      </w:r>
      <w:r>
        <w:rPr>
          <w:rFonts w:ascii="Arial" w:cs="Arial" w:eastAsia="Arial" w:hAnsi="Arial"/>
          <w:sz w:val="19"/>
          <w:szCs w:val="19"/>
          <w:color w:val="000000"/>
        </w:rPr>
        <w:t>” shall not include any Disqualified Lender without the prior written consent of the Borrower (which may be withheld in</w:t>
      </w:r>
      <w:r>
        <w:rPr>
          <w:rFonts w:ascii="Arial" w:cs="Arial" w:eastAsia="Arial" w:hAnsi="Arial"/>
          <w:sz w:val="19"/>
          <w:szCs w:val="19"/>
          <w:b w:val="1"/>
          <w:bCs w:val="1"/>
          <w:color w:val="000000"/>
        </w:rPr>
        <w:t xml:space="preserve"> </w:t>
      </w:r>
      <w:r>
        <w:rPr>
          <w:rFonts w:ascii="Arial" w:cs="Arial" w:eastAsia="Arial" w:hAnsi="Arial"/>
          <w:sz w:val="19"/>
          <w:szCs w:val="19"/>
          <w:color w:val="000000"/>
        </w:rPr>
        <w:t>the Borrower’s sole discretion). Notwithstanding the foregoing or anything else to the contrary in this Agreement, each of the parties hereto acknowledges and agrees that the Administrative Agent (in its capacity as such) (x) shall not have any responsibility or obligation to determine whether any Lender or any potential assignee Lender is a Disqualified Lender and (y) shall not have any liability with respect to any assignment or participation made to a Disqualified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-955040</wp:posOffset>
            </wp:positionV>
            <wp:extent cx="23742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-937895</wp:posOffset>
            </wp:positionV>
            <wp:extent cx="23742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35"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shall mean all federal, state, local and foreign laws (including common law), treaties, regulations, rules, ordinances, codes, decrees, judgments, directives, orders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jc w:val="both"/>
        <w:spacing w:after="0" w:line="287" w:lineRule="auto"/>
        <w:rPr>
          <w:sz w:val="20"/>
          <w:szCs w:val="20"/>
          <w:color w:val="auto"/>
        </w:rPr>
      </w:pPr>
      <w:r>
        <w:rPr>
          <w:rFonts w:ascii="Arial" w:cs="Arial" w:eastAsia="Arial" w:hAnsi="Arial"/>
          <w:sz w:val="19"/>
          <w:szCs w:val="19"/>
          <w:color w:val="auto"/>
        </w:rPr>
        <w:t>(including consent orders), and agreements in each case, relating to protection of the environment, natural resources, human health and safety (with respect to exposure to hazardous or toxic substances or wastes) or the presence, Release of, or exposure to, hazardous or toxic substances or wastes, or the generation, manufacture, processing, distribution, use, treatment, storage, transport, recycling or handling of, or the arrangement for such activities with respect to, hazardous or toxic substances or wastes.</w:t>
      </w:r>
    </w:p>
    <w:p>
      <w:pPr>
        <w:spacing w:after="0" w:line="13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Liability</w:t>
      </w:r>
      <w:r>
        <w:rPr>
          <w:rFonts w:ascii="Arial" w:cs="Arial" w:eastAsia="Arial" w:hAnsi="Arial"/>
          <w:sz w:val="19"/>
          <w:szCs w:val="19"/>
          <w:color w:val="auto"/>
        </w:rPr>
        <w:t>” shall mean all liabilities, obligations, damages, losses, claims, actions, suits, judgments, orders, fines, penalties, fees, expenses and costs (including administrative oversight costs, capital and operating costs, injunctive relief, costs associated with financial assurance, permitting or closure requirements, natural resource damages and investigation or remediation costs), whether contingent or otherwise, arising out of or relating to (a) compliance or non-compliance with any Environmental Law, (b) the generation, use, handling, transportation, storage, treatment or disposal of any Hazardous Materials,</w:t>
      </w:r>
    </w:p>
    <w:p>
      <w:pPr>
        <w:spacing w:after="0" w:line="1" w:lineRule="exact"/>
        <w:rPr>
          <w:sz w:val="20"/>
          <w:szCs w:val="20"/>
          <w:color w:val="auto"/>
        </w:rPr>
      </w:pPr>
    </w:p>
    <w:p>
      <w:pPr>
        <w:ind w:firstLine="8"/>
        <w:spacing w:after="0" w:line="256" w:lineRule="auto"/>
        <w:tabs>
          <w:tab w:leader="none" w:pos="319" w:val="left"/>
        </w:tabs>
        <w:numPr>
          <w:ilvl w:val="0"/>
          <w:numId w:val="46"/>
        </w:numPr>
        <w:rPr>
          <w:rFonts w:ascii="Arial" w:cs="Arial" w:eastAsia="Arial" w:hAnsi="Arial"/>
          <w:sz w:val="21"/>
          <w:szCs w:val="21"/>
          <w:color w:val="auto"/>
        </w:rPr>
      </w:pPr>
      <w:r>
        <w:rPr>
          <w:rFonts w:ascii="Arial" w:cs="Arial" w:eastAsia="Arial" w:hAnsi="Arial"/>
          <w:sz w:val="21"/>
          <w:szCs w:val="21"/>
          <w:color w:val="auto"/>
        </w:rPr>
        <w:t>exposure to any Hazardous Materials, (d) the Release of any Hazardous Materials or (e) any contract, agreement or other consensual arrangement pursuant to which liability is assumed or imposed with respect to any of the foregoing.</w:t>
      </w:r>
    </w:p>
    <w:p>
      <w:pPr>
        <w:spacing w:after="0" w:line="16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Interests</w:t>
      </w:r>
      <w:r>
        <w:rPr>
          <w:rFonts w:ascii="Arial" w:cs="Arial" w:eastAsia="Arial" w:hAnsi="Arial"/>
          <w:sz w:val="22"/>
          <w:szCs w:val="22"/>
          <w:color w:val="auto"/>
        </w:rPr>
        <w:t>” shall mean,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but excluding in each case any debt security that is convertible into, or exchanged for, Equity Interests.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shall mean the Employee Retirement Income Security Act of 1974, as amended from time to time.</w:t>
      </w:r>
    </w:p>
    <w:p>
      <w:pPr>
        <w:spacing w:after="0" w:line="21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Affiliate</w:t>
      </w:r>
      <w:r>
        <w:rPr>
          <w:rFonts w:ascii="Arial" w:cs="Arial" w:eastAsia="Arial" w:hAnsi="Arial"/>
          <w:sz w:val="22"/>
          <w:szCs w:val="22"/>
          <w:color w:val="auto"/>
        </w:rPr>
        <w:t>” shall mean Person, any trade or business (whether or not incorporated) that, together with a Loan Party or any Restricted Subsidiary, is or, within the six year period immediately preceding the Original Closing Date, was treated as a single employer under Section 414(b) or (c) of the Code, or, solely for purposes of Section 302 of ERISA and Section 412 of the Code, is treated as a single employer under Section 414 of the Code.</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Event</w:t>
      </w:r>
      <w:r>
        <w:rPr>
          <w:rFonts w:ascii="Arial" w:cs="Arial" w:eastAsia="Arial" w:hAnsi="Arial"/>
          <w:sz w:val="19"/>
          <w:szCs w:val="19"/>
          <w:color w:val="auto"/>
        </w:rPr>
        <w:t>” shall mean (a) a Reportable Event; (b) the failure to satisfy the minimum funding standard with respect to a Plan within the meaning of Sections 412 or 430 of the Code or Sections 302 or 303 of ERISA, whether or not waived (unless such failure is corrected by the final due date for the plan year for which such failure occurred), (c) a determination that a Plan is, or is expected to be, in “at risk” status (as defined in Section 303(i)(4) of ERISA or Section 430(i)(4) of the Code); (d) the receipt by a Loan Party, any Restricted Subsidiary or any of their respective ERISA Affiliates of notice pursuant to Section 305(b)(3)(D) of ERISA that a Multiemployer Plan is or will be in “endangered status” or “critical status” (as defined in Section 305(b) of ERISA), or is, or is expected to be, “insolvent” (within the meaning of Section 4245 of ERISA); (e) the filing pursuant to Section 431 of the Code or Section 304 of ERISA of an application for the extension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1" w:name="page82"/>
    <w:bookmarkEnd w:id="81"/>
    <w:p>
      <w:pPr>
        <w:jc w:val="both"/>
        <w:spacing w:after="0" w:line="270" w:lineRule="auto"/>
        <w:rPr>
          <w:sz w:val="20"/>
          <w:szCs w:val="20"/>
          <w:color w:val="auto"/>
        </w:rPr>
      </w:pPr>
      <w:r>
        <w:rPr>
          <w:rFonts w:ascii="Arial" w:cs="Arial" w:eastAsia="Arial" w:hAnsi="Arial"/>
          <w:sz w:val="19"/>
          <w:szCs w:val="19"/>
          <w:color w:val="auto"/>
        </w:rPr>
        <w:t>of any amortization period; (f) the failure to timely make a contribution required to be made with respect to any Plan or Multiemployer Plan; (g) the filing of a notice to terminate any Plan if such termination would require material additional contributions in order to be considered a standard termination within the meaning of Section 4041(b) of ERISA; (h) the filing under Section 4041(c) of ERISA of a notice of intent to terminate any Plan or the termination of any Plan under Section 4041(c) of ERISA; (i) the filing pursuant to Section 412(c) of the Code or Section 302(c) of ERISA of an application for a waiver of the minimum funding standard with respect to any Plan; (j) the incurrence by a Loan Party, any Restricted Subsidiary or any of their respective ERISA Affiliates of any liability under Title IV of ERISA with respect to the termination of any Plan; (k) the receipt by a Loan Party, any Restricted Subsidiary or any of their respective ERISA Affiliates from the PBGC or a plan administrator of any notice of an intention to terminate any Plan or Plans or to appoint a trustee to administer any Plan under Section 4042 of ERISA; (l) the receipt by a Loan Party, any Restricted Subsidiary or any of their respective ERISA Affiliates of any notice, or the receipt by any Multiemployer Plan from a Loan Party, any Restricted Subsidiary or any of their respective ERISA Affiliates of any notice, concerning the imposition of Withdrawal Liability; (m) the occurrence of any event or condition that would reasonably be expected to result in the termination of a Plan or the appointment of a trustee to administer a Plan; (o) the occurrence of a nonexempt prohibited transaction (within the meaning of Section 406 of ERISA or Section 4975 of the Code) with respect to any Plan which could result in liability to a Loan Party or any Restricted Subsidiary or with respect to which a Loan Party or any Restricted Subsidiary is a “disqualified person” (as defined in Section 4975 of the Code) or a “party in interest” (as defined in Section 3(14) of ERISA); (p) the incurrence of any liability with respect to any Plan or Multiemployer Plan under Title IV of ERISA (other than premiums due and not delinquent under Section 4007 of ERISA); or (q) engagement in any transaction that could be subject to Sections 4069 or 4212(c) of ERISA.</w:t>
      </w:r>
    </w:p>
    <w:p>
      <w:pPr>
        <w:spacing w:after="0" w:line="200" w:lineRule="exact"/>
        <w:rPr>
          <w:sz w:val="20"/>
          <w:szCs w:val="20"/>
          <w:color w:val="auto"/>
        </w:rPr>
      </w:pPr>
    </w:p>
    <w:p>
      <w:pPr>
        <w:spacing w:after="0" w:line="20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Eurodollar</w:t>
      </w:r>
      <w:r>
        <w:rPr>
          <w:rFonts w:ascii="Arial" w:cs="Arial" w:eastAsia="Arial" w:hAnsi="Arial"/>
          <w:sz w:val="22"/>
          <w:szCs w:val="22"/>
          <w:color w:val="auto"/>
        </w:rPr>
        <w:t>”, when used in reference to any Loan or Borrowing, refers to whether such Loan, or the Loans comprising such Borrowing, are bearing interest at a rate (other than the Alternate Base Rate) determined by reference to the Adjusted LIBO Rate.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shall have the meaning assigned to such term in Article 8.</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Excess Cash Flow</w:t>
      </w:r>
      <w:r>
        <w:rPr>
          <w:rFonts w:ascii="Arial" w:cs="Arial" w:eastAsia="Arial" w:hAnsi="Arial"/>
          <w:sz w:val="22"/>
          <w:szCs w:val="22"/>
          <w:color w:val="auto"/>
        </w:rPr>
        <w:t>” shall mean, for any period, an amount equal to:</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 the sum, without duplication, of:</w:t>
      </w:r>
    </w:p>
    <w:p>
      <w:pPr>
        <w:sectPr>
          <w:pgSz w:w="11900" w:h="16838" w:orient="portrait"/>
          <w:cols w:equalWidth="0" w:num="1">
            <w:col w:w="11240"/>
          </w:cols>
          <w:pgMar w:left="320" w:top="334" w:right="339" w:bottom="1440" w:gutter="0" w:footer="0" w:header="0"/>
        </w:sectPr>
      </w:pP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Consolidated Net Income for such period,</w:t>
      </w:r>
    </w:p>
    <w:p>
      <w:pPr>
        <w:spacing w:after="0" w:line="234" w:lineRule="exact"/>
        <w:rPr>
          <w:sz w:val="20"/>
          <w:szCs w:val="20"/>
          <w:color w:val="auto"/>
        </w:rPr>
      </w:pPr>
    </w:p>
    <w:p>
      <w:pPr>
        <w:sectPr>
          <w:pgSz w:w="11900" w:h="16838" w:orient="portrait"/>
          <w:cols w:equalWidth="0" w:num="2">
            <w:col w:w="940" w:space="720"/>
            <w:col w:w="9580"/>
          </w:cols>
          <w:pgMar w:left="320" w:top="334" w:right="339" w:bottom="1440" w:gutter="0" w:footer="0" w:header="0"/>
          <w:type w:val="continuous"/>
        </w:sectPr>
      </w:pPr>
    </w:p>
    <w:p>
      <w:pPr>
        <w:spacing w:after="0" w:line="6" w:lineRule="exact"/>
        <w:rPr>
          <w:sz w:val="20"/>
          <w:szCs w:val="20"/>
          <w:color w:val="auto"/>
        </w:rPr>
      </w:pPr>
    </w:p>
    <w:p>
      <w:pPr>
        <w:ind w:left="860" w:hanging="784"/>
        <w:spacing w:after="0" w:line="250" w:lineRule="auto"/>
        <w:tabs>
          <w:tab w:leader="none" w:pos="84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an amount equal to the amount of all non-cash charges to the extent deducted in arriving at such Consolidated Net Income,</w:t>
      </w:r>
    </w:p>
    <w:p>
      <w:pPr>
        <w:sectPr>
          <w:pgSz w:w="11900" w:h="16838" w:orient="portrait"/>
          <w:cols w:equalWidth="0" w:num="1">
            <w:col w:w="11240"/>
          </w:cols>
          <w:pgMar w:left="320" w:top="334" w:right="339" w:bottom="1440" w:gutter="0" w:footer="0" w:header="0"/>
          <w:type w:val="continuous"/>
        </w:sectPr>
      </w:pPr>
    </w:p>
    <w:p>
      <w:pPr>
        <w:spacing w:after="0" w:line="175" w:lineRule="exact"/>
        <w:rPr>
          <w:sz w:val="20"/>
          <w:szCs w:val="20"/>
          <w:color w:val="auto"/>
        </w:rPr>
      </w:pPr>
    </w:p>
    <w:p>
      <w:pPr>
        <w:ind w:left="860" w:right="20" w:hanging="787"/>
        <w:spacing w:after="0" w:line="274" w:lineRule="auto"/>
        <w:tabs>
          <w:tab w:leader="none" w:pos="1658" w:val="left"/>
        </w:tabs>
        <w:numPr>
          <w:ilvl w:val="0"/>
          <w:numId w:val="47"/>
        </w:numPr>
        <w:rPr>
          <w:rFonts w:ascii="Arial" w:cs="Arial" w:eastAsia="Arial" w:hAnsi="Arial"/>
          <w:sz w:val="21"/>
          <w:szCs w:val="21"/>
          <w:color w:val="auto"/>
        </w:rPr>
      </w:pPr>
      <w:r>
        <w:rPr>
          <w:rFonts w:ascii="Arial" w:cs="Arial" w:eastAsia="Arial" w:hAnsi="Arial"/>
          <w:sz w:val="21"/>
          <w:szCs w:val="21"/>
          <w:color w:val="auto"/>
        </w:rPr>
        <w:t>decreases in Consolidated Working Capital for such period (other than any such decreases arising from acquisitions or dispositions by the Borrower and its Restricted Subsidiaries completed during such period),</w:t>
      </w:r>
    </w:p>
    <w:p>
      <w:pPr>
        <w:spacing w:after="0" w:line="150" w:lineRule="exact"/>
        <w:rPr>
          <w:rFonts w:ascii="Arial" w:cs="Arial" w:eastAsia="Arial" w:hAnsi="Arial"/>
          <w:sz w:val="21"/>
          <w:szCs w:val="21"/>
          <w:color w:val="auto"/>
        </w:rPr>
      </w:pPr>
    </w:p>
    <w:p>
      <w:pPr>
        <w:ind w:left="860" w:right="20" w:hanging="787"/>
        <w:spacing w:after="0" w:line="250" w:lineRule="auto"/>
        <w:tabs>
          <w:tab w:leader="none" w:pos="1658" w:val="left"/>
        </w:tabs>
        <w:numPr>
          <w:ilvl w:val="0"/>
          <w:numId w:val="47"/>
        </w:numPr>
        <w:rPr>
          <w:rFonts w:ascii="Arial" w:cs="Arial" w:eastAsia="Arial" w:hAnsi="Arial"/>
          <w:sz w:val="22"/>
          <w:szCs w:val="22"/>
          <w:color w:val="auto"/>
        </w:rPr>
      </w:pPr>
      <w:r>
        <w:rPr>
          <w:rFonts w:ascii="Arial" w:cs="Arial" w:eastAsia="Arial" w:hAnsi="Arial"/>
          <w:sz w:val="22"/>
          <w:szCs w:val="22"/>
          <w:color w:val="auto"/>
        </w:rPr>
        <w:t>cash receipts in respect of Swap Contracts during such period to the extent such receipts were not otherwise included in arriving at such Consolidated Net Income,</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82" w:name="page83"/>
    <w:bookmarkEnd w:id="82"/>
    <w:p>
      <w:pPr>
        <w:ind w:left="860" w:hanging="784"/>
        <w:spacing w:after="0" w:line="250" w:lineRule="auto"/>
        <w:tabs>
          <w:tab w:leader="none" w:pos="84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color w:val="auto"/>
        </w:rPr>
        <w:t>the amount of tax expense deducted in determining Consolidated Net Income for such period to the extent it exceeds the amount of cash taxes paid in such period,</w:t>
      </w:r>
    </w:p>
    <w:p>
      <w:pPr>
        <w:spacing w:after="0" w:line="175" w:lineRule="exact"/>
        <w:rPr>
          <w:sz w:val="20"/>
          <w:szCs w:val="20"/>
          <w:color w:val="auto"/>
        </w:rPr>
      </w:pPr>
    </w:p>
    <w:p>
      <w:pPr>
        <w:jc w:val="both"/>
        <w:ind w:left="860" w:right="20" w:hanging="787"/>
        <w:spacing w:after="0"/>
        <w:tabs>
          <w:tab w:leader="none" w:pos="165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 amount equal to the aggregate net non-cash loss on Dispositions by the Borrower and its Restricted Subsidiaries during such period (other than Dispositions in the ordinary course of business) to the extent deducted in arriving at such Consolidated Net Income,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minus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 the sum, without duplication, of:</w:t>
      </w:r>
    </w:p>
    <w:p>
      <w:pPr>
        <w:sectPr>
          <w:pgSz w:w="11900" w:h="16838" w:orient="portrait"/>
          <w:cols w:equalWidth="0" w:num="1">
            <w:col w:w="11240"/>
          </w:cols>
          <w:pgMar w:left="320" w:top="334" w:right="339" w:bottom="1440" w:gutter="0" w:footer="0" w:header="0"/>
        </w:sectPr>
      </w:pP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an amount equal to the amount of all non-cash credits included in arriving at such Consolidated Net Income,</w:t>
      </w:r>
    </w:p>
    <w:p>
      <w:pPr>
        <w:spacing w:after="0" w:line="234" w:lineRule="exact"/>
        <w:rPr>
          <w:sz w:val="20"/>
          <w:szCs w:val="20"/>
          <w:color w:val="auto"/>
        </w:rPr>
      </w:pPr>
    </w:p>
    <w:p>
      <w:pPr>
        <w:sectPr>
          <w:pgSz w:w="11900" w:h="16838" w:orient="portrait"/>
          <w:cols w:equalWidth="0" w:num="2">
            <w:col w:w="940" w:space="720"/>
            <w:col w:w="9580"/>
          </w:cols>
          <w:pgMar w:left="320" w:top="334" w:right="339"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ind w:firstLine="798"/>
        <w:spacing w:after="0" w:line="250" w:lineRule="auto"/>
        <w:rPr>
          <w:sz w:val="20"/>
          <w:szCs w:val="20"/>
          <w:color w:val="auto"/>
        </w:rPr>
      </w:pPr>
      <w:r>
        <w:rPr>
          <w:rFonts w:ascii="Arial" w:cs="Arial" w:eastAsia="Arial" w:hAnsi="Arial"/>
          <w:sz w:val="22"/>
          <w:szCs w:val="22"/>
          <w:color w:val="auto"/>
        </w:rPr>
        <w:t>the amount of Capital Expenditures made in cash during such period (or committed to be made within 90 days after the end of such period) to the extent financed with Internally Generated Cash,</w:t>
      </w:r>
    </w:p>
    <w:p>
      <w:pPr>
        <w:spacing w:after="0" w:line="175" w:lineRule="exact"/>
        <w:rPr>
          <w:sz w:val="20"/>
          <w:szCs w:val="20"/>
          <w:color w:val="auto"/>
        </w:rPr>
      </w:pPr>
    </w:p>
    <w:p>
      <w:pPr>
        <w:sectPr>
          <w:pgSz w:w="11900" w:h="16838" w:orient="portrait"/>
          <w:cols w:equalWidth="0" w:num="2">
            <w:col w:w="340" w:space="520"/>
            <w:col w:w="10380"/>
          </w:cols>
          <w:pgMar w:left="320" w:top="334" w:right="339" w:bottom="1440" w:gutter="0" w:footer="0" w:header="0"/>
          <w:type w:val="continuous"/>
        </w:sectPr>
      </w:pPr>
    </w:p>
    <w:p>
      <w:pPr>
        <w:jc w:val="both"/>
        <w:ind w:left="860" w:hanging="787"/>
        <w:spacing w:after="0"/>
        <w:tabs>
          <w:tab w:leader="none" w:pos="165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aggregate amount of payments made in cash during such period (or committed to be paid in cash within 90 days after the end of such period) (other than Capital Expenditures) and capitalized in accordance with GAAP to the extent financed with Internally Generated Cash,</w:t>
      </w:r>
    </w:p>
    <w:p>
      <w:pPr>
        <w:spacing w:after="0" w:line="186" w:lineRule="exact"/>
        <w:rPr>
          <w:rFonts w:ascii="Arial" w:cs="Arial" w:eastAsia="Arial" w:hAnsi="Arial"/>
          <w:sz w:val="22"/>
          <w:szCs w:val="22"/>
          <w:color w:val="auto"/>
        </w:rPr>
      </w:pPr>
    </w:p>
    <w:p>
      <w:pPr>
        <w:jc w:val="both"/>
        <w:ind w:left="860" w:hanging="787"/>
        <w:spacing w:after="0" w:line="272" w:lineRule="auto"/>
        <w:tabs>
          <w:tab w:leader="none" w:pos="165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aggregate amount of all principal payments of Indebtedness of the Borrower and its Restricted Subsidiaries during such period, in each case to the extent financed with Internally Generated Cash (including (A) the principal component of payments in respect of Capitalized Leases and (B) voluntary prepayments or buybacks of Term Loans made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(in an amount equal to the discounted amount actually paid in respect of the principal amount of such Term Loans), but excluding (W) all voluntary prepayments of Term Loans (other than voluntary prepayments made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(X) all prepayments of Indebtedness on the Restatement Effective Date in connection with the Refinancing Transactions, (Y) all prepayments, redemptions or repurchases in respect of (i) Permitted Second Priority Additional Debt (or any Permitted Refinancing thereof), except to the extent permitted under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and (ii) Junior Financing, except to the extent permitted under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and (Z) all prepayments of loans under the ABL Facility or any other revolving credit facility made during such period unless there is a corresponding permanent commitment reduction in connection therewith (it being agreed that any amount excluded pursuant to clause (W), (X), (Y) or (Z) may not be deducted under any other clause of this definition),</w:t>
      </w:r>
    </w:p>
    <w:p>
      <w:pPr>
        <w:spacing w:after="0" w:line="161"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186" w:lineRule="exact"/>
        <w:rPr>
          <w:sz w:val="20"/>
          <w:szCs w:val="20"/>
          <w:color w:val="auto"/>
        </w:rPr>
      </w:pPr>
    </w:p>
    <w:p>
      <w:pPr>
        <w:ind w:left="860" w:hanging="787"/>
        <w:spacing w:after="0" w:line="250" w:lineRule="auto"/>
        <w:tabs>
          <w:tab w:leader="none" w:pos="1658"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increases in Consolidated Working Capital for such period (other than any such increases arising from acquisitions or dispositions by the Borrower and its Restricted Subsidiaries during such period),</w:t>
      </w:r>
    </w:p>
    <w:p>
      <w:pPr>
        <w:spacing w:after="0" w:line="174" w:lineRule="exact"/>
        <w:rPr>
          <w:rFonts w:ascii="Arial" w:cs="Arial" w:eastAsia="Arial" w:hAnsi="Arial"/>
          <w:sz w:val="22"/>
          <w:szCs w:val="22"/>
          <w:color w:val="auto"/>
        </w:rPr>
      </w:pPr>
    </w:p>
    <w:p>
      <w:pPr>
        <w:ind w:left="860" w:right="20" w:hanging="787"/>
        <w:spacing w:after="0" w:line="250" w:lineRule="auto"/>
        <w:tabs>
          <w:tab w:leader="none" w:pos="1658" w:val="left"/>
        </w:tabs>
        <w:numPr>
          <w:ilvl w:val="0"/>
          <w:numId w:val="50"/>
        </w:numPr>
        <w:rPr>
          <w:rFonts w:ascii="Arial" w:cs="Arial" w:eastAsia="Arial" w:hAnsi="Arial"/>
          <w:sz w:val="22"/>
          <w:szCs w:val="22"/>
          <w:color w:val="auto"/>
        </w:rPr>
      </w:pPr>
      <w:r>
        <w:rPr>
          <w:rFonts w:ascii="Arial" w:cs="Arial" w:eastAsia="Arial" w:hAnsi="Arial"/>
          <w:sz w:val="22"/>
          <w:szCs w:val="22"/>
          <w:color w:val="auto"/>
        </w:rPr>
        <w:t>cash payments by the Borrower and its Restricted Subsidiaries during such period in respect of long-term liabilities of the Borrower and its Restricted Subsidiaries other than</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83" w:name="page84"/>
    <w:bookmarkEnd w:id="83"/>
    <w:p>
      <w:pPr>
        <w:ind w:left="860" w:firstLine="798"/>
        <w:spacing w:after="0" w:line="250" w:lineRule="auto"/>
        <w:rPr>
          <w:sz w:val="20"/>
          <w:szCs w:val="20"/>
          <w:color w:val="auto"/>
        </w:rPr>
      </w:pPr>
      <w:r>
        <w:rPr>
          <w:rFonts w:ascii="Arial" w:cs="Arial" w:eastAsia="Arial" w:hAnsi="Arial"/>
          <w:sz w:val="22"/>
          <w:szCs w:val="22"/>
          <w:color w:val="auto"/>
        </w:rPr>
        <w:t>Indebtedness and that were made with Internally Generated Cash and were not deducted or were excluded in calculating Consolidated Net Income,</w:t>
      </w:r>
    </w:p>
    <w:p>
      <w:pPr>
        <w:spacing w:after="0" w:line="175" w:lineRule="exact"/>
        <w:rPr>
          <w:sz w:val="20"/>
          <w:szCs w:val="20"/>
          <w:color w:val="auto"/>
        </w:rPr>
      </w:pPr>
    </w:p>
    <w:p>
      <w:pPr>
        <w:jc w:val="both"/>
        <w:ind w:left="860" w:hanging="787"/>
        <w:spacing w:after="0" w:line="236" w:lineRule="auto"/>
        <w:tabs>
          <w:tab w:leader="none" w:pos="1658"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amount of Investments and acquisitions made during such period (or committed to be made within 90 days after the end of such period) in cash pursuant to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7.02(a)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(net of the cash return on any such Investments received during such period, except to the extent such return was included in the determination of Consolidated Net Income) to the extent that such Investments and acquisitions were not expensed and were financed with Internally Generated Cash,</w:t>
      </w:r>
    </w:p>
    <w:p>
      <w:pPr>
        <w:spacing w:after="0" w:line="187" w:lineRule="exact"/>
        <w:rPr>
          <w:rFonts w:ascii="Arial" w:cs="Arial" w:eastAsia="Arial" w:hAnsi="Arial"/>
          <w:sz w:val="22"/>
          <w:szCs w:val="22"/>
          <w:color w:val="auto"/>
        </w:rPr>
      </w:pPr>
    </w:p>
    <w:p>
      <w:pPr>
        <w:jc w:val="both"/>
        <w:ind w:left="860" w:hanging="787"/>
        <w:spacing w:after="0" w:line="238" w:lineRule="auto"/>
        <w:tabs>
          <w:tab w:leader="none" w:pos="165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amount of cash taxes paid in such period (or reasonably expected to be paid within 90 days of the end of such period) to the extent they exceed the amount of tax expense deducted in determining Consolidated Net Income for such period (which amounts shall be included in the calculation of Excess Cash Flow for the period in which they are expensed),</w:t>
      </w:r>
    </w:p>
    <w:p>
      <w:pPr>
        <w:spacing w:after="0" w:line="185" w:lineRule="exact"/>
        <w:rPr>
          <w:sz w:val="20"/>
          <w:szCs w:val="20"/>
          <w:color w:val="auto"/>
        </w:rPr>
      </w:pPr>
    </w:p>
    <w:p>
      <w:pPr>
        <w:ind w:left="860" w:hanging="784"/>
        <w:spacing w:after="0" w:line="250" w:lineRule="auto"/>
        <w:tabs>
          <w:tab w:leader="none" w:pos="84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22"/>
          <w:szCs w:val="22"/>
          <w:color w:val="auto"/>
        </w:rPr>
        <w:t>cash expenditures in respect of Swap Contracts during such fiscal year to the extent such expenditures were not deducted or were excluded in arriving at such Consolidated Net Income, and</w:t>
      </w:r>
    </w:p>
    <w:p>
      <w:pPr>
        <w:spacing w:after="0" w:line="175" w:lineRule="exact"/>
        <w:rPr>
          <w:sz w:val="20"/>
          <w:szCs w:val="20"/>
          <w:color w:val="auto"/>
        </w:rPr>
      </w:pPr>
    </w:p>
    <w:p>
      <w:pPr>
        <w:ind w:left="860" w:hanging="787"/>
        <w:spacing w:after="0" w:line="250" w:lineRule="auto"/>
        <w:tabs>
          <w:tab w:leader="none" w:pos="1658"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aggregate amount of Restricted Payments made in cash permitted by </w:t>
      </w:r>
      <w:r>
        <w:rPr>
          <w:rFonts w:ascii="Arial" w:cs="Arial" w:eastAsia="Arial" w:hAnsi="Arial"/>
          <w:sz w:val="22"/>
          <w:szCs w:val="22"/>
          <w:u w:val="single" w:color="auto"/>
          <w:color w:val="auto"/>
        </w:rPr>
        <w:t>Section 7.06(d)(i)</w:t>
      </w:r>
      <w:r>
        <w:rPr>
          <w:rFonts w:ascii="Arial" w:cs="Arial" w:eastAsia="Arial" w:hAnsi="Arial"/>
          <w:sz w:val="22"/>
          <w:szCs w:val="22"/>
          <w:color w:val="auto"/>
        </w:rPr>
        <w:t xml:space="preserve"> during such period (or committed to be made or paid in cash within the next 90 days after the end of such period).</w:t>
      </w:r>
    </w:p>
    <w:p>
      <w:pPr>
        <w:spacing w:after="0" w:line="17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Notwithstanding anything in the definition of any term used in the definition of Excess Cash Flow to the contrary, (i) all components of Excess Cash Flow shall be computed for the Borrower and its Restricted Subsidiaries on a consolidated basis and (ii) for purposes of calculating Excess Cash Flow for any period with respect to each Permitted Acquisition or other Investment of all or substantially all of the assets of another Person or business line permitted hereby consummated during such Excess Cash Flow Period and for the purposes of calculating Consolidated Working Capital, the (A) total assets of a target of such Permitted Acquisition or other Investment of all or substantially all of the assets of another Person or business line permitted hereby (other than cash and Cash Equivalents), as calculated as at the date of consummation of the applicable Permitted Acquisition or other Investment of all or substantially all of the assets of another Person or business line permitted hereby, which may properly be classified as current assets on a consolidated balance sheet of Borrower and its Restricted Subsidiaries in accordance with GAAP (assuming, for the purpose of this clause (A), that such Permitted Acquisition or other Investment of all or substantially all of the assets of another Person or business line permitted hereby has been consummated) and (B) the total liabilities of Borrower and its Restricted Subsidiaries, as calculated as at the date of consummation of the applicable Permitted Acquisition or other Investment of all or substantially all of the assets of another Person or business line permitted hereby, which may properly be classified as current liabilities (other than the current portion of any long term liabilities and accrued interest thereon) on a consolidated balance sheet of Borrower and its Restricted Subsidiaries in accordance with GAAP (assuming, for the purpose of this clause (B), that such Permitted Acquisition or other Investment of all or substantially all of the assets of another Person or business line permitted hereby has been consummated), shall, in the case of both immediately preceding clauses (A) and (B), be calculated as the difference between the Consolidated Working Capital at the end of the applicable period from the date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4" w:name="page85"/>
    <w:bookmarkEnd w:id="84"/>
    <w:p>
      <w:pPr>
        <w:jc w:val="both"/>
        <w:spacing w:after="0" w:line="287" w:lineRule="auto"/>
        <w:rPr>
          <w:sz w:val="20"/>
          <w:szCs w:val="20"/>
          <w:color w:val="auto"/>
        </w:rPr>
      </w:pPr>
      <w:r>
        <w:rPr>
          <w:rFonts w:ascii="Arial" w:cs="Arial" w:eastAsia="Arial" w:hAnsi="Arial"/>
          <w:sz w:val="19"/>
          <w:szCs w:val="19"/>
          <w:color w:val="auto"/>
        </w:rPr>
        <w:t>consummation of the Permitted Acquisition or other Investment of all or substantially all of the assets of another Person or business line permitted hereby. To the extent any amounts that are committed to be made or paid or are reasonably expected to be paid are deducted as permitted by clause (b) of the definition of Excess Cash Flow in respect of any period, such amounts shall not be deducted again for purposes of calculating Excess Cash Flow for the period in which such amounts are actually paid.</w:t>
      </w:r>
    </w:p>
    <w:p>
      <w:pPr>
        <w:spacing w:after="0" w:line="13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Excess Cash Flow Period</w:t>
      </w:r>
      <w:r>
        <w:rPr>
          <w:rFonts w:ascii="Arial" w:cs="Arial" w:eastAsia="Arial" w:hAnsi="Arial"/>
          <w:sz w:val="19"/>
          <w:szCs w:val="19"/>
          <w:color w:val="auto"/>
        </w:rPr>
        <w:t xml:space="preserve">” shall mean each fiscal year of the Borrower commencing with the fiscal year ending December 31, 2019, but in all cases for purposes of calculating the Cumulative Retained Excess Cash Flow Amount shall only include such fiscal years for which financial statements and a Compliance Certificate have been delivered in accordance with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6.02(a)</w:t>
      </w:r>
      <w:r>
        <w:rPr>
          <w:rFonts w:ascii="Arial" w:cs="Arial" w:eastAsia="Arial" w:hAnsi="Arial"/>
          <w:sz w:val="19"/>
          <w:szCs w:val="19"/>
          <w:color w:val="auto"/>
        </w:rPr>
        <w:t xml:space="preserve">, respectively, and for which any prepayments required by </w:t>
      </w:r>
      <w:r>
        <w:rPr>
          <w:rFonts w:ascii="Arial" w:cs="Arial" w:eastAsia="Arial" w:hAnsi="Arial"/>
          <w:sz w:val="19"/>
          <w:szCs w:val="19"/>
          <w:u w:val="single" w:color="auto"/>
          <w:color w:val="auto"/>
        </w:rPr>
        <w:t>Section 2.13(a)(i)</w:t>
      </w:r>
      <w:r>
        <w:rPr>
          <w:rFonts w:ascii="Arial" w:cs="Arial" w:eastAsia="Arial" w:hAnsi="Arial"/>
          <w:sz w:val="19"/>
          <w:szCs w:val="19"/>
          <w:color w:val="auto"/>
        </w:rPr>
        <w:t xml:space="preserve"> (if any) have been made (it being understood that the Retained Percentage of Excess Cash Flow for any Excess Cash Flow Period shall be included in the Cumulative Retained Excess Cash Flow Amount regardless of whether a prepayment is required by </w:t>
      </w:r>
      <w:r>
        <w:rPr>
          <w:rFonts w:ascii="Arial" w:cs="Arial" w:eastAsia="Arial" w:hAnsi="Arial"/>
          <w:sz w:val="19"/>
          <w:szCs w:val="19"/>
          <w:u w:val="single" w:color="auto"/>
          <w:color w:val="auto"/>
        </w:rPr>
        <w:t>Section 2.13(a)(i)</w:t>
      </w:r>
      <w:r>
        <w:rPr>
          <w:rFonts w:ascii="Arial" w:cs="Arial" w:eastAsia="Arial" w:hAnsi="Arial"/>
          <w:sz w:val="19"/>
          <w:szCs w:val="19"/>
          <w:color w:val="auto"/>
        </w:rPr>
        <w:t xml:space="preserve">, except to the extent that a prepayment is not made in reliance on </w:t>
      </w:r>
      <w:r>
        <w:rPr>
          <w:rFonts w:ascii="Arial" w:cs="Arial" w:eastAsia="Arial" w:hAnsi="Arial"/>
          <w:sz w:val="19"/>
          <w:szCs w:val="19"/>
          <w:u w:val="single" w:color="auto"/>
          <w:color w:val="auto"/>
        </w:rPr>
        <w:t>Section 2.13(f)</w:t>
      </w:r>
      <w:r>
        <w:rPr>
          <w:rFonts w:ascii="Arial" w:cs="Arial" w:eastAsia="Arial" w:hAnsi="Arial"/>
          <w:sz w:val="19"/>
          <w:szCs w:val="19"/>
          <w:color w:val="auto"/>
        </w:rPr>
        <w:t xml:space="preserve">, in which case the Cumulative Retained Excess Cash Flow Amount shall be reduced by the Retained Percentage of the Excess Cash Flow for which the Applicable ECF Percentage has not been applied to make a prepayment pursuant to </w:t>
      </w:r>
      <w:r>
        <w:rPr>
          <w:rFonts w:ascii="Arial" w:cs="Arial" w:eastAsia="Arial" w:hAnsi="Arial"/>
          <w:sz w:val="19"/>
          <w:szCs w:val="19"/>
          <w:u w:val="single" w:color="auto"/>
          <w:color w:val="auto"/>
        </w:rPr>
        <w:t>Section 2.13(a)(i))</w:t>
      </w:r>
      <w:r>
        <w:rPr>
          <w:rFonts w:ascii="Arial" w:cs="Arial" w:eastAsia="Arial" w:hAnsi="Arial"/>
          <w:sz w:val="19"/>
          <w:szCs w:val="19"/>
          <w:color w:val="auto"/>
        </w:rPr>
        <w: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Account</w:t>
      </w:r>
      <w:r>
        <w:rPr>
          <w:rFonts w:ascii="Arial" w:cs="Arial" w:eastAsia="Arial" w:hAnsi="Arial"/>
          <w:sz w:val="19"/>
          <w:szCs w:val="19"/>
          <w:color w:val="auto"/>
        </w:rPr>
        <w:t>” means (i) any Deposit Account specifically and exclusively used for payroll, payroll taxes and other employee wage and benefit payments to or for the benefit of Loan Parties’ salaried employees, (ii) any petty cash account to the extent the balance therein does not exceed (x) $1,000,000 in the aggregate for more than five (5) Business Days, and/or (y) $5,000,000 in the aggregate for more than one (1) Business Day, (iii) any zero-balance account, (iv) any account specifically and exclusively used to maintain cash collateral required pursuant to the ABL Credit Agreement, and (v) any escrow account.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CDA Proceeds</w:t>
      </w:r>
      <w:r>
        <w:rPr>
          <w:rFonts w:ascii="Arial" w:cs="Arial" w:eastAsia="Arial" w:hAnsi="Arial"/>
          <w:sz w:val="21"/>
          <w:szCs w:val="21"/>
          <w:color w:val="auto"/>
        </w:rPr>
        <w:t>” shall have the meaning assigned to such term in the definition of “Net Proceeds”.</w:t>
      </w:r>
    </w:p>
    <w:p>
      <w:pPr>
        <w:spacing w:after="0" w:line="21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Foreign Subsidiary</w:t>
      </w:r>
      <w:r>
        <w:rPr>
          <w:rFonts w:ascii="Arial" w:cs="Arial" w:eastAsia="Arial" w:hAnsi="Arial"/>
          <w:sz w:val="19"/>
          <w:szCs w:val="19"/>
          <w:color w:val="auto"/>
        </w:rPr>
        <w:t xml:space="preserve"> ” shall mean any Foreign Subsidiary (other than any Canadian Subsidiary or Dutch Subsidiary) of the Borrower that does not individually have total assets or revenues (for the period of four fiscal quarters most recently ended) that exceed 3.0% of the Borrower’s total assets or revenues as of the end of each fiscal quarter (in the case of revenues, for the period of four fiscal quarters ending on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assets or revenues (for the period of four fiscal quarters most recently ended) of such Subsidiaries shall not at any time exceed 7.0% of the Borrower’s total assets or revenues as of the end of each fiscal quarter (in the case of revenues, for the period of four fiscal quarters ending on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if, as of the date the financial statements for any fiscal quarter of the Borrower are delivered or required to be delivered hereunder, the consolidated assets or revenues of all Excluded Foreign Subsidiaries shall have, as of the last day of such fiscal quarter, exceeded the limits set forth above, then within sixty (60) days (or such later date as agreed by the Administrative Agent and the Required Lenders in their reasonable discretion) after the date such financial statements are so delivered (or so required to be delivered), the Borrower shall cause one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5" w:name="page86"/>
    <w:bookmarkEnd w:id="85"/>
    <w:p>
      <w:pPr>
        <w:jc w:val="both"/>
        <w:spacing w:after="0"/>
        <w:rPr>
          <w:sz w:val="20"/>
          <w:szCs w:val="20"/>
          <w:color w:val="auto"/>
        </w:rPr>
      </w:pPr>
      <w:r>
        <w:rPr>
          <w:rFonts w:ascii="Arial" w:cs="Arial" w:eastAsia="Arial" w:hAnsi="Arial"/>
          <w:sz w:val="22"/>
          <w:szCs w:val="22"/>
          <w:color w:val="auto"/>
        </w:rPr>
        <w:t xml:space="preserve">or more Foreign Subsidiaries to comply with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such that, as a result thereof, the consolidated assets and revenues of all Excluded Foreign Subsidiaries do not exceed such limits. For the avoidance of doubt, no Canadian Subsidiary or Dutch Subsidiary shall constitute an Excluded Foreign Subsidiary.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Property</w:t>
      </w:r>
      <w:r>
        <w:rPr>
          <w:rFonts w:ascii="Arial" w:cs="Arial" w:eastAsia="Arial" w:hAnsi="Arial"/>
          <w:sz w:val="22"/>
          <w:szCs w:val="22"/>
          <w:color w:val="auto"/>
        </w:rPr>
        <w:t>” shall have the meaning assigned to such term in the Security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Real Property</w:t>
      </w:r>
      <w:r>
        <w:rPr>
          <w:rFonts w:ascii="Arial" w:cs="Arial" w:eastAsia="Arial" w:hAnsi="Arial"/>
          <w:sz w:val="19"/>
          <w:szCs w:val="19"/>
          <w:color w:val="auto"/>
        </w:rPr>
        <w:t>” shall mean (a) any Real Property set forth on Schedule 1.01(a) and (b) any Pension Real</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Property.</w:t>
      </w:r>
    </w:p>
    <w:p>
      <w:pPr>
        <w:spacing w:after="0" w:line="18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Subsidiary</w:t>
      </w:r>
      <w:r>
        <w:rPr>
          <w:rFonts w:ascii="Arial" w:cs="Arial" w:eastAsia="Arial" w:hAnsi="Arial"/>
          <w:sz w:val="19"/>
          <w:szCs w:val="19"/>
          <w:color w:val="auto"/>
        </w:rPr>
        <w:t xml:space="preserve">” shall mean (a) any bona fide joint venture formed after the Restatement Effective Date with any Person that is not an Affiliate of any Loan Party, (b) any Immaterial Subsidiary, (c) any Subsidiary that is prohibited by applicable Law whether or not existing on the Restatement Effective Date or Contractual Obligations existing on the Restatement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contractual obligation is waived or otherwise removed or such consent, approval, license or authorization has been obtained), (d) any other Subsidiary with respect to which, in the reasonable judgment of the Administrative Agent (at the direction of the Required Lenders), in consultation with the Borrower, the burden or cost or other consequences (other than adverse tax consequences) of providing a Guarantee of the Obligations shall be excessive in view of the benefits to be obtained by the Lenders therefrom, (e) any other Subsidiary with respect to which, in the reasonable judgment of the Borrower, the tax consequences of providing a Guarantee could be adverse in consultation the Administrative Agent (provided that the Borrower shall give notice of such determination to the Required Lenders and, at the request of the Required Lenders, shall consult with the Required Lenders), (f) any Excluded Foreign Subsidiary of the Borrower, and (g) any Securitization Subsidiary, captive insurance company or non-profit Subsidiary; provided that no Person shall be an Excluded Subsidiary to the extent it guarantees or pledges any of its assets to secure, directly or indirectly, any other Indebtedness of any Loan Party in excess of the Threshold Amount; provided, further, that in the event that any Excluded Subsidiary guarantees or otherwise becomes an obligor under any Indebtedness, the aggregate principal amount of which exceeds the Threshold Amount, then such Excluded Subsidiary shall, notwithstanding the foregoing, no longer constitute an Excluded Subsidiary, and shall become a Loan Party hereunder.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9"/>
          <w:szCs w:val="19"/>
          <w:u w:val="single" w:color="auto"/>
          <w:color w:val="auto"/>
        </w:rPr>
        <w:t>Section 7.02(c)(iii)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at the time such Person becomes an Excluded Subsidiary pursuant to clause (a) of the definition of “Excluded Subsidiary”.</w:t>
      </w:r>
    </w:p>
    <w:p>
      <w:pPr>
        <w:spacing w:after="0" w:line="39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Credit Agreement</w:t>
      </w:r>
      <w:r>
        <w:rPr>
          <w:rFonts w:ascii="Arial" w:cs="Arial" w:eastAsia="Arial" w:hAnsi="Arial"/>
          <w:sz w:val="22"/>
          <w:szCs w:val="22"/>
          <w:color w:val="auto"/>
        </w:rPr>
        <w:t>” shall have the meaning assigned to such term in the 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Loan Documents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Extended Term Loans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6" w:name="page87"/>
    <w:bookmarkEnd w:id="86"/>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 Amendment</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2.19(c)</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 Offer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w:t>
      </w:r>
      <w:r>
        <w:rPr>
          <w:rFonts w:ascii="Arial" w:cs="Arial" w:eastAsia="Arial" w:hAnsi="Arial"/>
          <w:sz w:val="22"/>
          <w:szCs w:val="22"/>
          <w:color w:val="auto"/>
        </w:rPr>
        <w:t>” shall mean the Tranche B-2 Term Loans, the Extended Term Loans or the Other Term Loans, as the context may require.</w:t>
      </w:r>
    </w:p>
    <w:p>
      <w:pPr>
        <w:spacing w:after="0" w:line="16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shall mean Sections 1471 through 1474 of the Code, as in effect on the Restatement Effective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4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Federal Funds Effective Rate</w:t>
      </w:r>
      <w:r>
        <w:rPr>
          <w:rFonts w:ascii="Arial" w:cs="Arial" w:eastAsia="Arial" w:hAnsi="Arial"/>
          <w:sz w:val="22"/>
          <w:szCs w:val="22"/>
          <w:color w:val="auto"/>
        </w:rPr>
        <w:t>” shall mean,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for such transactions received by the Administrative Agent from three Federal funds brokers of recognized standing selected by it.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w:t>
      </w:r>
      <w:r>
        <w:rPr>
          <w:rFonts w:ascii="Arial" w:cs="Arial" w:eastAsia="Arial" w:hAnsi="Arial"/>
          <w:sz w:val="19"/>
          <w:szCs w:val="19"/>
          <w:color w:val="auto"/>
        </w:rPr>
        <w:t>” shall mean the Fee Letter dated as of the Restatement Effective Date by and between the Borrower and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Apollo.</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Flood Laws</w:t>
      </w:r>
      <w:r>
        <w:rPr>
          <w:rFonts w:ascii="Arial" w:cs="Arial" w:eastAsia="Arial" w:hAnsi="Arial"/>
          <w:sz w:val="22"/>
          <w:szCs w:val="22"/>
          <w:color w:val="auto"/>
        </w:rPr>
        <w:t>” shall mean the National Flood Insurance Reform Act of 1994 and related legislation (including the regulations of the Board).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Disposition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2.13(f)</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Subsidiary</w:t>
      </w:r>
      <w:r>
        <w:rPr>
          <w:rFonts w:ascii="Arial" w:cs="Arial" w:eastAsia="Arial" w:hAnsi="Arial"/>
          <w:sz w:val="22"/>
          <w:szCs w:val="22"/>
          <w:color w:val="auto"/>
        </w:rPr>
        <w:t>” shall mean any direct or indirect Subsidiary of the Borrower which is not a Domestic Subsidiary.</w:t>
      </w:r>
    </w:p>
    <w:p>
      <w:pPr>
        <w:spacing w:after="0" w:line="16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xml:space="preserve">” shall mean generally accepted accounting principles in the United States of America, as in effect from time to time, subject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7" w:name="page88"/>
    <w:bookmarkEnd w:id="87"/>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Granting Lender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10.04(i)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shall mean,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xml:space="preserve">”)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“Guarantee” shall not include (i) endorsements for collection or deposit, in either case in the ordinary course of business, (ii) customary and reasonable indemnity obligations in effect on the Restatement Effective Date or entered into in connection with any acquisition or disposition of assets permitted under this Agreement (other than such obligations with respect to Indebtedness) or (iii) product warranties.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b w:val="1"/>
          <w:bCs w:val="1"/>
          <w:color w:val="auto"/>
        </w:rPr>
        <w:t>Guarantee</w:t>
      </w:r>
      <w:r>
        <w:rPr>
          <w:rFonts w:ascii="Arial" w:cs="Arial" w:eastAsia="Arial" w:hAnsi="Arial"/>
          <w:sz w:val="19"/>
          <w:szCs w:val="19"/>
          <w:color w:val="auto"/>
        </w:rPr>
        <w:t>” as a verb has a corresponding meaning.</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Guaranteed Obligations</w:t>
      </w:r>
      <w:r>
        <w:rPr>
          <w:rFonts w:ascii="Arial" w:cs="Arial" w:eastAsia="Arial" w:hAnsi="Arial"/>
          <w:sz w:val="22"/>
          <w:szCs w:val="22"/>
          <w:color w:val="auto"/>
        </w:rPr>
        <w:t xml:space="preserve">” shall have the meaning specified in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shall mean (i) each Domestic Subsidiary of the Borrower as of the Restatement Effective Date (other than an Excluded Subsidiary), (ii) each Canadian Subsidiary and Dutch Subsidiary of the Borrower that issues a Guarantee of the Obligations after the Restatement Effective Date pursuant to </w:t>
      </w:r>
      <w:r>
        <w:rPr>
          <w:rFonts w:ascii="Arial" w:cs="Arial" w:eastAsia="Arial" w:hAnsi="Arial"/>
          <w:sz w:val="19"/>
          <w:szCs w:val="19"/>
          <w:u w:val="single" w:color="auto"/>
          <w:color w:val="auto"/>
        </w:rPr>
        <w:t>Schedule 6.13(a)</w:t>
      </w:r>
      <w:r>
        <w:rPr>
          <w:rFonts w:ascii="Arial" w:cs="Arial" w:eastAsia="Arial" w:hAnsi="Arial"/>
          <w:sz w:val="19"/>
          <w:szCs w:val="19"/>
          <w:color w:val="auto"/>
        </w:rPr>
        <w:t xml:space="preserve"> and (iii) each Subsidiary that issues a Guarantee of the Obligations after the Restatement Effective Date pursuant to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(which </w:t>
      </w:r>
      <w:r>
        <w:rPr>
          <w:rFonts w:ascii="Arial" w:cs="Arial" w:eastAsia="Arial" w:hAnsi="Arial"/>
          <w:sz w:val="19"/>
          <w:szCs w:val="19"/>
          <w:u w:val="single" w:color="auto"/>
          <w:color w:val="auto"/>
        </w:rPr>
        <w:t>Section 6.11</w:t>
      </w:r>
      <w:r>
        <w:rPr>
          <w:rFonts w:ascii="Arial" w:cs="Arial" w:eastAsia="Arial" w:hAnsi="Arial"/>
          <w:sz w:val="19"/>
          <w:szCs w:val="19"/>
          <w:color w:val="auto"/>
        </w:rPr>
        <w:t>, for the avoidance of doubt, does not require that any Excluded Subsidiary provide such a Guarantee) or otherwise. For avoidance of doubt, the Borrower may cause any Restricted Subsidiary that is not (and is not required to be) a Guarantor to Guarantee the Obligations by causing such Restricted Subsidiary to execute a joinder to this Agreement in form and substance reasonably satisfactory to the Administrative Agent, and any such Restricted Subsidiary shall be treated as a Guarantor hereunder for all purposes (each such Subsidiary, an “</w:t>
      </w:r>
      <w:r>
        <w:rPr>
          <w:rFonts w:ascii="Arial" w:cs="Arial" w:eastAsia="Arial" w:hAnsi="Arial"/>
          <w:sz w:val="19"/>
          <w:szCs w:val="19"/>
          <w:u w:val="single" w:color="auto"/>
          <w:color w:val="auto"/>
        </w:rPr>
        <w:t>Electing Guarantor</w:t>
      </w:r>
      <w:r>
        <w:rPr>
          <w:rFonts w:ascii="Arial" w:cs="Arial" w:eastAsia="Arial" w:hAnsi="Arial"/>
          <w:sz w:val="19"/>
          <w:szCs w:val="19"/>
          <w:color w:val="auto"/>
        </w:rPr>
        <w:t>”) and may also cause the Guaranty of any such Electing Guarantor, and any Liens securing such Guaranty, to be released upon providing written notice to the Administrative Agent and the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p>
      <w:pPr>
        <w:jc w:val="both"/>
        <w:spacing w:after="0"/>
        <w:rPr>
          <w:sz w:val="20"/>
          <w:szCs w:val="20"/>
          <w:color w:val="auto"/>
        </w:rPr>
      </w:pPr>
      <w:r>
        <w:rPr>
          <w:rFonts w:ascii="Arial" w:cs="Arial" w:eastAsia="Arial" w:hAnsi="Arial"/>
          <w:sz w:val="22"/>
          <w:szCs w:val="22"/>
          <w:color w:val="auto"/>
        </w:rPr>
        <w:t xml:space="preserve">Collateral Agent that such Electing Guarantor shall be treated as an Excluded Subsidiary to the extent consistent with the definition of Excluded Subsidiary. The Guarantors as of the Restatement Effective Date are (A) set forth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and (B) not Electing Guarantors.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Guaranty</w:t>
      </w:r>
      <w:r>
        <w:rPr>
          <w:rFonts w:ascii="Arial" w:cs="Arial" w:eastAsia="Arial" w:hAnsi="Arial"/>
          <w:sz w:val="19"/>
          <w:szCs w:val="19"/>
          <w:color w:val="auto"/>
        </w:rPr>
        <w:t>” shall mean, collectively, the guaranty of the Obligations by the Guarantors pursuant to this Agreement.</w:t>
      </w:r>
    </w:p>
    <w:p>
      <w:pPr>
        <w:spacing w:after="0" w:line="24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Materials</w:t>
      </w:r>
      <w:r>
        <w:rPr>
          <w:rFonts w:ascii="Arial" w:cs="Arial" w:eastAsia="Arial" w:hAnsi="Arial"/>
          <w:sz w:val="22"/>
          <w:szCs w:val="22"/>
          <w:color w:val="auto"/>
        </w:rPr>
        <w:t>” shall mean (a) any petroleum products, distillates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IBT</w:t>
      </w:r>
      <w:r>
        <w:rPr>
          <w:rFonts w:ascii="Arial" w:cs="Arial" w:eastAsia="Arial" w:hAnsi="Arial"/>
          <w:sz w:val="22"/>
          <w:szCs w:val="22"/>
          <w:color w:val="auto"/>
        </w:rPr>
        <w:t>” shall mean the International Brotherhood of Teamsters.</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IBT Agreement</w:t>
      </w:r>
      <w:r>
        <w:rPr>
          <w:rFonts w:ascii="Arial" w:cs="Arial" w:eastAsia="Arial" w:hAnsi="Arial"/>
          <w:sz w:val="21"/>
          <w:szCs w:val="21"/>
          <w:color w:val="auto"/>
        </w:rPr>
        <w:t>” shall mean that certain National Master Freight Agreement, effective April 1, 2019, among the IBT, YRC Inc. (formerly, Yellow Transportation, Inc. and Roadway Express, Inc.), USF Holland LLC and New Penn Motor Express LLC, as amended, restated, modified, supplemented, extended, renewed or replaced from time to time.</w:t>
      </w:r>
    </w:p>
    <w:p>
      <w:pPr>
        <w:spacing w:after="0" w:line="16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IBT Extension Agreement</w:t>
      </w:r>
      <w:r>
        <w:rPr>
          <w:rFonts w:ascii="Arial" w:cs="Arial" w:eastAsia="Arial" w:hAnsi="Arial"/>
          <w:sz w:val="22"/>
          <w:szCs w:val="22"/>
          <w:color w:val="auto"/>
        </w:rPr>
        <w:t>” shall mean that certain Extension of the Agreement for the Restructuring of the YRC Worldwide Inc. Operating Companies, by and among YRC Inc., USF Holland, Inc., New Penn Motor Express, Inc., USF Reddaway and the Teamsters National Freight Industry Negotiating Committee of the IBT.</w:t>
      </w:r>
    </w:p>
    <w:p>
      <w:pPr>
        <w:spacing w:after="0" w:line="17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IBT Transactions</w:t>
      </w:r>
      <w:r>
        <w:rPr>
          <w:rFonts w:ascii="Arial" w:cs="Arial" w:eastAsia="Arial" w:hAnsi="Arial"/>
          <w:sz w:val="21"/>
          <w:szCs w:val="21"/>
          <w:color w:val="auto"/>
        </w:rPr>
        <w:t>” shall mean the modification and extension through March 31, 2024 or any date thereafter, including pursuant to a subsequent modification, extension, approval and ratification, of the IBT Agreement, and the approval and ratification of the IBT Extension Agreement by the members of the IBT in accordance in all material respects with all applicable laws, rules, regulations and other requirements relating thereto.</w:t>
      </w:r>
    </w:p>
    <w:p>
      <w:pPr>
        <w:spacing w:after="0" w:line="16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Immaterial Subsidiary</w:t>
      </w:r>
      <w:r>
        <w:rPr>
          <w:rFonts w:ascii="Arial" w:cs="Arial" w:eastAsia="Arial" w:hAnsi="Arial"/>
          <w:sz w:val="21"/>
          <w:szCs w:val="21"/>
          <w:color w:val="auto"/>
        </w:rPr>
        <w:t xml:space="preserve">” shall mean any Subsidiary of the Borrower that does not individually have total assets or revenues (for the period of four fiscal quarters most recently ended) that exceed 1.0% of the Borrower’s total assets or revenues as of the end of each fiscal quarter (in the case of revenues, for the period of four fiscal quarters ending on such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aggregate amount of assets or revenues (for the period of four fiscal quarters most recently ended) of such Subsidiaries shall not at any time exceed 2.5% of the Borrower’s total assets or revenues as of the end of each fiscal quarter (in the case of revenues, for the period of four fiscal quarters ending on such date);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if, as of the date the financial statements for any fiscal quarter of the Borrower are delivered or required to be delivered hereunder, the consolidated assets or revenues of all Restricted Subsidiaries so designated by the Borrower as “</w:t>
      </w:r>
      <w:r>
        <w:rPr>
          <w:rFonts w:ascii="Arial" w:cs="Arial" w:eastAsia="Arial" w:hAnsi="Arial"/>
          <w:sz w:val="21"/>
          <w:szCs w:val="21"/>
          <w:u w:val="single" w:color="auto"/>
          <w:color w:val="auto"/>
        </w:rPr>
        <w:t>Immaterial Subsidiaries</w:t>
      </w:r>
      <w:r>
        <w:rPr>
          <w:rFonts w:ascii="Arial" w:cs="Arial" w:eastAsia="Arial" w:hAnsi="Arial"/>
          <w:sz w:val="21"/>
          <w:szCs w:val="21"/>
          <w:color w:val="auto"/>
        </w:rPr>
        <w:t>” shall have, as of the last day of such fiscal quarter, exceeded the limits set forth above, then within 10 Business Days (or such later date as agreed by the Administrative Agent and the Required Lenders in their reasonable discretion) after the date such financial statements are so delivered (or so required to be delivered), the Borrower shall redesignate one or more Immaterial Subsidiaries, in each case in a written notice to the Required Lenders and Administrative Agent, such that, as a result thereof, the consolidated assets and revenues of all</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9" w:name="page90"/>
    <w:bookmarkEnd w:id="89"/>
    <w:p>
      <w:pPr>
        <w:jc w:val="both"/>
        <w:spacing w:after="0" w:line="297" w:lineRule="auto"/>
        <w:rPr>
          <w:sz w:val="20"/>
          <w:szCs w:val="20"/>
          <w:color w:val="auto"/>
        </w:rPr>
      </w:pPr>
      <w:r>
        <w:rPr>
          <w:rFonts w:ascii="Arial" w:cs="Arial" w:eastAsia="Arial" w:hAnsi="Arial"/>
          <w:sz w:val="19"/>
          <w:szCs w:val="19"/>
          <w:color w:val="auto"/>
        </w:rPr>
        <w:t>Restricted Subsidiaries that are still designated as “</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xml:space="preserve">” do not exceed such limits. Upon any such Restricted Subsidiary ceasing to be an Immaterial Subsidiary pursuant to the preceding sentence, such Restricted Subsidiary, to the extent not otherwise qualifying as an Excluded Subsidiary, shall comply with </w:t>
      </w:r>
      <w:r>
        <w:rPr>
          <w:rFonts w:ascii="Arial" w:cs="Arial" w:eastAsia="Arial" w:hAnsi="Arial"/>
          <w:sz w:val="19"/>
          <w:szCs w:val="19"/>
          <w:u w:val="single" w:color="auto"/>
          <w:color w:val="auto"/>
        </w:rPr>
        <w:t>Section 6.11</w:t>
      </w:r>
      <w:r>
        <w:rPr>
          <w:rFonts w:ascii="Arial" w:cs="Arial" w:eastAsia="Arial" w:hAnsi="Arial"/>
          <w:sz w:val="19"/>
          <w:szCs w:val="19"/>
          <w:color w:val="auto"/>
        </w:rPr>
        <w:t>, to the extent applicable.</w:t>
      </w:r>
    </w:p>
    <w:p>
      <w:pPr>
        <w:spacing w:after="0" w:line="12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shall mean, as to any Person at a particular time, without duplication and without reference to what constitutes indebtedness or a liability in accordance with GAAP, all of the following:</w:t>
      </w:r>
    </w:p>
    <w:p>
      <w:pPr>
        <w:spacing w:after="0" w:line="168" w:lineRule="exact"/>
        <w:rPr>
          <w:sz w:val="20"/>
          <w:szCs w:val="20"/>
          <w:color w:val="auto"/>
        </w:rPr>
      </w:pPr>
    </w:p>
    <w:p>
      <w:pPr>
        <w:ind w:left="860" w:hanging="784"/>
        <w:spacing w:after="0" w:line="250"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5" w:lineRule="exact"/>
        <w:rPr>
          <w:sz w:val="20"/>
          <w:szCs w:val="20"/>
          <w:color w:val="auto"/>
        </w:rPr>
      </w:pPr>
    </w:p>
    <w:p>
      <w:pPr>
        <w:jc w:val="both"/>
        <w:ind w:left="860" w:hanging="784"/>
        <w:spacing w:after="0" w:line="238"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ectPr>
          <w:pgSz w:w="11900" w:h="16838" w:orient="portrait"/>
          <w:cols w:equalWidth="0" w:num="1">
            <w:col w:w="11240"/>
          </w:cols>
          <w:pgMar w:left="320" w:top="334" w:right="339" w:bottom="1440" w:gutter="0" w:footer="0" w:header="0"/>
        </w:sectPr>
      </w:pPr>
    </w:p>
    <w:p>
      <w:pPr>
        <w:spacing w:after="0" w:line="185" w:lineRule="exact"/>
        <w:rPr>
          <w:sz w:val="20"/>
          <w:szCs w:val="20"/>
          <w:color w:val="auto"/>
        </w:rPr>
      </w:pPr>
    </w:p>
    <w:p>
      <w:pPr>
        <w:ind w:left="8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net obligations of such Person under any Swap Contract;</w:t>
      </w:r>
    </w:p>
    <w:p>
      <w:pPr>
        <w:spacing w:after="0" w:line="200" w:lineRule="exact"/>
        <w:rPr>
          <w:sz w:val="20"/>
          <w:szCs w:val="20"/>
          <w:color w:val="auto"/>
        </w:rPr>
      </w:pPr>
    </w:p>
    <w:p>
      <w:pPr>
        <w:sectPr>
          <w:pgSz w:w="11900" w:h="16838" w:orient="portrait"/>
          <w:cols w:equalWidth="0" w:num="2">
            <w:col w:w="940" w:space="720"/>
            <w:col w:w="9580"/>
          </w:cols>
          <w:pgMar w:left="320" w:top="334" w:right="339" w:bottom="1440" w:gutter="0" w:footer="0" w:header="0"/>
          <w:type w:val="continuous"/>
        </w:sectPr>
      </w:pPr>
    </w:p>
    <w:p>
      <w:pPr>
        <w:spacing w:after="0" w:line="41" w:lineRule="exact"/>
        <w:rPr>
          <w:sz w:val="20"/>
          <w:szCs w:val="20"/>
          <w:color w:val="auto"/>
        </w:rPr>
      </w:pPr>
    </w:p>
    <w:p>
      <w:pPr>
        <w:ind w:left="8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all obligations of such Person to pay the deferred purchase price of property or services;</w:t>
      </w:r>
    </w:p>
    <w:p>
      <w:pPr>
        <w:spacing w:after="0" w:line="200" w:lineRule="exact"/>
        <w:rPr>
          <w:sz w:val="20"/>
          <w:szCs w:val="20"/>
          <w:color w:val="auto"/>
        </w:rPr>
      </w:pPr>
    </w:p>
    <w:p>
      <w:pPr>
        <w:sectPr>
          <w:pgSz w:w="11900" w:h="16838" w:orient="portrait"/>
          <w:cols w:equalWidth="0" w:num="2">
            <w:col w:w="940" w:space="720"/>
            <w:col w:w="9580"/>
          </w:cols>
          <w:pgMar w:left="320" w:top="334" w:right="339" w:bottom="1440" w:gutter="0" w:footer="0" w:header="0"/>
          <w:type w:val="continuous"/>
        </w:sectPr>
      </w:pPr>
    </w:p>
    <w:p>
      <w:pPr>
        <w:spacing w:after="0" w:line="41" w:lineRule="exact"/>
        <w:rPr>
          <w:sz w:val="20"/>
          <w:szCs w:val="20"/>
          <w:color w:val="auto"/>
        </w:rPr>
      </w:pPr>
    </w:p>
    <w:p>
      <w:pPr>
        <w:jc w:val="both"/>
        <w:ind w:left="860" w:hanging="784"/>
        <w:spacing w:after="0" w:line="236" w:lineRule="auto"/>
        <w:tabs>
          <w:tab w:leader="none" w:pos="8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indebtedness (excluding prepaid interest thereon) described in clauses (a) through (d) and (f) through (h)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ectPr>
          <w:pgSz w:w="11900" w:h="16838" w:orient="portrait"/>
          <w:cols w:equalWidth="0" w:num="1">
            <w:col w:w="11240"/>
          </w:cols>
          <w:pgMar w:left="320" w:top="334" w:right="339" w:bottom="1440" w:gutter="0" w:footer="0" w:header="0"/>
          <w:type w:val="continuous"/>
        </w:sectPr>
      </w:pPr>
    </w:p>
    <w:p>
      <w:pPr>
        <w:spacing w:after="0" w:line="187" w:lineRule="exact"/>
        <w:rPr>
          <w:sz w:val="20"/>
          <w:szCs w:val="20"/>
          <w:color w:val="auto"/>
        </w:rPr>
      </w:pPr>
    </w:p>
    <w:p>
      <w:pPr>
        <w:ind w:left="8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all Attributable Indebtedness;</w:t>
      </w:r>
    </w:p>
    <w:p>
      <w:pPr>
        <w:spacing w:after="0" w:line="222" w:lineRule="exact"/>
        <w:rPr>
          <w:sz w:val="20"/>
          <w:szCs w:val="20"/>
          <w:color w:val="auto"/>
        </w:rPr>
      </w:pPr>
    </w:p>
    <w:p>
      <w:pPr>
        <w:sectPr>
          <w:pgSz w:w="11900" w:h="16838" w:orient="portrait"/>
          <w:cols w:equalWidth="0" w:num="2">
            <w:col w:w="940" w:space="720"/>
            <w:col w:w="9580"/>
          </w:cols>
          <w:pgMar w:left="320" w:top="334" w:right="339" w:bottom="1440" w:gutter="0" w:footer="0" w:header="0"/>
          <w:type w:val="continuous"/>
        </w:sectPr>
      </w:pPr>
    </w:p>
    <w:p>
      <w:pPr>
        <w:spacing w:after="0" w:line="18"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all obligations of such Person to purchase, redeem, retire or otherwise acquire for value any Disqualified Equity Interests (but solely to the extent required to occur on or prior to the Latest Maturity Date (other than as a result of a change of control, asset sale or similar event)); and</w:t>
      </w:r>
    </w:p>
    <w:p>
      <w:pPr>
        <w:sectPr>
          <w:pgSz w:w="11900" w:h="16838" w:orient="portrait"/>
          <w:cols w:equalWidth="0" w:num="1">
            <w:col w:w="11240"/>
          </w:cols>
          <w:pgMar w:left="320" w:top="334" w:right="339" w:bottom="1440" w:gutter="0" w:footer="0" w:header="0"/>
          <w:type w:val="continuous"/>
        </w:sectPr>
      </w:pPr>
    </w:p>
    <w:p>
      <w:pPr>
        <w:spacing w:after="0" w:line="186" w:lineRule="exact"/>
        <w:rPr>
          <w:sz w:val="20"/>
          <w:szCs w:val="20"/>
          <w:color w:val="auto"/>
        </w:rPr>
      </w:pPr>
    </w:p>
    <w:p>
      <w:pPr>
        <w:ind w:left="80"/>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to the extent not otherwise included above, all Guarantees of such Person in respect of any of the foregoing.</w:t>
      </w:r>
    </w:p>
    <w:p>
      <w:pPr>
        <w:spacing w:after="0" w:line="200" w:lineRule="exact"/>
        <w:rPr>
          <w:sz w:val="20"/>
          <w:szCs w:val="20"/>
          <w:color w:val="auto"/>
        </w:rPr>
      </w:pPr>
    </w:p>
    <w:p>
      <w:pPr>
        <w:sectPr>
          <w:pgSz w:w="11900" w:h="16838" w:orient="portrait"/>
          <w:cols w:equalWidth="0" w:num="2">
            <w:col w:w="940" w:space="720"/>
            <w:col w:w="9580"/>
          </w:cols>
          <w:pgMar w:left="320" w:top="334" w:right="339" w:bottom="1440" w:gutter="0" w:footer="0" w:header="0"/>
          <w:type w:val="continuous"/>
        </w:sectPr>
      </w:pPr>
    </w:p>
    <w:p>
      <w:pPr>
        <w:spacing w:after="0" w:line="4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For all purposes hereof, the Indebtedness of any Person (i) shall include the Indebtedness of any partnership or joint venture (other than a joint venture that is itself a corporation or limited liability company) in which such Person is a general partner or joint venturer, except to the extent such Person’s liability for such Indebtedness is otherwise expressly contractually limited and only to the extent such Indebtedness would be included in the calculation of Consolidated Total Debt and (ii) shall exclude (A) trade accounts payable in the ordinary course of business, (B) any earn-out obligation until such earn-out obligation has become due and payable, (C) any current and undeferred pension contributions or health and welfare contributions due from such Person and/or its applicable Subsidiaries to any Pension Fund Entity, (D) liabilities accrued in the ordinary course, (E) deferred revenues, liabilities associated with customer prepayments and deposits and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90" w:name="page91"/>
    <w:bookmarkEnd w:id="90"/>
    <w:p>
      <w:pPr>
        <w:jc w:val="both"/>
        <w:spacing w:after="0" w:line="246" w:lineRule="auto"/>
        <w:rPr>
          <w:sz w:val="20"/>
          <w:szCs w:val="20"/>
          <w:color w:val="auto"/>
        </w:rPr>
      </w:pPr>
      <w:r>
        <w:rPr>
          <w:rFonts w:ascii="Arial" w:cs="Arial" w:eastAsia="Arial" w:hAnsi="Arial"/>
          <w:sz w:val="21"/>
          <w:szCs w:val="21"/>
          <w:color w:val="auto"/>
        </w:rPr>
        <w:t>any such obligations incurred under ERISA, and other accrued obligations (including transfer pricing), in each case incurred in the ordinary course of business, (F) operating leases, (G) customary obligations under employment agreements and deferred compensation and (H) deferred tax liabilities. The amount of any net obligation under any Swap Contract on any date shall be deemed to be the Swap Termination Value thereof as of such date. The amount of Indebtedness of any Person for purposes of clause (e) that is limited in recourse to the property encumbered thereby shall be deemed to be equal to the lesser of (i) the aggregate unpaid amount of such Indebtedness and (ii) the fair market value of the property encumbered thereby as determined by such Person in good faith.</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10.05(b)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10.16</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 Security Agreement</w:t>
      </w:r>
      <w:r>
        <w:rPr>
          <w:rFonts w:ascii="Arial" w:cs="Arial" w:eastAsia="Arial" w:hAnsi="Arial"/>
          <w:sz w:val="22"/>
          <w:szCs w:val="22"/>
          <w:color w:val="auto"/>
        </w:rPr>
        <w:t>” shall have the meaning assigned to such term “Grant of Security Interest” in the Security Agreement.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Note</w:t>
      </w:r>
      <w:r>
        <w:rPr>
          <w:rFonts w:ascii="Arial" w:cs="Arial" w:eastAsia="Arial" w:hAnsi="Arial"/>
          <w:sz w:val="22"/>
          <w:szCs w:val="22"/>
          <w:color w:val="auto"/>
        </w:rPr>
        <w:t xml:space="preserve">” shall mean (i) for existing promissory notes as of the Restatement Effective Date, each promissory note (or amended and restated promissory note) with subordination language reasonably acceptable to the Required Lenders and (ii) for promissory notes issued after the Restatement Effective Date, a promissory note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Intercreditor Agreement”</w:t>
      </w:r>
      <w:r>
        <w:rPr>
          <w:rFonts w:ascii="Arial" w:cs="Arial" w:eastAsia="Arial" w:hAnsi="Arial"/>
          <w:sz w:val="22"/>
          <w:szCs w:val="22"/>
          <w:color w:val="auto"/>
        </w:rPr>
        <w:t xml:space="preserve"> shall include all permitted intercreditor agreements.</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shall mean (a) with respect to any ABR Loan, the last Business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that would have been an Interest Payment Date had successive Interest Periods of three months’ duration been applicable to such Borrowing.</w:t>
      </w:r>
    </w:p>
    <w:p>
      <w:pPr>
        <w:spacing w:after="0" w:line="18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xml:space="preserve">” shall mean, with respect to any Eurodollar Borrowing, the period commencing on the date of such Borrowing and ending on the numerically corresponding day (or, if there is no numerically corresponding day, on the last Business Day) in the calendar month that is 1, 2, 3 or 6 (or, if agreed by all applicable Lenders, 12) months thereafter (or any shorter period agreed by all applicable Lenders), as the Borrower may elect; </w:t>
      </w:r>
      <w:r>
        <w:rPr>
          <w:rFonts w:ascii="Arial" w:cs="Arial" w:eastAsia="Arial" w:hAnsi="Arial"/>
          <w:sz w:val="19"/>
          <w:szCs w:val="19"/>
          <w:i w:val="1"/>
          <w:iCs w:val="1"/>
          <w:color w:val="auto"/>
        </w:rPr>
        <w:t>provided, however</w:t>
      </w:r>
      <w:r>
        <w:rPr>
          <w:rFonts w:ascii="Arial" w:cs="Arial" w:eastAsia="Arial" w:hAnsi="Arial"/>
          <w:sz w:val="19"/>
          <w:szCs w:val="19"/>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for any Loan shall extend beyond the maturity date of such Loan. Interest shall accrue from and including the first day of an Interest Period to but excluding the last day of such Interest Period. For purposes hereof, the date of a Borrowing initially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1" w:name="page92"/>
    <w:bookmarkEnd w:id="91"/>
    <w:p>
      <w:pPr>
        <w:jc w:val="both"/>
        <w:spacing w:after="0" w:line="250" w:lineRule="auto"/>
        <w:rPr>
          <w:sz w:val="20"/>
          <w:szCs w:val="20"/>
          <w:color w:val="auto"/>
        </w:rPr>
      </w:pPr>
      <w:r>
        <w:rPr>
          <w:rFonts w:ascii="Arial" w:cs="Arial" w:eastAsia="Arial" w:hAnsi="Arial"/>
          <w:sz w:val="22"/>
          <w:szCs w:val="22"/>
          <w:color w:val="auto"/>
        </w:rPr>
        <w:t>shall be the date on which such Borrowing is made and thereafter shall be the effective date of the most recent conversion or continuation of such Borrowing.</w:t>
      </w:r>
    </w:p>
    <w:p>
      <w:pPr>
        <w:spacing w:after="0" w:line="16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Internally Generated Cash</w:t>
      </w:r>
      <w:r>
        <w:rPr>
          <w:rFonts w:ascii="Arial" w:cs="Arial" w:eastAsia="Arial" w:hAnsi="Arial"/>
          <w:sz w:val="22"/>
          <w:szCs w:val="22"/>
          <w:color w:val="auto"/>
        </w:rPr>
        <w:t>” shall mean cash resulting from operations of the Borrower and the Restricted Subsidiaries and not constituting (x) proceeds of the issuance of (or contributions in respect of) Equity Interests, (y) proceeds of Dispositions (other than in the ordinary course of business) and Casualty Events or (z) proceeds of the incurrence of Indebtedness.</w:t>
      </w:r>
    </w:p>
    <w:p>
      <w:pPr>
        <w:spacing w:after="0" w:line="18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w:t>
      </w:r>
      <w:r>
        <w:rPr>
          <w:rFonts w:ascii="Arial" w:cs="Arial" w:eastAsia="Arial" w:hAnsi="Arial"/>
          <w:sz w:val="19"/>
          <w:szCs w:val="19"/>
          <w:color w:val="auto"/>
        </w:rPr>
        <w:t xml:space="preserve">” 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related transactions) of all or substantially all of the property and assets or business of another Person or assets constituting a business unit, line of business or division of such Person. For purposes of covenant compliance, (i) the amount of any Investment shall equal (A) the amount actually invested, without adjustment for subsequent increases or decreases in the value of such Investment </w:t>
      </w:r>
      <w:r>
        <w:rPr>
          <w:rFonts w:ascii="Arial" w:cs="Arial" w:eastAsia="Arial" w:hAnsi="Arial"/>
          <w:sz w:val="19"/>
          <w:szCs w:val="19"/>
          <w:u w:val="single" w:color="auto"/>
          <w:color w:val="auto"/>
        </w:rPr>
        <w:t>minus</w:t>
      </w:r>
      <w:r>
        <w:rPr>
          <w:rFonts w:ascii="Arial" w:cs="Arial" w:eastAsia="Arial" w:hAnsi="Arial"/>
          <w:sz w:val="19"/>
          <w:szCs w:val="19"/>
          <w:color w:val="auto"/>
        </w:rPr>
        <w:t>, except for purposes of calculating the Cumulative Credit, (B) the aggregate amount of dividends, distributions or other payments received in cash in respect of such Investment (including by way of a sale or other disposition of such Investment) but not in excess of the original amount invested and (ii) the fair market value of any and all Investments (which for the avoidance of doubt shall include all debt, equity and other items described in the foregoing provisions of this definition) held by any Loan Party in any Guarantor that becomes an Excluded Subsidiary pursuant to clause (a) of the definition of “Excluded Subsidiary” shall be deemed to be an Investment incurred on the date such Guarantor becomes an Excluded Subsidiary pursuant to clause (a) of the definition of “Excluded Subsidiary”.</w:t>
      </w:r>
    </w:p>
    <w:p>
      <w:pPr>
        <w:spacing w:after="0" w:line="151"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Financing</w:t>
      </w:r>
      <w:r>
        <w:rPr>
          <w:rFonts w:ascii="Arial" w:cs="Arial" w:eastAsia="Arial" w:hAnsi="Arial"/>
          <w:sz w:val="19"/>
          <w:szCs w:val="19"/>
          <w:color w:val="auto"/>
        </w:rPr>
        <w:t>” shall mean any unsecured Indebtedness incurred by the Borrower or a Guarantor in the form of one or more series of unsecured notes or loans having an outstanding aggregate principal amount of not less than the Threshold Amount and any Subordinated Indebtedness (for greater certainty, not including the ABL Facility Indebtedness).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Junior Financing Documentation</w:t>
      </w:r>
      <w:r>
        <w:rPr>
          <w:rFonts w:ascii="Arial" w:cs="Arial" w:eastAsia="Arial" w:hAnsi="Arial"/>
          <w:sz w:val="22"/>
          <w:szCs w:val="22"/>
          <w:color w:val="auto"/>
        </w:rPr>
        <w:t>” shall mean any documentation governing any Junior Financing.</w:t>
      </w:r>
    </w:p>
    <w:p>
      <w:pPr>
        <w:spacing w:after="0" w:line="206"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Latest Maturity Date</w:t>
      </w:r>
      <w:r>
        <w:rPr>
          <w:rFonts w:ascii="Arial" w:cs="Arial" w:eastAsia="Arial" w:hAnsi="Arial"/>
          <w:sz w:val="19"/>
          <w:szCs w:val="19"/>
          <w:color w:val="auto"/>
        </w:rPr>
        <w:t>” shall mean, at any date of determination, the latest maturity or expiration date applicable to any Loan hereunder at such time, including the latest maturity or expiration date of any Tranche B-2 Term Loan, any Other Term Loan or any Extended Term Loan, in each case as extended in accordance with this Agreement from time to time.</w:t>
      </w:r>
    </w:p>
    <w:p>
      <w:pPr>
        <w:spacing w:after="0" w:line="12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shall mean, collectively, all international, foreign, federal, state and local laws (including common law),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requirements, and agreements with, any Governmental Authority.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2" w:name="page93"/>
    <w:bookmarkEnd w:id="92"/>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Leasehold Property</w:t>
      </w:r>
      <w:r>
        <w:rPr>
          <w:rFonts w:ascii="Arial" w:cs="Arial" w:eastAsia="Arial" w:hAnsi="Arial"/>
          <w:sz w:val="19"/>
          <w:szCs w:val="19"/>
          <w:color w:val="auto"/>
        </w:rPr>
        <w:t>” shall mean any leasehold interest of any Loan Party as lessee under any lease of Real Property.</w:t>
      </w:r>
    </w:p>
    <w:p>
      <w:pPr>
        <w:spacing w:after="0" w:line="24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xml:space="preserve">” shall mean each lender from time to time party hereto. For avoidance of doubt, each Additional Lender is a Lender to the extent any such Person has executed and delivered a Refinancing Amendment, as the case may be, and to the extent such Refinancing Amendment shall have become effective in accordance with the terms hereof and thereof. As of the Restatement Effective Date,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sets forth the name of each Lender.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 Indemnitees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10.05(b)</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LIBO Rate</w:t>
      </w:r>
      <w:r>
        <w:rPr>
          <w:rFonts w:ascii="Arial" w:cs="Arial" w:eastAsia="Arial" w:hAnsi="Arial"/>
          <w:sz w:val="19"/>
          <w:szCs w:val="19"/>
          <w:color w:val="auto"/>
        </w:rPr>
        <w:t xml:space="preserve">” shall mean, with respect to any Eurodollar Borrowing for any Interest Period, the rate per annum determined by the Administrative Agent by reference to the applicable Bloomberg LIBOR screen page at approximately 11:00 a.m. (London time) on the date that is two Business Days prior to the commencement of such Interest Period for deposits in Dollars (as set forth by any service selected by the Administrative Agent that has been nominated by the ICE Benchmark Administration as an authorized information vendor for the purpose of displaying such rates) for a period equal to such Interest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an interest rate is not ascertainable pursuant to the foregoing provisions of this definition, and except as set forth in </w:t>
      </w:r>
      <w:r>
        <w:rPr>
          <w:rFonts w:ascii="Arial" w:cs="Arial" w:eastAsia="Arial" w:hAnsi="Arial"/>
          <w:sz w:val="19"/>
          <w:szCs w:val="19"/>
          <w:u w:val="single" w:color="auto"/>
          <w:color w:val="auto"/>
        </w:rPr>
        <w:t>Section 10.24</w:t>
      </w:r>
      <w:r>
        <w:rPr>
          <w:rFonts w:ascii="Arial" w:cs="Arial" w:eastAsia="Arial" w:hAnsi="Arial"/>
          <w:sz w:val="19"/>
          <w:szCs w:val="19"/>
          <w:color w:val="auto"/>
        </w:rPr>
        <w:t>, the “</w:t>
      </w:r>
      <w:r>
        <w:rPr>
          <w:rFonts w:ascii="Arial" w:cs="Arial" w:eastAsia="Arial" w:hAnsi="Arial"/>
          <w:sz w:val="19"/>
          <w:szCs w:val="19"/>
          <w:b w:val="1"/>
          <w:bCs w:val="1"/>
          <w:color w:val="auto"/>
        </w:rPr>
        <w:t>LIBO Rate</w:t>
      </w:r>
      <w:r>
        <w:rPr>
          <w:rFonts w:ascii="Arial" w:cs="Arial" w:eastAsia="Arial" w:hAnsi="Arial"/>
          <w:sz w:val="19"/>
          <w:szCs w:val="19"/>
          <w:color w:val="auto"/>
        </w:rPr>
        <w:t>”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5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shall mean any mortgage, deed of trust,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or financing lease having substantially the same economic effect as any of the foregoing).</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w:t>
      </w:r>
      <w:r>
        <w:rPr>
          <w:rFonts w:ascii="Arial" w:cs="Arial" w:eastAsia="Arial" w:hAnsi="Arial"/>
          <w:sz w:val="22"/>
          <w:szCs w:val="22"/>
          <w:color w:val="auto"/>
        </w:rPr>
        <w:t>” shall mean any Term Loan.</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Documents</w:t>
      </w:r>
      <w:r>
        <w:rPr>
          <w:rFonts w:ascii="Arial" w:cs="Arial" w:eastAsia="Arial" w:hAnsi="Arial"/>
          <w:sz w:val="22"/>
          <w:szCs w:val="22"/>
          <w:color w:val="auto"/>
        </w:rPr>
        <w:t xml:space="preserve">” shall mean this Agreement (including, without limitation, any amendments to this Agreement), the Collateral Documents, the Custodial Administration Agreement, the Fee Letter, the Administrative Fee Letter, each Refinancing Amendment, each Extension Offer and each amendment of any Loan Document in connection therewith, and the Term Notes, if any, executed and delivered pursuant to </w:t>
      </w:r>
      <w:r>
        <w:rPr>
          <w:rFonts w:ascii="Arial" w:cs="Arial" w:eastAsia="Arial" w:hAnsi="Arial"/>
          <w:sz w:val="22"/>
          <w:szCs w:val="22"/>
          <w:u w:val="single" w:color="auto"/>
          <w:color w:val="auto"/>
        </w:rPr>
        <w:t>Section 2.04(e)</w:t>
      </w:r>
      <w:r>
        <w:rPr>
          <w:rFonts w:ascii="Arial" w:cs="Arial" w:eastAsia="Arial" w:hAnsi="Arial"/>
          <w:sz w:val="22"/>
          <w:szCs w:val="22"/>
          <w:color w:val="auto"/>
        </w:rPr>
        <w: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Parties</w:t>
      </w:r>
      <w:r>
        <w:rPr>
          <w:rFonts w:ascii="Arial" w:cs="Arial" w:eastAsia="Arial" w:hAnsi="Arial"/>
          <w:sz w:val="22"/>
          <w:szCs w:val="22"/>
          <w:color w:val="auto"/>
        </w:rPr>
        <w:t>” shall mean, collectively, the Borrower and each Guarantor.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 Stock</w:t>
      </w:r>
      <w:r>
        <w:rPr>
          <w:rFonts w:ascii="Arial" w:cs="Arial" w:eastAsia="Arial" w:hAnsi="Arial"/>
          <w:sz w:val="22"/>
          <w:szCs w:val="22"/>
          <w:color w:val="auto"/>
        </w:rPr>
        <w:t>” shall have the meaning assigned to such term in Regulation U.</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shall have the meaning specified in the definition of “</w:t>
      </w:r>
      <w:r>
        <w:rPr>
          <w:rFonts w:ascii="Arial" w:cs="Arial" w:eastAsia="Arial" w:hAnsi="Arial"/>
          <w:sz w:val="22"/>
          <w:szCs w:val="22"/>
          <w:b w:val="1"/>
          <w:bCs w:val="1"/>
          <w:color w:val="auto"/>
        </w:rPr>
        <w:t>Swap Contract</w:t>
      </w: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3" w:name="page94"/>
    <w:bookmarkEnd w:id="93"/>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 (a) material adverse effect on the business, operations, assets, liabilities (actual or contingent), operating results or financial condition of the Borrower and its Restricted Subsidiaries, taken as a whole;</w:t>
      </w:r>
    </w:p>
    <w:p>
      <w:pPr>
        <w:jc w:val="both"/>
        <w:ind w:firstLine="8"/>
        <w:spacing w:after="0" w:line="233" w:lineRule="auto"/>
        <w:tabs>
          <w:tab w:leader="none" w:pos="343" w:val="left"/>
        </w:tabs>
        <w:numPr>
          <w:ilvl w:val="0"/>
          <w:numId w:val="53"/>
        </w:numPr>
        <w:rPr>
          <w:rFonts w:ascii="Arial" w:cs="Arial" w:eastAsia="Arial" w:hAnsi="Arial"/>
          <w:sz w:val="22"/>
          <w:szCs w:val="22"/>
          <w:color w:val="auto"/>
        </w:rPr>
      </w:pPr>
      <w:r>
        <w:rPr>
          <w:rFonts w:ascii="Arial" w:cs="Arial" w:eastAsia="Arial" w:hAnsi="Arial"/>
          <w:sz w:val="22"/>
          <w:szCs w:val="22"/>
          <w:color w:val="auto"/>
        </w:rPr>
        <w:t>material adverse effect on the ability of the Loan Parties (taken as a whole) to fully and timely perform their payment obligations under the Loan Documents to which the Borrower or any of the Loan Parties is a party; or (c) material adverse effect on the rights and remedies available to the Lenders, the Administrative Agent or the Collateral Agent under any Loan Document (other than due to the action or inaction of any Agent or any Lender).</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Real Property</w:t>
      </w:r>
      <w:r>
        <w:rPr>
          <w:rFonts w:ascii="Arial" w:cs="Arial" w:eastAsia="Arial" w:hAnsi="Arial"/>
          <w:sz w:val="22"/>
          <w:szCs w:val="22"/>
          <w:color w:val="auto"/>
        </w:rPr>
        <w:t>” shall mean each Real Property that is (i) owned in fee by a Loan Party, (ii) located in the United States and (iii) not an Excluded Real Property.</w:t>
      </w:r>
    </w:p>
    <w:p>
      <w:pPr>
        <w:spacing w:after="0" w:line="16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Maturity Date</w:t>
      </w:r>
      <w:r>
        <w:rPr>
          <w:rFonts w:ascii="Arial" w:cs="Arial" w:eastAsia="Arial" w:hAnsi="Arial"/>
          <w:sz w:val="21"/>
          <w:szCs w:val="21"/>
          <w:color w:val="auto"/>
        </w:rPr>
        <w:t>” shall mean, (i) with respect to the Tranche B-2 Term Loans, June 30, 2024 (the “</w:t>
      </w:r>
      <w:r>
        <w:rPr>
          <w:rFonts w:ascii="Arial" w:cs="Arial" w:eastAsia="Arial" w:hAnsi="Arial"/>
          <w:sz w:val="21"/>
          <w:szCs w:val="21"/>
          <w:b w:val="1"/>
          <w:bCs w:val="1"/>
          <w:color w:val="auto"/>
        </w:rPr>
        <w:t>Original Term</w:t>
      </w:r>
      <w:r>
        <w:rPr>
          <w:rFonts w:ascii="Arial" w:cs="Arial" w:eastAsia="Arial" w:hAnsi="Arial"/>
          <w:sz w:val="21"/>
          <w:szCs w:val="21"/>
          <w:color w:val="auto"/>
        </w:rPr>
        <w:t xml:space="preserve"> </w:t>
      </w:r>
      <w:r>
        <w:rPr>
          <w:rFonts w:ascii="Arial" w:cs="Arial" w:eastAsia="Arial" w:hAnsi="Arial"/>
          <w:sz w:val="21"/>
          <w:szCs w:val="21"/>
          <w:b w:val="1"/>
          <w:bCs w:val="1"/>
          <w:color w:val="auto"/>
        </w:rPr>
        <w:t>Loan Maturity Date</w:t>
      </w:r>
      <w:r>
        <w:rPr>
          <w:rFonts w:ascii="Arial" w:cs="Arial" w:eastAsia="Arial" w:hAnsi="Arial"/>
          <w:sz w:val="21"/>
          <w:szCs w:val="21"/>
          <w:color w:val="auto"/>
        </w:rPr>
        <w:t>”), (ii) with respect to any tranche of Extended Term Loans, the final maturity date as specified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applicable Extension Offer accepted by the respective Lender or Lenders and (iii) with respect to any Other Term Loans, the final maturity date as specified in the applicable Refinancing Amendment;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such day is not a Business Day, the applicable Maturity Date shall be the Business Day immediately succeeding such day.</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Incremental Facility Amount</w:t>
      </w:r>
      <w:r>
        <w:rPr>
          <w:rFonts w:ascii="Arial" w:cs="Arial" w:eastAsia="Arial" w:hAnsi="Arial"/>
          <w:sz w:val="22"/>
          <w:szCs w:val="22"/>
          <w:color w:val="auto"/>
        </w:rPr>
        <w:t>” shall mean an amount not to exceed $200,000,000.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Rate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10.09</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Extension Condition</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2.19(b)</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MNPI</w:t>
      </w:r>
      <w:r>
        <w:rPr>
          <w:rFonts w:ascii="Arial" w:cs="Arial" w:eastAsia="Arial" w:hAnsi="Arial"/>
          <w:sz w:val="22"/>
          <w:szCs w:val="22"/>
          <w:color w:val="auto"/>
        </w:rPr>
        <w:t>” shall mean material information concerning the Borrower, Subsidiary or Controlled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Borrower, the Subsidiaries or any Controlled Affiliate of any of the foregoing or any of their securities that could reasonably be expected to be material for purposes of the United States Federal and State securities laws and, where applicable, foreign securities laws.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shall mean Moody’s Investors Service, Inc., or any successor thereto.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 Policies</w:t>
      </w:r>
      <w:r>
        <w:rPr>
          <w:rFonts w:ascii="Arial" w:cs="Arial" w:eastAsia="Arial" w:hAnsi="Arial"/>
          <w:sz w:val="19"/>
          <w:szCs w:val="19"/>
          <w:color w:val="auto"/>
        </w:rPr>
        <w:t>” shall have the meaning specified in the definition of “Collateral and Guarantee Requirement.”</w:t>
      </w:r>
    </w:p>
    <w:p>
      <w:pPr>
        <w:spacing w:after="0" w:line="241"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Mortgaged Property</w:t>
      </w:r>
      <w:r>
        <w:rPr>
          <w:rFonts w:ascii="Arial" w:cs="Arial" w:eastAsia="Arial" w:hAnsi="Arial"/>
          <w:sz w:val="22"/>
          <w:szCs w:val="22"/>
          <w:color w:val="auto"/>
        </w:rPr>
        <w:t xml:space="preserve">” shall have the meaning specified in the definition of “Collateral and Guarantee Requirement.” The Mortgaged Properties as of the Restatement Effective Date are set forth on </w:t>
      </w:r>
      <w:r>
        <w:rPr>
          <w:rFonts w:ascii="Arial" w:cs="Arial" w:eastAsia="Arial" w:hAnsi="Arial"/>
          <w:sz w:val="22"/>
          <w:szCs w:val="22"/>
          <w:u w:val="single" w:color="auto"/>
          <w:color w:val="auto"/>
        </w:rPr>
        <w:t>Schedule 1.01(c)</w:t>
      </w:r>
      <w:r>
        <w:rPr>
          <w:rFonts w:ascii="Arial" w:cs="Arial" w:eastAsia="Arial" w:hAnsi="Arial"/>
          <w:sz w:val="22"/>
          <w:szCs w:val="22"/>
          <w:color w:val="auto"/>
        </w:rPr>
        <w:t>.</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Mortgages</w:t>
      </w:r>
      <w:r>
        <w:rPr>
          <w:rFonts w:ascii="Arial" w:cs="Arial" w:eastAsia="Arial" w:hAnsi="Arial"/>
          <w:sz w:val="22"/>
          <w:szCs w:val="22"/>
          <w:color w:val="auto"/>
        </w:rPr>
        <w:t>” shall mean, collectively, the mortgages, deeds of trust, trust deeds, hypothecs deeds to secure debt and similar instruments by the Loan Parties in favor or for the benefit of the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4" w:name="page95"/>
    <w:bookmarkEnd w:id="94"/>
    <w:p>
      <w:pPr>
        <w:jc w:val="both"/>
        <w:spacing w:after="0"/>
        <w:rPr>
          <w:sz w:val="20"/>
          <w:szCs w:val="20"/>
          <w:color w:val="auto"/>
        </w:rPr>
      </w:pPr>
      <w:r>
        <w:rPr>
          <w:rFonts w:ascii="Arial" w:cs="Arial" w:eastAsia="Arial" w:hAnsi="Arial"/>
          <w:sz w:val="22"/>
          <w:szCs w:val="22"/>
          <w:color w:val="auto"/>
        </w:rPr>
        <w:t xml:space="preserve">Collateral Agent on behalf of the Secured Parties creating and evidencing a Lien on a Mortgaged Property in form and substance reasonably satisfactory to the Required Lenders, Collateral Agent and the Borrower, and any other mortgages executed and delivered pursuant to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w:t>
      </w:r>
      <w:r>
        <w:rPr>
          <w:rFonts w:ascii="Arial" w:cs="Arial" w:eastAsia="Arial" w:hAnsi="Arial"/>
          <w:sz w:val="22"/>
          <w:szCs w:val="22"/>
          <w:u w:val="single" w:color="auto"/>
          <w:color w:val="auto"/>
        </w:rPr>
        <w:t>6.11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6.13</w:t>
      </w:r>
      <w:r>
        <w:rPr>
          <w:rFonts w:ascii="Arial" w:cs="Arial" w:eastAsia="Arial" w:hAnsi="Arial"/>
          <w:sz w:val="22"/>
          <w:szCs w:val="22"/>
          <w:color w:val="auto"/>
        </w:rPr>
        <w:t>.</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shall mean any multiemployer plan as defined in Section 4001(a)(3) of ERISA subject to the provisions of Title IV of ERISA to which a Loan Party, any Restricted Subsidiary or any of their respective ERISA Affiliates is an “employer” as defined in Section 3(5) of ERISA.</w:t>
      </w:r>
    </w:p>
    <w:p>
      <w:pPr>
        <w:spacing w:after="0" w:line="17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Equity Proceeds</w:t>
      </w:r>
      <w:r>
        <w:rPr>
          <w:rFonts w:ascii="Arial" w:cs="Arial" w:eastAsia="Arial" w:hAnsi="Arial"/>
          <w:sz w:val="21"/>
          <w:szCs w:val="21"/>
          <w:color w:val="auto"/>
        </w:rPr>
        <w:t>” shall mean 50% of the cash proceeds from the issuance or sale by the Borrower (or contributions in respect) of any Equity Interests issued after the Restatement Effective Date, net of all taxes paid or reasonably estimated to be payable as a result thereof and fees (including investment banking fees and discounts), commissions, costs and other expenses, in each case incurred in connection with such issuance or sale, provided, that, if the amount of any estimated taxes exceeds the amount of taxes actually required to be paid in cash, the aggregate amount of such excess shall constitute Net Proceeds at the time such taxes are actually paid.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Proceeds</w:t>
      </w:r>
      <w:r>
        <w:rPr>
          <w:rFonts w:ascii="Arial" w:cs="Arial" w:eastAsia="Arial" w:hAnsi="Arial"/>
          <w:sz w:val="22"/>
          <w:szCs w:val="22"/>
          <w:color w:val="auto"/>
        </w:rPr>
        <w:t>” shall mean:</w:t>
      </w:r>
    </w:p>
    <w:p>
      <w:pPr>
        <w:spacing w:after="0" w:line="212" w:lineRule="exact"/>
        <w:rPr>
          <w:sz w:val="20"/>
          <w:szCs w:val="20"/>
          <w:color w:val="auto"/>
        </w:rPr>
      </w:pPr>
    </w:p>
    <w:p>
      <w:pPr>
        <w:jc w:val="both"/>
        <w:ind w:left="860" w:hanging="784"/>
        <w:spacing w:after="0" w:line="236"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100% of the cash proceeds actually received by the Borrower or any Restricted Subsidiaries (including any cash payments received by way of deferred payment of principal pursuant to a note or installment receivable or purchase price adjustment receivable or otherwise and including casualty insurance settlements and condemnation and similar awards, but in each case only as and when received) from any Disposition or Casualty Event, net of the following:</w:t>
      </w:r>
    </w:p>
    <w:p>
      <w:pPr>
        <w:spacing w:after="0" w:line="187" w:lineRule="exact"/>
        <w:rPr>
          <w:sz w:val="20"/>
          <w:szCs w:val="20"/>
          <w:color w:val="auto"/>
        </w:rPr>
      </w:pPr>
    </w:p>
    <w:p>
      <w:pPr>
        <w:ind w:left="860"/>
        <w:spacing w:after="0" w:line="250" w:lineRule="auto"/>
        <w:rPr>
          <w:sz w:val="20"/>
          <w:szCs w:val="20"/>
          <w:color w:val="auto"/>
        </w:rPr>
      </w:pPr>
      <w:r>
        <w:rPr>
          <w:rFonts w:ascii="Arial" w:cs="Arial" w:eastAsia="Arial" w:hAnsi="Arial"/>
          <w:sz w:val="22"/>
          <w:szCs w:val="22"/>
          <w:color w:val="auto"/>
        </w:rPr>
        <w:t>(i) attorneys’ fees, accountants’ fees, investment banking fees, survey costs, title insurance premiums, and related search and recording charges, transfer taxes, deed or mortgage recording taxes,</w:t>
      </w:r>
    </w:p>
    <w:p>
      <w:pPr>
        <w:spacing w:after="0" w:line="175" w:lineRule="exact"/>
        <w:rPr>
          <w:sz w:val="20"/>
          <w:szCs w:val="20"/>
          <w:color w:val="auto"/>
        </w:rPr>
      </w:pPr>
    </w:p>
    <w:p>
      <w:pPr>
        <w:jc w:val="both"/>
        <w:ind w:left="860"/>
        <w:spacing w:after="0" w:line="287" w:lineRule="auto"/>
        <w:rPr>
          <w:sz w:val="20"/>
          <w:szCs w:val="20"/>
          <w:color w:val="auto"/>
        </w:rPr>
      </w:pPr>
      <w:r>
        <w:rPr>
          <w:rFonts w:ascii="Arial" w:cs="Arial" w:eastAsia="Arial" w:hAnsi="Arial"/>
          <w:sz w:val="19"/>
          <w:szCs w:val="19"/>
          <w:color w:val="auto"/>
        </w:rPr>
        <w:t>(ii) other than with respect to a Pension Real Property Event, required debt payments and required payments (including principal amount, premium or penalty, if any, interest, fees and expenses and other amounts) of other obligations that are secured by the applicable asset or property (other than pursuant to the Loan Documents, the ABL Facility Documentation (other than in respect of ABL Priority Collateral) or any Permitted Second Priority Additional Debt),</w:t>
      </w:r>
    </w:p>
    <w:p>
      <w:pPr>
        <w:spacing w:after="0" w:line="137" w:lineRule="exact"/>
        <w:rPr>
          <w:sz w:val="20"/>
          <w:szCs w:val="20"/>
          <w:color w:val="auto"/>
        </w:rPr>
      </w:pPr>
    </w:p>
    <w:p>
      <w:pPr>
        <w:jc w:val="both"/>
        <w:ind w:left="860"/>
        <w:spacing w:after="0" w:line="247" w:lineRule="auto"/>
        <w:rPr>
          <w:sz w:val="20"/>
          <w:szCs w:val="20"/>
          <w:color w:val="auto"/>
        </w:rPr>
      </w:pPr>
      <w:r>
        <w:rPr>
          <w:rFonts w:ascii="Arial" w:cs="Arial" w:eastAsia="Arial" w:hAnsi="Arial"/>
          <w:sz w:val="21"/>
          <w:szCs w:val="21"/>
          <w:color w:val="auto"/>
        </w:rPr>
        <w:t>(iii)in the case of a Disposition or a Casualty Event with respect to any Pension Real Property (a “</w:t>
      </w:r>
      <w:r>
        <w:rPr>
          <w:rFonts w:ascii="Arial" w:cs="Arial" w:eastAsia="Arial" w:hAnsi="Arial"/>
          <w:sz w:val="21"/>
          <w:szCs w:val="21"/>
          <w:b w:val="1"/>
          <w:bCs w:val="1"/>
          <w:color w:val="auto"/>
        </w:rPr>
        <w:t>Pension Real</w:t>
      </w:r>
      <w:r>
        <w:rPr>
          <w:rFonts w:ascii="Arial" w:cs="Arial" w:eastAsia="Arial" w:hAnsi="Arial"/>
          <w:sz w:val="21"/>
          <w:szCs w:val="21"/>
          <w:color w:val="auto"/>
        </w:rPr>
        <w:t xml:space="preserve"> </w:t>
      </w:r>
      <w:r>
        <w:rPr>
          <w:rFonts w:ascii="Arial" w:cs="Arial" w:eastAsia="Arial" w:hAnsi="Arial"/>
          <w:sz w:val="21"/>
          <w:szCs w:val="21"/>
          <w:b w:val="1"/>
          <w:bCs w:val="1"/>
          <w:color w:val="auto"/>
        </w:rPr>
        <w:t>Property Event</w:t>
      </w:r>
      <w:r>
        <w:rPr>
          <w:rFonts w:ascii="Arial" w:cs="Arial" w:eastAsia="Arial" w:hAnsi="Arial"/>
          <w:sz w:val="21"/>
          <w:szCs w:val="21"/>
          <w:color w:val="auto"/>
        </w:rPr>
        <w:t>”), to the extent the Contribution Deferral Agreement (as in effect as of the date hereof) requires the</w:t>
      </w:r>
      <w:r>
        <w:rPr>
          <w:rFonts w:ascii="Arial" w:cs="Arial" w:eastAsia="Arial" w:hAnsi="Arial"/>
          <w:sz w:val="21"/>
          <w:szCs w:val="21"/>
          <w:b w:val="1"/>
          <w:bCs w:val="1"/>
          <w:color w:val="auto"/>
        </w:rPr>
        <w:t xml:space="preserve"> </w:t>
      </w:r>
      <w:r>
        <w:rPr>
          <w:rFonts w:ascii="Arial" w:cs="Arial" w:eastAsia="Arial" w:hAnsi="Arial"/>
          <w:sz w:val="21"/>
          <w:szCs w:val="21"/>
          <w:color w:val="auto"/>
        </w:rPr>
        <w:t>repayment or prepayment with the Net Proceeds of such Pension Real Property Event of any Specified Pension Fund Obligations which are secured on a first lien basis by such Pension Real Property (such obligations, “</w:t>
      </w:r>
      <w:r>
        <w:rPr>
          <w:rFonts w:ascii="Arial" w:cs="Arial" w:eastAsia="Arial" w:hAnsi="Arial"/>
          <w:sz w:val="21"/>
          <w:szCs w:val="21"/>
          <w:b w:val="1"/>
          <w:bCs w:val="1"/>
          <w:color w:val="auto"/>
        </w:rPr>
        <w:t>CDA First Lien</w:t>
      </w:r>
      <w:r>
        <w:rPr>
          <w:rFonts w:ascii="Arial" w:cs="Arial" w:eastAsia="Arial" w:hAnsi="Arial"/>
          <w:sz w:val="21"/>
          <w:szCs w:val="21"/>
          <w:color w:val="auto"/>
        </w:rPr>
        <w:t xml:space="preserve"> </w:t>
      </w:r>
      <w:r>
        <w:rPr>
          <w:rFonts w:ascii="Arial" w:cs="Arial" w:eastAsia="Arial" w:hAnsi="Arial"/>
          <w:sz w:val="21"/>
          <w:szCs w:val="21"/>
          <w:b w:val="1"/>
          <w:bCs w:val="1"/>
          <w:color w:val="auto"/>
        </w:rPr>
        <w:t>Obligations</w:t>
      </w:r>
      <w:r>
        <w:rPr>
          <w:rFonts w:ascii="Arial" w:cs="Arial" w:eastAsia="Arial" w:hAnsi="Arial"/>
          <w:sz w:val="21"/>
          <w:szCs w:val="21"/>
          <w:color w:val="auto"/>
        </w:rPr>
        <w:t>”), the Net Proceeds of such Pension Real Property Event shall be reduced by an amount equal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of such Specified Pension Fund Obligations that are so repaid or prepaid with such proceeds and have not been declined by the holders thereof,</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5" w:name="page96"/>
    <w:bookmarkEnd w:id="95"/>
    <w:p>
      <w:pPr>
        <w:jc w:val="both"/>
        <w:ind w:left="860" w:hanging="2"/>
        <w:spacing w:after="0" w:line="238" w:lineRule="auto"/>
        <w:tabs>
          <w:tab w:leader="none" w:pos="1226"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the case of any Disposition or Casualty Event by a non-wholly owned Restricted Subsidiary, the pro rata portion of the Net Proceeds thereof (calculated without regard to this clause (iv)) attributable to minority interests and not available for distribution to or for the account of the Borrower or a wholly owned Restricted Subsidiary as a result thereof,</w:t>
      </w:r>
    </w:p>
    <w:p>
      <w:pPr>
        <w:spacing w:after="0" w:line="184" w:lineRule="exact"/>
        <w:rPr>
          <w:rFonts w:ascii="Arial" w:cs="Arial" w:eastAsia="Arial" w:hAnsi="Arial"/>
          <w:sz w:val="22"/>
          <w:szCs w:val="22"/>
          <w:color w:val="auto"/>
        </w:rPr>
      </w:pPr>
    </w:p>
    <w:p>
      <w:pPr>
        <w:jc w:val="both"/>
        <w:ind w:left="860" w:hanging="2"/>
        <w:spacing w:after="0" w:line="238" w:lineRule="auto"/>
        <w:tabs>
          <w:tab w:leader="none" w:pos="120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taxes paid or reasonably estimated to be payable as a result thereof (provided, that if the amount of any such estimated taxes exceeds the amount of taxes actually required to be paid in cash in respect of such Disposition or Casualty Event, the aggregate amount of such excess shall constitute Net Proceeds at the time such taxes are actually paid),</w:t>
      </w:r>
    </w:p>
    <w:p>
      <w:pPr>
        <w:spacing w:after="0" w:line="184" w:lineRule="exact"/>
        <w:rPr>
          <w:rFonts w:ascii="Arial" w:cs="Arial" w:eastAsia="Arial" w:hAnsi="Arial"/>
          <w:sz w:val="22"/>
          <w:szCs w:val="22"/>
          <w:color w:val="auto"/>
        </w:rPr>
      </w:pPr>
    </w:p>
    <w:p>
      <w:pPr>
        <w:jc w:val="both"/>
        <w:ind w:left="860" w:hanging="2"/>
        <w:spacing w:after="0" w:line="246" w:lineRule="auto"/>
        <w:tabs>
          <w:tab w:leader="none" w:pos="1226"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amount of any reasonable reserve established in accordance with GAAP against any adjustment to the sale price or any liabilities (other than any taxes deducted pursuant to clause (i) or (v) above) (x) related to any of the applicable assets and (y) retained by the Borrower or any of the Restricted Subsidiaries with respect to the assets subject to the Disposition or Casualty Event including, without limitation,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and</w:t>
      </w:r>
    </w:p>
    <w:p>
      <w:pPr>
        <w:spacing w:after="0" w:line="184" w:lineRule="exact"/>
        <w:rPr>
          <w:rFonts w:ascii="Arial" w:cs="Arial" w:eastAsia="Arial" w:hAnsi="Arial"/>
          <w:sz w:val="21"/>
          <w:szCs w:val="21"/>
          <w:color w:val="auto"/>
        </w:rPr>
      </w:pPr>
    </w:p>
    <w:p>
      <w:pPr>
        <w:ind w:left="860" w:hanging="2"/>
        <w:spacing w:after="0" w:line="328" w:lineRule="auto"/>
        <w:tabs>
          <w:tab w:leader="none" w:pos="130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funded escrow established pursuant to the documents evidencing any such sale or disposition to secure any indemnification obligations or adjustments to the purchase price associated with any such sale or disposition;</w:t>
      </w:r>
    </w:p>
    <w:p>
      <w:pPr>
        <w:spacing w:after="0" w:line="10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no Event of Default exists such proceeds, other than Real Property Disposition Proceeds, may be applied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Borrower or any Restricted Subsidiary to acquire, maintain, develop, construct, improve, upgrade or repair assets useful in the business of the Borrower or its Restricted Subsidiaries or to make Permitted Acquisitions or any acquisition permitted hereunder of all or substantially all the assets of, or all the Equity Interests (other than directors’ qualifying shares) in, a Person or division or line of business of a Person (or any subsequent investment made in a Person, division or line of business previously acquired) </w:t>
      </w:r>
      <w:r>
        <w:rPr>
          <w:rFonts w:ascii="Arial" w:cs="Arial" w:eastAsia="Arial" w:hAnsi="Arial"/>
          <w:sz w:val="19"/>
          <w:szCs w:val="19"/>
          <w:b w:val="1"/>
          <w:bCs w:val="1"/>
          <w:u w:val="single" w:color="auto"/>
          <w:color w:val="0000FF"/>
        </w:rPr>
        <w:t>that in each case become Collateral (or, in the case of the acquisition of the Equity Interests of a Person, such Person becomes a Loan Party under the Loan Documents)</w:t>
      </w:r>
      <w:r>
        <w:rPr>
          <w:rFonts w:ascii="Arial" w:cs="Arial" w:eastAsia="Arial" w:hAnsi="Arial"/>
          <w:sz w:val="19"/>
          <w:szCs w:val="19"/>
          <w:color w:val="000000"/>
        </w:rPr>
        <w:t>, in each case within 270 days of such receipt, and such portion of such</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proceeds shall not constitute Net Proceeds except to the extent not, within 270 days of such receipt, so used or contractually committed with a third party to be so used (it being understood that if any portion of such proceeds are not so used within such 270 day period but within such 270 day period are contractually committed with a third party to be used, then upon the termination of such contract or if such Net Proceeds are not so used within the later of such 270 day period and 180 days from the entry into such contractual commitment, such remaining portion shall constitute Net Proceeds as of the date of such termination or expiry without giving effect to this proviso; it being understood that such proceeds shall constitute Net Proceeds if there is a Specified Default at the time of a proposed reinvestment unless such proposed reinvestment is made pursuant to a binding commitment with a third party entered into at a time when no Specified Default was continuing);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further</w:t>
      </w:r>
      <w:r>
        <w:rPr>
          <w:rFonts w:ascii="Arial" w:cs="Arial" w:eastAsia="Arial" w:hAnsi="Arial"/>
          <w:sz w:val="19"/>
          <w:szCs w:val="19"/>
          <w:color w:val="000000"/>
        </w:rPr>
        <w:t xml:space="preserve"> that, except with respect to </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xml:space="preserve"> Real Property Disposition Proceeds </w:t>
      </w:r>
      <w:r>
        <w:rPr>
          <w:rFonts w:ascii="Arial" w:cs="Arial" w:eastAsia="Arial" w:hAnsi="Arial"/>
          <w:sz w:val="19"/>
          <w:szCs w:val="19"/>
          <w:b w:val="1"/>
          <w:bCs w:val="1"/>
          <w:color w:val="0000FF"/>
        </w:rPr>
        <w:t>and (II) at any time during the Amendment No. 1 Specified Period,</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-22860</wp:posOffset>
            </wp:positionV>
            <wp:extent cx="40805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-5715</wp:posOffset>
            </wp:positionV>
            <wp:extent cx="40805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6" w:name="page97"/>
    <w:bookmarkEnd w:id="96"/>
    <w:p>
      <w:pPr>
        <w:jc w:val="both"/>
        <w:spacing w:after="0" w:line="239" w:lineRule="auto"/>
        <w:rPr>
          <w:sz w:val="20"/>
          <w:szCs w:val="20"/>
          <w:color w:val="auto"/>
        </w:rPr>
      </w:pPr>
      <w:r>
        <w:rPr>
          <w:rFonts w:ascii="Arial" w:cs="Arial" w:eastAsia="Arial" w:hAnsi="Arial"/>
          <w:sz w:val="22"/>
          <w:szCs w:val="22"/>
          <w:b w:val="1"/>
          <w:bCs w:val="1"/>
          <w:u w:val="single" w:color="auto"/>
          <w:color w:val="0000FF"/>
        </w:rPr>
        <w:t>other Net Proceeds</w:t>
      </w:r>
      <w:r>
        <w:rPr>
          <w:rFonts w:ascii="Arial" w:cs="Arial" w:eastAsia="Arial" w:hAnsi="Arial"/>
          <w:sz w:val="22"/>
          <w:szCs w:val="22"/>
          <w:color w:val="000000"/>
        </w:rPr>
        <w:t>, no proceeds realized in a single transaction or series of related transactions shall constitute Net Proceeds</w:t>
      </w:r>
      <w:r>
        <w:rPr>
          <w:rFonts w:ascii="Arial" w:cs="Arial" w:eastAsia="Arial" w:hAnsi="Arial"/>
          <w:sz w:val="22"/>
          <w:szCs w:val="22"/>
          <w:b w:val="1"/>
          <w:bCs w:val="1"/>
          <w:color w:val="0000FF"/>
        </w:rPr>
        <w:t xml:space="preserve"> </w:t>
      </w:r>
      <w:r>
        <w:rPr>
          <w:rFonts w:ascii="Arial" w:cs="Arial" w:eastAsia="Arial" w:hAnsi="Arial"/>
          <w:sz w:val="22"/>
          <w:szCs w:val="22"/>
          <w:color w:val="000000"/>
        </w:rPr>
        <w:t>unless the aggregate net proceeds exceeds $7,500,000 in any fiscal year</w:t>
      </w:r>
      <w:r>
        <w:rPr>
          <w:rFonts w:ascii="Arial" w:cs="Arial" w:eastAsia="Arial" w:hAnsi="Arial"/>
          <w:sz w:val="22"/>
          <w:szCs w:val="22"/>
          <w:b w:val="1"/>
          <w:bCs w:val="1"/>
          <w:u w:val="single" w:color="auto"/>
          <w:color w:val="0000FF"/>
        </w:rPr>
        <w:t>, commencing upon the expiration of the Amendment</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No. 1 Specified Period</w:t>
      </w:r>
      <w:r>
        <w:rPr>
          <w:rFonts w:ascii="Arial" w:cs="Arial" w:eastAsia="Arial" w:hAnsi="Arial"/>
          <w:sz w:val="22"/>
          <w:szCs w:val="22"/>
          <w:b w:val="1"/>
          <w:bCs w:val="1"/>
          <w:color w:val="0000FF"/>
        </w:rPr>
        <w:t xml:space="preserve"> </w:t>
      </w:r>
      <w:r>
        <w:rPr>
          <w:rFonts w:ascii="Arial" w:cs="Arial" w:eastAsia="Arial" w:hAnsi="Arial"/>
          <w:sz w:val="22"/>
          <w:szCs w:val="22"/>
          <w:color w:val="000000"/>
        </w:rPr>
        <w:t>(and thereafter only net cash proceeds in excess of such amount shall constitute Net Proceeds under this</w:t>
      </w:r>
      <w:r>
        <w:rPr>
          <w:rFonts w:ascii="Arial" w:cs="Arial" w:eastAsia="Arial" w:hAnsi="Arial"/>
          <w:sz w:val="22"/>
          <w:szCs w:val="22"/>
          <w:b w:val="1"/>
          <w:bCs w:val="1"/>
          <w:color w:val="0000FF"/>
        </w:rPr>
        <w:t xml:space="preserve"> </w:t>
      </w:r>
      <w:r>
        <w:rPr>
          <w:rFonts w:ascii="Arial" w:cs="Arial" w:eastAsia="Arial" w:hAnsi="Arial"/>
          <w:sz w:val="22"/>
          <w:szCs w:val="22"/>
          <w:color w:val="000000"/>
        </w:rPr>
        <w:t>clause (a)), and</w:t>
      </w:r>
    </w:p>
    <w:p>
      <w:pPr>
        <w:spacing w:after="0" w:line="186" w:lineRule="exact"/>
        <w:rPr>
          <w:sz w:val="20"/>
          <w:szCs w:val="20"/>
          <w:color w:val="auto"/>
        </w:rPr>
      </w:pPr>
    </w:p>
    <w:p>
      <w:pPr>
        <w:jc w:val="both"/>
        <w:ind w:left="860" w:hanging="784"/>
        <w:spacing w:after="0" w:line="235"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xml:space="preserve">100% of the cash proceeds from the incurrence, issuance or sale by the Borrower or any of the Restricted Subsidiaries of any Indebtedness, net of all taxes paid or reasonably estimated to be payable as a result thereof and fees (including investment banking fees and discounts), commissions, costs and other expenses, in each case incurred in connection with such issuance or sale, </w:t>
      </w:r>
      <w:r>
        <w:rPr>
          <w:rFonts w:ascii="Arial" w:cs="Arial" w:eastAsia="Arial" w:hAnsi="Arial"/>
          <w:sz w:val="22"/>
          <w:szCs w:val="22"/>
          <w:i w:val="1"/>
          <w:iCs w:val="1"/>
          <w:color w:val="auto"/>
        </w:rPr>
        <w:t>provided</w:t>
      </w:r>
      <w:r>
        <w:rPr>
          <w:rFonts w:ascii="Arial" w:cs="Arial" w:eastAsia="Arial" w:hAnsi="Arial"/>
          <w:sz w:val="22"/>
          <w:szCs w:val="22"/>
          <w:color w:val="auto"/>
        </w:rPr>
        <w:t>, that if the amount of any estimated taxes exceeds the amount of taxes actually required to be paid in cash, the aggregate amount of such excess shall constitute Net Proceeds at the time such taxes are actually paid.</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For purposes of calculating the amount of Net Proceeds, fees, commissions and other costs and expenses payable to the Borrower or the Restricted Subsidiaries shall be disregarded.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Non-Consenting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3.06(b)</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 Otherwise Applied</w:t>
      </w:r>
      <w:r>
        <w:rPr>
          <w:rFonts w:ascii="Arial" w:cs="Arial" w:eastAsia="Arial" w:hAnsi="Arial"/>
          <w:sz w:val="21"/>
          <w:szCs w:val="21"/>
          <w:color w:val="auto"/>
        </w:rPr>
        <w:t xml:space="preserve">” shall mean, with reference to any amount of net proceeds of any transaction or event, that such amount (a) was not required to be applied to prepay the Loans pursuant to </w:t>
      </w:r>
      <w:r>
        <w:rPr>
          <w:rFonts w:ascii="Arial" w:cs="Arial" w:eastAsia="Arial" w:hAnsi="Arial"/>
          <w:sz w:val="21"/>
          <w:szCs w:val="21"/>
          <w:u w:val="single" w:color="auto"/>
          <w:color w:val="auto"/>
        </w:rPr>
        <w:t>Section 2.13(a)</w:t>
      </w:r>
      <w:r>
        <w:rPr>
          <w:rFonts w:ascii="Arial" w:cs="Arial" w:eastAsia="Arial" w:hAnsi="Arial"/>
          <w:sz w:val="21"/>
          <w:szCs w:val="21"/>
          <w:color w:val="auto"/>
        </w:rPr>
        <w:t xml:space="preserve"> and (b) was not previously applied in determining the permissibility of a transaction under the Loan Documents where such permissibility was (or may have been) pursuant to </w:t>
      </w:r>
      <w:r>
        <w:rPr>
          <w:rFonts w:ascii="Arial" w:cs="Arial" w:eastAsia="Arial" w:hAnsi="Arial"/>
          <w:sz w:val="21"/>
          <w:szCs w:val="21"/>
          <w:u w:val="single" w:color="auto"/>
          <w:color w:val="auto"/>
        </w:rPr>
        <w:t>Section 7.02(p)(y)</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7.03(ee)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7.06(e)(y)</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7.13(a)(vi)</w:t>
      </w:r>
      <w:r>
        <w:rPr>
          <w:rFonts w:ascii="Arial" w:cs="Arial" w:eastAsia="Arial" w:hAnsi="Arial"/>
          <w:sz w:val="21"/>
          <w:szCs w:val="21"/>
          <w:color w:val="auto"/>
        </w:rPr>
        <w:t>.</w:t>
      </w:r>
    </w:p>
    <w:p>
      <w:pPr>
        <w:spacing w:after="0" w:line="16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Obligations</w:t>
      </w:r>
      <w:r>
        <w:rPr>
          <w:rFonts w:ascii="Arial" w:cs="Arial" w:eastAsia="Arial" w:hAnsi="Arial"/>
          <w:sz w:val="21"/>
          <w:szCs w:val="21"/>
          <w:color w:val="auto"/>
        </w:rPr>
        <w:t>” shall mean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(or would accrue but for the operation of applicable Debtor Relief Laws), regardless of whether such interest and fees are allowed or allowable claims in such proceeding. Without limiting the generality of the foregoing, the Obligations of the Loan Parties under the Loan Documents include (a) the obligation (including guarantee obligations) to pay principal, interest, reimbursement obligations, charges, expenses, fees, Attorney Costs, indemnities and other amounts payable by any Loan Party under any Loan Document and (b) the obligation of any Loan Party to reimburse any amount in respect of any of the foregoing that any Agent or Lender, in its sole discretion, may elect to pay or advance on behalf of such Loan Party.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shall have the meaning assigned to such term in the definition of “Blocked Person”.</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Organization Documents</w:t>
      </w:r>
      <w:r>
        <w:rPr>
          <w:rFonts w:ascii="Arial" w:cs="Arial" w:eastAsia="Arial" w:hAnsi="Arial"/>
          <w:sz w:val="22"/>
          <w:szCs w:val="22"/>
          <w:color w:val="auto"/>
        </w:rPr>
        <w:t>”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jc w:val="both"/>
        <w:spacing w:after="0" w:line="252" w:lineRule="auto"/>
        <w:rPr>
          <w:sz w:val="20"/>
          <w:szCs w:val="20"/>
          <w:color w:val="auto"/>
        </w:rPr>
      </w:pPr>
      <w:r>
        <w:rPr>
          <w:rFonts w:ascii="Arial" w:cs="Arial" w:eastAsia="Arial" w:hAnsi="Arial"/>
          <w:sz w:val="21"/>
          <w:szCs w:val="21"/>
          <w:color w:val="auto"/>
        </w:rPr>
        <w:t>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Closing Date</w:t>
      </w:r>
      <w:r>
        <w:rPr>
          <w:rFonts w:ascii="Arial" w:cs="Arial" w:eastAsia="Arial" w:hAnsi="Arial"/>
          <w:sz w:val="22"/>
          <w:szCs w:val="22"/>
          <w:color w:val="auto"/>
        </w:rPr>
        <w:t>” shall mean February 13, 2014.</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Term Loan Maturity Date</w:t>
      </w:r>
      <w:r>
        <w:rPr>
          <w:rFonts w:ascii="Arial" w:cs="Arial" w:eastAsia="Arial" w:hAnsi="Arial"/>
          <w:sz w:val="19"/>
          <w:szCs w:val="19"/>
          <w:color w:val="auto"/>
        </w:rPr>
        <w:t>” shall have the meaning assigned to such term in the definition of “Maturity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Applicable Indebtedness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2.13(a)(ii)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Survey Documentation</w:t>
      </w:r>
      <w:r>
        <w:rPr>
          <w:rFonts w:ascii="Arial" w:cs="Arial" w:eastAsia="Arial" w:hAnsi="Arial"/>
          <w:sz w:val="22"/>
          <w:szCs w:val="22"/>
          <w:color w:val="auto"/>
        </w:rPr>
        <w:t>” shall have the meaning specified in the definition of “Collateral and Guarantee Requirement”.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Taxes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Term Loan Commitments</w:t>
      </w:r>
      <w:r>
        <w:rPr>
          <w:rFonts w:ascii="Arial" w:cs="Arial" w:eastAsia="Arial" w:hAnsi="Arial"/>
          <w:sz w:val="22"/>
          <w:szCs w:val="22"/>
          <w:color w:val="auto"/>
        </w:rPr>
        <w:t>” shall mean one or more Classes of term loan commitments hereunder that result from a Refinancing Amendment entered into after the Restatement Effective Date.</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Term Loans</w:t>
      </w:r>
      <w:r>
        <w:rPr>
          <w:rFonts w:ascii="Arial" w:cs="Arial" w:eastAsia="Arial" w:hAnsi="Arial"/>
          <w:sz w:val="22"/>
          <w:szCs w:val="22"/>
          <w:color w:val="auto"/>
        </w:rPr>
        <w:t>” shall mean one or more Classes of Term Loans that result from a Refinancing Amendment entered into after the Restatement Effective Date.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 Register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10.04(f)</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Fund Entities</w:t>
      </w:r>
      <w:r>
        <w:rPr>
          <w:rFonts w:ascii="Arial" w:cs="Arial" w:eastAsia="Arial" w:hAnsi="Arial"/>
          <w:sz w:val="22"/>
          <w:szCs w:val="22"/>
          <w:color w:val="auto"/>
        </w:rPr>
        <w:t xml:space="preserve">” shall mean those entities identified on </w:t>
      </w:r>
      <w:r>
        <w:rPr>
          <w:rFonts w:ascii="Arial" w:cs="Arial" w:eastAsia="Arial" w:hAnsi="Arial"/>
          <w:sz w:val="22"/>
          <w:szCs w:val="22"/>
          <w:u w:val="single" w:color="auto"/>
          <w:color w:val="auto"/>
        </w:rPr>
        <w:t>Schedule 1.01(d)</w:t>
      </w:r>
      <w:r>
        <w:rPr>
          <w:rFonts w:ascii="Arial" w:cs="Arial" w:eastAsia="Arial" w:hAnsi="Arial"/>
          <w:sz w:val="22"/>
          <w:szCs w:val="22"/>
          <w:color w:val="auto"/>
        </w:rPr>
        <w:t xml:space="preserve"> hereto.</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Pension Contribution Cap</w:t>
      </w:r>
      <w:r>
        <w:rPr>
          <w:rFonts w:ascii="Arial" w:cs="Arial" w:eastAsia="Arial" w:hAnsi="Arial"/>
          <w:sz w:val="19"/>
          <w:szCs w:val="19"/>
          <w:color w:val="auto"/>
        </w:rPr>
        <w:t>” means, as of any date of determination, (i) for any such date of determination occurring from and after the Restatement Effective Date and on or prior to the first anniversary of the Restatement Effective Date, $150,000,000, (ii) for any such date of determination occurring after the first anniversary of the Restatement Effective Date but on or prior to the second anniversary of the Restatement Effective Date, $153,000,000, (iii) for any such date of determination occurring after the second anniversary of the Restatement Effective Date but on or prior to the third anniversary of the Restatement Effective Date, $156,060,000, (iv) for any such date of determination occurring after the third anniversary of the Restatement Effective Date but on or prior to the fourth anniversary of the Restatement Effective Date, $159,181,200 and (v) for any such date of determination occurring thereafter, $162,364,824.</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Real Property</w:t>
      </w:r>
      <w:r>
        <w:rPr>
          <w:rFonts w:ascii="Arial" w:cs="Arial" w:eastAsia="Arial" w:hAnsi="Arial"/>
          <w:sz w:val="22"/>
          <w:szCs w:val="22"/>
          <w:color w:val="auto"/>
        </w:rPr>
        <w:t>” shall mean any Real Property for so long as such Real Property secures the obligations of the Borrower under the Contribution Deferral Agreement on a first lien basis on the Restatement Effective Date, as set forth on Schedule 1.01(a).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8" w:name="page99"/>
    <w:bookmarkEnd w:id="98"/>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Pension Real Property Event</w:t>
      </w:r>
      <w:r>
        <w:rPr>
          <w:rFonts w:ascii="Arial" w:cs="Arial" w:eastAsia="Arial" w:hAnsi="Arial"/>
          <w:sz w:val="19"/>
          <w:szCs w:val="19"/>
          <w:color w:val="auto"/>
        </w:rPr>
        <w:t>” shall have the meaning assigned to such term in the definition of “Net Proceeds”.</w:t>
      </w:r>
    </w:p>
    <w:p>
      <w:pPr>
        <w:spacing w:after="0" w:line="24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Perfection Certificate</w:t>
      </w:r>
      <w:r>
        <w:rPr>
          <w:rFonts w:ascii="Arial" w:cs="Arial" w:eastAsia="Arial" w:hAnsi="Arial"/>
          <w:sz w:val="22"/>
          <w:szCs w:val="22"/>
          <w:color w:val="auto"/>
        </w:rPr>
        <w:t>” shall mean a certificate substantially in the form of Exhibit II to the Security Agreement or any other form reasonably approved by the Collateral Agent and the Borrower, as the same shall be supplemented from time to time.</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Permits</w:t>
      </w:r>
      <w:r>
        <w:rPr>
          <w:rFonts w:ascii="Arial" w:cs="Arial" w:eastAsia="Arial" w:hAnsi="Arial"/>
          <w:sz w:val="22"/>
          <w:szCs w:val="22"/>
          <w:color w:val="auto"/>
        </w:rPr>
        <w:t>” shall mean all necessary certificates, licenses, permits, franchises, trade names, certificates of occupancy, consents and other approvals required under applicable Laws for the operation of any Real Property.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Acquisition</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7.02(h)</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Acquisition Provisions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2.17(c)</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Additional Debt</w:t>
      </w:r>
      <w:r>
        <w:rPr>
          <w:rFonts w:ascii="Arial" w:cs="Arial" w:eastAsia="Arial" w:hAnsi="Arial"/>
          <w:sz w:val="19"/>
          <w:szCs w:val="19"/>
          <w:color w:val="auto"/>
        </w:rPr>
        <w:t>” shall mean Indebtedness incurred by the Borrower or any Guarantor, which Indebtedness may be (x) in the form of one or more series of notes or in the form of bank loans and, in either case, secured by the Collateral on a junior basis to the Obligations (“</w:t>
      </w:r>
      <w:r>
        <w:rPr>
          <w:rFonts w:ascii="Arial" w:cs="Arial" w:eastAsia="Arial" w:hAnsi="Arial"/>
          <w:sz w:val="19"/>
          <w:szCs w:val="19"/>
          <w:b w:val="1"/>
          <w:bCs w:val="1"/>
          <w:color w:val="auto"/>
        </w:rPr>
        <w:t>Permitted Second Priority Additional Debt</w:t>
      </w:r>
      <w:r>
        <w:rPr>
          <w:rFonts w:ascii="Arial" w:cs="Arial" w:eastAsia="Arial" w:hAnsi="Arial"/>
          <w:sz w:val="19"/>
          <w:szCs w:val="19"/>
          <w:color w:val="auto"/>
        </w:rPr>
        <w:t xml:space="preserve">”) or (y) in the form of one or more series of notes or in the form of bank loans and unsecured;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Indebtedness is not at any time guaranteed by any Subsidiaries other than Subsidiaries that are Guarantors, (ii) the other terms and conditions of such Indebtedness (excluding pricing, fees, rate floors and optional prepayment or redemption terms), if different from the Term Loans, are customary market terms for Indebtedness of such type but in no event shall such terms and conditions (taken as a whole) be materially more restrictive to the Borrower and its Subsidiaries than the terms and conditions hereof (</w:t>
      </w:r>
      <w:r>
        <w:rPr>
          <w:rFonts w:ascii="Arial" w:cs="Arial" w:eastAsia="Arial" w:hAnsi="Arial"/>
          <w:sz w:val="19"/>
          <w:szCs w:val="19"/>
          <w:i w:val="1"/>
          <w:iCs w:val="1"/>
          <w:color w:val="auto"/>
        </w:rPr>
        <w:t>provided</w:t>
      </w:r>
      <w:r>
        <w:rPr>
          <w:rFonts w:ascii="Arial" w:cs="Arial" w:eastAsia="Arial" w:hAnsi="Arial"/>
          <w:sz w:val="19"/>
          <w:szCs w:val="19"/>
          <w:color w:val="auto"/>
        </w:rPr>
        <w:t>, that the financial maintenance covenant on the then outstanding Term Loans shall be amended to provide the Lenders the benefit of any financial maintenance covenant of such Permitted Additional Debt that is in addition to or more restrictive in any material manner than the financial maintenance covenant on the then outstanding Term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certificate of a Responsible Officer delivered to the Administrative Agent at least five Business Days prior to the incurrence of such Indebtedness (or such shorter period as the Administrative Agent with the consent of the Required Lenders may agree in their sole discretion), together with a reasonably detailed description of the material terms and conditions of such Indebtedness or drafts of the documentation relating thereto, stating that the Borrower has determined in good faith that such terms and conditions satisfy the requirement of this clause (ii) shall be conclusive evidence that such terms and conditions satisfy such requirement unless the Administrative Agent or the Required Lenders notify the Borrower within such five Business Day period (or such shorter period as the Administrative Agent with the consent of the Required Lenders may agree in its sole discretion) that it disagrees with such determination (including a reasonable description of the basis upon which it disagrees)), (iii) [reserved], (iv) no Default shall exist immediately prior to or after giving effect to such incurrence subject, in the case of any such Indebtedness which is Alternative Incremental Indebtedness, to the Permitted Acquisition Provisions (if applicable) and (v) if such Indebtedness is Permitted Additional Debt that is secured, a Senior Representative acting on behalf of the holders of such Indebtedness shall have become party to or otherwise subject to the provisions of the Second Lien Intercreditor Agreement. Permitted Additional Debt will include any Registered Equivalent Notes issued in exchange therefor.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9" w:name="page100"/>
    <w:bookmarkEnd w:id="99"/>
    <w:p>
      <w:pPr>
        <w:spacing w:after="0" w:line="17"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Refinancing</w:t>
      </w:r>
      <w:r>
        <w:rPr>
          <w:rFonts w:ascii="Arial" w:cs="Arial" w:eastAsia="Arial" w:hAnsi="Arial"/>
          <w:sz w:val="19"/>
          <w:szCs w:val="19"/>
          <w:color w:val="auto"/>
        </w:rPr>
        <w:t xml:space="preserve">” shall mean, with respect to any Person, any modification, refinancing, refunding, renewal, replacement or extension of any Indebtedness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original aggregate principal amount (or accreted value, if applicable) does not exceed the aggregate principal amount (or accreted value, if applicable) of the Indebtedness so modified, refinanced, refunded, renewed, replaced or extended except (i) by an amount equal to accrued but unpaid interest, premiums and fees payable by the terms of such Indebtedness and reasonable fees, expenses, original issue discount and upfront fees incurred in connection with such modification, refinancing, refunding, renewal, replacement or extension and (ii) by an amount equal to any existing available commitments unutilized thereunder, (b) other than with respect to a Permitted Refinancing in respect of Indebtedness permitted pursuant to </w:t>
      </w:r>
      <w:r>
        <w:rPr>
          <w:rFonts w:ascii="Arial" w:cs="Arial" w:eastAsia="Arial" w:hAnsi="Arial"/>
          <w:sz w:val="19"/>
          <w:szCs w:val="19"/>
          <w:u w:val="single" w:color="auto"/>
          <w:color w:val="auto"/>
        </w:rPr>
        <w:t>Section 7.03(e)</w:t>
      </w:r>
      <w:r>
        <w:rPr>
          <w:rFonts w:ascii="Arial" w:cs="Arial" w:eastAsia="Arial" w:hAnsi="Arial"/>
          <w:sz w:val="19"/>
          <w:szCs w:val="19"/>
          <w:color w:val="auto"/>
        </w:rPr>
        <w:t xml:space="preserve">, the Indebtedness resulting from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9"/>
          <w:szCs w:val="19"/>
          <w:u w:val="single" w:color="auto"/>
          <w:color w:val="auto"/>
        </w:rPr>
        <w:t>Section 7.03(e)</w:t>
      </w:r>
      <w:r>
        <w:rPr>
          <w:rFonts w:ascii="Arial" w:cs="Arial" w:eastAsia="Arial" w:hAnsi="Arial"/>
          <w:sz w:val="19"/>
          <w:szCs w:val="19"/>
          <w:color w:val="auto"/>
        </w:rPr>
        <w:t xml:space="preserve">, at the time thereof, no Event of Default shall have occurred and be continuing, (d) if such Indebtedness being modified, refinanced, refunded, renewed, replaced or extended is Indebtedness permitted pursuant to </w:t>
      </w:r>
      <w:r>
        <w:rPr>
          <w:rFonts w:ascii="Arial" w:cs="Arial" w:eastAsia="Arial" w:hAnsi="Arial"/>
          <w:sz w:val="19"/>
          <w:szCs w:val="19"/>
          <w:u w:val="single" w:color="auto"/>
          <w:color w:val="auto"/>
        </w:rPr>
        <w:t>Section 7.03(b)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7.03(p)</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7.03(q)</w:t>
      </w:r>
      <w:r>
        <w:rPr>
          <w:rFonts w:ascii="Arial" w:cs="Arial" w:eastAsia="Arial" w:hAnsi="Arial"/>
          <w:sz w:val="19"/>
          <w:szCs w:val="19"/>
          <w:color w:val="auto"/>
        </w:rPr>
        <w:t xml:space="preserve"> , or is otherwise a Junior Financing, (i) to the extent such Indebtedness being modified, refinanced, refunded, renewed, replaced or extended is subordinated in right of payment or in lien priority to the Obligations, the Indebtedness resulting from such modification, refinancing, refunding, renewal, replacement or extension is subordinated in right of payment or in lien priority, as applicable, to the Obligations on terms (taken as a whole) (x) at least as favorable to the Lenders as those contained in the documentation governing the Indebtedness being modified, refinanced, refunded, renewed, replaced or extended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certificate of a Responsible Officer delivered to the Administrative Agent at least five Business Days prior to the incurrence of such Indebtedness (or such shorter period as the Administrative Agent with the consent of the Required Lenders may agree in its sole discretion),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it disagrees with such determination (including a reasonable description of the basis upon which it disagrees)) or (y) otherwise reasonably acceptable to the Required Lenders)), and (ii) the obligors (including any guarantors) in respect of the Indebtedness resulting from such modification, refinancing, refunding, renewal, replacement or extension shall not include any Person other than the obligors (including any guarantors) of the Indebtedness being modified, refinanced, refunded, renewed, replaced or extended unless otherwise permitted hereby, (e) in the case of any Permitted Refinancing in respect of the ABL Facility, such Permitted Refinancing is a revolving working capital facility and is secured only by all or any portion of the collateral securing the ABL Facility (but not by any other assets) pursuant to one or more security agreements subject, in the case of assets constituting (or required to constitute) Collateral, to the ABL Intercreditor Agreement, (f) in the case of any Credit Agreement Refinancing Indebtedness, the Permitted Refinancing shall constitute Credit Agreement Refinancing Indebtedness and (g) to the extent such Indebtedness being modified, refinanced, refunded, renewed, replaced or extended is unsecured, the Indebtedness resulting from such modification, refinancing, refunding, renewal, replacement or extension must be unsecured. When used with respect to any specified Indebtedness, “</w:t>
      </w:r>
      <w:r>
        <w:rPr>
          <w:rFonts w:ascii="Arial" w:cs="Arial" w:eastAsia="Arial" w:hAnsi="Arial"/>
          <w:sz w:val="19"/>
          <w:szCs w:val="19"/>
          <w:b w:val="1"/>
          <w:bCs w:val="1"/>
          <w:color w:val="auto"/>
        </w:rPr>
        <w:t>Permitted</w:t>
      </w:r>
      <w:r>
        <w:rPr>
          <w:rFonts w:ascii="Arial" w:cs="Arial" w:eastAsia="Arial" w:hAnsi="Arial"/>
          <w:sz w:val="19"/>
          <w:szCs w:val="19"/>
          <w:color w:val="auto"/>
        </w:rPr>
        <w:t xml:space="preserve"> </w:t>
      </w:r>
      <w:r>
        <w:rPr>
          <w:rFonts w:ascii="Arial" w:cs="Arial" w:eastAsia="Arial" w:hAnsi="Arial"/>
          <w:sz w:val="19"/>
          <w:szCs w:val="19"/>
          <w:b w:val="1"/>
          <w:bCs w:val="1"/>
          <w:color w:val="auto"/>
        </w:rPr>
        <w:t>Refinancing</w:t>
      </w:r>
      <w:r>
        <w:rPr>
          <w:rFonts w:ascii="Arial" w:cs="Arial" w:eastAsia="Arial" w:hAnsi="Arial"/>
          <w:sz w:val="19"/>
          <w:szCs w:val="19"/>
          <w:color w:val="auto"/>
        </w:rPr>
        <w:t>” shall mean the Indebtedness incurred to effectuate a Permitted Refinancing of such specified Indebtedness.</w:t>
      </w:r>
    </w:p>
    <w:p>
      <w:pPr>
        <w:spacing w:after="0" w:line="200" w:lineRule="exact"/>
        <w:rPr>
          <w:sz w:val="20"/>
          <w:szCs w:val="20"/>
          <w:color w:val="auto"/>
        </w:rPr>
      </w:pPr>
    </w:p>
    <w:p>
      <w:pPr>
        <w:spacing w:after="0" w:line="22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Repricing Amendment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10.08(b)</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Second Priority Additional Debt</w:t>
      </w:r>
      <w:r>
        <w:rPr>
          <w:rFonts w:ascii="Arial" w:cs="Arial" w:eastAsia="Arial" w:hAnsi="Arial"/>
          <w:sz w:val="22"/>
          <w:szCs w:val="22"/>
          <w:color w:val="auto"/>
        </w:rPr>
        <w:t>” shall have the meaning assigned to such term in the definition of “Permitted Additional Debt”.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“PIK Amount” shall have the meaning assigned to such term in Section 2.06(d).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“PIK Interest” shall have the meaning assigned to such term in Section 2.06(d).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“PIK Period” shall have the meaning assigned to such term in Section 2.06(d).</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shall mean any employee pension benefit plan within the meaning of Section 3(2) of ERISA (other than a Multiemployer Plan) subject to the provisions of Title IV of ERISA or Sections 412 and 430 of the Code or Sections 302 and 303 of ERISA and in respect of which a Loan Party, any Restricted Subsidiary or any of their respective ERISA Affiliates is, or if such plan were terminated would under Section 4069 of ERISA be deemed to be, or within the six year period immediately preceding the date hereof was, a “contributing sponsor” as defined in Section 4001(a)(13) of ERISA or an “employer” as defined in Section 3(5) of ERISA.</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Platform</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Prepayment Premium</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2.12(d)</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Prime Rate</w:t>
      </w:r>
      <w:r>
        <w:rPr>
          <w:rFonts w:ascii="Arial" w:cs="Arial" w:eastAsia="Arial" w:hAnsi="Arial"/>
          <w:sz w:val="19"/>
          <w:szCs w:val="19"/>
          <w:color w:val="auto"/>
        </w:rPr>
        <w:t>” shall mean, as of any day,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ectPr>
          <w:pgSz w:w="11900" w:h="16856" w:orient="portrait"/>
          <w:cols w:equalWidth="0" w:num="1">
            <w:col w:w="11240"/>
          </w:cols>
          <w:pgMar w:left="320" w:top="328" w:right="339" w:bottom="0" w:gutter="0" w:footer="0" w:header="0"/>
        </w:sectPr>
      </w:pPr>
    </w:p>
    <w:bookmarkStart w:id="100" w:name="page101"/>
    <w:bookmarkEnd w:id="100"/>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Forma Basis</w:t>
      </w:r>
      <w:r>
        <w:rPr>
          <w:rFonts w:ascii="Arial" w:cs="Arial" w:eastAsia="Arial" w:hAnsi="Arial"/>
          <w:sz w:val="22"/>
          <w:szCs w:val="22"/>
          <w:color w:val="auto"/>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2"/>
          <w:szCs w:val="22"/>
          <w:u w:val="single" w:color="auto"/>
          <w:color w:val="auto"/>
        </w:rPr>
        <w:t>Section 1.10</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 Rata Share</w:t>
      </w:r>
      <w:r>
        <w:rPr>
          <w:rFonts w:ascii="Arial" w:cs="Arial" w:eastAsia="Arial" w:hAnsi="Arial"/>
          <w:sz w:val="21"/>
          <w:szCs w:val="21"/>
          <w:color w:val="auto"/>
        </w:rPr>
        <w:t>” shall mean, with respect to each Lender at any time a fraction (expressed as a percentage, carried out to the ninth decimal place), the numerator of which is the amount of the Commitments (or, if Commitments have been terminated, the principal amount of the Loans) under the applicable Facility or Facilities of such Lender at such time and the denominator of which is the amount of the aggregate Commitments (or, if the Commitments have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been terminated, the principal amount of the Loans) under the applicable Facility or Facilities at such time.</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Projections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6.01(c)</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Public Lender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Equity Interests</w:t>
      </w:r>
      <w:r>
        <w:rPr>
          <w:rFonts w:ascii="Arial" w:cs="Arial" w:eastAsia="Arial" w:hAnsi="Arial"/>
          <w:sz w:val="22"/>
          <w:szCs w:val="22"/>
          <w:color w:val="auto"/>
        </w:rPr>
        <w:t>” shall mean any Equity Interests that are not Disqualified Equity Interests.</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Securitization Financing</w:t>
      </w:r>
      <w:r>
        <w:rPr>
          <w:rFonts w:ascii="Arial" w:cs="Arial" w:eastAsia="Arial" w:hAnsi="Arial"/>
          <w:sz w:val="19"/>
          <w:szCs w:val="19"/>
          <w:color w:val="auto"/>
        </w:rPr>
        <w:t>” means any Securitization Facility of a Securitization Subsidiary that meets the following conditions: (i) the Borrower shall have determined in good faith that such Securitization Facility (including financing terms, covenants, termination events and other provisions) is in the aggregate economically fair and reasonable to the Borrower and its Restricted Subsidiaries party to the Securitization Facility; (ii) all sales of Securitization Assets and related assets by the Borrower or any Restricted Subsidiary to the Securitization Subsidiary or any other Person are made at fair market value (as determined in good faith by the Borrower); (iii) the financing terms, covenants, termination events and other provisions thereof shall be on market terms (as determined in good faith by the Borrower) and may include Standard Securitization Undertakings; and (iv) the obligations under such Securitization Facility are non-recourse (except for customary representations, warranties, covenants and indemnities made in connection with such facilities) to the Borrower or any of its Restricted Subsidiaries (other than a Securitization Subsidiary).</w:t>
      </w:r>
    </w:p>
    <w:p>
      <w:pPr>
        <w:spacing w:after="0" w:line="200" w:lineRule="exact"/>
        <w:rPr>
          <w:sz w:val="20"/>
          <w:szCs w:val="20"/>
          <w:color w:val="auto"/>
        </w:rPr>
      </w:pPr>
    </w:p>
    <w:p>
      <w:pPr>
        <w:spacing w:after="0" w:line="20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Property</w:t>
      </w:r>
      <w:r>
        <w:rPr>
          <w:rFonts w:ascii="Arial" w:cs="Arial" w:eastAsia="Arial" w:hAnsi="Arial"/>
          <w:sz w:val="22"/>
          <w:szCs w:val="22"/>
          <w:color w:val="auto"/>
        </w:rPr>
        <w:t>” shall mean,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Real Property Disposition Proceeds</w:t>
      </w:r>
      <w:r>
        <w:rPr>
          <w:rFonts w:ascii="Arial" w:cs="Arial" w:eastAsia="Arial" w:hAnsi="Arial"/>
          <w:sz w:val="19"/>
          <w:szCs w:val="19"/>
          <w:color w:val="auto"/>
        </w:rPr>
        <w:t>” shall mean any Net Proceeds realized from a Disposition of, or Sale and Leaseback Transaction with respect to, any Real Property, including, for the avoidance of doubt, any Pension Property (in each case, consummated on or after the Restatement Effective Date)</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i w:val="1"/>
          <w:iCs w:val="1"/>
          <w:color w:val="FF0000"/>
          <w:strike w:val="1"/>
        </w:rPr>
        <w:t>provided</w:t>
      </w:r>
      <w:r>
        <w:rPr>
          <w:rFonts w:ascii="Arial" w:cs="Arial" w:eastAsia="Arial" w:hAnsi="Arial"/>
          <w:sz w:val="19"/>
          <w:szCs w:val="19"/>
          <w:color w:val="FF0000"/>
          <w:strike w:val="1"/>
        </w:rPr>
        <w:t>, that, with respect to Dispositions of, or Sale and</w:t>
      </w:r>
      <w:r>
        <w:rPr>
          <w:rFonts w:ascii="Arial" w:cs="Arial" w:eastAsia="Arial" w:hAnsi="Arial"/>
          <w:sz w:val="19"/>
          <w:szCs w:val="19"/>
          <w:color w:val="auto"/>
        </w:rPr>
        <w:t xml:space="preserve"> </w:t>
      </w:r>
      <w:r>
        <w:rPr>
          <w:rFonts w:ascii="Arial" w:cs="Arial" w:eastAsia="Arial" w:hAnsi="Arial"/>
          <w:sz w:val="19"/>
          <w:szCs w:val="19"/>
          <w:color w:val="FF0000"/>
          <w:strike w:val="1"/>
        </w:rPr>
        <w:t>Leaseback Transactions with respect to, Real Property on which a trucking terminal is located and vacant/adjacent property located nearby, an initial amount of Net Proceeds not exceeding $40,000,000 for all such Dispositions and Sale and Leaseback Transactions in the aggregate for the term of this Agreement shall not constitute Real Property Disposition Proceeds, and all such Net Proceeds thereafter shall constitute Real Property Disposition Proceeds.</w:t>
      </w:r>
      <w:r>
        <w:rPr>
          <w:rFonts w:ascii="Arial" w:cs="Arial" w:eastAsia="Arial" w:hAnsi="Arial"/>
          <w:sz w:val="19"/>
          <w:szCs w:val="19"/>
          <w:b w:val="1"/>
          <w:bCs w:val="1"/>
          <w:u w:val="single" w:color="auto"/>
          <w:color w:val="0000FF"/>
          <w:strike w:val="1"/>
        </w:rPr>
        <w:t>.</w:t>
      </w:r>
    </w:p>
    <w:p>
      <w:pPr>
        <w:spacing w:after="0" w:line="145"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Receivables Assets</w:t>
      </w:r>
      <w:r>
        <w:rPr>
          <w:rFonts w:ascii="Arial" w:cs="Arial" w:eastAsia="Arial" w:hAnsi="Arial"/>
          <w:sz w:val="21"/>
          <w:szCs w:val="21"/>
          <w:color w:val="auto"/>
        </w:rPr>
        <w:t>” shall mean (a) any accounts receivable owed to the Borrower or a Restricted Subsidiary subject to a Receivables Facility and the proceeds thereof and (b) all collateral securing such accounts receivable, all contracts and contract rights, in each case, of the type which would constitute ABL Priority Collateral (as defined in the ABL Intercreditor Agreement), guarantees or other obligations in respect of such accounts receivable, all records with respect to such accounts receivable and any other assets customarily transferred together with</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2" w:name="page103"/>
    <w:bookmarkEnd w:id="102"/>
    <w:p>
      <w:pPr>
        <w:jc w:val="both"/>
        <w:spacing w:after="0"/>
        <w:rPr>
          <w:sz w:val="20"/>
          <w:szCs w:val="20"/>
          <w:color w:val="auto"/>
        </w:rPr>
      </w:pPr>
      <w:r>
        <w:rPr>
          <w:rFonts w:ascii="Arial" w:cs="Arial" w:eastAsia="Arial" w:hAnsi="Arial"/>
          <w:sz w:val="22"/>
          <w:szCs w:val="22"/>
          <w:color w:val="auto"/>
        </w:rPr>
        <w:t>accounts receivable in connection with a non-recourse accounts receivable factoring arrangement, except for Standard Securitization Undertakings, assigned or otherwise transferred or pledged by the Borrower in connection with a Receivables Facility.</w:t>
      </w:r>
    </w:p>
    <w:p>
      <w:pPr>
        <w:spacing w:after="0" w:line="18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Receivables Facility</w:t>
      </w:r>
      <w:r>
        <w:rPr>
          <w:rFonts w:ascii="Arial" w:cs="Arial" w:eastAsia="Arial" w:hAnsi="Arial"/>
          <w:sz w:val="22"/>
          <w:szCs w:val="22"/>
          <w:color w:val="auto"/>
        </w:rPr>
        <w:t>” shall mean an arrangement between the Borrower or a Restricted Subsidiary and another Person pursuant to which (a) the Borrower or such Restricted Subsidiary, as applicable, sells (directly or indirectly) in the ordinary course of business to such Person accounts receivable owing by customers, together with Receivables Assets related thereto, (b) the obligations of the Borrower or such Restricted Subsidiary, as applicable, thereunder are non-recourse (except for Securitization Purchase Obligations) to the Borrower and such Restricted Subsidiary and (c) the financing terms, covenants, termination events and other provisions thereof shall be on market terms (as determined in good faith by the Borrower) and may include Standard Securitization Undertakings.</w:t>
      </w:r>
    </w:p>
    <w:p>
      <w:pPr>
        <w:spacing w:after="0" w:line="183"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Refinanced Debt</w:t>
      </w:r>
      <w:r>
        <w:rPr>
          <w:rFonts w:ascii="Arial" w:cs="Arial" w:eastAsia="Arial" w:hAnsi="Arial"/>
          <w:sz w:val="22"/>
          <w:szCs w:val="22"/>
          <w:color w:val="auto"/>
        </w:rPr>
        <w:t>” shall have the meaning specified in the definition of “Credit Agreement Refinancing Indebtedness”.</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Refinancing Amendment</w:t>
      </w:r>
      <w:r>
        <w:rPr>
          <w:rFonts w:ascii="Arial" w:cs="Arial" w:eastAsia="Arial" w:hAnsi="Arial"/>
          <w:sz w:val="22"/>
          <w:szCs w:val="22"/>
          <w:color w:val="auto"/>
        </w:rPr>
        <w:t xml:space="preserve">” shall mean an amendment to this Agreement executed by each of (a) the Borrower, (b) the Administrative Agent, (c) each Additional Lender that will make an Other Term Loan pursuant to such Refinancing Amendment and (d) each existing Lender that agrees to provide any portion of the Credit Agreement Refinancing Indebtedness being incurred pursuant thereto, in accordance with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80" w:lineRule="exact"/>
        <w:rPr>
          <w:sz w:val="20"/>
          <w:szCs w:val="20"/>
          <w:color w:val="auto"/>
        </w:rPr>
      </w:pPr>
    </w:p>
    <w:p>
      <w:pPr>
        <w:ind w:left="880" w:right="2720"/>
        <w:spacing w:after="0" w:line="5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Transaction</w:t>
      </w:r>
      <w:r>
        <w:rPr>
          <w:rFonts w:ascii="Arial" w:cs="Arial" w:eastAsia="Arial" w:hAnsi="Arial"/>
          <w:sz w:val="19"/>
          <w:szCs w:val="19"/>
          <w:color w:val="auto"/>
        </w:rPr>
        <w:t>” shall have the meaning assigned to such term in the recitals “</w:t>
      </w:r>
      <w:r>
        <w:rPr>
          <w:rFonts w:ascii="Arial" w:cs="Arial" w:eastAsia="Arial" w:hAnsi="Arial"/>
          <w:sz w:val="19"/>
          <w:szCs w:val="19"/>
          <w:b w:val="1"/>
          <w:bCs w:val="1"/>
          <w:color w:val="auto"/>
        </w:rPr>
        <w:t>Register</w:t>
      </w:r>
      <w:r>
        <w:rPr>
          <w:rFonts w:ascii="Arial" w:cs="Arial" w:eastAsia="Arial" w:hAnsi="Arial"/>
          <w:sz w:val="19"/>
          <w:szCs w:val="19"/>
          <w:color w:val="auto"/>
        </w:rPr>
        <w:t xml:space="preserve">” shall have the meaning assigned to such term in </w:t>
      </w:r>
      <w:r>
        <w:rPr>
          <w:rFonts w:ascii="Arial" w:cs="Arial" w:eastAsia="Arial" w:hAnsi="Arial"/>
          <w:sz w:val="19"/>
          <w:szCs w:val="19"/>
          <w:u w:val="single" w:color="auto"/>
          <w:color w:val="auto"/>
        </w:rPr>
        <w:t>Section 10.04(d)</w:t>
      </w:r>
      <w:r>
        <w:rPr>
          <w:rFonts w:ascii="Arial" w:cs="Arial" w:eastAsia="Arial" w:hAnsi="Arial"/>
          <w:sz w:val="19"/>
          <w:szCs w:val="19"/>
          <w:color w:val="auto"/>
        </w:rPr>
        <w:t>.</w:t>
      </w: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Registered Equivalent Notes</w:t>
      </w:r>
      <w:r>
        <w:rPr>
          <w:rFonts w:ascii="Arial" w:cs="Arial" w:eastAsia="Arial" w:hAnsi="Arial"/>
          <w:sz w:val="22"/>
          <w:szCs w:val="22"/>
          <w:color w:val="auto"/>
        </w:rPr>
        <w:t>” shall mean,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T</w:t>
      </w:r>
      <w:r>
        <w:rPr>
          <w:rFonts w:ascii="Arial" w:cs="Arial" w:eastAsia="Arial" w:hAnsi="Arial"/>
          <w:sz w:val="22"/>
          <w:szCs w:val="22"/>
          <w:color w:val="auto"/>
        </w:rPr>
        <w:t>” shall mean Regulation T of the Board as from time to time in effect and all official rulings and interpretations thereunder or thereof.</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U</w:t>
      </w:r>
      <w:r>
        <w:rPr>
          <w:rFonts w:ascii="Arial" w:cs="Arial" w:eastAsia="Arial" w:hAnsi="Arial"/>
          <w:sz w:val="22"/>
          <w:szCs w:val="22"/>
          <w:color w:val="auto"/>
        </w:rPr>
        <w:t>” shall mean Regulation U of the Board as from time to time in effect and all official rulings and interpretations thereunder or thereof.</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Rejection Notice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2.13(d)</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Fund</w:t>
      </w:r>
      <w:r>
        <w:rPr>
          <w:rFonts w:ascii="Arial" w:cs="Arial" w:eastAsia="Arial" w:hAnsi="Arial"/>
          <w:sz w:val="22"/>
          <w:szCs w:val="22"/>
          <w:color w:val="auto"/>
        </w:rPr>
        <w:t>” shall mean, with respect to any Lender that is a fund or commingled investment vehicle that invests in loans, any other fund that invests in loans and is managed or advised by the same investment advisor/manager as such Lender or by an Affiliate of such investment advisor/manager.</w:t>
      </w:r>
    </w:p>
    <w:p>
      <w:pPr>
        <w:spacing w:after="0" w:line="177"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Related Parties</w:t>
      </w:r>
      <w:r>
        <w:rPr>
          <w:rFonts w:ascii="Arial" w:cs="Arial" w:eastAsia="Arial" w:hAnsi="Arial"/>
          <w:sz w:val="21"/>
          <w:szCs w:val="21"/>
          <w:color w:val="auto"/>
        </w:rPr>
        <w:t>” shall mean, with respect to any specified Person, such Person’s Affiliates and the respective directors, trustees, officers, employees, agents and advisors of such Person and such Person’s Affiliates.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3" w:name="page104"/>
    <w:bookmarkEnd w:id="103"/>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shall mean any release, spill, emission, leaking, dumping, injection, pouring, deposit, disposal, discharge, dispersal, leaching or migration into or through the environment or from, within or upon any vessel, vehicle, building, structure, facility or fixture.</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Reportable Event</w:t>
      </w:r>
      <w:r>
        <w:rPr>
          <w:rFonts w:ascii="Arial" w:cs="Arial" w:eastAsia="Arial" w:hAnsi="Arial"/>
          <w:sz w:val="21"/>
          <w:szCs w:val="21"/>
          <w:color w:val="auto"/>
        </w:rPr>
        <w:t>” shall mean any of the events set forth in Section 4043(c) of ERISA or the regulations issued thereunder, other than events for which the thirty (30) day notice period has been waived with respect to a Plan.</w:t>
      </w:r>
    </w:p>
    <w:p>
      <w:pPr>
        <w:spacing w:after="0" w:line="139"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Request for Credit Extension</w:t>
      </w:r>
      <w:r>
        <w:rPr>
          <w:rFonts w:ascii="Arial" w:cs="Arial" w:eastAsia="Arial" w:hAnsi="Arial"/>
          <w:sz w:val="21"/>
          <w:szCs w:val="21"/>
          <w:color w:val="auto"/>
        </w:rPr>
        <w:t xml:space="preserve"> ” shall mean a request by the Borrower in accordance with the terms of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and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or such other form as shall be approved by the Administrative Agent.</w:t>
      </w:r>
    </w:p>
    <w:p>
      <w:pPr>
        <w:spacing w:after="0" w:line="139"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Class Lenders</w:t>
      </w:r>
      <w:r>
        <w:rPr>
          <w:rFonts w:ascii="Arial" w:cs="Arial" w:eastAsia="Arial" w:hAnsi="Arial"/>
          <w:sz w:val="22"/>
          <w:szCs w:val="22"/>
          <w:color w:val="auto"/>
        </w:rPr>
        <w:t>” shall mean, as of any date of determination, Lenders of a Class having more than 50% of the sum of the outstanding Loans and unused Commitments of the applicable Class.</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Lenders</w:t>
      </w:r>
      <w:r>
        <w:rPr>
          <w:rFonts w:ascii="Arial" w:cs="Arial" w:eastAsia="Arial" w:hAnsi="Arial"/>
          <w:sz w:val="21"/>
          <w:szCs w:val="21"/>
          <w:color w:val="auto"/>
        </w:rPr>
        <w:t>” shall mean, at any time, Lenders having Loans and unused Term Loan Commitments representing more than 50% of the sum of all Loans outstanding and unused Term Loan Commitments at such time.</w:t>
      </w:r>
    </w:p>
    <w:p>
      <w:pPr>
        <w:spacing w:after="0" w:line="13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Opinion State</w:t>
      </w:r>
      <w:r>
        <w:rPr>
          <w:rFonts w:ascii="Arial" w:cs="Arial" w:eastAsia="Arial" w:hAnsi="Arial"/>
          <w:sz w:val="22"/>
          <w:szCs w:val="22"/>
          <w:color w:val="auto"/>
        </w:rPr>
        <w:t>” shall mean each of the following states: Pennsylvania, California, Ohio, New York, Illinois, New Jersey, Texas, Michigan, Tennessee, North Carolina, Oregon, Georgia, Maryland, Indiana, Missouri, Wisconsin, South Carolina, Nevada, Minnesota and Utah.</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shall mean the chief executive officer, president, vice president, chief financial officer, treasurer, assistant treasurer, director of treasury or other similar officer of a Loan Party and, as to any document delivered on the Restatement Effective Date, any secretary or assistant secretary of such Loan Party. Any document delivered hereunder that is signed by a Responsible Officer of a Loan Party shall be conclusively presumed by the recipient of such document to have been authorized by all necessary corporate, partnership and/or other action on the part of such Loan Party and such Responsible Officer shall be conclusively presumed by the recipient of such document to have acted on behalf of such Loan Party.</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Restatement 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are satisfied (or waived in accordance with Article 9), which date is September 11, 2019.</w:t>
      </w:r>
    </w:p>
    <w:p>
      <w:pPr>
        <w:spacing w:after="0" w:line="16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Payment</w:t>
      </w:r>
      <w:r>
        <w:rPr>
          <w:rFonts w:ascii="Arial" w:cs="Arial" w:eastAsia="Arial" w:hAnsi="Arial"/>
          <w:sz w:val="22"/>
          <w:szCs w:val="22"/>
          <w:color w:val="auto"/>
        </w:rPr>
        <w:t>” shall mean any dividend or other distribution (whether in cash, securities or other property) with respect to any Equity Interest of the Borrower or any Restricted Subsidiary, or any payment (whether in cash, securities or other property), including any sinking fund or similar deposit, on account of the purchase, redemption, retirement, defeasance, acquisition, cancellation or termination of any such Equity Interest of the Borrower or any Restricted Subsidiary, or on account of any return of capital to the Borrower’s or a Restricted Subsidiary’s stockholders, partners or members (or the equivalent Persons thereof).</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Subsidiary</w:t>
      </w:r>
      <w:r>
        <w:rPr>
          <w:rFonts w:ascii="Arial" w:cs="Arial" w:eastAsia="Arial" w:hAnsi="Arial"/>
          <w:sz w:val="22"/>
          <w:szCs w:val="22"/>
          <w:color w:val="auto"/>
        </w:rPr>
        <w:t>” shall mean each Subsidiary of the Borrower.</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4" w:name="page105"/>
    <w:bookmarkEnd w:id="104"/>
    <w:p>
      <w:pPr>
        <w:ind w:right="24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Percentage</w:t>
      </w:r>
      <w:r>
        <w:rPr>
          <w:rFonts w:ascii="Arial" w:cs="Arial" w:eastAsia="Arial" w:hAnsi="Arial"/>
          <w:sz w:val="22"/>
          <w:szCs w:val="22"/>
          <w:color w:val="auto"/>
        </w:rPr>
        <w:t>” shall mean, with respect to any Excess Cash Flow Period (a) 100% minus (b) the Applicable ECF Percentage with respect to such Excess Cash Flow Period.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shall mean Standard &amp; Poor’s Ratings Service, or any successor thereto.</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and Leaseback Transaction</w:t>
      </w:r>
      <w:r>
        <w:rPr>
          <w:rFonts w:ascii="Arial" w:cs="Arial" w:eastAsia="Arial" w:hAnsi="Arial"/>
          <w:sz w:val="21"/>
          <w:szCs w:val="21"/>
          <w:color w:val="auto"/>
        </w:rPr>
        <w:t>” shall mean any arrangement, directly or indirectly, whereby a seller or transferor shall sell or otherwise transfer any real or personal property and then or thereafter lease, or repurchase under an extended purchase contract, conditional sales or other title retention agreement, the same property.</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“Scheduled Property” shall have the meaning assigned to such term in Section 7.05(l).</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shall mean the Securities and Exchange Commission or any Governmental Authority that is the successor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Intercreditor Agreement</w:t>
      </w:r>
      <w:r>
        <w:rPr>
          <w:rFonts w:ascii="Arial" w:cs="Arial" w:eastAsia="Arial" w:hAnsi="Arial"/>
          <w:sz w:val="22"/>
          <w:szCs w:val="22"/>
          <w:color w:val="auto"/>
        </w:rPr>
        <w:t>” shall mean a “junior lien” intercreditor agreement among the Collateral Agent and one or more Second Lien Representatives for holders of Permitted Second Priority Additional Debt, in form and substance reasonably satisfactory to the Required Lenders and the Borrower.</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Representative</w:t>
      </w:r>
      <w:r>
        <w:rPr>
          <w:rFonts w:ascii="Arial" w:cs="Arial" w:eastAsia="Arial" w:hAnsi="Arial"/>
          <w:sz w:val="22"/>
          <w:szCs w:val="22"/>
          <w:color w:val="auto"/>
        </w:rPr>
        <w:t>” shall mean, with respect to any series of Permitted Second Priority Additional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Parties</w:t>
      </w:r>
      <w:r>
        <w:rPr>
          <w:rFonts w:ascii="Arial" w:cs="Arial" w:eastAsia="Arial" w:hAnsi="Arial"/>
          <w:sz w:val="22"/>
          <w:szCs w:val="22"/>
          <w:color w:val="auto"/>
        </w:rPr>
        <w:t>” shall have the meaning assigned to such term in the Security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Account</w:t>
      </w:r>
      <w:r>
        <w:rPr>
          <w:rFonts w:ascii="Arial" w:cs="Arial" w:eastAsia="Arial" w:hAnsi="Arial"/>
          <w:sz w:val="22"/>
          <w:szCs w:val="22"/>
          <w:color w:val="auto"/>
        </w:rPr>
        <w:t>” as defined in the UCC.</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Securitization Asset</w:t>
      </w:r>
      <w:r>
        <w:rPr>
          <w:rFonts w:ascii="Arial" w:cs="Arial" w:eastAsia="Arial" w:hAnsi="Arial"/>
          <w:sz w:val="22"/>
          <w:szCs w:val="22"/>
          <w:color w:val="auto"/>
        </w:rPr>
        <w:t>” shall mean (a) any accounts receivable or related assets and the collections and proceeds thereof, in each case subject to a Securitization Facility and (b) all collateral securing such receivable or asset, all contracts and contract rights in each case, of the type which would constitute ABL Priority Collateral (as defined in the ABL Intercreditor Agreement), guaranties or other obligations in respect of such receivable or asset, lockbox accounts, books and records with respect to such account or asset and any other assets customarily transferred (or in respect of which security interests are customarily granted) together with accounts or assets in a securitization financing and which in the case of clause (a) and (b) above are sold, conveyed, assigned or otherwise transferred or pledged by any Loan Party in connection with a Qualified Securitization Financing.</w:t>
      </w:r>
    </w:p>
    <w:p>
      <w:pPr>
        <w:spacing w:after="0" w:line="18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Securitization Facility</w:t>
      </w:r>
      <w:r>
        <w:rPr>
          <w:rFonts w:ascii="Arial" w:cs="Arial" w:eastAsia="Arial" w:hAnsi="Arial"/>
          <w:sz w:val="22"/>
          <w:szCs w:val="22"/>
          <w:color w:val="auto"/>
        </w:rPr>
        <w:t>” shall mean any transaction or series of securitization financings that may be entered into by the Borrower or any of its Restricted Subsidiaries pursuant to which the Borrower or any of its Restricted Subsidiaries may sell, convey or otherwise transfer, or may grant a security interest in, Securitization Assets to either (a) any Person that is not a Restricted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jc w:val="both"/>
        <w:spacing w:after="0" w:line="252" w:lineRule="auto"/>
        <w:rPr>
          <w:sz w:val="20"/>
          <w:szCs w:val="20"/>
          <w:color w:val="auto"/>
        </w:rPr>
      </w:pPr>
      <w:r>
        <w:rPr>
          <w:rFonts w:ascii="Arial" w:cs="Arial" w:eastAsia="Arial" w:hAnsi="Arial"/>
          <w:sz w:val="21"/>
          <w:szCs w:val="21"/>
          <w:color w:val="auto"/>
        </w:rPr>
        <w:t xml:space="preserve">Subsidiary or (b) any other Subsidiary of the Borrower (that in turn sells such Securitization Assets to a Securitization Subsidiary) or a Securitization Subsidiary that in turn sells such Securitization Assets to a Person that is not a Restricted Subsidiary, or may grant a security interest in, any Securitization Assets of the Borrower or any of its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it is understood and agreed that the ABL Facility is deemed a Securitization Facility.</w:t>
      </w:r>
    </w:p>
    <w:p>
      <w:pPr>
        <w:spacing w:after="0" w:line="16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Securitization Fees</w:t>
      </w:r>
      <w:r>
        <w:rPr>
          <w:rFonts w:ascii="Arial" w:cs="Arial" w:eastAsia="Arial" w:hAnsi="Arial"/>
          <w:sz w:val="22"/>
          <w:szCs w:val="22"/>
          <w:color w:val="auto"/>
        </w:rPr>
        <w:t>” shall mean distributions or payments made directly or by means of discounts with respect to any Securitization Asset or participation interest therein issued or sold in connection with, and other fees and expenses (including fees and expenses of legal counsel) paid to a Person that is not a Securitization Subsidiary in connection with, any Qualified Securitization Financing or a Receivables Facility.</w:t>
      </w:r>
    </w:p>
    <w:p>
      <w:pPr>
        <w:spacing w:after="0" w:line="18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Securitization Purchase Obligation</w:t>
      </w:r>
      <w:r>
        <w:rPr>
          <w:rFonts w:ascii="Arial" w:cs="Arial" w:eastAsia="Arial" w:hAnsi="Arial"/>
          <w:sz w:val="19"/>
          <w:szCs w:val="19"/>
          <w:color w:val="auto"/>
        </w:rPr>
        <w:t>” shall mean any obligation of the Borrower or a Restricted Subsidiary in respect of Securitization Assets or Receivables Assets in a Qualified Securitization Financing or a Receivables Facility to purchase Securitization Assets arising as a result of a breach of a representation, warranty or covenant or otherwise, including, without limitation, as a result of a receivable or portion thereof becoming subject to any asserted defense, dispute, offset or counterclaim of any kind as a result of any action taken by, any failure to take action by or any other event relating to such party.</w:t>
      </w:r>
    </w:p>
    <w:p>
      <w:pPr>
        <w:spacing w:after="0" w:line="14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Securitization Subsidiary</w:t>
      </w:r>
      <w:r>
        <w:rPr>
          <w:rFonts w:ascii="Arial" w:cs="Arial" w:eastAsia="Arial" w:hAnsi="Arial"/>
          <w:sz w:val="22"/>
          <w:szCs w:val="22"/>
          <w:color w:val="auto"/>
        </w:rPr>
        <w:t>” shall mean any Subsidiary of the Borrower in each case formed for the purpose of and that solely engages in one or more Qualified Securitization Financings and other activities reasonably related thereto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w:t>
      </w:r>
    </w:p>
    <w:p>
      <w:pPr>
        <w:spacing w:after="0" w:line="18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Agreement</w:t>
      </w:r>
      <w:r>
        <w:rPr>
          <w:rFonts w:ascii="Arial" w:cs="Arial" w:eastAsia="Arial" w:hAnsi="Arial"/>
          <w:sz w:val="22"/>
          <w:szCs w:val="22"/>
          <w:color w:val="auto"/>
        </w:rPr>
        <w:t>” shall mean, except as the context may otherwise require, both (a) the Amended and Restated Security Agreement dated as of the Restatement Effective Date among the Borrower, the Guarantors party thereto and the Collateral Agent and (b) the Security and Collateral Agency Agreement, dated as of the date hereof, among the Collateral Agent, as collateral agent and term loan representative, the ABL Agent, as ABL representative, and the Borrower and the other Loan Parties party thereto, as each of the same may be further amended, restated, modified, supplemented, extended, renewed, restructured or replaced.</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Agreement Supplement</w:t>
      </w:r>
      <w:r>
        <w:rPr>
          <w:rFonts w:ascii="Arial" w:cs="Arial" w:eastAsia="Arial" w:hAnsi="Arial"/>
          <w:sz w:val="22"/>
          <w:szCs w:val="22"/>
          <w:color w:val="auto"/>
        </w:rPr>
        <w:t>” shall have the meaning specified in the Security Agreement.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Financial Officer</w:t>
      </w:r>
      <w:r>
        <w:rPr>
          <w:rFonts w:ascii="Arial" w:cs="Arial" w:eastAsia="Arial" w:hAnsi="Arial"/>
          <w:sz w:val="22"/>
          <w:szCs w:val="22"/>
          <w:color w:val="auto"/>
        </w:rPr>
        <w:t>” of any Person shall mean the chief financial officer, principal accounting officer, treasurer, controller or other similar officer of such Person.</w:t>
      </w:r>
    </w:p>
    <w:p>
      <w:pPr>
        <w:spacing w:after="0" w:line="16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Single-Employer Plans</w:t>
      </w:r>
      <w:r>
        <w:rPr>
          <w:rFonts w:ascii="Arial" w:cs="Arial" w:eastAsia="Arial" w:hAnsi="Arial"/>
          <w:sz w:val="19"/>
          <w:szCs w:val="19"/>
          <w:color w:val="auto"/>
        </w:rPr>
        <w:t>” shall mean the Roadway LLC Pension Plan, the Yellow Corporation Pension Plan and the YRC Retiree Pension Plan or any other Plans sponsored or maintained by the Borrower or any Restricted Subsidiary.</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9"/>
          <w:szCs w:val="19"/>
          <w:b w:val="1"/>
          <w:bCs w:val="1"/>
          <w:u w:val="single" w:color="auto"/>
          <w:color w:val="0000FF"/>
        </w:rPr>
        <w:t>“Specified Amendment No. 1 Period” shall mean the “Specified Period” as such term is defined in Amendment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No. 1.</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6" w:name="page107"/>
    <w:bookmarkEnd w:id="106"/>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Default</w:t>
      </w:r>
      <w:r>
        <w:rPr>
          <w:rFonts w:ascii="Arial" w:cs="Arial" w:eastAsia="Arial" w:hAnsi="Arial"/>
          <w:sz w:val="22"/>
          <w:szCs w:val="22"/>
          <w:color w:val="auto"/>
        </w:rPr>
        <w:t xml:space="preserve">” shall mean an Event of Default under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(g)</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“Specified Fiscal Quarter” shall have the meaning assigned to such term in Section 2.06(d).</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Pension Fund Obligations</w:t>
      </w:r>
      <w:r>
        <w:rPr>
          <w:rFonts w:ascii="Arial" w:cs="Arial" w:eastAsia="Arial" w:hAnsi="Arial"/>
          <w:sz w:val="19"/>
          <w:szCs w:val="19"/>
          <w:color w:val="auto"/>
        </w:rPr>
        <w:t>” shall mean the payment obligations due from the Borrower and/or its applicable Subsidiaries to the Pension Fund Entities under the terms and conditions of the Contribution Deferral Agreement.</w:t>
      </w:r>
    </w:p>
    <w:p>
      <w:pPr>
        <w:spacing w:after="0" w:line="9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Transaction</w:t>
      </w:r>
      <w:r>
        <w:rPr>
          <w:rFonts w:ascii="Arial" w:cs="Arial" w:eastAsia="Arial" w:hAnsi="Arial"/>
          <w:sz w:val="21"/>
          <w:szCs w:val="21"/>
          <w:color w:val="auto"/>
        </w:rPr>
        <w:t>” shall mean any Investment that results in a Person becoming a Restricted Subsidiary, any Permitted Acquisition, any Disposition that results in a Restricted Subsidiary ceasing to be a Subsidiary of the Borrower, any Investment constituting an acquisition of assets constituting a business unit, line of business or division of another Person or any Disposition of a business unit, line of business or division of the Borrower or a Restricted Subsidiary, in each case consummated after the Restatement Effective Date and whether by merger, consolidation, amalgamation or otherwise, and any incurrence or repayment of Indebtedness or Restricted Payment, in each case, that by the terms of this Agreement requires a financial ratio or test to be calculated on a “Pro Forma Basis”.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SPV</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10.04(i)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Standard Securitization Undertakings</w:t>
      </w:r>
      <w:r>
        <w:rPr>
          <w:rFonts w:ascii="Arial" w:cs="Arial" w:eastAsia="Arial" w:hAnsi="Arial"/>
          <w:sz w:val="22"/>
          <w:szCs w:val="22"/>
          <w:color w:val="auto"/>
        </w:rPr>
        <w:t>” shall mean representations, warranties, covenants, guarantees and indemnities entered into by the Borrower or any Subsidiary of the Borrower which the Borrower has determined in good faith to be customary in a Securitization Facility, it being understood that any Securitization Purchase Obligation shall be deemed to be a Standard Securitization Undertaking or, in the case of a Receivables Facility, a non-credit related recourse accounts receivable factoring arrangement.</w:t>
      </w:r>
    </w:p>
    <w:p>
      <w:pPr>
        <w:spacing w:after="0" w:line="18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Statutory Reserves</w:t>
      </w:r>
      <w:r>
        <w:rPr>
          <w:rFonts w:ascii="Arial" w:cs="Arial" w:eastAsia="Arial" w:hAnsi="Arial"/>
          <w:sz w:val="21"/>
          <w:szCs w:val="21"/>
          <w:color w:val="auto"/>
        </w:rPr>
        <w:t>”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and any other banking authority, domestic or foreign, to which the Administrative Agent or any Lender (including any branch, Affiliate or other fronting office making or holding a Loan) is subject for Eurocurrency Liabilities (as defined in Regulation D of the Board). Eurodollar Loans shall be deemed to constitute Eurocurrency Liabilities (as defined in Regulation D of the Board)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7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Subordinated Indebtedness</w:t>
      </w:r>
      <w:r>
        <w:rPr>
          <w:rFonts w:ascii="Arial" w:cs="Arial" w:eastAsia="Arial" w:hAnsi="Arial"/>
          <w:sz w:val="22"/>
          <w:szCs w:val="22"/>
          <w:color w:val="auto"/>
        </w:rPr>
        <w:t>” shall mean any Indebtedness that is, or is required to be, subordinated in right of payment to the Obligations.</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of a Person shall mean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(ii) the management of which is otherwise Controlled, directly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2"/>
          <w:szCs w:val="22"/>
          <w:color w:val="auto"/>
        </w:rPr>
        <w:t>or indirectly, through one or more intermediaries, or both, by such Person. Unless otherwise specified, all references herein to a “</w:t>
      </w:r>
      <w:r>
        <w:rPr>
          <w:rFonts w:ascii="Arial" w:cs="Arial" w:eastAsia="Arial" w:hAnsi="Arial"/>
          <w:sz w:val="22"/>
          <w:szCs w:val="22"/>
          <w:b w:val="1"/>
          <w:bCs w:val="1"/>
          <w:color w:val="auto"/>
        </w:rPr>
        <w:t>Subsidiary</w:t>
      </w:r>
      <w:r>
        <w:rPr>
          <w:rFonts w:ascii="Arial" w:cs="Arial" w:eastAsia="Arial" w:hAnsi="Arial"/>
          <w:sz w:val="22"/>
          <w:szCs w:val="22"/>
          <w:color w:val="auto"/>
        </w:rPr>
        <w:t>” or to “</w:t>
      </w:r>
      <w:r>
        <w:rPr>
          <w:rFonts w:ascii="Arial" w:cs="Arial" w:eastAsia="Arial" w:hAnsi="Arial"/>
          <w:sz w:val="22"/>
          <w:szCs w:val="22"/>
          <w:b w:val="1"/>
          <w:bCs w:val="1"/>
          <w:color w:val="auto"/>
        </w:rPr>
        <w:t>Subsidiaries</w:t>
      </w:r>
      <w:r>
        <w:rPr>
          <w:rFonts w:ascii="Arial" w:cs="Arial" w:eastAsia="Arial" w:hAnsi="Arial"/>
          <w:sz w:val="22"/>
          <w:szCs w:val="22"/>
          <w:color w:val="auto"/>
        </w:rPr>
        <w:t>” shall refer to a Subsidiary or Subsidiaries of the Borrower.</w:t>
      </w:r>
    </w:p>
    <w:p>
      <w:pPr>
        <w:spacing w:after="0" w:line="16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Succession Agreement</w:t>
      </w:r>
      <w:r>
        <w:rPr>
          <w:rFonts w:ascii="Arial" w:cs="Arial" w:eastAsia="Arial" w:hAnsi="Arial"/>
          <w:sz w:val="22"/>
          <w:szCs w:val="22"/>
          <w:color w:val="auto"/>
        </w:rPr>
        <w:t>” means that certain Successor Agent Agreement dated as of the Restatement Effective Date, among Cortland Products Corp., as successor agent, Credit Suisse AG, as retiring agent, the Borrower and the Tranche B-2 Term Lenders.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Borrower</w:t>
      </w:r>
      <w:r>
        <w:rPr>
          <w:rFonts w:ascii="Arial" w:cs="Arial" w:eastAsia="Arial" w:hAnsi="Arial"/>
          <w:sz w:val="22"/>
          <w:szCs w:val="22"/>
          <w:color w:val="auto"/>
        </w:rPr>
        <w:t xml:space="preserve">” shall have the meaning specified in </w:t>
      </w:r>
      <w:r>
        <w:rPr>
          <w:rFonts w:ascii="Arial" w:cs="Arial" w:eastAsia="Arial" w:hAnsi="Arial"/>
          <w:sz w:val="22"/>
          <w:szCs w:val="22"/>
          <w:u w:val="single" w:color="auto"/>
          <w:color w:val="auto"/>
        </w:rPr>
        <w:t>Section 7.04(d)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Survey</w:t>
      </w:r>
      <w:r>
        <w:rPr>
          <w:rFonts w:ascii="Arial" w:cs="Arial" w:eastAsia="Arial" w:hAnsi="Arial"/>
          <w:sz w:val="19"/>
          <w:szCs w:val="19"/>
          <w:color w:val="auto"/>
        </w:rPr>
        <w:t>” shall have the meaning assigned to such term in the definition of “Collateral and Guarantee Requirement”.</w:t>
      </w:r>
    </w:p>
    <w:p>
      <w:pPr>
        <w:spacing w:after="0" w:line="241"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Contract</w:t>
      </w:r>
      <w:r>
        <w:rPr>
          <w:rFonts w:ascii="Arial" w:cs="Arial" w:eastAsia="Arial" w:hAnsi="Arial"/>
          <w:sz w:val="19"/>
          <w:szCs w:val="19"/>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b w:val="1"/>
          <w:bCs w:val="1"/>
          <w:color w:val="auto"/>
        </w:rPr>
        <w:t>Master Agreement</w:t>
      </w:r>
      <w:r>
        <w:rPr>
          <w:rFonts w:ascii="Arial" w:cs="Arial" w:eastAsia="Arial" w:hAnsi="Arial"/>
          <w:sz w:val="19"/>
          <w:szCs w:val="19"/>
          <w:color w:val="auto"/>
        </w:rPr>
        <w:t>”), including any such obligations or liabilities under any Master Agreement.</w:t>
      </w:r>
    </w:p>
    <w:p>
      <w:pPr>
        <w:spacing w:after="0" w:line="395"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Termination Value</w:t>
      </w:r>
      <w:r>
        <w:rPr>
          <w:rFonts w:ascii="Arial" w:cs="Arial" w:eastAsia="Arial" w:hAnsi="Arial"/>
          <w:sz w:val="19"/>
          <w:szCs w:val="19"/>
          <w:color w:val="auto"/>
        </w:rPr>
        <w:t>” shall mean,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Borrowing</w:t>
      </w:r>
      <w:r>
        <w:rPr>
          <w:rFonts w:ascii="Arial" w:cs="Arial" w:eastAsia="Arial" w:hAnsi="Arial"/>
          <w:sz w:val="22"/>
          <w:szCs w:val="22"/>
          <w:color w:val="auto"/>
        </w:rPr>
        <w:t>” shall mean a Borrowing comprised of Term Loans.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Lender</w:t>
      </w:r>
      <w:r>
        <w:rPr>
          <w:rFonts w:ascii="Arial" w:cs="Arial" w:eastAsia="Arial" w:hAnsi="Arial"/>
          <w:sz w:val="22"/>
          <w:szCs w:val="22"/>
          <w:color w:val="auto"/>
        </w:rPr>
        <w:t>” shall mean a Lender with a Term Loan Commitment or an outstanding Term Loan.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Commitment</w:t>
      </w:r>
      <w:r>
        <w:rPr>
          <w:rFonts w:ascii="Arial" w:cs="Arial" w:eastAsia="Arial" w:hAnsi="Arial"/>
          <w:sz w:val="22"/>
          <w:szCs w:val="22"/>
          <w:color w:val="auto"/>
        </w:rPr>
        <w:t>” shall mean the Tranche B-2 Term Loan Commitment.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Loans</w:t>
      </w:r>
      <w:r>
        <w:rPr>
          <w:rFonts w:ascii="Arial" w:cs="Arial" w:eastAsia="Arial" w:hAnsi="Arial"/>
          <w:sz w:val="22"/>
          <w:szCs w:val="22"/>
          <w:color w:val="auto"/>
        </w:rPr>
        <w:t>” shall mean the Tranche B-2 Term Loans, Extended Term Loans and Other Term Loans.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8" w:name="page109"/>
    <w:bookmarkEnd w:id="108"/>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Note</w:t>
      </w:r>
      <w:r>
        <w:rPr>
          <w:rFonts w:ascii="Arial" w:cs="Arial" w:eastAsia="Arial" w:hAnsi="Arial"/>
          <w:sz w:val="22"/>
          <w:szCs w:val="22"/>
          <w:color w:val="auto"/>
        </w:rPr>
        <w:t xml:space="preserve">” shall mean a promissory note of the Borrower payable to any Term Lender or its registered assigns, in substantially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hereto, evidencing the aggregate Indebtedness of the Borrower to such Term Lender resulting from the Term Loans made by such Term Lender.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Priority Collateral</w:t>
      </w:r>
      <w:r>
        <w:rPr>
          <w:rFonts w:ascii="Arial" w:cs="Arial" w:eastAsia="Arial" w:hAnsi="Arial"/>
          <w:sz w:val="21"/>
          <w:szCs w:val="21"/>
          <w:color w:val="auto"/>
        </w:rPr>
        <w:t>” shall have the meaning assigned to such term in the ABL Intercreditor Agreement.</w:t>
      </w:r>
    </w:p>
    <w:p>
      <w:pPr>
        <w:spacing w:after="0" w:line="21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Test Period</w:t>
      </w:r>
      <w:r>
        <w:rPr>
          <w:rFonts w:ascii="Arial" w:cs="Arial" w:eastAsia="Arial" w:hAnsi="Arial"/>
          <w:sz w:val="22"/>
          <w:szCs w:val="22"/>
          <w:color w:val="auto"/>
        </w:rPr>
        <w:t xml:space="preserve">” shall mean, for any date of determination under this Agreement, the most recent period as of such date of four consecutive fiscal quarters of the Borrower for which financial statements have been delivered (or were required to have been delivered) pursuant to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6.01(b)</w:t>
      </w:r>
      <w:r>
        <w:rPr>
          <w:rFonts w:ascii="Arial" w:cs="Arial" w:eastAsia="Arial" w:hAnsi="Arial"/>
          <w:sz w:val="22"/>
          <w:szCs w:val="22"/>
          <w:color w:val="auto"/>
        </w:rPr>
        <w:t>, as applicable, or, prior to the first such requirement, the four fiscal quarter period ended June 30, 2019.</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Threshold Amount</w:t>
      </w:r>
      <w:r>
        <w:rPr>
          <w:rFonts w:ascii="Arial" w:cs="Arial" w:eastAsia="Arial" w:hAnsi="Arial"/>
          <w:sz w:val="22"/>
          <w:szCs w:val="22"/>
          <w:color w:val="auto"/>
        </w:rPr>
        <w:t>” shall mean $30,000,000.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Title Company</w:t>
      </w:r>
      <w:r>
        <w:rPr>
          <w:rFonts w:ascii="Arial" w:cs="Arial" w:eastAsia="Arial" w:hAnsi="Arial"/>
          <w:sz w:val="22"/>
          <w:szCs w:val="22"/>
          <w:color w:val="auto"/>
        </w:rPr>
        <w:t>” shall mean Chicago Title Insurance Company.</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Leverage Ratio</w:t>
      </w:r>
      <w:r>
        <w:rPr>
          <w:rFonts w:ascii="Arial" w:cs="Arial" w:eastAsia="Arial" w:hAnsi="Arial"/>
          <w:sz w:val="22"/>
          <w:szCs w:val="22"/>
          <w:color w:val="auto"/>
        </w:rPr>
        <w:t>” shall mean, as of any date, the ratio of (a) Consolidated Total Debt as of such date to (b) Consolidated EBITDA for the Test Period applicable as of such date.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B-2 Term Lender</w:t>
      </w:r>
      <w:r>
        <w:rPr>
          <w:rFonts w:ascii="Arial" w:cs="Arial" w:eastAsia="Arial" w:hAnsi="Arial"/>
          <w:sz w:val="22"/>
          <w:szCs w:val="22"/>
          <w:color w:val="auto"/>
        </w:rPr>
        <w:t>” shall mean a Lender with a Tranche B-2 Term Loan Commitment or an outstanding Tranche B-2 Term Loan.</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B-2 Term Loan Commitment</w:t>
      </w:r>
      <w:r>
        <w:rPr>
          <w:rFonts w:ascii="Arial" w:cs="Arial" w:eastAsia="Arial" w:hAnsi="Arial"/>
          <w:sz w:val="22"/>
          <w:szCs w:val="22"/>
          <w:color w:val="auto"/>
        </w:rPr>
        <w:t>” shall mean, with respect to each Lender, the commitment, if any, of such Lender to make a Tranche B-2 Term Loan hereunder, expressed as an amount representing the maximum principal amount of the Tranche B-2 Term Loan to be made by such Lender hereunder. The initial aggregate amount of the Tranche B-2 Term Loan Commitments as of the Restatement Effective Date is $600,000,000.</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B-2 Term Loans</w:t>
      </w:r>
      <w:r>
        <w:rPr>
          <w:rFonts w:ascii="Arial" w:cs="Arial" w:eastAsia="Arial" w:hAnsi="Arial"/>
          <w:sz w:val="22"/>
          <w:szCs w:val="22"/>
          <w:color w:val="auto"/>
        </w:rPr>
        <w:t xml:space="preserve">” shall mean the term loans made by the Lenders on the Restatement Effective Date to the Borrower pursuant to </w:t>
      </w:r>
      <w:r>
        <w:rPr>
          <w:rFonts w:ascii="Arial" w:cs="Arial" w:eastAsia="Arial" w:hAnsi="Arial"/>
          <w:sz w:val="22"/>
          <w:szCs w:val="22"/>
          <w:u w:val="single" w:color="auto"/>
          <w:color w:val="auto"/>
        </w:rPr>
        <w:t>Section 2.01(b)</w:t>
      </w:r>
      <w:r>
        <w:rPr>
          <w:rFonts w:ascii="Arial" w:cs="Arial" w:eastAsia="Arial" w:hAnsi="Arial"/>
          <w:sz w:val="22"/>
          <w:szCs w:val="22"/>
          <w:color w:val="auto"/>
        </w:rPr>
        <w:t>. For the avoidance of doubt, a Term Loan shall no longer be a “Tranche B-2 Term Loan” when it shall have become an “Extended Term Loan”.</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Expenses</w:t>
      </w:r>
      <w:r>
        <w:rPr>
          <w:rFonts w:ascii="Arial" w:cs="Arial" w:eastAsia="Arial" w:hAnsi="Arial"/>
          <w:sz w:val="21"/>
          <w:szCs w:val="21"/>
          <w:color w:val="auto"/>
        </w:rPr>
        <w:t xml:space="preserve">” shall mean any costs, fees or expenses incurred or paid by the Borrower or any of its Subsidiaries in connection with the Transactions, this Agreement and the other Loan Documents;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amount of Transaction Expenses attributable to clause (b) of the definition of Transactions shall not exceed $250,000.</w:t>
      </w:r>
    </w:p>
    <w:p>
      <w:pPr>
        <w:spacing w:after="0" w:line="16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Transactions</w:t>
      </w:r>
      <w:r>
        <w:rPr>
          <w:rFonts w:ascii="Arial" w:cs="Arial" w:eastAsia="Arial" w:hAnsi="Arial"/>
          <w:sz w:val="19"/>
          <w:szCs w:val="19"/>
          <w:color w:val="auto"/>
        </w:rPr>
        <w:t>” shall mean, collectively, (a) the execution and delivery by the Loan Parties of the Loan Documents to which they are a party and the making of the Borrowings hereunder on the Restatement Effective Date, (b) the execution and delivery by the Borrower and the Subsidiaries party thereto of an amendment to the ABL Facility Documentation in connection with the matters described in clause (a), (c) the Refinancing Transactions and (d) the payment of the Transaction Expenses.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Guarantor</w:t>
      </w:r>
      <w:r>
        <w:rPr>
          <w:rFonts w:ascii="Arial" w:cs="Arial" w:eastAsia="Arial" w:hAnsi="Arial"/>
          <w:sz w:val="22"/>
          <w:szCs w:val="22"/>
          <w:color w:val="auto"/>
        </w:rPr>
        <w:t xml:space="preserve">” shall have the meaning specified in the </w:t>
      </w:r>
      <w:r>
        <w:rPr>
          <w:rFonts w:ascii="Arial" w:cs="Arial" w:eastAsia="Arial" w:hAnsi="Arial"/>
          <w:sz w:val="22"/>
          <w:szCs w:val="22"/>
          <w:u w:val="single" w:color="auto"/>
          <w:color w:val="auto"/>
        </w:rPr>
        <w:t>Section 11.10</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Type</w:t>
      </w:r>
      <w:r>
        <w:rPr>
          <w:rFonts w:ascii="Arial" w:cs="Arial" w:eastAsia="Arial" w:hAnsi="Arial"/>
          <w:sz w:val="22"/>
          <w:szCs w:val="22"/>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22"/>
          <w:szCs w:val="22"/>
          <w:b w:val="1"/>
          <w:bCs w:val="1"/>
          <w:color w:val="auto"/>
        </w:rPr>
        <w:t>Rate</w:t>
      </w:r>
      <w:r>
        <w:rPr>
          <w:rFonts w:ascii="Arial" w:cs="Arial" w:eastAsia="Arial" w:hAnsi="Arial"/>
          <w:sz w:val="22"/>
          <w:szCs w:val="22"/>
          <w:color w:val="auto"/>
        </w:rPr>
        <w:t>” shall mean the Adjusted LIBO Rate and the Alternate Base Rate.</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Unaudited Financial Statements</w:t>
      </w:r>
      <w:r>
        <w:rPr>
          <w:rFonts w:ascii="Arial" w:cs="Arial" w:eastAsia="Arial" w:hAnsi="Arial"/>
          <w:sz w:val="22"/>
          <w:szCs w:val="22"/>
          <w:color w:val="auto"/>
        </w:rPr>
        <w:t>” shall mean the unaudited consolidated balance sheets and related statements of operations and cash flows of the Borrower and its consolidated Subsidiaries as at the end of and for the fiscal quarter ended June 30, 2019.</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Uniform Commercial Code</w:t>
      </w:r>
      <w:r>
        <w:rPr>
          <w:rFonts w:ascii="Arial" w:cs="Arial" w:eastAsia="Arial" w:hAnsi="Arial"/>
          <w:sz w:val="22"/>
          <w:szCs w:val="22"/>
          <w:color w:val="auto"/>
        </w:rPr>
        <w:t>” or “</w:t>
      </w:r>
      <w:r>
        <w:rPr>
          <w:rFonts w:ascii="Arial" w:cs="Arial" w:eastAsia="Arial" w:hAnsi="Arial"/>
          <w:sz w:val="22"/>
          <w:szCs w:val="22"/>
          <w:b w:val="1"/>
          <w:bCs w:val="1"/>
          <w:color w:val="auto"/>
        </w:rPr>
        <w:t>UCC</w:t>
      </w:r>
      <w:r>
        <w:rPr>
          <w:rFonts w:ascii="Arial" w:cs="Arial" w:eastAsia="Arial" w:hAnsi="Arial"/>
          <w:sz w:val="22"/>
          <w:szCs w:val="22"/>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and “</w:t>
      </w:r>
      <w:r>
        <w:rPr>
          <w:rFonts w:ascii="Arial" w:cs="Arial" w:eastAsia="Arial" w:hAnsi="Arial"/>
          <w:sz w:val="22"/>
          <w:szCs w:val="22"/>
          <w:b w:val="1"/>
          <w:bCs w:val="1"/>
          <w:color w:val="auto"/>
        </w:rPr>
        <w:t>U.S.</w:t>
      </w:r>
      <w:r>
        <w:rPr>
          <w:rFonts w:ascii="Arial" w:cs="Arial" w:eastAsia="Arial" w:hAnsi="Arial"/>
          <w:sz w:val="22"/>
          <w:szCs w:val="22"/>
          <w:color w:val="auto"/>
        </w:rPr>
        <w:t>” mean the United States of America.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United States Tax Compliance Certificate</w:t>
      </w:r>
      <w:r>
        <w:rPr>
          <w:rFonts w:ascii="Arial" w:cs="Arial" w:eastAsia="Arial" w:hAnsi="Arial"/>
          <w:sz w:val="21"/>
          <w:szCs w:val="21"/>
          <w:color w:val="auto"/>
        </w:rPr>
        <w:t xml:space="preserve">” shall have the meaning assigned to such term in </w:t>
      </w:r>
      <w:r>
        <w:rPr>
          <w:rFonts w:ascii="Arial" w:cs="Arial" w:eastAsia="Arial" w:hAnsi="Arial"/>
          <w:sz w:val="21"/>
          <w:szCs w:val="21"/>
          <w:u w:val="single" w:color="auto"/>
          <w:color w:val="auto"/>
        </w:rPr>
        <w:t>Section 3.01(d)</w:t>
      </w:r>
      <w:r>
        <w:rPr>
          <w:rFonts w:ascii="Arial" w:cs="Arial" w:eastAsia="Arial" w:hAnsi="Arial"/>
          <w:sz w:val="21"/>
          <w:szCs w:val="21"/>
          <w:color w:val="auto"/>
        </w:rPr>
        <w:t>.</w:t>
      </w:r>
    </w:p>
    <w:p>
      <w:pPr>
        <w:spacing w:after="0" w:line="218"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USA PATRIOT Act</w:t>
      </w:r>
      <w:r>
        <w:rPr>
          <w:rFonts w:ascii="Arial" w:cs="Arial" w:eastAsia="Arial" w:hAnsi="Arial"/>
          <w:sz w:val="19"/>
          <w:szCs w:val="19"/>
          <w:color w:val="auto"/>
        </w:rPr>
        <w:t>” shall mean The Uniting and Strengthening America by Providing Appropriate Tools Required to Intercept and Obstruct Terrorism Act of 2001 (Title III of Pub. L. No. 107-56 (signed into law October 26, 2001)).</w:t>
      </w:r>
    </w:p>
    <w:p>
      <w:pPr>
        <w:spacing w:after="0" w:line="9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Weighted Average Life to Maturity</w:t>
      </w:r>
      <w:r>
        <w:rPr>
          <w:rFonts w:ascii="Arial" w:cs="Arial" w:eastAsia="Arial" w:hAnsi="Arial"/>
          <w:sz w:val="19"/>
          <w:szCs w:val="19"/>
          <w:color w:val="auto"/>
        </w:rPr>
        <w:t xml:space="preserve">” 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that for purposes of determining the Weighted Average Life to Maturity of any Refinanced Debt or any Indebtedness that is being modified, refinanced, refunded, renewed, replaced, restructured or extended (the “</w:t>
      </w:r>
      <w:r>
        <w:rPr>
          <w:rFonts w:ascii="Arial" w:cs="Arial" w:eastAsia="Arial" w:hAnsi="Arial"/>
          <w:sz w:val="19"/>
          <w:szCs w:val="19"/>
          <w:b w:val="1"/>
          <w:bCs w:val="1"/>
          <w:color w:val="auto"/>
        </w:rPr>
        <w:t>Applicable Indebtedness</w:t>
      </w:r>
      <w:r>
        <w:rPr>
          <w:rFonts w:ascii="Arial" w:cs="Arial" w:eastAsia="Arial" w:hAnsi="Arial"/>
          <w:sz w:val="19"/>
          <w:szCs w:val="19"/>
          <w:color w:val="auto"/>
        </w:rPr>
        <w:t>”), the effects of any amortization of or prepayments made on such Applicable Indebtedness prior to the date of the applicable modification, refinancing, restructuring, refunding, renewal, replacement or extension shall be disregarded.</w:t>
      </w:r>
    </w:p>
    <w:p>
      <w:pPr>
        <w:spacing w:after="0" w:line="150"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 owned</w:t>
      </w:r>
      <w:r>
        <w:rPr>
          <w:rFonts w:ascii="Arial" w:cs="Arial" w:eastAsia="Arial" w:hAnsi="Arial"/>
          <w:sz w:val="19"/>
          <w:szCs w:val="19"/>
          <w:color w:val="auto"/>
        </w:rPr>
        <w:t>” shall mean,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2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Withdrawal Liability</w:t>
      </w:r>
      <w:r>
        <w:rPr>
          <w:rFonts w:ascii="Arial" w:cs="Arial" w:eastAsia="Arial" w:hAnsi="Arial"/>
          <w:sz w:val="22"/>
          <w:szCs w:val="22"/>
          <w:color w:val="auto"/>
        </w:rPr>
        <w:t>” shall mean liability to a Multiemployer Plan as a result of a complete or partial withdrawal from such Multiemployer Plan, as such terms are defined in Part I of Subtitle E of Title IV of ERISA.</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Other Interpretive Provisions</w:t>
      </w:r>
    </w:p>
    <w:p>
      <w:pPr>
        <w:spacing w:after="0" w:line="206" w:lineRule="exact"/>
        <w:rPr>
          <w:sz w:val="20"/>
          <w:szCs w:val="20"/>
          <w:color w:val="auto"/>
        </w:rPr>
      </w:pPr>
    </w:p>
    <w:p>
      <w:pPr>
        <w:ind w:right="20" w:firstLine="872"/>
        <w:spacing w:after="0" w:line="250" w:lineRule="auto"/>
        <w:tabs>
          <w:tab w:leader="none" w:pos="1039" w:val="left"/>
        </w:tabs>
        <w:numPr>
          <w:ilvl w:val="0"/>
          <w:numId w:val="55"/>
        </w:numPr>
        <w:rPr>
          <w:rFonts w:ascii="Arial" w:cs="Arial" w:eastAsia="Arial" w:hAnsi="Arial"/>
          <w:sz w:val="22"/>
          <w:szCs w:val="22"/>
          <w:i w:val="1"/>
          <w:iCs w:val="1"/>
          <w:color w:val="auto"/>
        </w:rPr>
      </w:pPr>
      <w:r>
        <w:rPr>
          <w:rFonts w:ascii="Arial" w:cs="Arial" w:eastAsia="Arial" w:hAnsi="Arial"/>
          <w:sz w:val="22"/>
          <w:szCs w:val="22"/>
          <w:color w:val="auto"/>
        </w:rPr>
        <w:t>With reference to this Agreement and each other Loan Document, unless otherwise specified herein or in such other Loan Document: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0" w:name="page111"/>
    <w:bookmarkEnd w:id="110"/>
    <w:p>
      <w:pPr>
        <w:ind w:left="2400" w:hanging="1528"/>
        <w:spacing w:after="0"/>
        <w:tabs>
          <w:tab w:leader="none" w:pos="24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terms.</w:t>
      </w:r>
    </w:p>
    <w:p>
      <w:pPr>
        <w:spacing w:after="0" w:line="188" w:lineRule="exact"/>
        <w:rPr>
          <w:sz w:val="20"/>
          <w:szCs w:val="20"/>
          <w:color w:val="auto"/>
        </w:rPr>
      </w:pPr>
    </w:p>
    <w:p>
      <w:pPr>
        <w:ind w:firstLine="872"/>
        <w:spacing w:after="0" w:line="274" w:lineRule="auto"/>
        <w:tabs>
          <w:tab w:leader="none" w:pos="2411" w:val="left"/>
        </w:tabs>
        <w:numPr>
          <w:ilvl w:val="0"/>
          <w:numId w:val="57"/>
        </w:numPr>
        <w:rPr>
          <w:rFonts w:ascii="Arial" w:cs="Arial" w:eastAsia="Arial" w:hAnsi="Arial"/>
          <w:sz w:val="21"/>
          <w:szCs w:val="21"/>
          <w:color w:val="auto"/>
        </w:rPr>
      </w:pPr>
      <w:r>
        <w:rPr>
          <w:rFonts w:ascii="Arial" w:cs="Arial" w:eastAsia="Arial" w:hAnsi="Arial"/>
          <w:sz w:val="21"/>
          <w:szCs w:val="21"/>
          <w:color w:val="auto"/>
        </w:rPr>
        <w:t>(i) The words “herein,” “hereto,” “hereof” and “hereunder” and words of similar import when used in any Loan Document shall refer to such Loan Document as a whole and not to any particular provision thereof.</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(i)Article, Section, Exhibit and Schedule references are to the Loan Document in which such reference appears.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(ii)The term “including” is by way of example and not limitation.</w:t>
      </w:r>
    </w:p>
    <w:p>
      <w:pPr>
        <w:spacing w:after="0" w:line="206" w:lineRule="exact"/>
        <w:rPr>
          <w:sz w:val="20"/>
          <w:szCs w:val="20"/>
          <w:color w:val="auto"/>
        </w:rPr>
      </w:pPr>
    </w:p>
    <w:p>
      <w:pPr>
        <w:ind w:firstLine="872"/>
        <w:spacing w:after="0" w:line="274" w:lineRule="auto"/>
        <w:tabs>
          <w:tab w:leader="none" w:pos="2399"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term “documents” includes any and all instruments, documents, agreements, certificates, notices, reports, financial statements and other writings, however evidenced, whether in physical or electronic form.</w:t>
      </w:r>
    </w:p>
    <w:p>
      <w:pPr>
        <w:spacing w:after="0" w:line="150" w:lineRule="exact"/>
        <w:rPr>
          <w:rFonts w:ascii="Arial" w:cs="Arial" w:eastAsia="Arial" w:hAnsi="Arial"/>
          <w:sz w:val="21"/>
          <w:szCs w:val="21"/>
          <w:color w:val="auto"/>
        </w:rPr>
      </w:pPr>
    </w:p>
    <w:p>
      <w:pPr>
        <w:jc w:val="both"/>
        <w:ind w:firstLine="872"/>
        <w:spacing w:after="0"/>
        <w:tabs>
          <w:tab w:leader="none" w:pos="2411"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6" w:lineRule="exact"/>
        <w:rPr>
          <w:rFonts w:ascii="Arial" w:cs="Arial" w:eastAsia="Arial" w:hAnsi="Arial"/>
          <w:sz w:val="22"/>
          <w:szCs w:val="22"/>
          <w:color w:val="auto"/>
        </w:rPr>
      </w:pPr>
    </w:p>
    <w:p>
      <w:pPr>
        <w:ind w:right="20" w:firstLine="872"/>
        <w:spacing w:after="0" w:line="328" w:lineRule="auto"/>
        <w:tabs>
          <w:tab w:leader="none" w:pos="239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104" w:lineRule="exact"/>
        <w:rPr>
          <w:rFonts w:ascii="Arial" w:cs="Arial" w:eastAsia="Arial" w:hAnsi="Arial"/>
          <w:sz w:val="19"/>
          <w:szCs w:val="19"/>
          <w:color w:val="auto"/>
        </w:rPr>
      </w:pPr>
    </w:p>
    <w:p>
      <w:pPr>
        <w:ind w:firstLine="872"/>
        <w:spacing w:after="0" w:line="250" w:lineRule="auto"/>
        <w:tabs>
          <w:tab w:leader="none" w:pos="2375"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references to “knowledge” or “awareness” of any Loan Party or a Restricted Subsidiary thereof means the actual knowledge of a Responsible Officer of a Loan Party or such Restricted Subsidiary.</w:t>
      </w:r>
    </w:p>
    <w:p>
      <w:pPr>
        <w:spacing w:after="0" w:line="174" w:lineRule="exact"/>
        <w:rPr>
          <w:rFonts w:ascii="Arial" w:cs="Arial" w:eastAsia="Arial" w:hAnsi="Arial"/>
          <w:sz w:val="22"/>
          <w:szCs w:val="22"/>
          <w:color w:val="auto"/>
        </w:rPr>
      </w:pPr>
    </w:p>
    <w:p>
      <w:pPr>
        <w:ind w:firstLine="872"/>
        <w:spacing w:after="0" w:line="250" w:lineRule="auto"/>
        <w:tabs>
          <w:tab w:leader="none" w:pos="2411"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74" w:lineRule="exact"/>
        <w:rPr>
          <w:rFonts w:ascii="Arial" w:cs="Arial" w:eastAsia="Arial" w:hAnsi="Arial"/>
          <w:sz w:val="22"/>
          <w:szCs w:val="22"/>
          <w:color w:val="auto"/>
        </w:rPr>
      </w:pPr>
    </w:p>
    <w:p>
      <w:pPr>
        <w:ind w:left="2420" w:hanging="1548"/>
        <w:spacing w:after="0"/>
        <w:tabs>
          <w:tab w:leader="none" w:pos="2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word “or” is not exclusive.</w:t>
      </w:r>
    </w:p>
    <w:p>
      <w:pPr>
        <w:spacing w:after="0" w:line="206" w:lineRule="exact"/>
        <w:rPr>
          <w:rFonts w:ascii="Arial" w:cs="Arial" w:eastAsia="Arial" w:hAnsi="Arial"/>
          <w:sz w:val="22"/>
          <w:szCs w:val="22"/>
          <w:color w:val="auto"/>
        </w:rPr>
      </w:pPr>
    </w:p>
    <w:p>
      <w:pPr>
        <w:jc w:val="both"/>
        <w:ind w:firstLine="872"/>
        <w:spacing w:after="0" w:line="273" w:lineRule="auto"/>
        <w:tabs>
          <w:tab w:leader="none" w:pos="2363"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any one of </w:t>
      </w:r>
      <w:r>
        <w:rPr>
          <w:rFonts w:ascii="Arial" w:cs="Arial" w:eastAsia="Arial" w:hAnsi="Arial"/>
          <w:sz w:val="19"/>
          <w:szCs w:val="19"/>
          <w:u w:val="single" w:color="auto"/>
          <w:color w:val="auto"/>
        </w:rPr>
        <w:t>Sections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w:t>
      </w:r>
      <w:r>
        <w:rPr>
          <w:rFonts w:ascii="Arial" w:cs="Arial" w:eastAsia="Arial" w:hAnsi="Arial"/>
          <w:sz w:val="19"/>
          <w:szCs w:val="19"/>
          <w:u w:val="single" w:color="auto"/>
          <w:color w:val="auto"/>
        </w:rPr>
        <w:t>7.06</w:t>
      </w:r>
      <w:r>
        <w:rPr>
          <w:rFonts w:ascii="Arial" w:cs="Arial" w:eastAsia="Arial" w:hAnsi="Arial"/>
          <w:sz w:val="19"/>
          <w:szCs w:val="19"/>
          <w:color w:val="auto"/>
        </w:rPr>
        <w:t xml:space="preserve">, </w:t>
      </w:r>
      <w:r>
        <w:rPr>
          <w:rFonts w:ascii="Arial" w:cs="Arial" w:eastAsia="Arial" w:hAnsi="Arial"/>
          <w:sz w:val="19"/>
          <w:szCs w:val="19"/>
          <w:u w:val="single" w:color="auto"/>
          <w:color w:val="auto"/>
        </w:rPr>
        <w:t>7.08</w:t>
      </w:r>
      <w:r>
        <w:rPr>
          <w:rFonts w:ascii="Arial" w:cs="Arial" w:eastAsia="Arial" w:hAnsi="Arial"/>
          <w:sz w:val="19"/>
          <w:szCs w:val="19"/>
          <w:color w:val="auto"/>
        </w:rPr>
        <w:t xml:space="preserve">, </w:t>
      </w:r>
      <w:r>
        <w:rPr>
          <w:rFonts w:ascii="Arial" w:cs="Arial" w:eastAsia="Arial" w:hAnsi="Arial"/>
          <w:sz w:val="19"/>
          <w:szCs w:val="19"/>
          <w:u w:val="single" w:color="auto"/>
          <w:color w:val="auto"/>
        </w:rPr>
        <w:t>7.09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7.13</w:t>
      </w:r>
      <w:r>
        <w:rPr>
          <w:rFonts w:ascii="Arial" w:cs="Arial" w:eastAsia="Arial" w:hAnsi="Arial"/>
          <w:sz w:val="19"/>
          <w:szCs w:val="19"/>
          <w:color w:val="auto"/>
        </w:rPr>
        <w:t xml:space="preserve">, in the event that any Lien, Investment, Indebtedness, Disposition, Restricted Payment, affiliate transaction, Contractual Obligation or prepayment of Indebtedness meets the criteria of more than one of the categories of transactions permitted pursuant to any clause of such Section, such transaction (or portion thereof) at any time shall be permitted under one or more of such clauses as determined by the Borrower (and the Borrower shall be entitled to redesignate use of any such clauses from time to time) in its sole discretion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permitted to subsequently reclassify any Lien, Investment, Indebtedness, Disposition, Restricted Payment, affiliate transaction, Contractual Obligation or prepayment of Indebtedness as having been incurred under a Non-Fixed Basket if such Lien, Investment, Indebtedness, Disposition, Restricted Payment, affiliate transaction, Contractual Obligation or prepayment of Indebtedness was originally incurred under a Fixed Basket or any other Basket that is not a Non-Fixed Basket. For all purposes hereunder, (x) “</w:t>
      </w:r>
      <w:r>
        <w:rPr>
          <w:rFonts w:ascii="Arial" w:cs="Arial" w:eastAsia="Arial" w:hAnsi="Arial"/>
          <w:sz w:val="19"/>
          <w:szCs w:val="19"/>
          <w:b w:val="1"/>
          <w:bCs w:val="1"/>
          <w:color w:val="auto"/>
        </w:rPr>
        <w:t>Fixed Basket</w:t>
      </w:r>
      <w:r>
        <w:rPr>
          <w:rFonts w:ascii="Arial" w:cs="Arial" w:eastAsia="Arial" w:hAnsi="Arial"/>
          <w:sz w:val="19"/>
          <w:szCs w:val="19"/>
          <w:color w:val="auto"/>
        </w:rPr>
        <w:t>” shall mean any Basket that is subject to a fixed-dollar limit and (y) “</w:t>
      </w:r>
      <w:r>
        <w:rPr>
          <w:rFonts w:ascii="Arial" w:cs="Arial" w:eastAsia="Arial" w:hAnsi="Arial"/>
          <w:sz w:val="19"/>
          <w:szCs w:val="19"/>
          <w:b w:val="1"/>
          <w:bCs w:val="1"/>
          <w:color w:val="auto"/>
        </w:rPr>
        <w:t>Non-Fixed Basket</w:t>
      </w:r>
      <w:r>
        <w:rPr>
          <w:rFonts w:ascii="Arial" w:cs="Arial" w:eastAsia="Arial" w:hAnsi="Arial"/>
          <w:sz w:val="19"/>
          <w:szCs w:val="19"/>
          <w:color w:val="auto"/>
        </w:rPr>
        <w:t>” shall mean any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spacing w:after="0" w:line="250" w:lineRule="auto"/>
        <w:rPr>
          <w:sz w:val="20"/>
          <w:szCs w:val="20"/>
          <w:color w:val="auto"/>
        </w:rPr>
      </w:pPr>
      <w:r>
        <w:rPr>
          <w:rFonts w:ascii="Arial" w:cs="Arial" w:eastAsia="Arial" w:hAnsi="Arial"/>
          <w:sz w:val="22"/>
          <w:szCs w:val="22"/>
          <w:color w:val="auto"/>
        </w:rPr>
        <w:t>Basket that is subject to compliance with a financial ratio or test (including Total Net Leverage Ratio) or based on a percentage of Consolidated EBITDA or total assets.</w:t>
      </w:r>
    </w:p>
    <w:p>
      <w:pPr>
        <w:spacing w:after="0" w:line="175" w:lineRule="exact"/>
        <w:rPr>
          <w:sz w:val="20"/>
          <w:szCs w:val="20"/>
          <w:color w:val="auto"/>
        </w:rPr>
      </w:pPr>
    </w:p>
    <w:p>
      <w:pPr>
        <w:ind w:left="2380" w:hanging="1508"/>
        <w:spacing w:after="0"/>
        <w:tabs>
          <w:tab w:leader="none" w:pos="23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usage of the term “written” includes electronic messages, including e-mail.</w:t>
      </w:r>
    </w:p>
    <w:p>
      <w:pPr>
        <w:spacing w:after="0" w:line="206" w:lineRule="exact"/>
        <w:rPr>
          <w:rFonts w:ascii="Arial" w:cs="Arial" w:eastAsia="Arial" w:hAnsi="Arial"/>
          <w:sz w:val="22"/>
          <w:szCs w:val="22"/>
          <w:color w:val="auto"/>
        </w:rPr>
      </w:pPr>
    </w:p>
    <w:p>
      <w:pPr>
        <w:ind w:right="80" w:firstLine="872"/>
        <w:spacing w:after="0" w:line="248" w:lineRule="auto"/>
        <w:tabs>
          <w:tab w:leader="none" w:pos="2411"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reference herein or in any other Loan Document to (i) a transfer, assignment, sale, disposition or transfer, or similar term, shall be deemed to apply to a division of or by a limited liability company, or an allocation of assets to a series of a limited liability company, as if it were a transfer, assignment, sale or transfer, or similar term, as applicable, to a separate Person, and (ii) a merger, consolidation, amalgamation or consolidation, or similar term, shall be deemed to apply to the unwinding of such a division or allocation, as if it were a merger, consolidation, amalgamation or consolidation or similar term, as applicable, with a separate Person.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Certifications</w:t>
      </w:r>
    </w:p>
    <w:p>
      <w:pPr>
        <w:spacing w:after="0" w:line="206" w:lineRule="exact"/>
        <w:rPr>
          <w:sz w:val="20"/>
          <w:szCs w:val="20"/>
          <w:color w:val="auto"/>
        </w:rPr>
      </w:pPr>
    </w:p>
    <w:p>
      <w:pPr>
        <w:jc w:val="both"/>
        <w:ind w:firstLine="872"/>
        <w:spacing w:after="0"/>
        <w:tabs>
          <w:tab w:leader="none" w:pos="1026" w:val="left"/>
        </w:tabs>
        <w:numPr>
          <w:ilvl w:val="0"/>
          <w:numId w:val="60"/>
        </w:numPr>
        <w:rPr>
          <w:rFonts w:ascii="Arial" w:cs="Arial" w:eastAsia="Arial" w:hAnsi="Arial"/>
          <w:sz w:val="22"/>
          <w:szCs w:val="22"/>
          <w:i w:val="1"/>
          <w:iCs w:val="1"/>
          <w:color w:val="auto"/>
        </w:rPr>
      </w:pPr>
      <w:r>
        <w:rPr>
          <w:rFonts w:ascii="Arial" w:cs="Arial" w:eastAsia="Arial" w:hAnsi="Arial"/>
          <w:sz w:val="22"/>
          <w:szCs w:val="22"/>
          <w:color w:val="auto"/>
        </w:rPr>
        <w:t>All certifications to be made hereunder by an officer or representative of a Loan Party shall be made by such a Person in his or her capacity solely as an officer or representative of such Loan Party, on such Loan Party’s behalf and not in such Person’s individual capacity.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Accounting Terms</w:t>
      </w:r>
    </w:p>
    <w:p>
      <w:pPr>
        <w:spacing w:after="0" w:line="206" w:lineRule="exact"/>
        <w:rPr>
          <w:sz w:val="20"/>
          <w:szCs w:val="20"/>
          <w:color w:val="auto"/>
        </w:rPr>
      </w:pPr>
    </w:p>
    <w:p>
      <w:pPr>
        <w:jc w:val="both"/>
        <w:ind w:firstLine="872"/>
        <w:spacing w:after="0" w:line="257" w:lineRule="auto"/>
        <w:tabs>
          <w:tab w:leader="none" w:pos="1080" w:val="left"/>
        </w:tabs>
        <w:numPr>
          <w:ilvl w:val="0"/>
          <w:numId w:val="61"/>
        </w:numPr>
        <w:rPr>
          <w:rFonts w:ascii="Arial" w:cs="Arial" w:eastAsia="Arial" w:hAnsi="Arial"/>
          <w:sz w:val="21"/>
          <w:szCs w:val="21"/>
          <w:i w:val="1"/>
          <w:iCs w:val="1"/>
          <w:color w:val="auto"/>
        </w:rPr>
      </w:pPr>
      <w:r>
        <w:rPr>
          <w:rFonts w:ascii="Arial" w:cs="Arial" w:eastAsia="Arial" w:hAnsi="Arial"/>
          <w:sz w:val="21"/>
          <w:szCs w:val="21"/>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or therein.</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Rounding</w:t>
      </w:r>
    </w:p>
    <w:p>
      <w:pPr>
        <w:spacing w:after="0" w:line="206" w:lineRule="exact"/>
        <w:rPr>
          <w:sz w:val="20"/>
          <w:szCs w:val="20"/>
          <w:color w:val="auto"/>
        </w:rPr>
      </w:pPr>
    </w:p>
    <w:p>
      <w:pPr>
        <w:jc w:val="both"/>
        <w:ind w:firstLine="872"/>
        <w:spacing w:after="0" w:line="287" w:lineRule="auto"/>
        <w:tabs>
          <w:tab w:leader="none" w:pos="1026" w:val="left"/>
        </w:tabs>
        <w:numPr>
          <w:ilvl w:val="0"/>
          <w:numId w:val="62"/>
        </w:numPr>
        <w:rPr>
          <w:rFonts w:ascii="Arial" w:cs="Arial" w:eastAsia="Arial" w:hAnsi="Arial"/>
          <w:sz w:val="19"/>
          <w:szCs w:val="19"/>
          <w:i w:val="1"/>
          <w:iCs w:val="1"/>
          <w:color w:val="auto"/>
        </w:rPr>
      </w:pPr>
      <w:r>
        <w:rPr>
          <w:rFonts w:ascii="Arial" w:cs="Arial" w:eastAsia="Arial" w:hAnsi="Arial"/>
          <w:sz w:val="19"/>
          <w:szCs w:val="19"/>
          <w:color w:val="auto"/>
        </w:rPr>
        <w:t>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References to Agreements, Laws, Etc</w:t>
      </w:r>
    </w:p>
    <w:p>
      <w:pPr>
        <w:spacing w:after="0" w:line="206" w:lineRule="exact"/>
        <w:rPr>
          <w:sz w:val="20"/>
          <w:szCs w:val="20"/>
          <w:color w:val="auto"/>
        </w:rPr>
      </w:pPr>
    </w:p>
    <w:p>
      <w:pPr>
        <w:jc w:val="both"/>
        <w:ind w:firstLine="872"/>
        <w:spacing w:after="0" w:line="279" w:lineRule="auto"/>
        <w:tabs>
          <w:tab w:leader="none" w:pos="1066" w:val="left"/>
        </w:tabs>
        <w:numPr>
          <w:ilvl w:val="0"/>
          <w:numId w:val="63"/>
        </w:numPr>
        <w:rPr>
          <w:rFonts w:ascii="Arial" w:cs="Arial" w:eastAsia="Arial" w:hAnsi="Arial"/>
          <w:sz w:val="19"/>
          <w:szCs w:val="19"/>
          <w:i w:val="1"/>
          <w:iCs w:val="1"/>
          <w:color w:val="auto"/>
        </w:rPr>
      </w:pPr>
      <w:r>
        <w:rPr>
          <w:rFonts w:ascii="Arial" w:cs="Arial" w:eastAsia="Arial" w:hAnsi="Arial"/>
          <w:sz w:val="19"/>
          <w:szCs w:val="19"/>
          <w:color w:val="auto"/>
        </w:rPr>
        <w:t>Unless otherwise expressly provided herein, (a) references to Organization Documents, agreements (including the Loan Documents) and other contractual instruments shall be deemed to include all subsequent amendments, restatements, extensions, supplements, replacements, extensions, renewals, refinancings, restructurings and other modifications thereto, but only to the extent that such amendments, restatements, extensions, supplements, replacements, extensions, renewals, refinancings, restructurings and other modifications are not prohibited by hereby; and (b) references to any Law shall include all statutory and regulatory provisions consolidating, amending, replacing, supplementing or interpreting such Law.</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Times of Day</w:t>
      </w:r>
    </w:p>
    <w:p>
      <w:pPr>
        <w:spacing w:after="0" w:line="206" w:lineRule="exact"/>
        <w:rPr>
          <w:sz w:val="20"/>
          <w:szCs w:val="20"/>
          <w:color w:val="auto"/>
        </w:rPr>
      </w:pPr>
    </w:p>
    <w:p>
      <w:pPr>
        <w:ind w:firstLine="872"/>
        <w:spacing w:after="0" w:line="250" w:lineRule="auto"/>
        <w:tabs>
          <w:tab w:leader="none" w:pos="1080" w:val="left"/>
        </w:tabs>
        <w:numPr>
          <w:ilvl w:val="0"/>
          <w:numId w:val="64"/>
        </w:numPr>
        <w:rPr>
          <w:rFonts w:ascii="Arial" w:cs="Arial" w:eastAsia="Arial" w:hAnsi="Arial"/>
          <w:sz w:val="22"/>
          <w:szCs w:val="22"/>
          <w:i w:val="1"/>
          <w:iCs w:val="1"/>
          <w:color w:val="auto"/>
        </w:rPr>
      </w:pPr>
      <w:r>
        <w:rPr>
          <w:rFonts w:ascii="Arial" w:cs="Arial" w:eastAsia="Arial" w:hAnsi="Arial"/>
          <w:sz w:val="22"/>
          <w:szCs w:val="22"/>
          <w:color w:val="auto"/>
        </w:rPr>
        <w:t>Unless otherwise specified, all references herein to times of day shall be references to Eastern time (daylight or standard, as applicable).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Timing of Payment or Performance</w:t>
      </w:r>
    </w:p>
    <w:p>
      <w:pPr>
        <w:spacing w:after="0" w:line="206" w:lineRule="exact"/>
        <w:rPr>
          <w:sz w:val="20"/>
          <w:szCs w:val="20"/>
          <w:color w:val="auto"/>
        </w:rPr>
      </w:pPr>
    </w:p>
    <w:p>
      <w:pPr>
        <w:ind w:firstLine="872"/>
        <w:spacing w:after="0" w:line="328" w:lineRule="auto"/>
        <w:tabs>
          <w:tab w:leader="none" w:pos="1093" w:val="left"/>
        </w:tabs>
        <w:numPr>
          <w:ilvl w:val="0"/>
          <w:numId w:val="65"/>
        </w:numPr>
        <w:rPr>
          <w:rFonts w:ascii="Arial" w:cs="Arial" w:eastAsia="Arial" w:hAnsi="Arial"/>
          <w:sz w:val="19"/>
          <w:szCs w:val="19"/>
          <w:i w:val="1"/>
          <w:iCs w:val="1"/>
          <w:color w:val="auto"/>
        </w:rPr>
      </w:pPr>
      <w:r>
        <w:rPr>
          <w:rFonts w:ascii="Arial" w:cs="Arial" w:eastAsia="Arial" w:hAnsi="Arial"/>
          <w:sz w:val="19"/>
          <w:szCs w:val="19"/>
          <w:color w:val="auto"/>
        </w:rPr>
        <w:t>Except as otherwise expressly provided herein, when the payment of any obligation or the performance of any covenant, duty or obligation is stated to be due or performance required on a day which is not a Business Day, the date of such</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2" w:name="page113"/>
    <w:bookmarkEnd w:id="112"/>
    <w:p>
      <w:pPr>
        <w:ind w:right="20"/>
        <w:spacing w:after="0" w:line="250" w:lineRule="auto"/>
        <w:rPr>
          <w:sz w:val="20"/>
          <w:szCs w:val="20"/>
          <w:color w:val="auto"/>
        </w:rPr>
      </w:pPr>
      <w:r>
        <w:rPr>
          <w:rFonts w:ascii="Arial" w:cs="Arial" w:eastAsia="Arial" w:hAnsi="Arial"/>
          <w:sz w:val="22"/>
          <w:szCs w:val="22"/>
          <w:color w:val="auto"/>
        </w:rPr>
        <w:t>payment (other than as described in the definition of Interest Period) or performance shall extend to the immediately succeeding Business Day.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Cumulative Credit Transactions</w:t>
      </w:r>
    </w:p>
    <w:p>
      <w:pPr>
        <w:spacing w:after="0" w:line="206" w:lineRule="exact"/>
        <w:rPr>
          <w:sz w:val="20"/>
          <w:szCs w:val="20"/>
          <w:color w:val="auto"/>
        </w:rPr>
      </w:pPr>
    </w:p>
    <w:p>
      <w:pPr>
        <w:jc w:val="both"/>
        <w:ind w:firstLine="872"/>
        <w:spacing w:after="0" w:line="238" w:lineRule="auto"/>
        <w:tabs>
          <w:tab w:leader="none" w:pos="1026" w:val="left"/>
        </w:tabs>
        <w:numPr>
          <w:ilvl w:val="0"/>
          <w:numId w:val="66"/>
        </w:numPr>
        <w:rPr>
          <w:rFonts w:ascii="Arial" w:cs="Arial" w:eastAsia="Arial" w:hAnsi="Arial"/>
          <w:sz w:val="22"/>
          <w:szCs w:val="22"/>
          <w:i w:val="1"/>
          <w:iCs w:val="1"/>
          <w:color w:val="auto"/>
        </w:rPr>
      </w:pPr>
      <w:r>
        <w:rPr>
          <w:rFonts w:ascii="Arial" w:cs="Arial" w:eastAsia="Arial" w:hAnsi="Arial"/>
          <w:sz w:val="22"/>
          <w:szCs w:val="22"/>
          <w:color w:val="auto"/>
        </w:rPr>
        <w:t>If more than one action occurs on any given date the permissibility of the taking of which is determined hereunder by reference to the amount of the Cumulative Credit immediately prior to the taking of such action, the permissibility of the taking of each such action shall be determined independently and in no event may any two or more such actions be treated as occurring simultaneously.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Pro Forma Calculations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6" w:lineRule="auto"/>
        <w:tabs>
          <w:tab w:leader="none" w:pos="2399"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the Total Leverage Ratio shall be calculated in the manner prescribed by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notwithstanding anything to the contrary in clauses (b), (c) or (d) of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when calculating the Total Leverage Ratio for purposes of the Applicable ECF Percentage of Excess Cash Flow, the events described in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that occurred subsequent to the end of the applicable Test Period shall not be given pro forma effect (provided, further, that the foregoing limitation will not be constituted to limit the deductibility of any amounts that are committed to be made or paid or are reasonably expected to be paid in the calculation of Excess Cash Flow for any period as provided for in the definition of Excess Cash Flow).</w:t>
      </w:r>
    </w:p>
    <w:p>
      <w:pPr>
        <w:spacing w:after="0" w:line="184" w:lineRule="exact"/>
        <w:rPr>
          <w:rFonts w:ascii="Arial" w:cs="Arial" w:eastAsia="Arial" w:hAnsi="Arial"/>
          <w:sz w:val="21"/>
          <w:szCs w:val="21"/>
          <w:color w:val="auto"/>
        </w:rPr>
      </w:pPr>
    </w:p>
    <w:p>
      <w:pPr>
        <w:jc w:val="both"/>
        <w:ind w:firstLine="872"/>
        <w:spacing w:after="0" w:line="245" w:lineRule="auto"/>
        <w:tabs>
          <w:tab w:leader="none" w:pos="2411"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For purposes of calculating the Total Leverage Ratio, Specified Transactions (and the incurrence or repayment of any Indebtedness in connection therewith) that have been made (i) during the applicable Test Period or (ii) subsequent to such Test Period and prior to or simultaneously with the event for which the calculation of any such ratio is made shall be calculated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then the Total Leverage Ratio shall be calculated to give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effect thereto in accordance with this </w:t>
      </w:r>
      <w:r>
        <w:rPr>
          <w:rFonts w:ascii="Arial" w:cs="Arial" w:eastAsia="Arial" w:hAnsi="Arial"/>
          <w:sz w:val="21"/>
          <w:szCs w:val="21"/>
          <w:u w:val="single" w:color="auto"/>
          <w:color w:val="auto"/>
        </w:rPr>
        <w:t>Section 1.10</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872"/>
        <w:spacing w:after="0" w:line="234" w:lineRule="auto"/>
        <w:tabs>
          <w:tab w:leader="none" w:pos="2399"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Whenever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effect is to be given to a Specified Transaction, the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calculations shall be made in good faith by a Senior Financial Officer of the Borrower and may include, for the avoidance of doubt, Cost Savings to the extent permitted by, and subject to the requirements of, clause (a)(viii) of the definition of “Consolidated EBITDA”. Notwithstanding the foregoing, all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adjustments under this clause (c) shall not, taken together with those added pursuant to clause (a)(viii) of the definition of “Consolidated EBITDA”, increase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Consolidated EBITDA by more than 5% for any Test Period (calculated prior to giving effect to any addback pursuant to this clause (c) or clause (a)(viii) of the definition of “Consolidated EBITDA”).</w:t>
      </w:r>
    </w:p>
    <w:p>
      <w:pPr>
        <w:spacing w:after="0" w:line="190" w:lineRule="exact"/>
        <w:rPr>
          <w:rFonts w:ascii="Arial" w:cs="Arial" w:eastAsia="Arial" w:hAnsi="Arial"/>
          <w:sz w:val="22"/>
          <w:szCs w:val="22"/>
          <w:color w:val="auto"/>
        </w:rPr>
      </w:pPr>
    </w:p>
    <w:p>
      <w:pPr>
        <w:ind w:firstLine="872"/>
        <w:spacing w:after="0" w:line="250" w:lineRule="auto"/>
        <w:tabs>
          <w:tab w:leader="none" w:pos="2411"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event that the Borrower or any Restricted Subsidiary incurs (including by assumption or guarantees) or repays (including by redemption, repayment, retirement or</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jc w:val="both"/>
        <w:spacing w:after="0" w:line="273" w:lineRule="auto"/>
        <w:rPr>
          <w:sz w:val="20"/>
          <w:szCs w:val="20"/>
          <w:color w:val="auto"/>
        </w:rPr>
      </w:pPr>
      <w:r>
        <w:rPr>
          <w:rFonts w:ascii="Arial" w:cs="Arial" w:eastAsia="Arial" w:hAnsi="Arial"/>
          <w:sz w:val="19"/>
          <w:szCs w:val="19"/>
          <w:color w:val="auto"/>
        </w:rPr>
        <w:t xml:space="preserve">extinguishment) any Indebtedness included in the calculations of the Total Leverage Ratio (other than Indebtedness incurred or repaid under any revolving credit facility in the ordinary course of business for working capital purposes and not incurred in reliance on </w:t>
      </w:r>
      <w:r>
        <w:rPr>
          <w:rFonts w:ascii="Arial" w:cs="Arial" w:eastAsia="Arial" w:hAnsi="Arial"/>
          <w:sz w:val="19"/>
          <w:szCs w:val="19"/>
          <w:u w:val="single" w:color="auto"/>
          <w:color w:val="auto"/>
        </w:rPr>
        <w:t>Section 7.03(t)</w:t>
      </w:r>
      <w:r>
        <w:rPr>
          <w:rFonts w:ascii="Arial" w:cs="Arial" w:eastAsia="Arial" w:hAnsi="Arial"/>
          <w:sz w:val="19"/>
          <w:szCs w:val="19"/>
          <w:color w:val="auto"/>
        </w:rPr>
        <w:t xml:space="preserve">), (i) during the applicable Test Period or (ii) subsequent to the end of the applicable Test Period and prior to or simultaneously with the event for which the calculation of any such ratio is made, then the Total Leverage Ratio shall be calculated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incurrence or repayment of Indebtedness, to the extent required, as if the same had occurred on the last day of the applicable Test Period of the Total Leverage Ratio. Interest on a Capitalized Lease shall be deemed to accrue at an interest rate reasonably determined by a responsible financial or accounting officer of the Borrower to be the rate of interest implicit in such Capitalized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Borrower or Restricted Subsidiary may designate.</w:t>
      </w:r>
    </w:p>
    <w:p>
      <w:pPr>
        <w:spacing w:after="0" w:line="155" w:lineRule="exact"/>
        <w:rPr>
          <w:sz w:val="20"/>
          <w:szCs w:val="20"/>
          <w:color w:val="auto"/>
        </w:rPr>
      </w:pPr>
    </w:p>
    <w:p>
      <w:pPr>
        <w:jc w:val="both"/>
        <w:ind w:firstLine="872"/>
        <w:spacing w:after="0" w:line="238" w:lineRule="auto"/>
        <w:tabs>
          <w:tab w:leader="none" w:pos="2399" w:val="left"/>
        </w:tabs>
        <w:numPr>
          <w:ilvl w:val="0"/>
          <w:numId w:val="68"/>
        </w:numPr>
        <w:rPr>
          <w:rFonts w:ascii="Arial" w:cs="Arial" w:eastAsia="Arial" w:hAnsi="Arial"/>
          <w:sz w:val="22"/>
          <w:szCs w:val="22"/>
          <w:color w:val="auto"/>
        </w:rPr>
      </w:pPr>
      <w:r>
        <w:rPr>
          <w:rFonts w:ascii="Arial" w:cs="Arial" w:eastAsia="Arial" w:hAnsi="Arial"/>
          <w:sz w:val="22"/>
          <w:szCs w:val="22"/>
          <w:color w:val="auto"/>
        </w:rPr>
        <w:t>Whenever any provision of this Agreement requires the Borrower to have a Total Leverage Ratio on a Pro Forma Basis in connection with any action to be taken by the Borrower hereunder, the Borrower shall deliver to the Administrative Agent a certificate of a Responsible Officer setting forth in reasonable detail the calculations demonstrating such compliance or such Total Leverage Ratio.</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Certain Accounting Matters</w:t>
      </w:r>
    </w:p>
    <w:p>
      <w:pPr>
        <w:spacing w:after="0" w:line="206" w:lineRule="exact"/>
        <w:rPr>
          <w:sz w:val="20"/>
          <w:szCs w:val="20"/>
          <w:color w:val="auto"/>
        </w:rPr>
      </w:pPr>
    </w:p>
    <w:p>
      <w:pPr>
        <w:jc w:val="both"/>
        <w:ind w:firstLine="872"/>
        <w:spacing w:after="0" w:line="270" w:lineRule="auto"/>
        <w:tabs>
          <w:tab w:leader="none" w:pos="1039" w:val="left"/>
        </w:tabs>
        <w:numPr>
          <w:ilvl w:val="0"/>
          <w:numId w:val="69"/>
        </w:numPr>
        <w:rPr>
          <w:rFonts w:ascii="Arial" w:cs="Arial" w:eastAsia="Arial" w:hAnsi="Arial"/>
          <w:sz w:val="19"/>
          <w:szCs w:val="19"/>
          <w:i w:val="1"/>
          <w:iCs w:val="1"/>
          <w:color w:val="auto"/>
        </w:rPr>
      </w:pPr>
      <w:r>
        <w:rPr>
          <w:rFonts w:ascii="Arial" w:cs="Arial" w:eastAsia="Arial" w:hAnsi="Arial"/>
          <w:sz w:val="19"/>
          <w:szCs w:val="19"/>
          <w:color w:val="auto"/>
        </w:rPr>
        <w:t xml:space="preserve">Notwithstanding any other provision contained herein or in any other Loan Document, all terms of an accounting or financial nature used herein shall be construed, and all computations of amounts and ratios referred to herein shall be made, (a) without giving effect to any election under Statement of Financial Accounting Standards 159 or Accounting Standards Codification 825-10-25 (or any other Accounting Standards Codification or Financial Accounting Standard having a similar result or effect) to value any Indebtedness or other liabilities of the Borrower or any of its Restricted Subsidiaries at “fair value”, as defined therein; and (b) without giving effect to any treatment of Indebtedness in respect of convertible debt instruments under Accounting Standards Codification 470-20 and/or Statement of Financial Accounting Standards 150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Furthermore, unless the Borrower elects otherwise, notwithstanding any other provision contained herein or in any other Loan Document, for all purposes under this Agreement and the other Loan Documents, including negative covenants, financials covenants and component definitions, operating leases and Capitalized Leases will be deemed to be treated in a manner consistent with their current treatment under GAAP as in effect on December 31, 2018, notwithstanding any modifications or interpretive changes thereto that may occur thereafter. For the avoidance of doubt, the principal amount of any non-interest bearing Indebtedness or other discount security constituting Indebtedness at any date shall be the principal amount thereof that would be shown on a balance sheet of the Borrower dated such date prepared in accordance with GAAP, except as expressly set forth in clauses (a) and (b) of this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Classification of Loans and Borrowings</w:t>
      </w:r>
    </w:p>
    <w:p>
      <w:pPr>
        <w:spacing w:after="0" w:line="206" w:lineRule="exact"/>
        <w:rPr>
          <w:sz w:val="20"/>
          <w:szCs w:val="20"/>
          <w:color w:val="auto"/>
        </w:rPr>
      </w:pPr>
    </w:p>
    <w:p>
      <w:pPr>
        <w:ind w:left="1040" w:hanging="168"/>
        <w:spacing w:after="0"/>
        <w:tabs>
          <w:tab w:leader="none" w:pos="1040" w:val="left"/>
        </w:tabs>
        <w:numPr>
          <w:ilvl w:val="0"/>
          <w:numId w:val="70"/>
        </w:numPr>
        <w:rPr>
          <w:rFonts w:ascii="Arial" w:cs="Arial" w:eastAsia="Arial" w:hAnsi="Arial"/>
          <w:sz w:val="19"/>
          <w:szCs w:val="19"/>
          <w:i w:val="1"/>
          <w:iCs w:val="1"/>
          <w:color w:val="auto"/>
        </w:rPr>
      </w:pPr>
      <w:r>
        <w:rPr>
          <w:rFonts w:ascii="Arial" w:cs="Arial" w:eastAsia="Arial" w:hAnsi="Arial"/>
          <w:sz w:val="19"/>
          <w:szCs w:val="19"/>
          <w:color w:val="auto"/>
        </w:rPr>
        <w:t>For purposes of this Agreement, Loans may be classified and referred to by Class (e.g., a “Tranche B-2 Term Loan”)</w:t>
      </w:r>
    </w:p>
    <w:p>
      <w:pPr>
        <w:spacing w:after="0" w:line="42"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or by Type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jc w:val="both"/>
        <w:spacing w:after="0"/>
        <w:rPr>
          <w:sz w:val="20"/>
          <w:szCs w:val="20"/>
          <w:color w:val="auto"/>
        </w:rPr>
      </w:pPr>
      <w:r>
        <w:rPr>
          <w:rFonts w:ascii="Arial" w:cs="Arial" w:eastAsia="Arial" w:hAnsi="Arial"/>
          <w:sz w:val="22"/>
          <w:szCs w:val="22"/>
          <w:color w:val="auto"/>
        </w:rPr>
        <w:t>(e.g., a “Eurodollar Loan”) or by Class and Type (e.g., a “Eurodollar Term Loan”). Borrowings also may be classified and referred to by Class (e.g., a “Term Borrowing”) or by Type (e.g., a “Eurodollar Borrowing”) or by Class and Type (e.g., a “Eurodollar Term Borrowing”).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Currency Equivalents Generally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5" w:lineRule="auto"/>
        <w:tabs>
          <w:tab w:leader="none" w:pos="2399"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Sections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w:t>
      </w:r>
      <w:r>
        <w:rPr>
          <w:rFonts w:ascii="Arial" w:cs="Arial" w:eastAsia="Arial" w:hAnsi="Arial"/>
          <w:sz w:val="19"/>
          <w:szCs w:val="19"/>
          <w:u w:val="single" w:color="auto"/>
          <w:color w:val="auto"/>
        </w:rPr>
        <w:t>7.06</w:t>
      </w:r>
      <w:r>
        <w:rPr>
          <w:rFonts w:ascii="Arial" w:cs="Arial" w:eastAsia="Arial" w:hAnsi="Arial"/>
          <w:sz w:val="19"/>
          <w:szCs w:val="19"/>
          <w:color w:val="auto"/>
        </w:rPr>
        <w:t xml:space="preserve">, </w:t>
      </w:r>
      <w:r>
        <w:rPr>
          <w:rFonts w:ascii="Arial" w:cs="Arial" w:eastAsia="Arial" w:hAnsi="Arial"/>
          <w:sz w:val="19"/>
          <w:szCs w:val="19"/>
          <w:u w:val="single" w:color="auto"/>
          <w:color w:val="auto"/>
        </w:rPr>
        <w:t>7.08</w:t>
      </w:r>
      <w:r>
        <w:rPr>
          <w:rFonts w:ascii="Arial" w:cs="Arial" w:eastAsia="Arial" w:hAnsi="Arial"/>
          <w:sz w:val="19"/>
          <w:szCs w:val="19"/>
          <w:color w:val="auto"/>
        </w:rPr>
        <w:t xml:space="preserve">, </w:t>
      </w:r>
      <w:r>
        <w:rPr>
          <w:rFonts w:ascii="Arial" w:cs="Arial" w:eastAsia="Arial" w:hAnsi="Arial"/>
          <w:sz w:val="19"/>
          <w:szCs w:val="19"/>
          <w:u w:val="single" w:color="auto"/>
          <w:color w:val="auto"/>
        </w:rPr>
        <w:t>7.09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7.13</w:t>
      </w:r>
      <w:r>
        <w:rPr>
          <w:rFonts w:ascii="Arial" w:cs="Arial" w:eastAsia="Arial" w:hAnsi="Arial"/>
          <w:sz w:val="19"/>
          <w:szCs w:val="19"/>
          <w:color w:val="auto"/>
        </w:rPr>
        <w:t xml:space="preserve"> with respect to any amount of Indebtedness, Lien, Asset Sale, Restricted Payment, Capital Expenditure, affiliate transaction, Contractual Obligation, prepayment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and once incurred or made, the amount of such Indebtedness, Lien, Asset Sale, Restricted Payment, Capital Expenditure, affiliate transaction, Contractual Obligation, prepayment of Indebtedness or Investment, shall be always deemed to be at the Dollar amount on such date, regardless of later changes in currency exchange rates.</w:t>
      </w:r>
    </w:p>
    <w:p>
      <w:pPr>
        <w:spacing w:after="0" w:line="157" w:lineRule="exact"/>
        <w:rPr>
          <w:rFonts w:ascii="Arial" w:cs="Arial" w:eastAsia="Arial" w:hAnsi="Arial"/>
          <w:sz w:val="19"/>
          <w:szCs w:val="19"/>
          <w:color w:val="auto"/>
        </w:rPr>
      </w:pPr>
    </w:p>
    <w:p>
      <w:pPr>
        <w:jc w:val="both"/>
        <w:ind w:firstLine="872"/>
        <w:spacing w:after="0" w:line="235" w:lineRule="auto"/>
        <w:tabs>
          <w:tab w:leader="none" w:pos="2411" w:val="left"/>
        </w:tabs>
        <w:numPr>
          <w:ilvl w:val="0"/>
          <w:numId w:val="71"/>
        </w:numPr>
        <w:rPr>
          <w:rFonts w:ascii="Arial" w:cs="Arial" w:eastAsia="Arial" w:hAnsi="Arial"/>
          <w:sz w:val="22"/>
          <w:szCs w:val="22"/>
          <w:color w:val="auto"/>
        </w:rPr>
      </w:pPr>
      <w:r>
        <w:rPr>
          <w:rFonts w:ascii="Arial" w:cs="Arial" w:eastAsia="Arial" w:hAnsi="Arial"/>
          <w:sz w:val="22"/>
          <w:szCs w:val="22"/>
          <w:color w:val="auto"/>
        </w:rPr>
        <w:t>For purposes of determining the Total Leverage Ratio, amounts denominated in a currency other than Dollars will be converted to Dollars at the currency exchange rates used in preparing the Borrower’s financial statements corresponding to the Test Period with respect to the applicable date of determination and will, in the case of Indebtedness, reflect the currency translation effects, determined in accordance with GAAP, of Swap Contracts permitted hereunder for currency exchange risks with respect to the applicable currency in effect on the date of determination of the Dollar equivalent of such Indebtedness.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Effect of Amendment and Restatement</w:t>
      </w:r>
    </w:p>
    <w:p>
      <w:pPr>
        <w:spacing w:after="0" w:line="206" w:lineRule="exact"/>
        <w:rPr>
          <w:sz w:val="20"/>
          <w:szCs w:val="20"/>
          <w:color w:val="auto"/>
        </w:rPr>
      </w:pPr>
    </w:p>
    <w:p>
      <w:pPr>
        <w:jc w:val="both"/>
        <w:ind w:firstLine="872"/>
        <w:spacing w:after="0" w:line="246" w:lineRule="auto"/>
        <w:tabs>
          <w:tab w:leader="none" w:pos="1032" w:val="left"/>
        </w:tabs>
        <w:numPr>
          <w:ilvl w:val="0"/>
          <w:numId w:val="72"/>
        </w:numPr>
        <w:rPr>
          <w:rFonts w:ascii="Arial" w:cs="Arial" w:eastAsia="Arial" w:hAnsi="Arial"/>
          <w:sz w:val="21"/>
          <w:szCs w:val="21"/>
          <w:color w:val="auto"/>
        </w:rPr>
      </w:pPr>
      <w:r>
        <w:rPr>
          <w:rFonts w:ascii="Arial" w:cs="Arial" w:eastAsia="Arial" w:hAnsi="Arial"/>
          <w:sz w:val="21"/>
          <w:szCs w:val="21"/>
          <w:color w:val="auto"/>
        </w:rPr>
        <w:t>On the Restatement Effective Date, the Existing Credit Agreement shall be amended and restated in its entirety in the form hereof. The parties hereto acknowledge and agree that except as modified in this Agreement and the other Loan Documents delivered on the Restatement Effective Date, the Existing Credit Agreement and all Loan Documents thereunder (collectively, together with the Existing Credit Agreement, the “</w:t>
      </w:r>
      <w:r>
        <w:rPr>
          <w:rFonts w:ascii="Arial" w:cs="Arial" w:eastAsia="Arial" w:hAnsi="Arial"/>
          <w:sz w:val="21"/>
          <w:szCs w:val="21"/>
          <w:b w:val="1"/>
          <w:bCs w:val="1"/>
          <w:color w:val="auto"/>
        </w:rPr>
        <w:t>Existing Loan Documents</w:t>
      </w:r>
      <w:r>
        <w:rPr>
          <w:rFonts w:ascii="Arial" w:cs="Arial" w:eastAsia="Arial" w:hAnsi="Arial"/>
          <w:sz w:val="21"/>
          <w:szCs w:val="21"/>
          <w:color w:val="auto"/>
        </w:rPr>
        <w:t>”) are hereby reaffirmed, ratified and confirmed on behalf of the parties hereto and thereto on the date hereof, and the Obligations thereunder shall be amended and completely restated hereby, but this Agreement shall not constitute a novation, extinguishment or substitution of such Obligations or in any way impair the Liens created pursuant to the Existing Loan Documents or affect the priority thereof, all of which are hereby reaffirmed, ratified and confirmed.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C</w:t>
      </w:r>
      <w:r>
        <w:rPr>
          <w:rFonts w:ascii="Arial" w:cs="Arial" w:eastAsia="Arial" w:hAnsi="Arial"/>
          <w:sz w:val="14"/>
          <w:szCs w:val="14"/>
          <w:color w:val="auto"/>
        </w:rPr>
        <w:t>REDITS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Tranche B-2 Term Loan Commitments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w:t>
      </w:r>
    </w:p>
    <w:p>
      <w:pPr>
        <w:spacing w:after="0" w:line="206" w:lineRule="exact"/>
        <w:rPr>
          <w:sz w:val="20"/>
          <w:szCs w:val="20"/>
          <w:color w:val="auto"/>
        </w:rPr>
      </w:pPr>
    </w:p>
    <w:p>
      <w:pPr>
        <w:ind w:left="2400" w:hanging="1528"/>
        <w:spacing w:after="0"/>
        <w:tabs>
          <w:tab w:leader="none" w:pos="24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[Reserved].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5" w:name="page116"/>
    <w:bookmarkEnd w:id="115"/>
    <w:p>
      <w:pPr>
        <w:ind w:right="80" w:firstLine="872"/>
        <w:spacing w:after="0" w:line="238" w:lineRule="auto"/>
        <w:tabs>
          <w:tab w:leader="none" w:pos="2411"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Subject to the terms and conditions and relying upon the representations and warranties set forth herein, each Tranche B-2 Term Lender agrees, severally and not jointly, to make a Tranche B-2 Term Loan to the Borrower on the Restatement Effective Date in a principal amount not to exceed its Tranche B-2 Term Loan Commitment. Amounts repaid or prepaid in respect of Tranche B-2 Term Loan may not be reborrowed.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Loans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7" w:lineRule="auto"/>
        <w:tabs>
          <w:tab w:leader="none" w:pos="2399"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Each Loan shall be made as part of a Borrowing consisting of Loans made by the Lenders ratably in accordance with their applicable Commitments;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The Loans comprising any Borrowing shall be in an aggregate principal amount that is (i) an integral multiple of $1,000,000 and not less than $5,000,000 (except, with respect to any Other Term Loans, to the extent otherwise provided in the applicable Refinancing Amendment) or (ii) equal to the remaining available balance of the applicable Commitments.</w:t>
      </w:r>
    </w:p>
    <w:p>
      <w:pPr>
        <w:spacing w:after="0" w:line="151" w:lineRule="exact"/>
        <w:rPr>
          <w:rFonts w:ascii="Arial" w:cs="Arial" w:eastAsia="Arial" w:hAnsi="Arial"/>
          <w:sz w:val="19"/>
          <w:szCs w:val="19"/>
          <w:color w:val="auto"/>
        </w:rPr>
      </w:pPr>
    </w:p>
    <w:p>
      <w:pPr>
        <w:jc w:val="both"/>
        <w:ind w:firstLine="872"/>
        <w:spacing w:after="0" w:line="269" w:lineRule="auto"/>
        <w:tabs>
          <w:tab w:leader="none" w:pos="2411"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each Borrowing shall be comprised entirely of ABR Loans or Eurodollar Loans as the Borrower may request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Each Lender may at its option make any Eurodollar Loan by causing any domestic or foreign branch or Affiliate of such Lender to make such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exercise of such option shall not affect the obligation of the Borrower to repay such Loan to such Lender in accordance with the terms of this Agreement. Borrowings of more than one Type may be outstanding at the same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Borrower shall not be entitled to request any Borrowing that, if made, would result in more than five Eurodollar Borrowings outstanding hereunder at any time plus up to an additional 3 Interest Periods in respect of each (i) [reserved], (ii) Extended Term Loans and</w:t>
      </w:r>
    </w:p>
    <w:p>
      <w:pPr>
        <w:spacing w:after="0" w:line="4" w:lineRule="exact"/>
        <w:rPr>
          <w:rFonts w:ascii="Arial" w:cs="Arial" w:eastAsia="Arial" w:hAnsi="Arial"/>
          <w:sz w:val="19"/>
          <w:szCs w:val="19"/>
          <w:color w:val="auto"/>
        </w:rPr>
      </w:pPr>
    </w:p>
    <w:p>
      <w:pPr>
        <w:jc w:val="both"/>
        <w:ind w:firstLine="8"/>
        <w:spacing w:after="0" w:line="234" w:lineRule="auto"/>
        <w:tabs>
          <w:tab w:leader="none" w:pos="378"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Other Term Loans,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total number of such additional Interest Periods does not exceed 15 at any one time. For purposes of the foregoing, Borrowings having different Interest Periods, regardless of whether they commence on the same date, shall be considered separate Borrowings.</w:t>
      </w:r>
    </w:p>
    <w:p>
      <w:pPr>
        <w:spacing w:after="0" w:line="187" w:lineRule="exact"/>
        <w:rPr>
          <w:rFonts w:ascii="Arial" w:cs="Arial" w:eastAsia="Arial" w:hAnsi="Arial"/>
          <w:sz w:val="22"/>
          <w:szCs w:val="22"/>
          <w:color w:val="auto"/>
        </w:rPr>
      </w:pPr>
    </w:p>
    <w:p>
      <w:pPr>
        <w:jc w:val="both"/>
        <w:ind w:firstLine="872"/>
        <w:spacing w:after="0" w:line="252" w:lineRule="auto"/>
        <w:tabs>
          <w:tab w:leader="none" w:pos="2399" w:val="left"/>
        </w:tabs>
        <w:numPr>
          <w:ilvl w:val="1"/>
          <w:numId w:val="76"/>
        </w:numPr>
        <w:rPr>
          <w:rFonts w:ascii="Arial" w:cs="Arial" w:eastAsia="Arial" w:hAnsi="Arial"/>
          <w:sz w:val="21"/>
          <w:szCs w:val="21"/>
          <w:color w:val="auto"/>
        </w:rPr>
      </w:pPr>
      <w:r>
        <w:rPr>
          <w:rFonts w:ascii="Arial" w:cs="Arial" w:eastAsia="Arial" w:hAnsi="Arial"/>
          <w:sz w:val="21"/>
          <w:szCs w:val="21"/>
          <w:color w:val="auto"/>
        </w:rPr>
        <w:t>Each Lender shall make each Tranche B-2 Term Loan to be made by it hereunder on the Restatement Effective Date by wire transfer of immediately available funds to the Administrative Agent’s Office not later than 1:00 p.m., New York City time, and upon receipt of all requested funds the Administrative Agent shall promptly credit the amounts so received to an account designated by the Borrower in the applicable Request for Credit Extension.</w:t>
      </w:r>
    </w:p>
    <w:p>
      <w:pPr>
        <w:spacing w:after="0" w:line="173" w:lineRule="exact"/>
        <w:rPr>
          <w:rFonts w:ascii="Arial" w:cs="Arial" w:eastAsia="Arial" w:hAnsi="Arial"/>
          <w:sz w:val="21"/>
          <w:szCs w:val="21"/>
          <w:color w:val="auto"/>
        </w:rPr>
      </w:pPr>
    </w:p>
    <w:p>
      <w:pPr>
        <w:jc w:val="both"/>
        <w:ind w:firstLine="872"/>
        <w:spacing w:after="0" w:line="277" w:lineRule="auto"/>
        <w:tabs>
          <w:tab w:leader="none" w:pos="2411" w:val="left"/>
        </w:tabs>
        <w:numPr>
          <w:ilvl w:val="1"/>
          <w:numId w:val="76"/>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date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(c)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such Lender and the Borrower severally agree to repay to the Administrative Agent forthwith on demand such corresponding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jc w:val="both"/>
        <w:spacing w:after="0" w:line="279" w:lineRule="auto"/>
        <w:rPr>
          <w:sz w:val="20"/>
          <w:szCs w:val="20"/>
          <w:color w:val="auto"/>
        </w:rPr>
      </w:pPr>
      <w:r>
        <w:rPr>
          <w:rFonts w:ascii="Arial" w:cs="Arial" w:eastAsia="Arial" w:hAnsi="Arial"/>
          <w:sz w:val="19"/>
          <w:szCs w:val="19"/>
          <w:color w:val="auto"/>
        </w:rPr>
        <w:t>amount together with interest thereon, for each day from the date such amount is made available to the Borrower to but excluding the date such amount is repaid to the Administrative Agent at (i) in the case of the Borrower, a rate per annum equal to the interest rate applicable at the time to the Loans comprising such Borrowing, and (ii) in the case of such Lender, a rate determined by the Administrative Agent to represent its cost of overnight or short-term funds (which determination shall be conclusive absent manifest error). If such Lender shall repay to the Administrative Agent such corresponding amount, such amount shall constitute such Lender’s Loan as part of such Borrowing for purposes of this Agreement.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Borrowing Procedure</w:t>
      </w:r>
    </w:p>
    <w:p>
      <w:pPr>
        <w:spacing w:after="0" w:line="206" w:lineRule="exact"/>
        <w:rPr>
          <w:sz w:val="20"/>
          <w:szCs w:val="20"/>
          <w:color w:val="auto"/>
        </w:rPr>
      </w:pPr>
    </w:p>
    <w:p>
      <w:pPr>
        <w:jc w:val="both"/>
        <w:ind w:firstLine="872"/>
        <w:spacing w:after="0" w:line="271" w:lineRule="auto"/>
        <w:tabs>
          <w:tab w:leader="none" w:pos="1039" w:val="left"/>
        </w:tabs>
        <w:numPr>
          <w:ilvl w:val="0"/>
          <w:numId w:val="77"/>
        </w:numPr>
        <w:rPr>
          <w:rFonts w:ascii="Arial" w:cs="Arial" w:eastAsia="Arial" w:hAnsi="Arial"/>
          <w:sz w:val="19"/>
          <w:szCs w:val="19"/>
          <w:i w:val="1"/>
          <w:iCs w:val="1"/>
          <w:color w:val="auto"/>
        </w:rPr>
      </w:pPr>
      <w:r>
        <w:rPr>
          <w:rFonts w:ascii="Arial" w:cs="Arial" w:eastAsia="Arial" w:hAnsi="Arial"/>
          <w:sz w:val="19"/>
          <w:szCs w:val="19"/>
          <w:color w:val="auto"/>
        </w:rPr>
        <w:t xml:space="preserve">In order to request a Borrowing, the Borrower shall notify the Administrative Agent of such request in writing (a) in the case of a Eurodollar Borrowing, not later than 1:00 p.m., New York City time, three Business Days before a proposed Borrowing (or, in the case of the extension of credit on the Restatement Effective Date, prior to the proposed Borrowing), and (b) in the case of an ABR Borrowing, not later than 1:00 p.m., New York City time, one Business Day before a proposed Borrowing. Each such Request for Credit Extension shall be irrevocable (but may be conditioned upon the prepayment of indebtedness or the consummation of a specified transaction) and shall specify the following information: (i) the Class of Loans to be borrowed and whether such Borrowing is to be a Eurodollar Borrowing or an ABR Borrowing; (ii) the date of such Borrowing (which shall be a Business Day); (iii) the number and location of the account to which funds are to be disbursed; (iv) the amount of such Borrowing; and (v) if such Borrowing is to be a Eurodollar Borrowing, the Interest Period with respect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 contrary specification in any Request for Credit Extension, each requested Borrowing shall comply with the requirements set forth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If no election as to the Type of Borrowing is specified in any such notice, then the requested Borrowing shall be an ABR Borrowing. If no Interest Period with respect to any Eurodollar Borrowing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the contents thereof), and of each Lender’s portion of the requested Borrowing.</w:t>
      </w:r>
    </w:p>
    <w:p>
      <w:pPr>
        <w:spacing w:after="0" w:line="200" w:lineRule="exact"/>
        <w:rPr>
          <w:sz w:val="20"/>
          <w:szCs w:val="20"/>
          <w:color w:val="auto"/>
        </w:rPr>
      </w:pPr>
    </w:p>
    <w:p>
      <w:pPr>
        <w:spacing w:after="0" w:line="20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Evidence of Debt; Repayment of Loans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8" w:lineRule="auto"/>
        <w:tabs>
          <w:tab w:leader="none" w:pos="2399"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The Borrower hereby unconditionally promises to pay to the Administrative Agent for the account of each Lender the principal amount of each Term Loan of such Lender as provided in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(or, in the case of Extended Term Loans or Other Term Loans, as provided for in the applicable Extension Offer, Refinancing Amendment or other governing documentation).</w:t>
      </w:r>
    </w:p>
    <w:p>
      <w:pPr>
        <w:spacing w:after="0" w:line="184" w:lineRule="exact"/>
        <w:rPr>
          <w:rFonts w:ascii="Arial" w:cs="Arial" w:eastAsia="Arial" w:hAnsi="Arial"/>
          <w:sz w:val="22"/>
          <w:szCs w:val="22"/>
          <w:color w:val="auto"/>
        </w:rPr>
      </w:pPr>
    </w:p>
    <w:p>
      <w:pPr>
        <w:jc w:val="both"/>
        <w:ind w:firstLine="872"/>
        <w:spacing w:after="0" w:line="297" w:lineRule="auto"/>
        <w:tabs>
          <w:tab w:leader="none" w:pos="2411" w:val="left"/>
        </w:tabs>
        <w:numPr>
          <w:ilvl w:val="0"/>
          <w:numId w:val="78"/>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under this Agreement.</w:t>
      </w:r>
    </w:p>
    <w:p>
      <w:pPr>
        <w:spacing w:after="0" w:line="133" w:lineRule="exact"/>
        <w:rPr>
          <w:rFonts w:ascii="Arial" w:cs="Arial" w:eastAsia="Arial" w:hAnsi="Arial"/>
          <w:sz w:val="19"/>
          <w:szCs w:val="19"/>
          <w:color w:val="auto"/>
        </w:rPr>
      </w:pPr>
    </w:p>
    <w:p>
      <w:pPr>
        <w:jc w:val="both"/>
        <w:ind w:firstLine="872"/>
        <w:spacing w:after="0" w:line="238" w:lineRule="auto"/>
        <w:tabs>
          <w:tab w:leader="none" w:pos="2399"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Administrative Agent shall maintain accounts in which it will record (i) the amount of each Loan made hereunder, the Class and Type thereof and, if applicable, the Interest Period applicable thereto, (ii) the amount of any principal or interest due and payable or to become due and payable from the Borrower to each Lender hereunder and (iii) the amount of any sum</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spacing w:after="0"/>
        <w:rPr>
          <w:sz w:val="20"/>
          <w:szCs w:val="20"/>
          <w:color w:val="auto"/>
        </w:rPr>
      </w:pPr>
      <w:r>
        <w:rPr>
          <w:rFonts w:ascii="Arial" w:cs="Arial" w:eastAsia="Arial" w:hAnsi="Arial"/>
          <w:sz w:val="21"/>
          <w:szCs w:val="21"/>
          <w:color w:val="auto"/>
        </w:rPr>
        <w:t>received by the Administrative Agent hereunder from the Borrower or any Guarantor and each Lender’s share thereof.</w:t>
      </w:r>
    </w:p>
    <w:p>
      <w:pPr>
        <w:spacing w:after="0" w:line="218" w:lineRule="exact"/>
        <w:rPr>
          <w:sz w:val="20"/>
          <w:szCs w:val="20"/>
          <w:color w:val="auto"/>
        </w:rPr>
      </w:pPr>
    </w:p>
    <w:p>
      <w:pPr>
        <w:jc w:val="both"/>
        <w:ind w:firstLine="872"/>
        <w:spacing w:after="0" w:line="282" w:lineRule="auto"/>
        <w:tabs>
          <w:tab w:leader="none" w:pos="2411"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paragraphs (b) and (c) above shall be prima facie evidence of the existence and amounts of the obligations therein recorded; </w:t>
      </w:r>
      <w:r>
        <w:rPr>
          <w:rFonts w:ascii="Arial" w:cs="Arial" w:eastAsia="Arial" w:hAnsi="Arial"/>
          <w:sz w:val="19"/>
          <w:szCs w:val="19"/>
          <w:i w:val="1"/>
          <w:iCs w:val="1"/>
          <w:color w:val="auto"/>
        </w:rPr>
        <w:t>provided, however</w:t>
      </w:r>
      <w:r>
        <w:rPr>
          <w:rFonts w:ascii="Arial" w:cs="Arial" w:eastAsia="Arial" w:hAnsi="Arial"/>
          <w:sz w:val="19"/>
          <w:szCs w:val="19"/>
          <w:color w:val="auto"/>
        </w:rPr>
        <w:t>, that (i) the failure of any Lender or the Administrative Agent to maintain such accounts or any error therein shall not in any manner affect the obligations of the Borrower to repay the Loans in accordance with their terms and (ii) in the event of any conflict between the accounts set forth in paragraphs (b) and (c) above, the amounts set forth in the accounts maintained pursuant to paragraph (c) shall prevail.</w:t>
      </w:r>
    </w:p>
    <w:p>
      <w:pPr>
        <w:spacing w:after="0" w:line="147" w:lineRule="exact"/>
        <w:rPr>
          <w:rFonts w:ascii="Arial" w:cs="Arial" w:eastAsia="Arial" w:hAnsi="Arial"/>
          <w:sz w:val="19"/>
          <w:szCs w:val="19"/>
          <w:color w:val="auto"/>
        </w:rPr>
      </w:pPr>
    </w:p>
    <w:p>
      <w:pPr>
        <w:jc w:val="both"/>
        <w:ind w:firstLine="872"/>
        <w:spacing w:after="0" w:line="248" w:lineRule="auto"/>
        <w:tabs>
          <w:tab w:leader="none" w:pos="2399"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Any Lender may request that Loans made by it hereunder be evidenced by a Term Note. In such event, the Borrower shall promptly execute and deliver to such Lender a Term Note payable to such Lender and its registered assigns in accordance with </w:t>
      </w:r>
      <w:r>
        <w:rPr>
          <w:rFonts w:ascii="Arial" w:cs="Arial" w:eastAsia="Arial" w:hAnsi="Arial"/>
          <w:sz w:val="21"/>
          <w:szCs w:val="21"/>
          <w:u w:val="single" w:color="auto"/>
          <w:color w:val="auto"/>
        </w:rPr>
        <w:t>Section 10.04</w:t>
      </w:r>
      <w:r>
        <w:rPr>
          <w:rFonts w:ascii="Arial" w:cs="Arial" w:eastAsia="Arial" w:hAnsi="Arial"/>
          <w:sz w:val="21"/>
          <w:szCs w:val="21"/>
          <w:color w:val="auto"/>
        </w:rPr>
        <w:t xml:space="preserve">. Notwithstanding any other provision of this Agreement, in the event any Lender shall request and receive a Term Note, the interests represented by such Term Note shall at all times (including after any assignment of all or part of such interests pursuant to </w:t>
      </w:r>
      <w:r>
        <w:rPr>
          <w:rFonts w:ascii="Arial" w:cs="Arial" w:eastAsia="Arial" w:hAnsi="Arial"/>
          <w:sz w:val="21"/>
          <w:szCs w:val="21"/>
          <w:u w:val="single" w:color="auto"/>
          <w:color w:val="auto"/>
        </w:rPr>
        <w:t>Section 10.04</w:t>
      </w:r>
      <w:r>
        <w:rPr>
          <w:rFonts w:ascii="Arial" w:cs="Arial" w:eastAsia="Arial" w:hAnsi="Arial"/>
          <w:sz w:val="21"/>
          <w:szCs w:val="21"/>
          <w:color w:val="auto"/>
        </w:rPr>
        <w:t>) be represented by one or more promissory notes payable to the payee named therein or its registered assigns, unless such Term Note is duly cancelled.</w:t>
      </w:r>
    </w:p>
    <w:p>
      <w:pPr>
        <w:spacing w:after="0" w:line="176" w:lineRule="exact"/>
        <w:rPr>
          <w:rFonts w:ascii="Arial" w:cs="Arial" w:eastAsia="Arial" w:hAnsi="Arial"/>
          <w:sz w:val="21"/>
          <w:szCs w:val="21"/>
          <w:color w:val="auto"/>
        </w:rPr>
      </w:pPr>
    </w:p>
    <w:p>
      <w:pPr>
        <w:ind w:firstLine="872"/>
        <w:spacing w:after="0" w:line="250" w:lineRule="auto"/>
        <w:tabs>
          <w:tab w:leader="none" w:pos="2375"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shall at all times be interpreted and administered in such a way that the Term Notes will be issued in “registered form” within the meaning of Treasury Regulation Section 5f.163-1(a).</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Fees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tabs>
          <w:tab w:leader="none" w:pos="2399"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its own account, the administrative agent fees applicable to the Facilities payable in the amounts and at the times agreed upon between the Borrower and the Administrative Agent as set forth in the Administrative Agent Fee Letter (the “</w:t>
      </w:r>
      <w:r>
        <w:rPr>
          <w:rFonts w:ascii="Arial" w:cs="Arial" w:eastAsia="Arial" w:hAnsi="Arial"/>
          <w:sz w:val="22"/>
          <w:szCs w:val="22"/>
          <w:b w:val="1"/>
          <w:bCs w:val="1"/>
          <w:color w:val="auto"/>
        </w:rPr>
        <w:t>Fees</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872"/>
        <w:spacing w:after="0" w:line="250" w:lineRule="auto"/>
        <w:tabs>
          <w:tab w:leader="none" w:pos="241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Fees shall be paid on the dates due, in immediately available funds, to the Administrative Agent. Once paid, none of the Fees shall be refundable under any circumstances.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Interest on Loans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8" w:lineRule="auto"/>
        <w:tabs>
          <w:tab w:leader="none" w:pos="2399"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2.07</w:t>
      </w:r>
      <w:r>
        <w:rPr>
          <w:rFonts w:ascii="Arial" w:cs="Arial" w:eastAsia="Arial" w:hAnsi="Arial"/>
          <w:sz w:val="22"/>
          <w:szCs w:val="22"/>
          <w:color w:val="auto"/>
        </w:rPr>
        <w:t>, the Loans comprising each ABR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Alternate Base Rate plus the Applicable Margin.</w:t>
      </w:r>
    </w:p>
    <w:p>
      <w:pPr>
        <w:spacing w:after="0" w:line="184" w:lineRule="exact"/>
        <w:rPr>
          <w:rFonts w:ascii="Arial" w:cs="Arial" w:eastAsia="Arial" w:hAnsi="Arial"/>
          <w:sz w:val="22"/>
          <w:szCs w:val="22"/>
          <w:color w:val="auto"/>
        </w:rPr>
      </w:pPr>
    </w:p>
    <w:p>
      <w:pPr>
        <w:jc w:val="both"/>
        <w:ind w:firstLine="872"/>
        <w:spacing w:after="0" w:line="257" w:lineRule="auto"/>
        <w:tabs>
          <w:tab w:leader="none" w:pos="2411"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Subject to the provisions of </w:t>
      </w:r>
      <w:r>
        <w:rPr>
          <w:rFonts w:ascii="Arial" w:cs="Arial" w:eastAsia="Arial" w:hAnsi="Arial"/>
          <w:sz w:val="21"/>
          <w:szCs w:val="21"/>
          <w:u w:val="single" w:color="auto"/>
          <w:color w:val="auto"/>
        </w:rPr>
        <w:t>Section 2.07</w:t>
      </w:r>
      <w:r>
        <w:rPr>
          <w:rFonts w:ascii="Arial" w:cs="Arial" w:eastAsia="Arial" w:hAnsi="Arial"/>
          <w:sz w:val="21"/>
          <w:szCs w:val="21"/>
          <w:color w:val="auto"/>
        </w:rPr>
        <w:t>, the Loans comprising each Eurodollar Borrowing shall bear interest (computed on the basis of the actual number of days elapsed over a year of 360 days) at a rate per annum equal to the Adjusted LIBO Rate for the Interest Period in effect for such Borrowing plus the Applicable Margin.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8" w:name="page119"/>
    <w:bookmarkEnd w:id="118"/>
    <w:p>
      <w:pPr>
        <w:jc w:val="both"/>
        <w:ind w:firstLine="872"/>
        <w:spacing w:after="0" w:line="238" w:lineRule="auto"/>
        <w:tabs>
          <w:tab w:leader="none" w:pos="2399"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Interest on each Loan shall be payable on the Interest Payment Dates applicable to such Loan except as otherwise provided in this Agreement. The applicable Alternate Base Rate or Adjusted LIBO Rate for each Interest Period or day within an Interest Period, as the case may be, shall be determined by the Administrative Agent, and such determination shall be conclusive absent manifest error.</w:t>
      </w:r>
    </w:p>
    <w:p>
      <w:pPr>
        <w:spacing w:after="0" w:line="178" w:lineRule="exact"/>
        <w:rPr>
          <w:rFonts w:ascii="Arial" w:cs="Arial" w:eastAsia="Arial" w:hAnsi="Arial"/>
          <w:sz w:val="22"/>
          <w:szCs w:val="22"/>
          <w:color w:val="auto"/>
        </w:rPr>
      </w:pPr>
    </w:p>
    <w:p>
      <w:pPr>
        <w:ind w:left="2440" w:hanging="1568"/>
        <w:spacing w:after="0"/>
        <w:tabs>
          <w:tab w:leader="none" w:pos="2440" w:val="left"/>
        </w:tabs>
        <w:numPr>
          <w:ilvl w:val="0"/>
          <w:numId w:val="82"/>
        </w:numPr>
        <w:rPr>
          <w:rFonts w:ascii="Arial" w:cs="Arial" w:eastAsia="Arial" w:hAnsi="Arial"/>
          <w:sz w:val="22"/>
          <w:szCs w:val="22"/>
          <w:b w:val="1"/>
          <w:bCs w:val="1"/>
          <w:u w:val="single" w:color="auto"/>
          <w:color w:val="0000FF"/>
        </w:rPr>
      </w:pPr>
      <w:r>
        <w:rPr>
          <w:rFonts w:ascii="Arial" w:cs="Arial" w:eastAsia="Arial" w:hAnsi="Arial"/>
          <w:sz w:val="22"/>
          <w:szCs w:val="22"/>
          <w:u w:val="single" w:color="auto"/>
          <w:color w:val="008000"/>
        </w:rPr>
        <w:t xml:space="preserve">Notwithstanding anything to the contrary in </w:t>
      </w:r>
      <w:r>
        <w:rPr>
          <w:rFonts w:ascii="Arial" w:cs="Arial" w:eastAsia="Arial" w:hAnsi="Arial"/>
          <w:sz w:val="22"/>
          <w:szCs w:val="22"/>
          <w:b w:val="1"/>
          <w:bCs w:val="1"/>
          <w:u w:val="single" w:color="auto"/>
          <w:color w:val="0000FF"/>
        </w:rPr>
        <w:t>this Section 2.06,</w:t>
      </w:r>
    </w:p>
    <w:p>
      <w:pPr>
        <w:spacing w:after="0" w:line="206" w:lineRule="exact"/>
        <w:rPr>
          <w:sz w:val="20"/>
          <w:szCs w:val="20"/>
          <w:color w:val="auto"/>
        </w:rPr>
      </w:pPr>
    </w:p>
    <w:p>
      <w:pPr>
        <w:jc w:val="both"/>
        <w:ind w:firstLine="872"/>
        <w:spacing w:after="0" w:line="243" w:lineRule="auto"/>
        <w:tabs>
          <w:tab w:leader="none" w:pos="1783" w:val="left"/>
        </w:tabs>
        <w:numPr>
          <w:ilvl w:val="0"/>
          <w:numId w:val="8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on the Amendment No. 1 Effective Date and each Interest Payment Date during the PIK Period, the Borrower shall pay a portion of the interest due on each such date in cash in an amount equal to interest at a rate per annum equal to one percent (1%) (the “Cash Interest Portion”);</w:t>
      </w:r>
    </w:p>
    <w:p>
      <w:pPr>
        <w:spacing w:after="0" w:line="176" w:lineRule="exact"/>
        <w:rPr>
          <w:rFonts w:ascii="Arial" w:cs="Arial" w:eastAsia="Arial" w:hAnsi="Arial"/>
          <w:sz w:val="22"/>
          <w:szCs w:val="22"/>
          <w:b w:val="1"/>
          <w:bCs w:val="1"/>
          <w:u w:val="single" w:color="auto"/>
          <w:color w:val="0000FF"/>
        </w:rPr>
      </w:pPr>
    </w:p>
    <w:p>
      <w:pPr>
        <w:jc w:val="both"/>
        <w:ind w:firstLine="872"/>
        <w:spacing w:after="0" w:line="272" w:lineRule="auto"/>
        <w:tabs>
          <w:tab w:leader="none" w:pos="1775" w:val="left"/>
        </w:tabs>
        <w:numPr>
          <w:ilvl w:val="0"/>
          <w:numId w:val="83"/>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 xml:space="preserve">all accrued but unpaid interest as of the Amendment No. 1 Effective Date (including all accrued and unpaid interest during the Interest Period that commenced on December 31, 2019 and ending on March 31, 2020) and all interest payable on each Interest Payment Date during the PIK Period (other than the Cash Interest Portion which is due and payable on each such Interest Payment Date) accruing during the period commencing on the Amendment No. 1 Effective Date and ending on June 30, 2020 (such period, the “PIK Period”), with respect to any ABR Term Loan or Eurodollar Term Loan, shall be payable in kind, with such interest amount being automatically added to, and made part of, the outstanding principal amount of Loans in the case of (x) accrued but unpaid interest as of the Amendment No. 1 Effective Date, on the Amendment No. 1 Effective Date, and (y) interest payable on each Interest Payment Date during the PIK Period, on such date (all interest payable in kind pursuant to this Agreement, “PIK Interest”; the aggregate amount of all interest payable in kind pursuant to this Agreement, the “PIK Amount”);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b w:val="1"/>
          <w:bCs w:val="1"/>
          <w:u w:val="single" w:color="auto"/>
          <w:color w:val="0000FF"/>
        </w:rPr>
        <w:t xml:space="preserve"> that with respect to any such payment of PIK Interest pursuant to this clause (d), the then Applicable Margin in respect of such accrued and unpaid interest shall be increased by an additional amount of basis points such that the all-in interest rate for each such Borrowing, inclusive of the Adjusted </w:t>
      </w:r>
      <w:r>
        <w:rPr>
          <w:rFonts w:ascii="Arial" w:cs="Arial" w:eastAsia="Arial" w:hAnsi="Arial"/>
          <w:sz w:val="19"/>
          <w:szCs w:val="19"/>
          <w:u w:val="single" w:color="auto"/>
          <w:color w:val="008000"/>
        </w:rPr>
        <w:t>LIBO Rate for such Interest Period</w:t>
      </w:r>
      <w:r>
        <w:rPr>
          <w:rFonts w:ascii="Arial" w:cs="Arial" w:eastAsia="Arial" w:hAnsi="Arial"/>
          <w:sz w:val="19"/>
          <w:szCs w:val="19"/>
          <w:b w:val="1"/>
          <w:bCs w:val="1"/>
          <w:u w:val="single" w:color="auto"/>
          <w:color w:val="0000FF"/>
        </w:rPr>
        <w:t xml:space="preserve"> then in effect or the Alternate Base Rate, as applicable, is equal to thirteen percent (13.00%) per annum, which increase shall also be paid in the form of PIK Interest.</w:t>
      </w:r>
    </w:p>
    <w:p>
      <w:pPr>
        <w:spacing w:after="0" w:line="15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u w:val="single" w:color="auto"/>
          <w:color w:val="0000FF"/>
        </w:rPr>
        <w:t>Unless the context otherwise requires, for all purposes under this Agreement, references to the “principal” and the “principal amount” of any Term Loans include any increase in the principal amount thereof due to the addition of PIK Interest thereto pursuant to this clause (d). All interest payable after the PIK Period shall be payable in cash after the end of the PIK Period. After the second consecutive fiscal quarter following the PIK Period for which Consolidated EBITDA for the Test Period ending as of the last day of such fiscal quarter is greater than $200,000,000 (the “Specified Fiscal Quarter”), an aggregate principal amount of Term Loans in an amount equal to the PIK Amount shall be due and payable in cash in four equal consecutive fiscal quarter installments each in the amount of 25% of the PIK Amount, commencing with the last Business Day of the fiscal quarter immediately following the Specified Fiscal Quarter. The Borrower shall provide written notice to the Administrative Agent once it has actual knowledge that the Specified Fiscal Quarter has occurred.</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ind w:left="880"/>
        <w:spacing w:after="0"/>
        <w:rPr>
          <w:sz w:val="20"/>
          <w:szCs w:val="20"/>
          <w:color w:val="auto"/>
        </w:rPr>
      </w:pPr>
      <w:r>
        <w:rPr>
          <w:rFonts w:ascii="Arial" w:cs="Arial" w:eastAsia="Arial" w:hAnsi="Arial"/>
          <w:sz w:val="22"/>
          <w:szCs w:val="22"/>
          <w:i w:val="1"/>
          <w:iCs w:val="1"/>
          <w:color w:val="auto"/>
        </w:rPr>
        <w:t>Default Interest</w:t>
      </w:r>
    </w:p>
    <w:p>
      <w:pPr>
        <w:spacing w:after="0" w:line="206" w:lineRule="exact"/>
        <w:rPr>
          <w:sz w:val="20"/>
          <w:szCs w:val="20"/>
          <w:color w:val="auto"/>
        </w:rPr>
      </w:pPr>
    </w:p>
    <w:p>
      <w:pPr>
        <w:jc w:val="both"/>
        <w:ind w:firstLine="872"/>
        <w:spacing w:after="0" w:line="244" w:lineRule="auto"/>
        <w:tabs>
          <w:tab w:leader="none" w:pos="1026" w:val="left"/>
        </w:tabs>
        <w:numPr>
          <w:ilvl w:val="0"/>
          <w:numId w:val="84"/>
        </w:numPr>
        <w:rPr>
          <w:rFonts w:ascii="Arial" w:cs="Arial" w:eastAsia="Arial" w:hAnsi="Arial"/>
          <w:sz w:val="21"/>
          <w:szCs w:val="21"/>
          <w:i w:val="1"/>
          <w:iCs w:val="1"/>
          <w:color w:val="auto"/>
        </w:rPr>
      </w:pPr>
      <w:r>
        <w:rPr>
          <w:rFonts w:ascii="Arial" w:cs="Arial" w:eastAsia="Arial" w:hAnsi="Arial"/>
          <w:sz w:val="21"/>
          <w:szCs w:val="21"/>
          <w:color w:val="auto"/>
        </w:rPr>
        <w:t xml:space="preserve">Automatically from and after the occurrence and during the continuance of an Event of Default </w:t>
      </w:r>
      <w:r>
        <w:rPr>
          <w:rFonts w:ascii="Arial" w:cs="Arial" w:eastAsia="Arial" w:hAnsi="Arial"/>
          <w:sz w:val="21"/>
          <w:szCs w:val="21"/>
          <w:u w:val="single" w:color="auto"/>
          <w:color w:val="auto"/>
        </w:rPr>
        <w:t>under Section 8.01(a)</w:t>
      </w:r>
      <w:r>
        <w:rPr>
          <w:rFonts w:ascii="Arial" w:cs="Arial" w:eastAsia="Arial" w:hAnsi="Arial"/>
          <w:sz w:val="21"/>
          <w:szCs w:val="21"/>
          <w:color w:val="auto"/>
        </w:rPr>
        <w:t>, (</w:t>
      </w:r>
      <w:r>
        <w:rPr>
          <w:rFonts w:ascii="Arial" w:cs="Arial" w:eastAsia="Arial" w:hAnsi="Arial"/>
          <w:sz w:val="21"/>
          <w:szCs w:val="21"/>
          <w:u w:val="single" w:color="auto"/>
          <w:color w:val="auto"/>
        </w:rPr>
        <w:t>f</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(g</w:t>
      </w:r>
      <w:r>
        <w:rPr>
          <w:rFonts w:ascii="Arial" w:cs="Arial" w:eastAsia="Arial" w:hAnsi="Arial"/>
          <w:sz w:val="21"/>
          <w:szCs w:val="21"/>
          <w:color w:val="auto"/>
        </w:rPr>
        <w:t xml:space="preserve">) or at the election of the Required Lenders during the continuance of any other Event of Default, the principal amount of all Loans outstanding and, to the extent permitted by applicable law, any interest payments on the Loans or any fees or other amounts owed hereunder, shall thereafter, after as well as before judgment, bear interest (including post-petition interest in any proceeding under Debtor Relief Laws) payable on written demand at a rate that is 2.0% per annum in excess of the interest rate otherwise payable hereunder with respect to the applicable Loans (or, in the case of any such fees and other amounts, at a rate which is 2.0% per annum in excess of the interest rate otherwise payable hereunder for ABR Loans);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Eurodollar Term Loans, upon the expiration of the Interest Period in effect at the time any such increase in interest rate is effective, if such Eurodollar Rate Loans shall become ABR Loans in accordance with </w:t>
      </w:r>
      <w:r>
        <w:rPr>
          <w:rFonts w:ascii="Arial" w:cs="Arial" w:eastAsia="Arial" w:hAnsi="Arial"/>
          <w:sz w:val="21"/>
          <w:szCs w:val="21"/>
          <w:u w:val="single" w:color="auto"/>
          <w:color w:val="auto"/>
        </w:rPr>
        <w:t>Section 2.10(e)</w:t>
      </w:r>
      <w:r>
        <w:rPr>
          <w:rFonts w:ascii="Arial" w:cs="Arial" w:eastAsia="Arial" w:hAnsi="Arial"/>
          <w:sz w:val="21"/>
          <w:szCs w:val="21"/>
          <w:color w:val="auto"/>
        </w:rPr>
        <w:t>, such Loans shall thereafter bear interest payable upon written demand at a rate which is 2.0% per annum in excess of the interest rate otherwise payable hereunder for ABR Loans.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Alternate Rate of Interest</w:t>
      </w:r>
    </w:p>
    <w:p>
      <w:pPr>
        <w:spacing w:after="0" w:line="206" w:lineRule="exact"/>
        <w:rPr>
          <w:sz w:val="20"/>
          <w:szCs w:val="20"/>
          <w:color w:val="auto"/>
        </w:rPr>
      </w:pPr>
    </w:p>
    <w:p>
      <w:pPr>
        <w:jc w:val="both"/>
        <w:ind w:firstLine="872"/>
        <w:spacing w:after="0" w:line="245" w:lineRule="auto"/>
        <w:tabs>
          <w:tab w:leader="none" w:pos="1053" w:val="left"/>
        </w:tabs>
        <w:numPr>
          <w:ilvl w:val="0"/>
          <w:numId w:val="85"/>
        </w:numPr>
        <w:rPr>
          <w:rFonts w:ascii="Arial" w:cs="Arial" w:eastAsia="Arial" w:hAnsi="Arial"/>
          <w:sz w:val="21"/>
          <w:szCs w:val="21"/>
          <w:i w:val="1"/>
          <w:iCs w:val="1"/>
          <w:color w:val="auto"/>
        </w:rPr>
      </w:pPr>
      <w:r>
        <w:rPr>
          <w:rFonts w:ascii="Arial" w:cs="Arial" w:eastAsia="Arial" w:hAnsi="Arial"/>
          <w:sz w:val="21"/>
          <w:szCs w:val="21"/>
          <w:color w:val="auto"/>
        </w:rPr>
        <w:t xml:space="preserve">In the event, and on each occasion, that on the day two Business Days prior to the commencement of any Interest Period for a Eurodollar Borrowing the Administrative Agent shall have determined that Dollar deposits in the principal amounts of the Loans comprising such Borrowing are not generally available in the London interbank market, or that the rates at which such Dollar deposits are being offered will not adequately and fairly reflect the cost to the majority of Lenders of making or maintaining Eurodollar Loans during such Interest Period, or that reasonable means do not exist for ascertaining the Adjusted LIBO Rate, the Administrative Agent shall, as soon as practicable thereafter, give written or fax notice of such determination to the Borrower and the Lenders. In the event of any such determination, until the Administrative Agent shall have revoked such notice, any request by the Borrower for a Eurodollar Borrowing pursuant to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shall be deemed to be a request for an ABR Borrowing. Each determination by the Administrative Agent under this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shall be conclusive absent manifest error.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Termination and Reduction of Commitments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firstLine="872"/>
        <w:spacing w:after="0" w:line="328" w:lineRule="auto"/>
        <w:tabs>
          <w:tab w:leader="none" w:pos="2399"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Term Loan Commitment for the Tranche B-2 Term Loan in effect on the Restatement Effective Date shall automatically terminate upon the making of the Tranche B-2 Term Loans on the Restatement Effective Date.</w:t>
      </w:r>
    </w:p>
    <w:p>
      <w:pPr>
        <w:spacing w:after="0" w:line="104" w:lineRule="exact"/>
        <w:rPr>
          <w:rFonts w:ascii="Arial" w:cs="Arial" w:eastAsia="Arial" w:hAnsi="Arial"/>
          <w:sz w:val="19"/>
          <w:szCs w:val="19"/>
          <w:color w:val="auto"/>
        </w:rPr>
      </w:pPr>
    </w:p>
    <w:p>
      <w:pPr>
        <w:jc w:val="both"/>
        <w:ind w:firstLine="872"/>
        <w:spacing w:after="0" w:line="275" w:lineRule="auto"/>
        <w:tabs>
          <w:tab w:leader="none" w:pos="241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Upon at least one Business Days’ prior irrevocable written or fax notice to the Administrative Agent, the Borrower may at any time in whole permanently terminate, or from time to time in part permanently reduce, any Class of unfunded Term Loan Commitments;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partial reduction of any Class of Term Loan Commitments shall be in an integral multiple of $1,000,000 and in a minimum amount of $1,000,000; provided further that, a notice of termination of the Commitments of any Class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ind w:left="880" w:firstLine="789"/>
        <w:spacing w:after="0" w:line="250" w:lineRule="auto"/>
        <w:tabs>
          <w:tab w:leader="none" w:pos="3213" w:val="left"/>
        </w:tabs>
        <w:numPr>
          <w:ilvl w:val="0"/>
          <w:numId w:val="87"/>
        </w:numPr>
        <w:rPr>
          <w:rFonts w:ascii="Arial" w:cs="Arial" w:eastAsia="Arial" w:hAnsi="Arial"/>
          <w:sz w:val="22"/>
          <w:szCs w:val="22"/>
          <w:color w:val="auto"/>
        </w:rPr>
      </w:pPr>
      <w:r>
        <w:rPr>
          <w:rFonts w:ascii="Arial" w:cs="Arial" w:eastAsia="Arial" w:hAnsi="Arial"/>
          <w:sz w:val="22"/>
          <w:szCs w:val="22"/>
          <w:color w:val="auto"/>
        </w:rPr>
        <w:t>Each reduction in the Term Loan Commitments hereunder shall be made ratably among the Lenders in accordance with their respective applicable Commitments.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Conversion and Continuation of Borrowings</w:t>
      </w:r>
    </w:p>
    <w:p>
      <w:pPr>
        <w:spacing w:after="0" w:line="206" w:lineRule="exact"/>
        <w:rPr>
          <w:sz w:val="20"/>
          <w:szCs w:val="20"/>
          <w:color w:val="auto"/>
        </w:rPr>
      </w:pPr>
    </w:p>
    <w:p>
      <w:pPr>
        <w:jc w:val="both"/>
        <w:ind w:firstLine="872"/>
        <w:spacing w:after="0" w:line="234" w:lineRule="auto"/>
        <w:tabs>
          <w:tab w:leader="none" w:pos="1053" w:val="left"/>
        </w:tabs>
        <w:numPr>
          <w:ilvl w:val="0"/>
          <w:numId w:val="88"/>
        </w:numPr>
        <w:rPr>
          <w:rFonts w:ascii="Arial" w:cs="Arial" w:eastAsia="Arial" w:hAnsi="Arial"/>
          <w:sz w:val="22"/>
          <w:szCs w:val="22"/>
          <w:i w:val="1"/>
          <w:iCs w:val="1"/>
          <w:color w:val="auto"/>
        </w:rPr>
      </w:pPr>
      <w:r>
        <w:rPr>
          <w:rFonts w:ascii="Arial" w:cs="Arial" w:eastAsia="Arial" w:hAnsi="Arial"/>
          <w:sz w:val="22"/>
          <w:szCs w:val="22"/>
          <w:color w:val="auto"/>
        </w:rPr>
        <w:t>The Borrower shall have the right at any time upon prior irrevocable written notice to the Administrative Agent (a) not later than 1:00 p.m., New York City time, one Business Day prior to the day of any conversion, to convert any Eurodollar Borrowing into an ABR Borrowing, (b) not later than 1:00 p.m., New York City time, three Business Days prior to conversion or continuation, to convert any ABR Borrowing into a Eurodollar Borrowing or to continue any Eurodollar Borrowing as a Eurodollar Borrowing for an additional Interest Period, and (c) not later than 1:00 p.m., New York City time, three Business Days prior to conversion, to convert the Interest Period with respect to any Eurodollar Borrowing to another permissible Interest Period, subject in each case to the following:</w:t>
      </w:r>
    </w:p>
    <w:p>
      <w:pPr>
        <w:spacing w:after="0" w:line="19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(i)[reserved];</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(ii)each conversion or continuation shall be made pro rata among the Lenders in accordance with the respective principal amounts of the Loans comprising the converted or continued Borrowing;</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(iii)if less than all the outstanding principal amount of any Borrowing shall be converted or continued, then each resulting Borrowing shall satisfy the limitations specified in </w:t>
      </w:r>
      <w:r>
        <w:rPr>
          <w:rFonts w:ascii="Arial" w:cs="Arial" w:eastAsia="Arial" w:hAnsi="Arial"/>
          <w:sz w:val="22"/>
          <w:szCs w:val="22"/>
          <w:u w:val="single" w:color="auto"/>
          <w:color w:val="auto"/>
        </w:rPr>
        <w:t>Sections 2.02(a)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2.02(b)</w:t>
      </w:r>
      <w:r>
        <w:rPr>
          <w:rFonts w:ascii="Arial" w:cs="Arial" w:eastAsia="Arial" w:hAnsi="Arial"/>
          <w:sz w:val="22"/>
          <w:szCs w:val="22"/>
          <w:color w:val="auto"/>
        </w:rPr>
        <w:t xml:space="preserve"> regarding the principal amount and maximum number of Borrowings of the relevant Type;</w:t>
      </w:r>
    </w:p>
    <w:p>
      <w:pPr>
        <w:spacing w:after="0" w:line="186" w:lineRule="exact"/>
        <w:rPr>
          <w:sz w:val="20"/>
          <w:szCs w:val="20"/>
          <w:color w:val="auto"/>
        </w:rPr>
      </w:pPr>
    </w:p>
    <w:p>
      <w:pPr>
        <w:jc w:val="both"/>
        <w:ind w:left="120" w:firstLine="744"/>
        <w:spacing w:after="0" w:line="252" w:lineRule="auto"/>
        <w:tabs>
          <w:tab w:leader="none" w:pos="2416" w:val="left"/>
        </w:tabs>
        <w:numPr>
          <w:ilvl w:val="0"/>
          <w:numId w:val="89"/>
        </w:numPr>
        <w:rPr>
          <w:rFonts w:ascii="Arial" w:cs="Arial" w:eastAsia="Arial" w:hAnsi="Arial"/>
          <w:sz w:val="21"/>
          <w:szCs w:val="21"/>
          <w:color w:val="auto"/>
        </w:rPr>
      </w:pPr>
      <w:r>
        <w:rPr>
          <w:rFonts w:ascii="Arial" w:cs="Arial" w:eastAsia="Arial" w:hAnsi="Arial"/>
          <w:sz w:val="21"/>
          <w:szCs w:val="21"/>
          <w:color w:val="auto"/>
        </w:rPr>
        <w:t>each conversion shall be effected by each Lender and the Administrative Agent by recording for the account of such Lender the new Loan of such Lender resulting from such conversion and reducing the Loan (or portion thereof) of such Lender being converted by an equivalent principal amount; accrued interest on any Eurodollar Loan (or portion thereof) being converted shall be paid by the Borrower at the time of conversion;</w:t>
      </w:r>
    </w:p>
    <w:p>
      <w:pPr>
        <w:spacing w:after="0" w:line="174" w:lineRule="exact"/>
        <w:rPr>
          <w:sz w:val="20"/>
          <w:szCs w:val="20"/>
          <w:color w:val="auto"/>
        </w:rPr>
      </w:pPr>
    </w:p>
    <w:p>
      <w:pPr>
        <w:ind w:left="120" w:firstLine="1604"/>
        <w:spacing w:after="0" w:line="274" w:lineRule="auto"/>
        <w:rPr>
          <w:sz w:val="20"/>
          <w:szCs w:val="20"/>
          <w:color w:val="auto"/>
        </w:rPr>
      </w:pPr>
      <w:r>
        <w:rPr>
          <w:rFonts w:ascii="Arial" w:cs="Arial" w:eastAsia="Arial" w:hAnsi="Arial"/>
          <w:sz w:val="21"/>
          <w:szCs w:val="21"/>
          <w:color w:val="auto"/>
        </w:rPr>
        <w:t xml:space="preserve">(i)if any Eurodollar Borrowing is converted on a day prior to the last day of the Interest Period applicable thereto, the Borrower shall pay, upon demand, any amounts due to the Lenders pursuant to </w:t>
      </w:r>
      <w:r>
        <w:rPr>
          <w:rFonts w:ascii="Arial" w:cs="Arial" w:eastAsia="Arial" w:hAnsi="Arial"/>
          <w:sz w:val="21"/>
          <w:szCs w:val="21"/>
          <w:u w:val="single" w:color="auto"/>
          <w:color w:val="auto"/>
        </w:rPr>
        <w:t>Section 3.04</w:t>
      </w:r>
      <w:r>
        <w:rPr>
          <w:rFonts w:ascii="Arial" w:cs="Arial" w:eastAsia="Arial" w:hAnsi="Arial"/>
          <w:sz w:val="21"/>
          <w:szCs w:val="21"/>
          <w:color w:val="auto"/>
        </w:rPr>
        <w:t>;</w:t>
      </w:r>
    </w:p>
    <w:p>
      <w:pPr>
        <w:spacing w:after="0" w:line="151" w:lineRule="exact"/>
        <w:rPr>
          <w:sz w:val="20"/>
          <w:szCs w:val="20"/>
          <w:color w:val="auto"/>
        </w:rPr>
      </w:pPr>
    </w:p>
    <w:p>
      <w:pPr>
        <w:ind w:firstLine="872"/>
        <w:spacing w:after="0" w:line="250" w:lineRule="auto"/>
        <w:tabs>
          <w:tab w:leader="none" w:pos="2399"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portion of a Borrowing maturing or required to be repaid in less than one month may not be converted into or continued as a Eurodollar Borrowing, unless agreed by all applicable Lenders;</w:t>
      </w:r>
    </w:p>
    <w:p>
      <w:pPr>
        <w:spacing w:after="0" w:line="174" w:lineRule="exact"/>
        <w:rPr>
          <w:rFonts w:ascii="Arial" w:cs="Arial" w:eastAsia="Arial" w:hAnsi="Arial"/>
          <w:sz w:val="22"/>
          <w:szCs w:val="22"/>
          <w:color w:val="auto"/>
        </w:rPr>
      </w:pPr>
    </w:p>
    <w:p>
      <w:pPr>
        <w:jc w:val="both"/>
        <w:ind w:firstLine="872"/>
        <w:spacing w:after="0"/>
        <w:tabs>
          <w:tab w:leader="none" w:pos="2411"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portion of a Eurodollar Borrowing that cannot be converted into or continued as a Eurodollar Borrowing by reason of the immediately preceding clause shall be automatically converted at the end of the Interest Period in effect for such Borrowing into an ABR Borrowing; and</w:t>
      </w:r>
    </w:p>
    <w:p>
      <w:pPr>
        <w:spacing w:after="0" w:line="186" w:lineRule="exact"/>
        <w:rPr>
          <w:rFonts w:ascii="Arial" w:cs="Arial" w:eastAsia="Arial" w:hAnsi="Arial"/>
          <w:sz w:val="22"/>
          <w:szCs w:val="22"/>
          <w:color w:val="auto"/>
        </w:rPr>
      </w:pPr>
    </w:p>
    <w:p>
      <w:pPr>
        <w:jc w:val="both"/>
        <w:ind w:firstLine="872"/>
        <w:spacing w:after="0"/>
        <w:tabs>
          <w:tab w:leader="none" w:pos="2399" w:val="left"/>
        </w:tabs>
        <w:numPr>
          <w:ilvl w:val="0"/>
          <w:numId w:val="90"/>
        </w:numPr>
        <w:rPr>
          <w:rFonts w:ascii="Arial" w:cs="Arial" w:eastAsia="Arial" w:hAnsi="Arial"/>
          <w:sz w:val="22"/>
          <w:szCs w:val="22"/>
          <w:color w:val="auto"/>
        </w:rPr>
      </w:pPr>
      <w:r>
        <w:rPr>
          <w:rFonts w:ascii="Arial" w:cs="Arial" w:eastAsia="Arial" w:hAnsi="Arial"/>
          <w:sz w:val="22"/>
          <w:szCs w:val="22"/>
          <w:color w:val="auto"/>
        </w:rPr>
        <w:t>upon notice to the Borrower from the Administrative Agent given at the request of the Required Lenders, after the occurrence and during the continuance of an Event of Default, no outstanding Loan may be converted into, or continued as, a Eurodollar Loan.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jc w:val="both"/>
        <w:ind w:firstLine="864"/>
        <w:spacing w:after="0" w:line="272" w:lineRule="auto"/>
        <w:rPr>
          <w:sz w:val="20"/>
          <w:szCs w:val="20"/>
          <w:color w:val="auto"/>
        </w:rPr>
      </w:pPr>
      <w:r>
        <w:rPr>
          <w:rFonts w:ascii="Arial" w:cs="Arial" w:eastAsia="Arial" w:hAnsi="Arial"/>
          <w:sz w:val="19"/>
          <w:szCs w:val="19"/>
          <w:color w:val="auto"/>
        </w:rPr>
        <w:t xml:space="preserve">Each such Request for Credit Extension shall (except as set forth herein) be irrevocable and shall refer to this Agreement and specify (i) the identity and amount of the Borrowing that the Borrower requests be converted or continued, (ii) whether such Borrowing is to be converted to or continued as a Eurodollar Borrowing or an ABR Borrowing, (iii) if such Request for Credit Extension requests a conversion, the date of such conversion (which shall be a Business Day) and (iv) if such Borrowing is to be converted to or continued as a Eurodollar Borrowing, the Interest Period with respect thereto. If no Interest Period is specified in any such Request for Credit Extension with respect to any conversion to or continuation as a Eurodollar Borrowing, the Borrower shall be deemed to have selected an Interest Period of one month’s duration. The Administrative Agent shall promptly advise the Lenders of any Request for Credit Extension and of each Lender’s portion of any converted or continued Borrowing. If the Borrower shall not have given a Request for Credit Extension in accordance with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to continue any Borrowing into a subsequent Interest Period (and shall not otherwise have given notice in accordance with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to convert such Borrowing), such Borrowing shall, at the end of the Interest Period applicable thereto (unless repaid pursuant to the terms hereof), automatically be converted into an ABR Borrowing.</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Repayment of Term Borrowings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5" w:lineRule="auto"/>
        <w:tabs>
          <w:tab w:leader="none" w:pos="2399"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Borrower shall repay to the Administrative Agent for the ratable account of the applicable Term Lenders on the Maturity Date for such Tranche B-2 Term Loans, the aggregate principal amount of such Tranche B-2 Term Loans outstanding on such date, together in each case with accrued and unpaid interest on the principal amount to be paid to but excluding the date of such payment. Upon the conversion of Tranche B-2 Term Loans to Extended Term Loans or the refinancing of Tranche B-2 Term Loans with Credit Agreement Refinancing Indebtedness, all scheduled amortization payments, if any, shall be reduced ratably by the aggregate principal amount of the Tranche B-2 Term Loans so converted, refinanced or replaced. The Borrower shall repay Extended Term Loans and Other Term Loans in such amounts and on such date or dates as shall be specified therefor in the applicable Extension Offer, Refinancing Amendment or other governing documentation.</w:t>
      </w:r>
    </w:p>
    <w:p>
      <w:pPr>
        <w:spacing w:after="0" w:line="157" w:lineRule="exact"/>
        <w:rPr>
          <w:rFonts w:ascii="Arial" w:cs="Arial" w:eastAsia="Arial" w:hAnsi="Arial"/>
          <w:sz w:val="19"/>
          <w:szCs w:val="19"/>
          <w:color w:val="auto"/>
        </w:rPr>
      </w:pPr>
    </w:p>
    <w:p>
      <w:pPr>
        <w:jc w:val="both"/>
        <w:ind w:firstLine="872"/>
        <w:spacing w:after="0"/>
        <w:tabs>
          <w:tab w:leader="none" w:pos="2411"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the extent not previously paid, all Term Loans (including, for avoidance of doubt, Term Loans that are not Tranche B-2 Term Loans) shall be due and payable on the applicable Maturity Date, together with accrued and unpaid interest on the principal amount to be paid to but excluding the date of payment.</w:t>
      </w:r>
    </w:p>
    <w:p>
      <w:pPr>
        <w:spacing w:after="0" w:line="186" w:lineRule="exact"/>
        <w:rPr>
          <w:rFonts w:ascii="Arial" w:cs="Arial" w:eastAsia="Arial" w:hAnsi="Arial"/>
          <w:sz w:val="22"/>
          <w:szCs w:val="22"/>
          <w:color w:val="auto"/>
        </w:rPr>
      </w:pPr>
    </w:p>
    <w:p>
      <w:pPr>
        <w:ind w:firstLine="872"/>
        <w:spacing w:after="0" w:line="250" w:lineRule="auto"/>
        <w:tabs>
          <w:tab w:leader="none" w:pos="2399"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All repayments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shall be subject to </w:t>
      </w:r>
      <w:r>
        <w:rPr>
          <w:rFonts w:ascii="Arial" w:cs="Arial" w:eastAsia="Arial" w:hAnsi="Arial"/>
          <w:sz w:val="22"/>
          <w:szCs w:val="22"/>
          <w:u w:val="single" w:color="auto"/>
          <w:color w:val="auto"/>
        </w:rPr>
        <w:t>Section 3.04</w:t>
      </w:r>
      <w:r>
        <w:rPr>
          <w:rFonts w:ascii="Arial" w:cs="Arial" w:eastAsia="Arial" w:hAnsi="Arial"/>
          <w:sz w:val="22"/>
          <w:szCs w:val="22"/>
          <w:color w:val="auto"/>
        </w:rPr>
        <w:t>, but shall otherwise be without premium or penalty.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Voluntary Prepayment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6" w:lineRule="auto"/>
        <w:tabs>
          <w:tab w:leader="none" w:pos="2399"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The Borrower shall have the right at any time and from time to time to prepay any Borrowing, in whole or in part, upon at least three Business Days’ prior written (email) notice in the case of Eurodollar Loans, or written (email) notice at least one Business Day prior to the date of prepayment in the case of ABR Loans, to the Administrative Agent before 1:00 p.m., New York City time; </w:t>
      </w:r>
      <w:r>
        <w:rPr>
          <w:rFonts w:ascii="Arial" w:cs="Arial" w:eastAsia="Arial" w:hAnsi="Arial"/>
          <w:sz w:val="22"/>
          <w:szCs w:val="22"/>
          <w:i w:val="1"/>
          <w:iCs w:val="1"/>
          <w:color w:val="auto"/>
        </w:rPr>
        <w:t>provided, however</w:t>
      </w:r>
      <w:r>
        <w:rPr>
          <w:rFonts w:ascii="Arial" w:cs="Arial" w:eastAsia="Arial" w:hAnsi="Arial"/>
          <w:sz w:val="22"/>
          <w:szCs w:val="22"/>
          <w:color w:val="auto"/>
        </w:rPr>
        <w:t>, that each partial prepayment shall be in an amount that is an integral multiple of $1,000,000 and not less than $2,500,000.</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2" w:name="page123"/>
    <w:bookmarkEnd w:id="122"/>
    <w:p>
      <w:pPr>
        <w:jc w:val="both"/>
        <w:ind w:firstLine="872"/>
        <w:spacing w:after="0"/>
        <w:tabs>
          <w:tab w:leader="none" w:pos="2411" w:val="left"/>
        </w:tabs>
        <w:numPr>
          <w:ilvl w:val="1"/>
          <w:numId w:val="93"/>
        </w:numPr>
        <w:rPr>
          <w:rFonts w:ascii="Arial" w:cs="Arial" w:eastAsia="Arial" w:hAnsi="Arial"/>
          <w:sz w:val="22"/>
          <w:szCs w:val="22"/>
          <w:color w:val="auto"/>
        </w:rPr>
      </w:pPr>
      <w:r>
        <w:rPr>
          <w:rFonts w:ascii="Arial" w:cs="Arial" w:eastAsia="Arial" w:hAnsi="Arial"/>
          <w:sz w:val="22"/>
          <w:szCs w:val="22"/>
          <w:color w:val="auto"/>
        </w:rPr>
        <w:t xml:space="preserve">Except as may otherwise be set forth in any Extension Offer or any Refinancing Amendment, voluntary prepayments of Term Loans pursuant to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shall be applied ratably to each Class of Term Loans then outstanding.</w:t>
      </w:r>
    </w:p>
    <w:p>
      <w:pPr>
        <w:spacing w:after="0" w:line="186" w:lineRule="exact"/>
        <w:rPr>
          <w:rFonts w:ascii="Arial" w:cs="Arial" w:eastAsia="Arial" w:hAnsi="Arial"/>
          <w:sz w:val="22"/>
          <w:szCs w:val="22"/>
          <w:color w:val="auto"/>
        </w:rPr>
      </w:pPr>
    </w:p>
    <w:p>
      <w:pPr>
        <w:jc w:val="both"/>
        <w:ind w:firstLine="872"/>
        <w:spacing w:after="0" w:line="273" w:lineRule="auto"/>
        <w:tabs>
          <w:tab w:leader="none" w:pos="2399"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Each notice of prepayment shall specify the prepayment date and the principal amount of each Borrowing (or portion thereof) to be prepaid shall be irrevocable and shall commit the Borrower to prepay such Borrowing by the amount stated therein on the date stated therein;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notice of prepayment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provisions of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shall apply to any prepayment that is not made as a result of the failure of such condition). All prepayments under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(to the extent applicable) and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but otherwise without premium or penalty. All prepayments under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be accompanied by accrued and unpaid interest on the principal amount to be prepaid to but excluding the date of payment.</w:t>
      </w:r>
    </w:p>
    <w:p>
      <w:pPr>
        <w:spacing w:after="0" w:line="160" w:lineRule="exact"/>
        <w:rPr>
          <w:rFonts w:ascii="Arial" w:cs="Arial" w:eastAsia="Arial" w:hAnsi="Arial"/>
          <w:sz w:val="19"/>
          <w:szCs w:val="19"/>
          <w:color w:val="auto"/>
        </w:rPr>
      </w:pPr>
    </w:p>
    <w:p>
      <w:pPr>
        <w:jc w:val="both"/>
        <w:ind w:firstLine="979"/>
        <w:spacing w:after="0" w:line="276" w:lineRule="auto"/>
        <w:tabs>
          <w:tab w:leader="none" w:pos="2519" w:val="left"/>
        </w:tabs>
        <w:numPr>
          <w:ilvl w:val="2"/>
          <w:numId w:val="93"/>
        </w:numPr>
        <w:rPr>
          <w:rFonts w:ascii="Arial" w:cs="Arial" w:eastAsia="Arial" w:hAnsi="Arial"/>
          <w:sz w:val="19"/>
          <w:szCs w:val="19"/>
          <w:color w:val="auto"/>
        </w:rPr>
      </w:pPr>
      <w:r>
        <w:rPr>
          <w:rFonts w:ascii="Arial" w:cs="Arial" w:eastAsia="Arial" w:hAnsi="Arial"/>
          <w:sz w:val="19"/>
          <w:szCs w:val="19"/>
          <w:color w:val="auto"/>
        </w:rPr>
        <w:t xml:space="preserve">In the event that, (i) the Borrower voluntarily prepays any Tranche B-2 Term Loans, (ii) the Borrower makes any mandatory prepayment of the Tranche B-2 Term Loans pursuant to </w:t>
      </w:r>
      <w:r>
        <w:rPr>
          <w:rFonts w:ascii="Arial" w:cs="Arial" w:eastAsia="Arial" w:hAnsi="Arial"/>
          <w:sz w:val="19"/>
          <w:szCs w:val="19"/>
          <w:u w:val="single" w:color="auto"/>
          <w:color w:val="auto"/>
        </w:rPr>
        <w:t>Sections 2.13(a)(ii)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2.13(a)</w:t>
      </w:r>
    </w:p>
    <w:p>
      <w:pPr>
        <w:spacing w:after="0" w:line="1" w:lineRule="exact"/>
        <w:rPr>
          <w:rFonts w:ascii="Arial" w:cs="Arial" w:eastAsia="Arial" w:hAnsi="Arial"/>
          <w:sz w:val="19"/>
          <w:szCs w:val="19"/>
          <w:color w:val="auto"/>
        </w:rPr>
      </w:pPr>
    </w:p>
    <w:p>
      <w:pPr>
        <w:jc w:val="both"/>
        <w:ind w:firstLine="8"/>
        <w:spacing w:after="0" w:line="269" w:lineRule="auto"/>
        <w:tabs>
          <w:tab w:leader="none" w:pos="366" w:val="left"/>
        </w:tabs>
        <w:numPr>
          <w:ilvl w:val="0"/>
          <w:numId w:val="94"/>
        </w:numPr>
        <w:rPr>
          <w:rFonts w:ascii="Arial" w:cs="Arial" w:eastAsia="Arial" w:hAnsi="Arial"/>
          <w:sz w:val="19"/>
          <w:szCs w:val="19"/>
          <w:u w:val="single" w:color="auto"/>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2.13(a)(v)</w:t>
      </w:r>
      <w:r>
        <w:rPr>
          <w:rFonts w:ascii="Arial" w:cs="Arial" w:eastAsia="Arial" w:hAnsi="Arial"/>
          <w:sz w:val="19"/>
          <w:szCs w:val="19"/>
          <w:color w:val="auto"/>
        </w:rPr>
        <w:t xml:space="preserve">, (iii) a Term Lender is deemed a Non-Consenting Lender and must assign its Tranche B-2 Term Loans pursuant to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or (iv) the Tranche B-2 Term Loans are accelerated, then in each case, the Borrower shall pay to the Administrative Agent on the date of such prepayment, assignment or acceleration, for the ratable account of each applicable Term Lender, a prepayment premium equal to (x) 3% of the aggregate amount of the applicable Tranche B-2 Term Loans being prepaid, accelerated or assigned if such prepayment, acceleration or assignment occurs after the Restatement Effective Date but prior to the first anniversary of the Restatement Effective Date, (y) 2% of the aggregate amount of the applicable Tranche B-2 Term Loans being prepaid, accelerated or assigned if such prepayment or assignment occurs on or after the first but prior to the second anniversary of the Restatement Effective Date and (z) 1% of the aggregate amount of the applicable Tranche B-2 Term Loans being prepaid, accelerated or assigned if such prepayment, acceleration or assignment occurs on or after the second but prior to the third anniversary of the Restatement Effective Date (the foregoing premiums, the “</w:t>
      </w:r>
      <w:r>
        <w:rPr>
          <w:rFonts w:ascii="Arial" w:cs="Arial" w:eastAsia="Arial" w:hAnsi="Arial"/>
          <w:sz w:val="19"/>
          <w:szCs w:val="19"/>
          <w:b w:val="1"/>
          <w:bCs w:val="1"/>
          <w:color w:val="auto"/>
        </w:rPr>
        <w:t>Prepayment Premium</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for the avoidance of doubt, no Prepayment Premium shall be payable on or following the third anniversary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Restatement Effective Date </w:t>
      </w:r>
      <w:r>
        <w:rPr>
          <w:rFonts w:ascii="Arial" w:cs="Arial" w:eastAsia="Arial" w:hAnsi="Arial"/>
          <w:sz w:val="19"/>
          <w:szCs w:val="19"/>
          <w:color w:val="FF0000"/>
        </w:rPr>
        <w:t>and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(B) the Prepayment Premium shall not apply to mandatory prepayments of the Tranche B-2 Term Loans pursuant to </w:t>
      </w:r>
      <w:r>
        <w:rPr>
          <w:rFonts w:ascii="Arial" w:cs="Arial" w:eastAsia="Arial" w:hAnsi="Arial"/>
          <w:sz w:val="19"/>
          <w:szCs w:val="19"/>
          <w:u w:val="single" w:color="auto"/>
          <w:color w:val="auto"/>
        </w:rPr>
        <w:t>Section 2.13(a)(ii)</w:t>
      </w:r>
      <w:r>
        <w:rPr>
          <w:rFonts w:ascii="Arial" w:cs="Arial" w:eastAsia="Arial" w:hAnsi="Arial"/>
          <w:sz w:val="19"/>
          <w:szCs w:val="19"/>
          <w:color w:val="auto"/>
        </w:rPr>
        <w:t xml:space="preserve"> that do not exceed $100,000,000 in the aggregate during the term of this Agreement </w:t>
      </w:r>
      <w:r>
        <w:rPr>
          <w:rFonts w:ascii="Arial" w:cs="Arial" w:eastAsia="Arial" w:hAnsi="Arial"/>
          <w:sz w:val="19"/>
          <w:szCs w:val="19"/>
          <w:b w:val="1"/>
          <w:bCs w:val="1"/>
          <w:u w:val="single" w:color="auto"/>
          <w:color w:val="0000FF"/>
        </w:rPr>
        <w:t>and (C) for the avoidance of doubt, the Prepayment Premium shall not apply to mandatory prepayments of the Tranche B-2 Term Loans pursuant to the Anti-Cash Hoarding Sweep in Section 2.13(a)(vi)</w:t>
      </w:r>
      <w:r>
        <w:rPr>
          <w:rFonts w:ascii="Arial" w:cs="Arial" w:eastAsia="Arial" w:hAnsi="Arial"/>
          <w:sz w:val="19"/>
          <w:szCs w:val="19"/>
          <w:color w:val="000000"/>
        </w:rPr>
        <w:t>. Without limiting the generality of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foregoing, it is understood and agreed that if the Tranche B-2 Term Loans are accelerated or otherwise become due prior to their maturity date, in each case, in respect of any Event of Default (including upon the occurrence of a bankruptcy or insolvency event (including the acceleration of claims by operation of law)), the Prepayment Premium applicable with respect to a voluntary prepayment of the Tranche B-2 Term Loans will also be due and payable on the date of such acceleration or such other prior due date as though the Tranche B-2 Term Loans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-1177290</wp:posOffset>
            </wp:positionV>
            <wp:extent cx="2324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3" w:name="page124"/>
    <w:bookmarkEnd w:id="123"/>
    <w:p>
      <w:pPr>
        <w:jc w:val="both"/>
        <w:spacing w:after="0" w:line="272" w:lineRule="auto"/>
        <w:rPr>
          <w:sz w:val="20"/>
          <w:szCs w:val="20"/>
          <w:color w:val="auto"/>
        </w:rPr>
      </w:pPr>
      <w:r>
        <w:rPr>
          <w:rFonts w:ascii="Arial" w:cs="Arial" w:eastAsia="Arial" w:hAnsi="Arial"/>
          <w:sz w:val="19"/>
          <w:szCs w:val="19"/>
          <w:color w:val="auto"/>
        </w:rPr>
        <w:t>voluntarily prepaid as of such date and shall constitute part of the Obligations, in view of the impracticability and extreme difficulty of ascertaining actual damages and by mutual agreement of the parties as to a reasonable calculation of each Term Lender’s loss as a result thereof. Any premium payable above shall be presumed to be the liquidated damages sustained by each Term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Term Lenders and the Borrower giving specific consideration in this transaction for such agreement to pay the Prepayment Premium; and (D) the Borrower shall be estopped hereafter from claiming differently than as agreed to in this paragraph.</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Mandatory Prepayments</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79"/>
        <w:spacing w:after="0" w:line="268" w:lineRule="auto"/>
        <w:tabs>
          <w:tab w:leader="none" w:pos="2507"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(i) Within five (5) Business Days after the earlier of (x) 90 days after the end of each Excess Cash Flow Period and (y) the date on which financial statements have been delivered pursuant to Section 6.01(a) (commencing with the Excess Cash Flow Period ended December 31, 2019) and the related Compliance Certificate has been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the Borrower shall cause to be prepaid an aggregate amount of Term Loans in an amount equal to (A) the Applicable ECF Percentage of Excess Cash Flow, if any, for the Excess Cash Flow Period covered or required to have been covered by such financial statements minus (B) the sum of (1) all voluntary prepayments of principal of Term Loans (including the amount of cash used to make all debt buybacks and repurchases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w:t>
      </w:r>
      <w:r>
        <w:rPr>
          <w:rFonts w:ascii="Arial" w:cs="Arial" w:eastAsia="Arial" w:hAnsi="Arial"/>
          <w:sz w:val="19"/>
          <w:szCs w:val="19"/>
          <w:color w:val="FF0000"/>
        </w:rPr>
        <w:t>and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(2</w:t>
      </w:r>
      <w:r>
        <w:rPr>
          <w:rFonts w:ascii="Arial" w:cs="Arial" w:eastAsia="Arial" w:hAnsi="Arial"/>
          <w:sz w:val="19"/>
          <w:szCs w:val="19"/>
          <w:b w:val="1"/>
          <w:bCs w:val="1"/>
          <w:u w:val="single" w:color="auto"/>
          <w:color w:val="0000FF"/>
        </w:rPr>
        <w:t>) all prepayments of</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principal of Term Loans made pursuant to the terms of the Anti-Cash Hoarding Sweep, and (3</w:t>
      </w:r>
      <w:r>
        <w:rPr>
          <w:rFonts w:ascii="Arial" w:cs="Arial" w:eastAsia="Arial" w:hAnsi="Arial"/>
          <w:sz w:val="19"/>
          <w:szCs w:val="19"/>
          <w:color w:val="000000"/>
        </w:rPr>
        <w:t>) all voluntary prepayments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of loans under the ABL Facility during such fiscal year to the extent accompanied by a corresponding permanent reduction in the commitments under the ABL Facility and, in the case of each of the immediately preceding clauses (1) </w:t>
      </w:r>
      <w:r>
        <w:rPr>
          <w:rFonts w:ascii="Arial" w:cs="Arial" w:eastAsia="Arial" w:hAnsi="Arial"/>
          <w:sz w:val="19"/>
          <w:szCs w:val="19"/>
          <w:color w:val="FF0000"/>
        </w:rPr>
        <w:t>and</w:t>
      </w:r>
      <w:r>
        <w:rPr>
          <w:rFonts w:ascii="Arial" w:cs="Arial" w:eastAsia="Arial" w:hAnsi="Arial"/>
          <w:sz w:val="19"/>
          <w:szCs w:val="19"/>
          <w:b w:val="1"/>
          <w:bCs w:val="1"/>
          <w:u w:val="single" w:color="auto"/>
          <w:color w:val="0000FF"/>
        </w:rPr>
        <w:t>,</w:t>
      </w:r>
      <w:r>
        <w:rPr>
          <w:rFonts w:ascii="Arial" w:cs="Arial" w:eastAsia="Arial" w:hAnsi="Arial"/>
          <w:sz w:val="19"/>
          <w:szCs w:val="19"/>
          <w:color w:val="000000"/>
        </w:rPr>
        <w:t xml:space="preserve"> (2) </w:t>
      </w:r>
      <w:r>
        <w:rPr>
          <w:rFonts w:ascii="Arial" w:cs="Arial" w:eastAsia="Arial" w:hAnsi="Arial"/>
          <w:sz w:val="19"/>
          <w:szCs w:val="19"/>
          <w:b w:val="1"/>
          <w:bCs w:val="1"/>
          <w:color w:val="0000FF"/>
        </w:rPr>
        <w:t>and (3)</w:t>
      </w:r>
      <w:r>
        <w:rPr>
          <w:rFonts w:ascii="Arial" w:cs="Arial" w:eastAsia="Arial" w:hAnsi="Arial"/>
          <w:sz w:val="19"/>
          <w:szCs w:val="19"/>
          <w:color w:val="000000"/>
        </w:rPr>
        <w:t xml:space="preserve">, to the extent such prepayments are funded with Internally Generated Cash;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the amount of prepayment required under this </w:t>
      </w:r>
      <w:r>
        <w:rPr>
          <w:rFonts w:ascii="Arial" w:cs="Arial" w:eastAsia="Arial" w:hAnsi="Arial"/>
          <w:sz w:val="19"/>
          <w:szCs w:val="19"/>
          <w:u w:val="single" w:color="auto"/>
          <w:color w:val="000000"/>
        </w:rPr>
        <w:t>Section 2.13(a)(i)</w:t>
      </w:r>
      <w:r>
        <w:rPr>
          <w:rFonts w:ascii="Arial" w:cs="Arial" w:eastAsia="Arial" w:hAnsi="Arial"/>
          <w:sz w:val="19"/>
          <w:szCs w:val="19"/>
          <w:color w:val="000000"/>
        </w:rPr>
        <w:t xml:space="preserve"> shall be reduced to the extent (but only to the extent) that (x) after giving effect to such prepayment, the sum of</w:t>
      </w:r>
    </w:p>
    <w:p>
      <w:pPr>
        <w:spacing w:after="0" w:line="6" w:lineRule="exact"/>
        <w:rPr>
          <w:rFonts w:ascii="Arial" w:cs="Arial" w:eastAsia="Arial" w:hAnsi="Arial"/>
          <w:sz w:val="19"/>
          <w:szCs w:val="19"/>
          <w:color w:val="auto"/>
        </w:rPr>
      </w:pPr>
    </w:p>
    <w:p>
      <w:pPr>
        <w:jc w:val="both"/>
        <w:ind w:firstLine="8"/>
        <w:spacing w:after="0" w:line="272" w:lineRule="auto"/>
        <w:tabs>
          <w:tab w:leader="none" w:pos="305"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maximum aggregate amount available to be drawn under the ABL Credit Agreement that would not result in a Financial Covenant Trigger Period under the ABL Facility (or any similar term under any replacement ABL Facility) plus (b) the aggregate amount of cash and Cash Equivalents of the Borrower and its Restricted Subsidiaries (other than any cash or Cash Equivalents appearing on the consolidated balance sheet of the Borrower as “restricted” (or with a like designation)) would be less than $200,000,000 and (y) the Borrower shall have delivered to the Administrative Agent a certificate of a Responsible Officer certifying as to the foregoing. Notwithstanding anything to the contrary contained herein, the Borrower shall not be obligated to make any such prepayments described in this </w:t>
      </w:r>
      <w:r>
        <w:rPr>
          <w:rFonts w:ascii="Arial" w:cs="Arial" w:eastAsia="Arial" w:hAnsi="Arial"/>
          <w:sz w:val="19"/>
          <w:szCs w:val="19"/>
          <w:u w:val="single" w:color="auto"/>
          <w:color w:val="auto"/>
        </w:rPr>
        <w:t>Section 2.13(a)(i)</w:t>
      </w:r>
      <w:r>
        <w:rPr>
          <w:rFonts w:ascii="Arial" w:cs="Arial" w:eastAsia="Arial" w:hAnsi="Arial"/>
          <w:sz w:val="19"/>
          <w:szCs w:val="19"/>
          <w:color w:val="auto"/>
        </w:rPr>
        <w:t xml:space="preserve"> (and no Default or Event of Default shall arise as a result of such nonpayment) to the extent such payment would otherwise constitute a violation or breach of the ABL Credit Agreement in respect of minimum liquidity requirements (as in effect on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-2261235</wp:posOffset>
            </wp:positionV>
            <wp:extent cx="2406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-1798320</wp:posOffset>
            </wp:positionV>
            <wp:extent cx="2406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-1729740</wp:posOffset>
            </wp:positionV>
            <wp:extent cx="4629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-1712595</wp:posOffset>
            </wp:positionV>
            <wp:extent cx="4629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hereof in respect of such restriction, or as otherwise modified, supplemented or amended in a manner not adverse to the Lenders).</w:t>
      </w:r>
    </w:p>
    <w:p>
      <w:pPr>
        <w:spacing w:after="0" w:line="241" w:lineRule="exact"/>
        <w:rPr>
          <w:sz w:val="20"/>
          <w:szCs w:val="20"/>
          <w:color w:val="auto"/>
        </w:rPr>
      </w:pPr>
    </w:p>
    <w:p>
      <w:pPr>
        <w:jc w:val="both"/>
        <w:ind w:firstLine="872"/>
        <w:spacing w:after="0" w:line="274" w:lineRule="auto"/>
        <w:tabs>
          <w:tab w:leader="none" w:pos="1775"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If (1) the Borrower or any Restricted Subsidiary Disposes of any Real Property or Disposes of any other property or assets pursuant to </w:t>
      </w:r>
      <w:r>
        <w:rPr>
          <w:rFonts w:ascii="Arial" w:cs="Arial" w:eastAsia="Arial" w:hAnsi="Arial"/>
          <w:sz w:val="19"/>
          <w:szCs w:val="19"/>
          <w:u w:val="single" w:color="auto"/>
          <w:color w:val="auto"/>
        </w:rPr>
        <w:t>Section 7.05 (j)</w:t>
      </w:r>
      <w:r>
        <w:rPr>
          <w:rFonts w:ascii="Arial" w:cs="Arial" w:eastAsia="Arial" w:hAnsi="Arial"/>
          <w:sz w:val="19"/>
          <w:szCs w:val="19"/>
          <w:color w:val="auto"/>
        </w:rPr>
        <w:t xml:space="preserv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(t)</w:t>
      </w:r>
      <w:r>
        <w:rPr>
          <w:rFonts w:ascii="Arial" w:cs="Arial" w:eastAsia="Arial" w:hAnsi="Arial"/>
          <w:sz w:val="19"/>
          <w:szCs w:val="19"/>
          <w:color w:val="auto"/>
        </w:rPr>
        <w:t xml:space="preserve"> or under any transaction that would be prohibited by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(other than (x) so long as the ABL Credit Agreement is in effect, any Disposition of ABL Priority Collateral and (y) leases of Real Property entered into in the ordinary course of business (excluding Sale and Leaseback Transactions)), or (2) any Casualty Event occurs, which results in the realization or receipt by the Borrower or a Restricted Subsidiary of Net Proceeds, the Borrower shall cause to be prepaid on or prior to the date which is ten (10) Business Days after the date of the realization or receipt by the Borrower or any Restricted Subsidiary of such Net Proceeds an aggregate principal amount of Term Loans in an amount equal to 100% of the Net Proceeds (or, in the case of any Disposition of, or Sale and Leaseback Transaction, with respect to Real Property, 100% of the Real Property Disposition Proceeds) realized or received.</w:t>
      </w:r>
    </w:p>
    <w:p>
      <w:pPr>
        <w:spacing w:after="0" w:line="158" w:lineRule="exact"/>
        <w:rPr>
          <w:rFonts w:ascii="Arial" w:cs="Arial" w:eastAsia="Arial" w:hAnsi="Arial"/>
          <w:sz w:val="19"/>
          <w:szCs w:val="19"/>
          <w:color w:val="auto"/>
        </w:rPr>
      </w:pPr>
    </w:p>
    <w:p>
      <w:pPr>
        <w:jc w:val="both"/>
        <w:ind w:firstLine="872"/>
        <w:spacing w:after="0" w:line="235" w:lineRule="auto"/>
        <w:tabs>
          <w:tab w:leader="none" w:pos="1835"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If the Borrower or any Restricted Subsidiary incurs or issues any Indebtedness after the Restatement Effective Date (other than Indebtedness permitted under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(other than any Credit Agreement Refinancing Indebtedness)), the Borrower shall cause to be prepaid an aggregate principal amount of Term Loans in an amount equal to 100% of all Net Proceeds received therefrom on or prior to the date which is five (5) Business Days after (or, in the case of Credit Agreement Refinancing Indebtedness, one Business Day after) the receipt by the Borrower or such Restricted Subsidiary of such Net Proceeds.</w:t>
      </w:r>
    </w:p>
    <w:p>
      <w:pPr>
        <w:spacing w:after="0" w:line="188"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color w:val="auto"/>
        </w:rPr>
        <w:t>(iv)If the Borrower issues any Alternative Incremental Indebtedness or any Subordinated Indebtedness after the Restatement Effective Date, the Borrower shall cause to be prepaid an aggregate principal amount of Term Loans in an amount equal to 33% of all Net Proceeds received therefrom on or prior to the date which is five (5) Business Days after the receipt by the Borrower of such Net Proceeds.</w:t>
      </w:r>
    </w:p>
    <w:p>
      <w:pPr>
        <w:spacing w:after="0" w:line="185" w:lineRule="exact"/>
        <w:rPr>
          <w:sz w:val="20"/>
          <w:szCs w:val="20"/>
          <w:color w:val="auto"/>
        </w:rPr>
      </w:pPr>
    </w:p>
    <w:p>
      <w:pPr>
        <w:jc w:val="both"/>
        <w:ind w:firstLine="1512"/>
        <w:spacing w:after="0" w:line="236" w:lineRule="auto"/>
        <w:rPr>
          <w:sz w:val="20"/>
          <w:szCs w:val="20"/>
          <w:color w:val="auto"/>
        </w:rPr>
      </w:pPr>
      <w:r>
        <w:rPr>
          <w:rFonts w:ascii="Arial" w:cs="Arial" w:eastAsia="Arial" w:hAnsi="Arial"/>
          <w:sz w:val="22"/>
          <w:szCs w:val="22"/>
          <w:color w:val="auto"/>
        </w:rPr>
        <w:t xml:space="preserve">(v)If the Borrower issues any Equity Interests after the Restatement Effective Date, the Borrower shall cause to be prepaid an aggregate principal amount of Term Loans in an amount equal to 50% of all Net Equity Proceeds received therefrom on or prior to the date which is five (5) Business Days after the receipt by the Borrower of such Net Equity Proceeds; </w:t>
      </w:r>
      <w:r>
        <w:rPr>
          <w:rFonts w:ascii="Arial" w:cs="Arial" w:eastAsia="Arial" w:hAnsi="Arial"/>
          <w:sz w:val="22"/>
          <w:szCs w:val="22"/>
          <w:i w:val="1"/>
          <w:iCs w:val="1"/>
          <w:color w:val="auto"/>
        </w:rPr>
        <w:t>provided</w:t>
      </w:r>
      <w:r>
        <w:rPr>
          <w:rFonts w:ascii="Arial" w:cs="Arial" w:eastAsia="Arial" w:hAnsi="Arial"/>
          <w:sz w:val="22"/>
          <w:szCs w:val="22"/>
          <w:color w:val="auto"/>
        </w:rPr>
        <w:t>, that the Borrower shall only be required to apply up to $30,000,000 in the aggregate of Net Equity Proceeds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2.13(a)(v)</w:t>
      </w:r>
      <w:r>
        <w:rPr>
          <w:rFonts w:ascii="Arial" w:cs="Arial" w:eastAsia="Arial" w:hAnsi="Arial"/>
          <w:sz w:val="22"/>
          <w:szCs w:val="22"/>
          <w:color w:val="auto"/>
        </w:rPr>
        <w:t>.</w:t>
      </w:r>
    </w:p>
    <w:p>
      <w:pPr>
        <w:spacing w:after="0" w:line="181" w:lineRule="exact"/>
        <w:rPr>
          <w:sz w:val="20"/>
          <w:szCs w:val="20"/>
          <w:color w:val="auto"/>
        </w:rPr>
      </w:pPr>
    </w:p>
    <w:p>
      <w:pPr>
        <w:jc w:val="both"/>
        <w:ind w:firstLine="1735"/>
        <w:spacing w:after="0" w:line="300" w:lineRule="auto"/>
        <w:tabs>
          <w:tab w:leader="none" w:pos="2755" w:val="left"/>
        </w:tabs>
        <w:numPr>
          <w:ilvl w:val="1"/>
          <w:numId w:val="9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If, on any day, the Borrower and its Subsidiaries have Available Cash then, not later than two Business Days after such day, the Borrower shall prepay the outstanding Term Loans under this Agreement in an aggregate amount equal to the amount of such Available Cash (the “Anti-Cash Hoarding Sweep”).</w:t>
      </w:r>
    </w:p>
    <w:p>
      <w:pPr>
        <w:spacing w:after="0" w:line="131" w:lineRule="exact"/>
        <w:rPr>
          <w:rFonts w:ascii="Arial" w:cs="Arial" w:eastAsia="Arial" w:hAnsi="Arial"/>
          <w:sz w:val="19"/>
          <w:szCs w:val="19"/>
          <w:b w:val="1"/>
          <w:bCs w:val="1"/>
          <w:u w:val="single" w:color="auto"/>
          <w:color w:val="0000FF"/>
        </w:rPr>
      </w:pPr>
    </w:p>
    <w:p>
      <w:pPr>
        <w:jc w:val="both"/>
        <w:ind w:firstLine="872"/>
        <w:spacing w:after="0" w:line="238" w:lineRule="auto"/>
        <w:tabs>
          <w:tab w:leader="none" w:pos="2411"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Except as may otherwise be set forth in any Extension Offer, any Refinancing Amendment, any Permitted Repricing Amendment or any other governing documentation, each prepayment of Term Loans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2.13(a)</w:t>
      </w:r>
      <w:r>
        <w:rPr>
          <w:rFonts w:ascii="Arial" w:cs="Arial" w:eastAsia="Arial" w:hAnsi="Arial"/>
          <w:sz w:val="22"/>
          <w:szCs w:val="22"/>
          <w:color w:val="auto"/>
        </w:rPr>
        <w:t xml:space="preserve"> shall be applied ratably to each Class of Term Loans then outstanding; </w:t>
      </w:r>
      <w:r>
        <w:rPr>
          <w:rFonts w:ascii="Arial" w:cs="Arial" w:eastAsia="Arial" w:hAnsi="Arial"/>
          <w:sz w:val="22"/>
          <w:szCs w:val="22"/>
          <w:i w:val="1"/>
          <w:iCs w:val="1"/>
          <w:color w:val="auto"/>
        </w:rPr>
        <w:t>provided</w:t>
      </w:r>
      <w:r>
        <w:rPr>
          <w:rFonts w:ascii="Arial" w:cs="Arial" w:eastAsia="Arial" w:hAnsi="Arial"/>
          <w:sz w:val="22"/>
          <w:szCs w:val="22"/>
          <w:color w:val="auto"/>
        </w:rPr>
        <w:t>, that any prepayment of Term Loans pursuant to the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 xml:space="preserve">parenthetical in </w:t>
      </w:r>
      <w:r>
        <w:rPr>
          <w:rFonts w:ascii="Arial" w:cs="Arial" w:eastAsia="Arial" w:hAnsi="Arial"/>
          <w:sz w:val="22"/>
          <w:szCs w:val="22"/>
          <w:u w:val="single" w:color="auto"/>
          <w:color w:val="auto"/>
        </w:rPr>
        <w:t>Section 2.13(a)(iii)</w:t>
      </w:r>
      <w:r>
        <w:rPr>
          <w:rFonts w:ascii="Arial" w:cs="Arial" w:eastAsia="Arial" w:hAnsi="Arial"/>
          <w:sz w:val="22"/>
          <w:szCs w:val="22"/>
          <w:color w:val="auto"/>
        </w:rPr>
        <w:t xml:space="preserve"> shall be applied solely to each applicable Class of Refinanced Debt.</w:t>
      </w:r>
    </w:p>
    <w:p>
      <w:pPr>
        <w:spacing w:after="0" w:line="206" w:lineRule="exact"/>
        <w:rPr>
          <w:sz w:val="20"/>
          <w:szCs w:val="20"/>
          <w:color w:val="auto"/>
        </w:rPr>
      </w:pPr>
    </w:p>
    <w:p>
      <w:pPr>
        <w:jc w:val="both"/>
        <w:ind w:firstLine="872"/>
        <w:spacing w:after="0" w:line="297" w:lineRule="auto"/>
        <w:tabs>
          <w:tab w:leader="none" w:pos="239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With respect to each Class of Term Loans, each prepayment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shall be paid to the Lenders in accordance with their respective Pro Rata Shares, subject to </w:t>
      </w:r>
      <w:r>
        <w:rPr>
          <w:rFonts w:ascii="Arial" w:cs="Arial" w:eastAsia="Arial" w:hAnsi="Arial"/>
          <w:sz w:val="19"/>
          <w:szCs w:val="19"/>
          <w:u w:val="single" w:color="auto"/>
          <w:color w:val="auto"/>
        </w:rPr>
        <w:t>Section 2.13(d)</w:t>
      </w:r>
      <w:r>
        <w:rPr>
          <w:rFonts w:ascii="Arial" w:cs="Arial" w:eastAsia="Arial" w:hAnsi="Arial"/>
          <w:sz w:val="19"/>
          <w:szCs w:val="19"/>
          <w:color w:val="auto"/>
        </w:rPr>
        <w:t xml:space="preserve">. For the avoidance of doubt, this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is applicable to any prepayment made with the Net Proceeds of Credit Agreement Refinancing Indebtedness.</w:t>
      </w:r>
    </w:p>
    <w:p>
      <w:pPr>
        <w:spacing w:after="0" w:line="133" w:lineRule="exact"/>
        <w:rPr>
          <w:rFonts w:ascii="Arial" w:cs="Arial" w:eastAsia="Arial" w:hAnsi="Arial"/>
          <w:sz w:val="19"/>
          <w:szCs w:val="19"/>
          <w:color w:val="auto"/>
        </w:rPr>
      </w:pPr>
    </w:p>
    <w:p>
      <w:pPr>
        <w:jc w:val="both"/>
        <w:ind w:firstLine="872"/>
        <w:spacing w:after="0" w:line="271" w:lineRule="auto"/>
        <w:tabs>
          <w:tab w:leader="none" w:pos="241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in writing of any mandatory prepayment of Term Loans required to be made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(other than pursuant to clause (vi) of Section 2.13(a))</w:t>
      </w:r>
      <w:r>
        <w:rPr>
          <w:rFonts w:ascii="Arial" w:cs="Arial" w:eastAsia="Arial" w:hAnsi="Arial"/>
          <w:sz w:val="19"/>
          <w:szCs w:val="19"/>
          <w:color w:val="auto"/>
        </w:rPr>
        <w:t xml:space="preserve"> by 1:00 p.m., New York City time, least three (3) Business Days prior to the date of such prepayment </w:t>
      </w:r>
      <w:r>
        <w:rPr>
          <w:rFonts w:ascii="Arial" w:cs="Arial" w:eastAsia="Arial" w:hAnsi="Arial"/>
          <w:sz w:val="19"/>
          <w:szCs w:val="19"/>
          <w:b w:val="1"/>
          <w:bCs w:val="1"/>
          <w:color w:val="0000FF"/>
        </w:rPr>
        <w:t>(or, in the case of any mandatory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prepayment of Term Loans required to be made pursuant to clause (vi) of Section 2.13(a), by 1:00 p.m., New York City time, on the date of such prepayment)</w:t>
      </w:r>
      <w:r>
        <w:rPr>
          <w:rFonts w:ascii="Arial" w:cs="Arial" w:eastAsia="Arial" w:hAnsi="Arial"/>
          <w:sz w:val="19"/>
          <w:szCs w:val="19"/>
          <w:color w:val="000000"/>
        </w:rPr>
        <w:t>. Each such notice shall specify the date of such prepayment and provide a reasonably</w:t>
      </w:r>
      <w:r>
        <w:rPr>
          <w:rFonts w:ascii="Arial" w:cs="Arial" w:eastAsia="Arial" w:hAnsi="Arial"/>
          <w:sz w:val="19"/>
          <w:szCs w:val="19"/>
          <w:b w:val="1"/>
          <w:bCs w:val="1"/>
          <w:color w:val="0000FF"/>
        </w:rPr>
        <w:t xml:space="preserve"> </w:t>
      </w:r>
      <w:r>
        <w:rPr>
          <w:rFonts w:ascii="Arial" w:cs="Arial" w:eastAsia="Arial" w:hAnsi="Arial"/>
          <w:sz w:val="19"/>
          <w:szCs w:val="19"/>
          <w:color w:val="000000"/>
        </w:rPr>
        <w:t>detailed calculation of the amount of such estimated prepayment. The Administrative Agent will promptly notify each applicable Lender of the contents of the Borrower’s prepayment notice and of such Lender’s Pro Rata Share or other applicable share of the prepayment. Each Term Lender may reject all of its Pro Rata Share or other applicable share of any mandatory prepayment (such declined amounts, the “</w:t>
      </w:r>
      <w:r>
        <w:rPr>
          <w:rFonts w:ascii="Arial" w:cs="Arial" w:eastAsia="Arial" w:hAnsi="Arial"/>
          <w:sz w:val="19"/>
          <w:szCs w:val="19"/>
          <w:b w:val="1"/>
          <w:bCs w:val="1"/>
          <w:color w:val="000000"/>
        </w:rPr>
        <w:t>Declined Proceeds</w:t>
      </w:r>
      <w:r>
        <w:rPr>
          <w:rFonts w:ascii="Arial" w:cs="Arial" w:eastAsia="Arial" w:hAnsi="Arial"/>
          <w:sz w:val="19"/>
          <w:szCs w:val="19"/>
          <w:color w:val="000000"/>
        </w:rPr>
        <w:t xml:space="preserve">”) of Term Loans required to be made pursuant to </w:t>
      </w:r>
      <w:r>
        <w:rPr>
          <w:rFonts w:ascii="Arial" w:cs="Arial" w:eastAsia="Arial" w:hAnsi="Arial"/>
          <w:sz w:val="19"/>
          <w:szCs w:val="19"/>
          <w:u w:val="single" w:color="auto"/>
          <w:color w:val="000000"/>
        </w:rPr>
        <w:t>Section 2.13(a)</w:t>
      </w:r>
      <w:r>
        <w:rPr>
          <w:rFonts w:ascii="Arial" w:cs="Arial" w:eastAsia="Arial" w:hAnsi="Arial"/>
          <w:sz w:val="19"/>
          <w:szCs w:val="19"/>
          <w:color w:val="000000"/>
        </w:rPr>
        <w:t xml:space="preserve"> by providing written notice (each, a “</w:t>
      </w:r>
      <w:r>
        <w:rPr>
          <w:rFonts w:ascii="Arial" w:cs="Arial" w:eastAsia="Arial" w:hAnsi="Arial"/>
          <w:sz w:val="19"/>
          <w:szCs w:val="19"/>
          <w:b w:val="1"/>
          <w:bCs w:val="1"/>
          <w:color w:val="000000"/>
        </w:rPr>
        <w:t>Rejection Notice</w:t>
      </w:r>
      <w:r>
        <w:rPr>
          <w:rFonts w:ascii="Arial" w:cs="Arial" w:eastAsia="Arial" w:hAnsi="Arial"/>
          <w:sz w:val="19"/>
          <w:szCs w:val="19"/>
          <w:color w:val="000000"/>
        </w:rPr>
        <w:t xml:space="preserve">”) to the Administrative Agent and the Borrower no later than 5:00 p.m., New York City time, one Business Day prior to after the date of such prepayment;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for the avoidance of doubt, no Lender may reject any prepayment made with proceeds of Credit Agreement Refinancing Indebtedness. If a Term Lender fails to deliver a Rejection Notice to the Administrative Agent within the time frame specified above, any such failure will be deemed an acceptance of the total amount of such mandatory prepayment of Term Loans unless the Borrower and the Administrative Agent, with the consent of the Required Lenders, agree to an extension of time for such failure to be corrected. Any Declined Proceeds shall be retained by the Borrower.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872"/>
        <w:spacing w:after="0" w:line="272" w:lineRule="auto"/>
        <w:tabs>
          <w:tab w:leader="none" w:pos="2399"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Funding Losses, Etc</w:t>
      </w:r>
      <w:r>
        <w:rPr>
          <w:rFonts w:ascii="Arial" w:cs="Arial" w:eastAsia="Arial" w:hAnsi="Arial"/>
          <w:sz w:val="19"/>
          <w:szCs w:val="19"/>
          <w:color w:val="auto"/>
        </w:rPr>
        <w:t>. All prepayments under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2.13</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accompanied by accrued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unpaid interest on the principal amount to be prepaid to but excluding the date of payment and shall be made together with, in the case of any such prepayment of a Eurodollar Loan on a day prior to the last day of an Interest Period therefor, any amounts owing in respect of such Eurodollar Loan pursuant to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All prepayments under </w:t>
      </w:r>
      <w:r>
        <w:rPr>
          <w:rFonts w:ascii="Arial" w:cs="Arial" w:eastAsia="Arial" w:hAnsi="Arial"/>
          <w:sz w:val="19"/>
          <w:szCs w:val="19"/>
          <w:u w:val="single" w:color="auto"/>
          <w:color w:val="auto"/>
        </w:rPr>
        <w:t>Section 2.13(a)(iii)</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(to the extent applicable). Notwithstanding any of the other provisions of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so long as no Event of Default shall have occurred and be continuing, if any prepayment of Eurodollar Loans is required to be made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2.13(a)</w:t>
      </w:r>
      <w:r>
        <w:rPr>
          <w:rFonts w:ascii="Arial" w:cs="Arial" w:eastAsia="Arial" w:hAnsi="Arial"/>
          <w:sz w:val="19"/>
          <w:szCs w:val="19"/>
          <w:color w:val="auto"/>
        </w:rPr>
        <w:t xml:space="preserve"> prior to the last day of the Interest Period therefor, the Borrower may, in its sole discretion, deposit the amount of any such prepayment otherwise required to be made thereunder (including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w:t>
      </w:r>
      <w:r>
        <w:rPr>
          <w:rFonts w:ascii="Arial" w:cs="Arial" w:eastAsia="Arial" w:hAnsi="Arial"/>
          <w:sz w:val="19"/>
          <w:szCs w:val="19"/>
          <w:u w:val="single" w:color="auto"/>
          <w:color w:val="auto"/>
        </w:rPr>
        <w:t>Section 2.13(a)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-4181475</wp:posOffset>
            </wp:positionV>
            <wp:extent cx="20828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-4164330</wp:posOffset>
            </wp:positionV>
            <wp:extent cx="20828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jc w:val="both"/>
        <w:ind w:firstLine="864"/>
        <w:spacing w:after="0" w:line="247" w:lineRule="auto"/>
        <w:rPr>
          <w:sz w:val="20"/>
          <w:szCs w:val="20"/>
          <w:color w:val="auto"/>
        </w:rPr>
      </w:pPr>
      <w:r>
        <w:rPr>
          <w:rFonts w:ascii="Arial" w:cs="Arial" w:eastAsia="Arial" w:hAnsi="Arial"/>
          <w:sz w:val="21"/>
          <w:szCs w:val="21"/>
          <w:color w:val="auto"/>
        </w:rPr>
        <w:t xml:space="preserve">(f) </w:t>
      </w:r>
      <w:r>
        <w:rPr>
          <w:rFonts w:ascii="Arial" w:cs="Arial" w:eastAsia="Arial" w:hAnsi="Arial"/>
          <w:sz w:val="21"/>
          <w:szCs w:val="21"/>
          <w:i w:val="1"/>
          <w:iCs w:val="1"/>
          <w:color w:val="auto"/>
        </w:rPr>
        <w:t>Foreign Dispositions; Foreign Excess Cash Flow</w:t>
      </w:r>
      <w:r>
        <w:rPr>
          <w:rFonts w:ascii="Arial" w:cs="Arial" w:eastAsia="Arial" w:hAnsi="Arial"/>
          <w:sz w:val="21"/>
          <w:szCs w:val="21"/>
          <w:color w:val="auto"/>
        </w:rPr>
        <w:t xml:space="preserve">. Notwithstanding any other provisions of this </w:t>
      </w:r>
      <w:r>
        <w:rPr>
          <w:rFonts w:ascii="Arial" w:cs="Arial" w:eastAsia="Arial" w:hAnsi="Arial"/>
          <w:sz w:val="21"/>
          <w:szCs w:val="21"/>
          <w:u w:val="single" w:color="auto"/>
          <w:color w:val="auto"/>
        </w:rPr>
        <w:t>Section 2.13</w:t>
      </w:r>
      <w:r>
        <w:rPr>
          <w:rFonts w:ascii="Arial" w:cs="Arial" w:eastAsia="Arial" w:hAnsi="Arial"/>
          <w:sz w:val="21"/>
          <w:szCs w:val="21"/>
          <w:color w:val="auto"/>
        </w:rPr>
        <w:t>, (A) to the extent that any or all of the Net Proceeds of any Disposition by a Foreign Subsidiary (“</w:t>
      </w:r>
      <w:r>
        <w:rPr>
          <w:rFonts w:ascii="Arial" w:cs="Arial" w:eastAsia="Arial" w:hAnsi="Arial"/>
          <w:sz w:val="21"/>
          <w:szCs w:val="21"/>
          <w:b w:val="1"/>
          <w:bCs w:val="1"/>
          <w:color w:val="auto"/>
        </w:rPr>
        <w:t>Foreign</w:t>
      </w:r>
      <w:r>
        <w:rPr>
          <w:rFonts w:ascii="Arial" w:cs="Arial" w:eastAsia="Arial" w:hAnsi="Arial"/>
          <w:sz w:val="21"/>
          <w:szCs w:val="21"/>
          <w:color w:val="auto"/>
        </w:rPr>
        <w:t xml:space="preserve"> </w:t>
      </w:r>
      <w:r>
        <w:rPr>
          <w:rFonts w:ascii="Arial" w:cs="Arial" w:eastAsia="Arial" w:hAnsi="Arial"/>
          <w:sz w:val="21"/>
          <w:szCs w:val="21"/>
          <w:b w:val="1"/>
          <w:bCs w:val="1"/>
          <w:color w:val="auto"/>
        </w:rPr>
        <w:t>Disposition</w:t>
      </w:r>
      <w:r>
        <w:rPr>
          <w:rFonts w:ascii="Arial" w:cs="Arial" w:eastAsia="Arial" w:hAnsi="Arial"/>
          <w:sz w:val="21"/>
          <w:szCs w:val="21"/>
          <w:color w:val="auto"/>
        </w:rPr>
        <w:t>”) or Excess Cash Flow attributable to Foreign Subsidiaries are (x) prohibited or delayed by applicable local law or</w:t>
      </w:r>
    </w:p>
    <w:p>
      <w:pPr>
        <w:spacing w:after="0" w:line="1" w:lineRule="exact"/>
        <w:rPr>
          <w:sz w:val="20"/>
          <w:szCs w:val="20"/>
          <w:color w:val="auto"/>
        </w:rPr>
      </w:pPr>
    </w:p>
    <w:p>
      <w:pPr>
        <w:jc w:val="both"/>
        <w:ind w:firstLine="8"/>
        <w:spacing w:after="0" w:line="266" w:lineRule="auto"/>
        <w:tabs>
          <w:tab w:leader="none" w:pos="3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restricted by applicable organizational or constitutive documents or any agreement, from being repatriated to the United States, in each case the portion of such Net Proceeds or Excess Cash Flow so affected will not be required to be applied to repay Term Loans at the times provided in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but may be retained by the applicable Foreign Subsidiary (the Borrower hereby agreeing to use reasonable efforts (as determined in the Borrower’s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or constitutive document impediment to permit such repatriation), and if within one year following the date on which the respective payment would otherwise have been required, such repatriation of any of such affected Net Proceeds or Excess Cash Flow is permitted under the applicable local law, applicable organizational or constitutive document impediment, such repatriation will be promptly effected and such repatriated Net Proceeds or Excess Cash Flow will be promptly (and in any event not later than 5 Business Days after such repatriation could be made) applied (net of additional taxes, costs and expenses payable or reserved against as a result thereof) (whether or not repatriation actually occurs) to the repayment of the Term Loans pursuant to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w:t>
      </w:r>
    </w:p>
    <w:p>
      <w:pPr>
        <w:spacing w:after="0" w:line="10" w:lineRule="exact"/>
        <w:rPr>
          <w:rFonts w:ascii="Arial" w:cs="Arial" w:eastAsia="Arial" w:hAnsi="Arial"/>
          <w:sz w:val="19"/>
          <w:szCs w:val="19"/>
          <w:color w:val="auto"/>
        </w:rPr>
      </w:pPr>
    </w:p>
    <w:p>
      <w:pPr>
        <w:jc w:val="both"/>
        <w:spacing w:after="0" w:line="233" w:lineRule="auto"/>
        <w:rPr>
          <w:rFonts w:ascii="Arial" w:cs="Arial" w:eastAsia="Arial" w:hAnsi="Arial"/>
          <w:sz w:val="19"/>
          <w:szCs w:val="19"/>
          <w:color w:val="auto"/>
        </w:rPr>
      </w:pPr>
      <w:r>
        <w:rPr>
          <w:rFonts w:ascii="Arial" w:cs="Arial" w:eastAsia="Arial" w:hAnsi="Arial"/>
          <w:sz w:val="22"/>
          <w:szCs w:val="22"/>
          <w:color w:val="auto"/>
        </w:rPr>
        <w:t>(B) to the extent that the Borrower has determined in good faith that repatriation of any of or all the Net Proceeds of any Foreign Disposition or Foreign Subsidiary Excess Cash Flow could cause adverse tax consequences to the Borrower, such Net Proceeds or Excess Cash Flow so affected may be retained by the applicable Foreign Subsidiary. The non-application of any prepayment amounts as a consequence of the foregoing provisions will not, for the avoidance of doubt, constitute a Default or an Event of Default.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Pro Rata Treatment</w:t>
      </w:r>
    </w:p>
    <w:p>
      <w:pPr>
        <w:spacing w:after="0" w:line="206" w:lineRule="exact"/>
        <w:rPr>
          <w:sz w:val="20"/>
          <w:szCs w:val="20"/>
          <w:color w:val="auto"/>
        </w:rPr>
      </w:pPr>
    </w:p>
    <w:p>
      <w:pPr>
        <w:jc w:val="both"/>
        <w:ind w:firstLine="872"/>
        <w:spacing w:after="0" w:line="245" w:lineRule="auto"/>
        <w:tabs>
          <w:tab w:leader="none" w:pos="1026" w:val="left"/>
        </w:tabs>
        <w:numPr>
          <w:ilvl w:val="0"/>
          <w:numId w:val="102"/>
        </w:numPr>
        <w:rPr>
          <w:rFonts w:ascii="Arial" w:cs="Arial" w:eastAsia="Arial" w:hAnsi="Arial"/>
          <w:sz w:val="21"/>
          <w:szCs w:val="21"/>
          <w:i w:val="1"/>
          <w:iCs w:val="1"/>
          <w:color w:val="auto"/>
        </w:rPr>
      </w:pPr>
      <w:r>
        <w:rPr>
          <w:rFonts w:ascii="Arial" w:cs="Arial" w:eastAsia="Arial" w:hAnsi="Arial"/>
          <w:sz w:val="21"/>
          <w:szCs w:val="21"/>
          <w:color w:val="auto"/>
        </w:rPr>
        <w:t xml:space="preserve">Except as required under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each Borrowing, each payment or prepayment of principal of any Borrowing, each payment of interest on the Loans, each reduction of the Term Loan Commitments and each conversion of any Borrowing to or continuation of any Borrowing as a Borrowing of any Type shall be allocated pro rata among the Lenders of the applicable Class in accordance with their respective applicable Commitments (or, if such Commitments shall have expired or been terminated, in accordance with the respective principal amounts of their outstanding Loans);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provisions of this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shall not be construed to apply to any payment made by the Borrower pursuant to and in accordance with the express terms of this Agreement. Each Lender agrees that in computing such Lender’s portion of any Borrowing to be made hereunder, the Administrative Agent may, in its discretion, round each Lender’s percentage of such Borrowing to the next higher or lower whole Dollar amount.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Sharing of Setoffs</w:t>
      </w:r>
    </w:p>
    <w:p>
      <w:pPr>
        <w:spacing w:after="0" w:line="206" w:lineRule="exact"/>
        <w:rPr>
          <w:sz w:val="20"/>
          <w:szCs w:val="20"/>
          <w:color w:val="auto"/>
        </w:rPr>
      </w:pPr>
    </w:p>
    <w:p>
      <w:pPr>
        <w:jc w:val="both"/>
        <w:ind w:firstLine="872"/>
        <w:spacing w:after="0" w:line="235" w:lineRule="auto"/>
        <w:tabs>
          <w:tab w:leader="none" w:pos="1039" w:val="left"/>
        </w:tabs>
        <w:numPr>
          <w:ilvl w:val="0"/>
          <w:numId w:val="103"/>
        </w:numPr>
        <w:rPr>
          <w:rFonts w:ascii="Arial" w:cs="Arial" w:eastAsia="Arial" w:hAnsi="Arial"/>
          <w:sz w:val="22"/>
          <w:szCs w:val="22"/>
          <w:i w:val="1"/>
          <w:iCs w:val="1"/>
          <w:color w:val="auto"/>
        </w:rPr>
      </w:pPr>
      <w:r>
        <w:rPr>
          <w:rFonts w:ascii="Arial" w:cs="Arial" w:eastAsia="Arial" w:hAnsi="Arial"/>
          <w:sz w:val="22"/>
          <w:szCs w:val="22"/>
          <w:color w:val="auto"/>
        </w:rPr>
        <w:t>Each Lender agrees that if it shall, through the exercise of a right of banker’s lien, setoff or counterclaim against the Borrower or any other Loan Party,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obtain payment (voluntary or involuntary) in respect of any Loan or Loans as a result of which the unpaid principal portion of its Loans shall be proportionately less than the unpaid principal portion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7" w:name="page128"/>
    <w:bookmarkEnd w:id="127"/>
    <w:p>
      <w:pPr>
        <w:jc w:val="both"/>
        <w:spacing w:after="0" w:line="269" w:lineRule="auto"/>
        <w:rPr>
          <w:sz w:val="20"/>
          <w:szCs w:val="20"/>
          <w:color w:val="auto"/>
        </w:rPr>
      </w:pPr>
      <w:r>
        <w:rPr>
          <w:rFonts w:ascii="Arial" w:cs="Arial" w:eastAsia="Arial" w:hAnsi="Arial"/>
          <w:sz w:val="19"/>
          <w:szCs w:val="19"/>
          <w:color w:val="auto"/>
        </w:rPr>
        <w:t xml:space="preserve">of the Loans of any other Lender, it shall be deemed simultaneously to have purchased from such other Lender at face value, and shall promptly pay to such other Lender the purchase price for, a participation in the Loans of such other Lender, so that the aggregate unpaid principal amount of the Loans and participations in Loans held by each Lender shall be in the same proportion to the aggregate unpaid principal amount of all Loans then outstanding as the principal amount of its Loans prior to such exercise of banker’s lien, setoff or counterclaim or other event was to the principal amount of all Loans outstanding prior to such exercise of banker’s lien, setoff or counterclaim or other event;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if any such purchase or purchases or adjustments shall be made pursuant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the payment giving rise thereto shall thereafter be recovered, such purchase or purchases or adjustments shall be rescinded to the extent of such recovery and the purchase price or prices or adjustment restored without interest, and (ii)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as to which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applicable payment, assignment, sale or participation to the Borrower is expressly permitted under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not be construed to apply). The Borrower expressly consents to the foregoing arrangements and agrees that any Lender holding a participation in a Loan deemed to have been so purchased may exercise any and all rights of banker’s lien, setoff or counterclaim with respect to any and all moneys owing by the Borrower to such Lender by reason thereof as fully as if such Lender had made a Loan directly to the Borrower in the amount of such participation. For the avoidance of doubt, neither this Section nor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limit the ability of the Borrower to (i) purchase and retire Term Loans pursuant to an open market purchase or a Dutch Auction or (ii) pay principal, fees, premiums and interest with respect to Other Term Loans following the effectiveness of any Refinancing Amendment or any Extension Offer, as applicable, on a basis different from the Loans of such Class that will continue to be held by Lenders that were not Extending Lenders or Lenders pursuant to such Refinancing Amendment, as applicable.</w:t>
      </w:r>
    </w:p>
    <w:p>
      <w:pPr>
        <w:spacing w:after="0" w:line="200" w:lineRule="exact"/>
        <w:rPr>
          <w:sz w:val="20"/>
          <w:szCs w:val="20"/>
          <w:color w:val="auto"/>
        </w:rPr>
      </w:pPr>
    </w:p>
    <w:p>
      <w:pPr>
        <w:spacing w:after="0" w:line="21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Payments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77" w:lineRule="auto"/>
        <w:tabs>
          <w:tab w:leader="none" w:pos="241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Borrower shall make each payment (including principal of or interest on any Borrowing or any Fees or other amounts due and payable) hereunder and under any other Loan Document not later than 2:00 p.m., New York City time, on the date when due in immediately available Dollars, without setoff, defense or counterclaim. Any amounts received after such time on any date may, in the discretion of the Administrative Agent, be deemed to have been received on the next succeeding Business Day for purposes of calculating interest thereon. Each such payment shall be made to the Administrative Agent at the Administrative Agent’s Office. The Administrative Agent shall promptly distribute to each Lender any payments received by the Administrative Agent on behalf of such Lender.</w:t>
      </w:r>
    </w:p>
    <w:p>
      <w:pPr>
        <w:spacing w:after="0" w:line="151" w:lineRule="exact"/>
        <w:rPr>
          <w:rFonts w:ascii="Arial" w:cs="Arial" w:eastAsia="Arial" w:hAnsi="Arial"/>
          <w:sz w:val="19"/>
          <w:szCs w:val="19"/>
          <w:color w:val="auto"/>
        </w:rPr>
      </w:pPr>
    </w:p>
    <w:p>
      <w:pPr>
        <w:jc w:val="both"/>
        <w:ind w:left="880" w:hanging="8"/>
        <w:spacing w:after="0" w:line="238" w:lineRule="auto"/>
        <w:tabs>
          <w:tab w:leader="none" w:pos="242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ind w:left="880"/>
        <w:spacing w:after="0"/>
        <w:rPr>
          <w:sz w:val="20"/>
          <w:szCs w:val="20"/>
          <w:color w:val="auto"/>
        </w:rPr>
      </w:pPr>
      <w:r>
        <w:rPr>
          <w:rFonts w:ascii="Arial" w:cs="Arial" w:eastAsia="Arial" w:hAnsi="Arial"/>
          <w:sz w:val="22"/>
          <w:szCs w:val="22"/>
          <w:color w:val="auto"/>
        </w:rPr>
        <w:t>such extension of time shall in such case be included in the computation of interest or Fees, if applicable.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Refinancing Amendments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760" w:firstLine="4"/>
        <w:spacing w:after="0" w:line="270" w:lineRule="auto"/>
        <w:tabs>
          <w:tab w:leader="none" w:pos="164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At any time after the Restatement Effective Date, the Borrower may obtain, from any Lender or any Additional Lender, Credit Agreement Refinancing Indebtedness (other than Permitted Additional Debt) in respect of all or any portion of the Term Loans then outstanding under this Agreement, in the form of Other Term Loans or Other Term Loan Commitments pursuant to a Refinancing Amendment;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Credit Agreement Refinancing Indebtedness will rank pari passu in right of payment and of security with the other Loans and Commitments hereunder,</w:t>
      </w:r>
    </w:p>
    <w:p>
      <w:pPr>
        <w:spacing w:after="0" w:line="4" w:lineRule="exact"/>
        <w:rPr>
          <w:rFonts w:ascii="Arial" w:cs="Arial" w:eastAsia="Arial" w:hAnsi="Arial"/>
          <w:sz w:val="19"/>
          <w:szCs w:val="19"/>
          <w:color w:val="auto"/>
        </w:rPr>
      </w:pPr>
    </w:p>
    <w:p>
      <w:pPr>
        <w:jc w:val="both"/>
        <w:ind w:left="760"/>
        <w:spacing w:after="0" w:line="268" w:lineRule="auto"/>
        <w:rPr>
          <w:rFonts w:ascii="Arial" w:cs="Arial" w:eastAsia="Arial" w:hAnsi="Arial"/>
          <w:sz w:val="19"/>
          <w:szCs w:val="19"/>
          <w:color w:val="auto"/>
        </w:rPr>
      </w:pPr>
      <w:r>
        <w:rPr>
          <w:rFonts w:ascii="Arial" w:cs="Arial" w:eastAsia="Arial" w:hAnsi="Arial"/>
          <w:sz w:val="19"/>
          <w:szCs w:val="19"/>
          <w:color w:val="auto"/>
        </w:rPr>
        <w:t>(B) such Credit Agreement Refinancing Indebtedness will have such pricing, fees, interest, premiums and optional prepayment terms as may be agreed by the Borrower and the Lenders thereof (</w:t>
      </w:r>
      <w:r>
        <w:rPr>
          <w:rFonts w:ascii="Arial" w:cs="Arial" w:eastAsia="Arial" w:hAnsi="Arial"/>
          <w:sz w:val="19"/>
          <w:szCs w:val="19"/>
          <w:i w:val="1"/>
          <w:iCs w:val="1"/>
          <w:color w:val="auto"/>
        </w:rPr>
        <w:t>provided</w:t>
      </w:r>
      <w:r>
        <w:rPr>
          <w:rFonts w:ascii="Arial" w:cs="Arial" w:eastAsia="Arial" w:hAnsi="Arial"/>
          <w:sz w:val="19"/>
          <w:szCs w:val="19"/>
          <w:color w:val="auto"/>
        </w:rPr>
        <w:t>, that such Credit Agreement Refinancing Indebtedness may participate on a pro rata basis or on a less than pro rata basis (but not on a greater than pro rata basis) in any voluntary or mandatory prepayments hereunder, as specified in the applicable Refinancing Amendment), (C) such Credit Agreement Refinancing Indebtedness will have a maturity date later than the maturity date of, and will have a Weighted Average Life to Maturity that is not shorter than, the Refinanced Debt, (D) the covenants, events of default and guarantees of such Credit Agreement Refinancing Indebtedness, if not consistent with the terms of the Tranche B-2 Term Loans, shall be on customary market terms for Indebtedness of such type (as determined by the Borrower in good faith)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financial maintenance covenant on the then outstanding Term Loans shall be amended to provide the Lenders the benefit of any financial maintenance covenant of such Credit Agreement Refinancing Indebtedness that is in addition to or more restrictive in any material manner than the financial maintenance covenant on the then outstanding Term Loans)), (E) the proceeds of such Credit Agreement Refinancing Indebtedness shall be applied, substantially concurrently with the incurrence thereof, to the prepayment of outstanding Term Loans being so refinanced and (F) other than in the case of Credit Agreement Refinancing Indebtedness the proceeds of which are applied to pay all outstanding Term Loans and other Obligations in full in cash, the Borrower shall have obtained the consent of the Required Lenders. The effectiveness of any Refinancing Amendment shall be subject to the satisfaction (or waiver) on the date thereof of each of the conditions set forth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(and for purposes thereof the incurrence of the Credit Agreement Refinancing Indebtedness shall be deemed to be a Request for Credit Extension) and, to the extent reasonably requested by the Administrative Agent and the Required Lenders, receipt by the Administrative Agent of customary legal opinions, board resolutions, officers’ certificates and a solvency certification or representation, in each case materially consistent with those delivered on the Restatement Effective Date under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changes to such legal opinions resulting from a change in law, change in fact or change to counsel’s form of opinion reasonably satisfactory to the Administrative Agent), and customary reaffirmation agreements. Each Class of Credit Agreement Refinancing Indebtedness incurred under this </w:t>
      </w:r>
      <w:r>
        <w:rPr>
          <w:rFonts w:ascii="Arial" w:cs="Arial" w:eastAsia="Arial" w:hAnsi="Arial"/>
          <w:sz w:val="19"/>
          <w:szCs w:val="19"/>
          <w:u w:val="single" w:color="auto"/>
          <w:color w:val="auto"/>
        </w:rPr>
        <w:t>Section 2.18(a)</w:t>
      </w:r>
      <w:r>
        <w:rPr>
          <w:rFonts w:ascii="Arial" w:cs="Arial" w:eastAsia="Arial" w:hAnsi="Arial"/>
          <w:sz w:val="19"/>
          <w:szCs w:val="19"/>
          <w:color w:val="auto"/>
        </w:rPr>
        <w:t xml:space="preserve"> shall be in an aggregate principal amount that is (x) not less than $40,000,000 and (y) an integral multiple of $1,000,000 in excess thereof. The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jc w:val="center"/>
        <w:ind w:right="-79"/>
        <w:spacing w:after="0"/>
        <w:rPr>
          <w:sz w:val="20"/>
          <w:szCs w:val="20"/>
          <w:color w:val="auto"/>
        </w:rPr>
      </w:pPr>
      <w:r>
        <w:rPr>
          <w:rFonts w:ascii="Arial" w:cs="Arial" w:eastAsia="Arial" w:hAnsi="Arial"/>
          <w:sz w:val="22"/>
          <w:szCs w:val="22"/>
          <w:color w:val="auto"/>
        </w:rPr>
        <w:t>Administrative Agent shall promptly notify each Lender as to the effectiveness of each Refinancing Amendment.</w:t>
      </w:r>
    </w:p>
    <w:p>
      <w:pPr>
        <w:spacing w:after="0" w:line="206" w:lineRule="exact"/>
        <w:rPr>
          <w:sz w:val="20"/>
          <w:szCs w:val="20"/>
          <w:color w:val="auto"/>
        </w:rPr>
      </w:pPr>
    </w:p>
    <w:p>
      <w:pPr>
        <w:jc w:val="both"/>
        <w:ind w:left="760" w:firstLine="4"/>
        <w:spacing w:after="0" w:line="244" w:lineRule="auto"/>
        <w:tabs>
          <w:tab w:leader="none" w:pos="16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w:t>
      </w:r>
      <w:r>
        <w:rPr>
          <w:rFonts w:ascii="Arial" w:cs="Arial" w:eastAsia="Arial" w:hAnsi="Arial"/>
          <w:sz w:val="21"/>
          <w:szCs w:val="21"/>
          <w:u w:val="single" w:color="auto"/>
          <w:color w:val="auto"/>
        </w:rPr>
        <w:t>Section 2.18</w:t>
      </w:r>
      <w:r>
        <w:rPr>
          <w:rFonts w:ascii="Arial" w:cs="Arial" w:eastAsia="Arial" w:hAnsi="Arial"/>
          <w:sz w:val="21"/>
          <w:szCs w:val="21"/>
          <w:color w:val="auto"/>
        </w:rPr>
        <w:t>, and the Required Lenders hereby expressly authorize the Administrative Agent to enter into any such Refinancing Amendment. Without limiting the foregoing, in connection with any Refinancing Amendment, the respective Loan Parties shall (at their expense) amend (and the Collateral Agent is hereby directed to amend) any Mortgage that has a maturity date prior to the Latest Maturity Date after giving effect to such Refinancing Amendment so that such maturity date is extended to the then Latest Maturity Date (or such later date as may be advised by local counsel to the Collateral Agent).</w:t>
      </w:r>
    </w:p>
    <w:p>
      <w:pPr>
        <w:spacing w:after="0" w:line="188" w:lineRule="exact"/>
        <w:rPr>
          <w:rFonts w:ascii="Arial" w:cs="Arial" w:eastAsia="Arial" w:hAnsi="Arial"/>
          <w:sz w:val="21"/>
          <w:szCs w:val="21"/>
          <w:color w:val="auto"/>
        </w:rPr>
      </w:pPr>
    </w:p>
    <w:p>
      <w:pPr>
        <w:ind w:left="1660" w:hanging="896"/>
        <w:spacing w:after="0"/>
        <w:tabs>
          <w:tab w:leader="none" w:pos="16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10.08</w:t>
      </w:r>
      <w:r>
        <w:rPr>
          <w:rFonts w:ascii="Arial" w:cs="Arial" w:eastAsia="Arial" w:hAnsi="Arial"/>
          <w:sz w:val="22"/>
          <w:szCs w:val="22"/>
          <w:color w:val="auto"/>
        </w:rPr>
        <w:t xml:space="preserve"> to the contrary.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Extensions of Term Loans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760" w:firstLine="4"/>
        <w:spacing w:after="0" w:line="270" w:lineRule="auto"/>
        <w:tabs>
          <w:tab w:leader="none" w:pos="164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pursuant to one or more offers (each, an “</w:t>
      </w:r>
      <w:r>
        <w:rPr>
          <w:rFonts w:ascii="Arial" w:cs="Arial" w:eastAsia="Arial" w:hAnsi="Arial"/>
          <w:sz w:val="19"/>
          <w:szCs w:val="19"/>
          <w:b w:val="1"/>
          <w:bCs w:val="1"/>
          <w:color w:val="auto"/>
        </w:rPr>
        <w:t>Extension Offer</w:t>
      </w:r>
      <w:r>
        <w:rPr>
          <w:rFonts w:ascii="Arial" w:cs="Arial" w:eastAsia="Arial" w:hAnsi="Arial"/>
          <w:sz w:val="19"/>
          <w:szCs w:val="19"/>
          <w:color w:val="auto"/>
        </w:rPr>
        <w:t>”) made from time to time by the Borrower to all Lenders of a Class of Term Loans with a like Maturity Date on a pro rata basis (based on the aggregate outstanding principal amount of the respective Term Loans of such Class with the same Maturity Date) and on the same terms to each such Lender, the Borrower may from time to time with the consent of any Lender that shall have accepted such offer extend the maturity date of any Term Loans and otherwise modify the terms of such Term Loans of such Lender pursuant to the terms of the relevant Extension Offer (including, without limitation, by increasing the interest rate or fees payable in respect of such Term Loans and/or modifying the amortization schedule in respect of such Term Loans) (each, an “</w:t>
      </w:r>
      <w:r>
        <w:rPr>
          <w:rFonts w:ascii="Arial" w:cs="Arial" w:eastAsia="Arial" w:hAnsi="Arial"/>
          <w:sz w:val="19"/>
          <w:szCs w:val="19"/>
          <w:b w:val="1"/>
          <w:bCs w:val="1"/>
          <w:color w:val="auto"/>
        </w:rPr>
        <w:t>Extension</w:t>
      </w:r>
      <w:r>
        <w:rPr>
          <w:rFonts w:ascii="Arial" w:cs="Arial" w:eastAsia="Arial" w:hAnsi="Arial"/>
          <w:sz w:val="19"/>
          <w:szCs w:val="19"/>
          <w:color w:val="auto"/>
        </w:rPr>
        <w:t>”, and each group of Term Loans as so extended, as well as the group of original Term Loans not so extended, being a “</w:t>
      </w:r>
      <w:r>
        <w:rPr>
          <w:rFonts w:ascii="Arial" w:cs="Arial" w:eastAsia="Arial" w:hAnsi="Arial"/>
          <w:sz w:val="19"/>
          <w:szCs w:val="19"/>
          <w:b w:val="1"/>
          <w:bCs w:val="1"/>
          <w:color w:val="auto"/>
        </w:rPr>
        <w:t>tranche</w:t>
      </w:r>
      <w:r>
        <w:rPr>
          <w:rFonts w:ascii="Arial" w:cs="Arial" w:eastAsia="Arial" w:hAnsi="Arial"/>
          <w:sz w:val="19"/>
          <w:szCs w:val="19"/>
          <w:color w:val="auto"/>
        </w:rPr>
        <w:t>”; any Extended Term Loans shall constitute a separate tranche of Term Loans from the tranche of Term Loans from which they were converted and a separate Class of Term Loans), so long as the following terms are satisfied (or waived): (i) no Event of Default shall exist at the time the notice in respect of an Extension Offer is delivered to the Lenders, and no Event of Default shall exist immediately prior to or after giving effect to the effectiveness of any Extended Term Loans, (ii) except as to interest rates, fees, amortization, final maturity date, premium, AHYDO “catch up” payments, required prepayment dates and participation in prepayments (which shall, subject to immediately succeeding clauses (iii), (iv) and (v), be determined by the Borrower and set forth in the relevant Extension Offer), the Term Loans of any Term Lender extended pursuant to any Extension (“</w:t>
      </w:r>
      <w:r>
        <w:rPr>
          <w:rFonts w:ascii="Arial" w:cs="Arial" w:eastAsia="Arial" w:hAnsi="Arial"/>
          <w:sz w:val="19"/>
          <w:szCs w:val="19"/>
          <w:b w:val="1"/>
          <w:bCs w:val="1"/>
          <w:color w:val="auto"/>
        </w:rPr>
        <w:t>Extended Term Loans</w:t>
      </w:r>
      <w:r>
        <w:rPr>
          <w:rFonts w:ascii="Arial" w:cs="Arial" w:eastAsia="Arial" w:hAnsi="Arial"/>
          <w:sz w:val="19"/>
          <w:szCs w:val="19"/>
          <w:color w:val="auto"/>
        </w:rPr>
        <w:t>”) shall have the same terms and conditions that are substantially identical to, or less favorable to the lenders or investors providing such Extended Term Loans as the tranche of Term Loans subject to such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jc w:val="both"/>
        <w:ind w:left="760"/>
        <w:spacing w:after="0" w:line="272" w:lineRule="auto"/>
        <w:rPr>
          <w:sz w:val="20"/>
          <w:szCs w:val="20"/>
          <w:color w:val="auto"/>
        </w:rPr>
      </w:pPr>
      <w:r>
        <w:rPr>
          <w:rFonts w:ascii="Arial" w:cs="Arial" w:eastAsia="Arial" w:hAnsi="Arial"/>
          <w:sz w:val="19"/>
          <w:szCs w:val="19"/>
          <w:color w:val="auto"/>
        </w:rPr>
        <w:t>Extension Offer, (iii) the final maturity date of any Extended Term Loans shall be no earlier than the then Latest Maturity Date and the amortization schedule, if any, applicable to Term Loans for periods prior to the then applicable Latest Maturity Date may not be increased, (iv) the Weighted Average Life to Maturity of any Extended Term Loans shall be no shorter than the remaining Weighted Average Life to Maturity of the Term Loans extended thereby, (v) any Extended Term Loans may participate on a pro rata basis or on a less than pro rata basis (but not on a greater than pro rata basis) in any voluntary or mandatory prepayments hereunder, as specified in the applicable Extension Offer, (vi) if the aggregate principal amount of Term Loans (calculated on the face amount thereof) in respect of which Term Lenders shall have accepted the relevant Extension Offer shall exceed the maximum aggregate principal amount of Term Loans offered to be extended by the Borrower pursuant to such Extension Offer, then the Term Loans of such Term Lenders shall be extended ratably up to such maximum amount based on the respective principal amounts (but not to exceed actual holdings of record) with respect to which such Term Lenders have accepted such Extension Offer, (vii) all documentation in respect of such Extension shall be consistent with the foregoing, and (viii) any applicable Minimum Extension Condition shall be satisfied unless waived by the Borrower.</w:t>
      </w:r>
    </w:p>
    <w:p>
      <w:pPr>
        <w:spacing w:after="0" w:line="156" w:lineRule="exact"/>
        <w:rPr>
          <w:sz w:val="20"/>
          <w:szCs w:val="20"/>
          <w:color w:val="auto"/>
        </w:rPr>
      </w:pPr>
    </w:p>
    <w:p>
      <w:pPr>
        <w:jc w:val="both"/>
        <w:ind w:left="760" w:firstLine="4"/>
        <w:spacing w:after="0" w:line="273" w:lineRule="auto"/>
        <w:tabs>
          <w:tab w:leader="none" w:pos="16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the Borrower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(i) such Extensions shall not constitute voluntary or mandatory payments or prepayments for purposes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(ii) no Extension Offer is required to be in any minimum amount or any minimum increment,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may at its election specify as a condition (a “</w:t>
      </w:r>
      <w:r>
        <w:rPr>
          <w:rFonts w:ascii="Arial" w:cs="Arial" w:eastAsia="Arial" w:hAnsi="Arial"/>
          <w:sz w:val="19"/>
          <w:szCs w:val="19"/>
          <w:b w:val="1"/>
          <w:bCs w:val="1"/>
          <w:color w:val="auto"/>
        </w:rPr>
        <w:t>Minimum Extension Condition</w:t>
      </w:r>
      <w:r>
        <w:rPr>
          <w:rFonts w:ascii="Arial" w:cs="Arial" w:eastAsia="Arial" w:hAnsi="Arial"/>
          <w:sz w:val="19"/>
          <w:szCs w:val="19"/>
          <w:color w:val="auto"/>
        </w:rPr>
        <w:t xml:space="preserve">”) to consummating any such Extension that a minimum amount (to be determined and specified in the relevant Extension Offer in the Borrower’s sole discretion and may be waived by the Borrower) of Term Loans of any or all applicable Classes be tendered. The Administrative Agent and the Lenders hereby consent to the Extensions and the other transactions contemplated by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(including, for the avoidance of doubt, payment of any interest, fees or premium in respect of any Extended Term Loans on such terms as may be set forth in the relevant Extension Offer) and hereby waive the requirements of any provision of this Agreement (including, without limitation,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any other Loan Document that may otherwise prohibit any such Extension or any other transaction contemplated by this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left="760" w:firstLine="4"/>
        <w:spacing w:after="0" w:line="269" w:lineRule="auto"/>
        <w:tabs>
          <w:tab w:leader="none" w:pos="164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Each of the parties hereto hereby (A) agrees that this Agreement and the other Loan Documents may be amended to give effect to each Extension (an “</w:t>
      </w:r>
      <w:r>
        <w:rPr>
          <w:rFonts w:ascii="Arial" w:cs="Arial" w:eastAsia="Arial" w:hAnsi="Arial"/>
          <w:sz w:val="19"/>
          <w:szCs w:val="19"/>
          <w:b w:val="1"/>
          <w:bCs w:val="1"/>
          <w:color w:val="auto"/>
        </w:rPr>
        <w:t>Extension Amendment</w:t>
      </w:r>
      <w:r>
        <w:rPr>
          <w:rFonts w:ascii="Arial" w:cs="Arial" w:eastAsia="Arial" w:hAnsi="Arial"/>
          <w:sz w:val="19"/>
          <w:szCs w:val="19"/>
          <w:color w:val="auto"/>
        </w:rPr>
        <w:t xml:space="preserve">”), without the consent of any other Lenders, to the extent (but only to the extent) necessary to (i) reflect the existence and terms of the Extended Term Loans incurred pursuant thereto, (ii) modify the scheduled repayments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with respect to any Class of Term Loans subject to an Extension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jc w:val="both"/>
        <w:ind w:left="760" w:firstLine="4"/>
        <w:spacing w:after="0" w:line="248" w:lineRule="auto"/>
        <w:tabs>
          <w:tab w:leader="none" w:pos="114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modify the prepayments set forth in </w:t>
      </w:r>
      <w:r>
        <w:rPr>
          <w:rFonts w:ascii="Arial" w:cs="Arial" w:eastAsia="Arial" w:hAnsi="Arial"/>
          <w:sz w:val="21"/>
          <w:szCs w:val="21"/>
          <w:u w:val="single" w:color="auto"/>
          <w:color w:val="auto"/>
        </w:rPr>
        <w:t>Sections 2.12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to reflect the existence of the Extended Term Loans and the application of prepayments with respect thereto, and (iv) effect such other amendments to this Agreement and the other Loan Documents as may be necessary or appropriate, in the reasonable opinion of the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jc w:val="both"/>
        <w:ind w:left="760"/>
        <w:spacing w:after="0" w:line="245" w:lineRule="auto"/>
        <w:rPr>
          <w:sz w:val="20"/>
          <w:szCs w:val="20"/>
          <w:color w:val="auto"/>
        </w:rPr>
      </w:pPr>
      <w:r>
        <w:rPr>
          <w:rFonts w:ascii="Arial" w:cs="Arial" w:eastAsia="Arial" w:hAnsi="Arial"/>
          <w:sz w:val="21"/>
          <w:szCs w:val="21"/>
          <w:color w:val="auto"/>
        </w:rPr>
        <w:t xml:space="preserve">Administrative Agent and the Borrower, to effect the provisions of this </w:t>
      </w:r>
      <w:r>
        <w:rPr>
          <w:rFonts w:ascii="Arial" w:cs="Arial" w:eastAsia="Arial" w:hAnsi="Arial"/>
          <w:sz w:val="21"/>
          <w:szCs w:val="21"/>
          <w:u w:val="single" w:color="auto"/>
          <w:color w:val="auto"/>
        </w:rPr>
        <w:t>Section 2.19</w:t>
      </w:r>
      <w:r>
        <w:rPr>
          <w:rFonts w:ascii="Arial" w:cs="Arial" w:eastAsia="Arial" w:hAnsi="Arial"/>
          <w:sz w:val="21"/>
          <w:szCs w:val="21"/>
          <w:color w:val="auto"/>
        </w:rPr>
        <w:t xml:space="preserve">, and the Required Lenders hereby expressly and irrevocably, for the benefit of all parties hereto, authorize the Administrative Agent to enter into any such Extension Amendment and (B) consent to the transactions contemplated by this </w:t>
      </w:r>
      <w:r>
        <w:rPr>
          <w:rFonts w:ascii="Arial" w:cs="Arial" w:eastAsia="Arial" w:hAnsi="Arial"/>
          <w:sz w:val="21"/>
          <w:szCs w:val="21"/>
          <w:u w:val="single" w:color="auto"/>
          <w:color w:val="auto"/>
        </w:rPr>
        <w:t>Section 2.19</w:t>
      </w:r>
      <w:r>
        <w:rPr>
          <w:rFonts w:ascii="Arial" w:cs="Arial" w:eastAsia="Arial" w:hAnsi="Arial"/>
          <w:sz w:val="21"/>
          <w:szCs w:val="21"/>
          <w:color w:val="auto"/>
        </w:rPr>
        <w:t xml:space="preserve"> (including, for the avoidance of doubt, payment of interest, fees or premiums in respect of any Extended Term Loans on such terms as may be set forth in the relevant Extension Amendment). Without limiting the foregoing, in connection with any Extension, the respective Loan Parties shall (at their expense) amend (and the Collateral Agent is hereby directed to amend) any Mortgage that has a maturity date prior to the then Latest Maturity Date so that such maturity date is extended to the Latest Maturity Date after giving effect to such Extension (or such later date as may be advised by local counsel to the Collateral Agent).</w:t>
      </w:r>
    </w:p>
    <w:p>
      <w:pPr>
        <w:spacing w:after="0" w:line="184" w:lineRule="exact"/>
        <w:rPr>
          <w:sz w:val="20"/>
          <w:szCs w:val="20"/>
          <w:color w:val="auto"/>
        </w:rPr>
      </w:pPr>
    </w:p>
    <w:p>
      <w:pPr>
        <w:jc w:val="both"/>
        <w:ind w:left="760" w:firstLine="4"/>
        <w:spacing w:after="0" w:line="287" w:lineRule="auto"/>
        <w:tabs>
          <w:tab w:leader="none" w:pos="16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In connection with any Extension, the Borrower shall provide the Administrative Agent at least five (5) Business Days’ (or such shorter period as may reasonably be agreed by the Administrative Agent at the direction of the Required Lenders)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1660" w:hanging="896"/>
        <w:spacing w:after="0"/>
        <w:tabs>
          <w:tab w:leader="none" w:pos="16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10.08</w:t>
      </w:r>
      <w:r>
        <w:rPr>
          <w:rFonts w:ascii="Arial" w:cs="Arial" w:eastAsia="Arial" w:hAnsi="Arial"/>
          <w:sz w:val="22"/>
          <w:szCs w:val="22"/>
          <w:color w:val="auto"/>
        </w:rPr>
        <w:t xml:space="preserve"> to the contrary.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AXES</w:t>
      </w:r>
      <w:r>
        <w:rPr>
          <w:rFonts w:ascii="Arial" w:cs="Arial" w:eastAsia="Arial" w:hAnsi="Arial"/>
          <w:sz w:val="22"/>
          <w:szCs w:val="22"/>
          <w:color w:val="auto"/>
        </w:rPr>
        <w:t>, I</w:t>
      </w:r>
      <w:r>
        <w:rPr>
          <w:rFonts w:ascii="Arial" w:cs="Arial" w:eastAsia="Arial" w:hAnsi="Arial"/>
          <w:sz w:val="14"/>
          <w:szCs w:val="14"/>
          <w:color w:val="auto"/>
        </w:rPr>
        <w:t>NCREASED</w:t>
      </w:r>
      <w:r>
        <w:rPr>
          <w:rFonts w:ascii="Arial" w:cs="Arial" w:eastAsia="Arial" w:hAnsi="Arial"/>
          <w:sz w:val="22"/>
          <w:szCs w:val="22"/>
          <w:color w:val="auto"/>
        </w:rPr>
        <w:t xml:space="preserve"> C</w:t>
      </w:r>
      <w:r>
        <w:rPr>
          <w:rFonts w:ascii="Arial" w:cs="Arial" w:eastAsia="Arial" w:hAnsi="Arial"/>
          <w:sz w:val="14"/>
          <w:szCs w:val="14"/>
          <w:color w:val="auto"/>
        </w:rPr>
        <w:t>OSTS</w:t>
      </w:r>
      <w:r>
        <w:rPr>
          <w:rFonts w:ascii="Arial" w:cs="Arial" w:eastAsia="Arial" w:hAnsi="Arial"/>
          <w:sz w:val="22"/>
          <w:szCs w:val="22"/>
          <w:color w:val="auto"/>
        </w:rPr>
        <w:t xml:space="preserve"> P</w:t>
      </w:r>
      <w:r>
        <w:rPr>
          <w:rFonts w:ascii="Arial" w:cs="Arial" w:eastAsia="Arial" w:hAnsi="Arial"/>
          <w:sz w:val="14"/>
          <w:szCs w:val="14"/>
          <w:color w:val="auto"/>
        </w:rPr>
        <w:t>ROTECTION AND</w:t>
      </w:r>
      <w:r>
        <w:rPr>
          <w:rFonts w:ascii="Arial" w:cs="Arial" w:eastAsia="Arial" w:hAnsi="Arial"/>
          <w:sz w:val="22"/>
          <w:szCs w:val="22"/>
          <w:color w:val="auto"/>
        </w:rPr>
        <w:t xml:space="preserve"> I</w:t>
      </w:r>
      <w:r>
        <w:rPr>
          <w:rFonts w:ascii="Arial" w:cs="Arial" w:eastAsia="Arial" w:hAnsi="Arial"/>
          <w:sz w:val="14"/>
          <w:szCs w:val="14"/>
          <w:color w:val="auto"/>
        </w:rPr>
        <w:t>LLEGALITY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Taxes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69" w:lineRule="auto"/>
        <w:tabs>
          <w:tab w:leader="none" w:pos="2399"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Except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any and all payments made by or on account of the Borrower or any Guarantor under any Loan Document to any Lender or Agent shall be made free and clear of and without deduction for any and all present or future taxes, duties, levies, imposts, assessments, withholdings (including backup withholding), fees or similar charges imposed by any Governmental Authority including interest, penalties and additions to tax (collectively “</w:t>
      </w:r>
      <w:r>
        <w:rPr>
          <w:rFonts w:ascii="Arial" w:cs="Arial" w:eastAsia="Arial" w:hAnsi="Arial"/>
          <w:sz w:val="19"/>
          <w:szCs w:val="19"/>
          <w:b w:val="1"/>
          <w:bCs w:val="1"/>
          <w:color w:val="auto"/>
        </w:rPr>
        <w:t>Taxes</w:t>
      </w:r>
      <w:r>
        <w:rPr>
          <w:rFonts w:ascii="Arial" w:cs="Arial" w:eastAsia="Arial" w:hAnsi="Arial"/>
          <w:sz w:val="19"/>
          <w:szCs w:val="19"/>
          <w:color w:val="auto"/>
        </w:rPr>
        <w:t xml:space="preserve">”), excluding (i) Taxes imposed on or measured by net income, however denominated, and franchise (and similar) Taxes imposed on it in lieu of net income Taxes, (ii) Taxes attributable to the failure by the relevant Lender or Agent to deliver the documentation required to be delivered pursuant to clause (d) of this </w:t>
      </w:r>
      <w:r>
        <w:rPr>
          <w:rFonts w:ascii="Arial" w:cs="Arial" w:eastAsia="Arial" w:hAnsi="Arial"/>
          <w:sz w:val="19"/>
          <w:szCs w:val="19"/>
          <w:u w:val="single" w:color="auto"/>
          <w:color w:val="auto"/>
        </w:rPr>
        <w:t>Section 3.01</w:t>
      </w:r>
      <w:r>
        <w:rPr>
          <w:rFonts w:ascii="Arial" w:cs="Arial" w:eastAsia="Arial" w:hAnsi="Arial"/>
          <w:sz w:val="19"/>
          <w:szCs w:val="19"/>
          <w:color w:val="auto"/>
        </w:rPr>
        <w:t>, (iii) Taxes imposed by a jurisdiction as a result of any connection between such Lender or Agent and such jurisdiction other than any connection arising from executing, delivering, being a party to, engaging in any transactions pursuant to, performing its obligations under, or enforcing any Loan Document,</w:t>
      </w:r>
    </w:p>
    <w:p>
      <w:pPr>
        <w:spacing w:after="0" w:line="1" w:lineRule="exact"/>
        <w:rPr>
          <w:rFonts w:ascii="Arial" w:cs="Arial" w:eastAsia="Arial" w:hAnsi="Arial"/>
          <w:sz w:val="19"/>
          <w:szCs w:val="19"/>
          <w:color w:val="auto"/>
        </w:rPr>
      </w:pPr>
    </w:p>
    <w:p>
      <w:pPr>
        <w:jc w:val="both"/>
        <w:ind w:firstLine="8"/>
        <w:spacing w:after="0" w:line="232" w:lineRule="auto"/>
        <w:tabs>
          <w:tab w:leader="none" w:pos="38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any branch profits Taxes imposed by the United States or any similar Tax imposed by any other jurisdiction in which the Borrower or any Guarantor (as appropriate) is located, (v) any U.S. federal withholding tax imposed on amounts payable hereunder pursuant to a law in effect at such time the Lender or Agent becomes a party to this Agreement (other than pursuant to an assignment request by the Borrower under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or designates a new lending office, except in each case to the extent such Lender (or its assignor, if any) was entitled at the time of designation of a new lending office (or assignment) to receive additional amounts with respect to such withholding tax pursuant to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and (vi) any Tax imposed under FATCA (all such non-excluded</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jc w:val="both"/>
        <w:spacing w:after="0" w:line="273" w:lineRule="auto"/>
        <w:rPr>
          <w:sz w:val="20"/>
          <w:szCs w:val="20"/>
          <w:color w:val="auto"/>
        </w:rPr>
      </w:pPr>
      <w:r>
        <w:rPr>
          <w:rFonts w:ascii="Arial" w:cs="Arial" w:eastAsia="Arial" w:hAnsi="Arial"/>
          <w:sz w:val="19"/>
          <w:szCs w:val="19"/>
          <w:color w:val="auto"/>
        </w:rPr>
        <w:t>Taxes imposed on such payments, being hereinafter referred to as “</w:t>
      </w:r>
      <w:r>
        <w:rPr>
          <w:rFonts w:ascii="Arial" w:cs="Arial" w:eastAsia="Arial" w:hAnsi="Arial"/>
          <w:sz w:val="19"/>
          <w:szCs w:val="19"/>
          <w:b w:val="1"/>
          <w:bCs w:val="1"/>
          <w:color w:val="auto"/>
        </w:rPr>
        <w:t>Indemnified Taxes</w:t>
      </w:r>
      <w:r>
        <w:rPr>
          <w:rFonts w:ascii="Arial" w:cs="Arial" w:eastAsia="Arial" w:hAnsi="Arial"/>
          <w:sz w:val="19"/>
          <w:szCs w:val="19"/>
          <w:color w:val="auto"/>
        </w:rPr>
        <w:t xml:space="preserve">”). If the Borrower, any Guarantor or other applicable withholding agent shall be required by any Laws to deduct any Indemnified Taxes or Other Taxes (as defined below) from or in respect of any sum payable under any Loan Document to any Agent or any Lender, (i) the sum payable by the Borrower or Guarantor shall be increased as necessary so that after making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such Agent or Lender (as the case may be) receives an amount equal to the sum it would have received had no such deductions been made, (ii) the applicable withholding agent shall make such deductions, (iii) the applicable withholding agent shall pay the full amount deducted to the relevant Governmental Authority in accordance with applicable Laws, and (iv) within thirty (30) days after the date of such payment (or, if receipts or evidence are not available within thirty (30) days, as soon as possible thereafter), if the Borrower or any Guarantor is the applicable withholding agent, the applicable withholding agent shall furnish to such Agent or Lender (as the case may be) the original or a copy of a receipt evidencing payment thereof or other evidence acceptable to such Agent or Lender.</w:t>
      </w:r>
    </w:p>
    <w:p>
      <w:pPr>
        <w:spacing w:after="0" w:line="161" w:lineRule="exact"/>
        <w:rPr>
          <w:sz w:val="20"/>
          <w:szCs w:val="20"/>
          <w:color w:val="auto"/>
        </w:rPr>
      </w:pPr>
    </w:p>
    <w:p>
      <w:pPr>
        <w:jc w:val="both"/>
        <w:ind w:firstLine="872"/>
        <w:spacing w:after="0" w:line="274" w:lineRule="auto"/>
        <w:tabs>
          <w:tab w:leader="none" w:pos="241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In addition, the Borrower agrees to pay any and all present or future stamp, court or documentary taxes and any other excise, property, intangible or mortgage recording taxes, or charges or levies of the same character, imposed by any Governmental Authority, which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result from an Agent or Lender’s Assignment and Acceptance, grant of a Participation, transfer or assignment to or designation of a new applicable lending office or other office for receiving payments under any Loan Document (collectively, “</w:t>
      </w:r>
      <w:r>
        <w:rPr>
          <w:rFonts w:ascii="Arial" w:cs="Arial" w:eastAsia="Arial" w:hAnsi="Arial"/>
          <w:sz w:val="19"/>
          <w:szCs w:val="19"/>
          <w:b w:val="1"/>
          <w:bCs w:val="1"/>
          <w:color w:val="auto"/>
        </w:rPr>
        <w:t>Assignment Taxes</w:t>
      </w:r>
      <w:r>
        <w:rPr>
          <w:rFonts w:ascii="Arial" w:cs="Arial" w:eastAsia="Arial" w:hAnsi="Arial"/>
          <w:sz w:val="19"/>
          <w:szCs w:val="19"/>
          <w:color w:val="auto"/>
        </w:rPr>
        <w:t xml:space="preserve">”) except for Assignment Taxes resulting from assignment or participation that is requested or required in writing by the Borrower (all such non-excluded taxes described in this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being hereinafter referred to as “</w:t>
      </w:r>
      <w:r>
        <w:rPr>
          <w:rFonts w:ascii="Arial" w:cs="Arial" w:eastAsia="Arial" w:hAnsi="Arial"/>
          <w:sz w:val="19"/>
          <w:szCs w:val="19"/>
          <w:b w:val="1"/>
          <w:bCs w:val="1"/>
          <w:color w:val="auto"/>
        </w:rPr>
        <w:t>Other Taxes</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872"/>
        <w:spacing w:after="0" w:line="273" w:lineRule="auto"/>
        <w:tabs>
          <w:tab w:leader="none" w:pos="239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Without duplication of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the Borrower and each Guarantor agree to indemnify each Agent and each Lender for (i) the full amount of Indemnified Taxes and Other Taxes paid by such Agent or Lender (including Indemnified Taxes and Other Taxes imposed or asserted on or attributable to amounts payable under this Section) and</w:t>
      </w:r>
    </w:p>
    <w:p>
      <w:pPr>
        <w:spacing w:after="0" w:line="1" w:lineRule="exact"/>
        <w:rPr>
          <w:rFonts w:ascii="Arial" w:cs="Arial" w:eastAsia="Arial" w:hAnsi="Arial"/>
          <w:sz w:val="19"/>
          <w:szCs w:val="19"/>
          <w:color w:val="auto"/>
        </w:rPr>
      </w:pPr>
    </w:p>
    <w:p>
      <w:pPr>
        <w:jc w:val="both"/>
        <w:ind w:firstLine="8"/>
        <w:spacing w:after="0" w:line="234" w:lineRule="auto"/>
        <w:tabs>
          <w:tab w:leader="none" w:pos="36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any expenses arising therefrom or with respect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such Agent or Lender, as the case may be, provides Borrower or Guarantor with a written statement thereof setting forth in reasonable detail the basis and calculation of such amounts.</w:t>
      </w:r>
    </w:p>
    <w:p>
      <w:pPr>
        <w:spacing w:after="0" w:line="187" w:lineRule="exact"/>
        <w:rPr>
          <w:rFonts w:ascii="Arial" w:cs="Arial" w:eastAsia="Arial" w:hAnsi="Arial"/>
          <w:sz w:val="22"/>
          <w:szCs w:val="22"/>
          <w:color w:val="auto"/>
        </w:rPr>
      </w:pPr>
    </w:p>
    <w:p>
      <w:pPr>
        <w:jc w:val="both"/>
        <w:ind w:firstLine="872"/>
        <w:spacing w:after="0" w:line="275" w:lineRule="auto"/>
        <w:tabs>
          <w:tab w:leader="none" w:pos="2411" w:val="left"/>
        </w:tabs>
        <w:numPr>
          <w:ilvl w:val="1"/>
          <w:numId w:val="114"/>
        </w:numPr>
        <w:rPr>
          <w:rFonts w:ascii="Arial" w:cs="Arial" w:eastAsia="Arial" w:hAnsi="Arial"/>
          <w:sz w:val="19"/>
          <w:szCs w:val="19"/>
          <w:color w:val="auto"/>
        </w:rPr>
      </w:pPr>
      <w:r>
        <w:rPr>
          <w:rFonts w:ascii="Arial" w:cs="Arial" w:eastAsia="Arial" w:hAnsi="Arial"/>
          <w:sz w:val="19"/>
          <w:szCs w:val="19"/>
          <w:color w:val="auto"/>
        </w:rPr>
        <w:t>Each Lender and Agent shall, at such times as are reasonably requested by the Borrower or the Administrative Agent, provide the Borrower and the Administrative Agent with any documentation prescribed by Law certifying as to any entitlement of such Lender or Agent to an exemption from, or reduction in, withholding tax with respect to any payments to be made to such Lender under the Loan Documents. Each such Lender and Agent shall, whenever a lapse in time or change in circumstances renders such documentation obsolete or inaccurate in any material respect, deliver promptly to the Borrower and the Administrative Agent updated or other appropriate documentation (including any new documentation reasonably requested by the applicable withholding agent) or promptly notify the Borrower and the Administrative Agent of its inability to do so. Unless the applicable withholding agent has received forms or other</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3" w:name="page134"/>
    <w:bookmarkEnd w:id="133"/>
    <w:p>
      <w:pPr>
        <w:jc w:val="both"/>
        <w:spacing w:after="0" w:line="245" w:lineRule="auto"/>
        <w:rPr>
          <w:sz w:val="20"/>
          <w:szCs w:val="20"/>
          <w:color w:val="auto"/>
        </w:rPr>
      </w:pPr>
      <w:r>
        <w:rPr>
          <w:rFonts w:ascii="Arial" w:cs="Arial" w:eastAsia="Arial" w:hAnsi="Arial"/>
          <w:sz w:val="21"/>
          <w:szCs w:val="21"/>
          <w:color w:val="auto"/>
        </w:rPr>
        <w:t>documents satisfactory to it indicating that payments under any Loan Document to or for a Lender are not subject to withholding tax or are subject to such Tax at a rate reduced by an applicable tax treaty, the Borrower, the Administrative Agent or other applicable withholding agent shall withhold amounts required to be withheld by applicable Law from such payments at the applicable statutory rate. Notwithstanding the foregoing, a Lender shall not be required to deliver any form pursuant to this clause (d) that such Lender is not legally able to deliver. In addition, each Lender and Agent shall deliver to the Borrower and the Administrative Agent such other tax forms or other documents as shall be prescribed by applicable Law or reasonably requested by the Borrower or the Administrative Agent as will enable the Borrower or the Administrative Agent to determine whether or not such Lender or Agent is subject to backup withholding or information reporting requirements. Without limiting the foregoing:</w:t>
      </w:r>
    </w:p>
    <w:p>
      <w:pPr>
        <w:spacing w:after="0" w:line="184" w:lineRule="exact"/>
        <w:rPr>
          <w:sz w:val="20"/>
          <w:szCs w:val="20"/>
          <w:color w:val="auto"/>
        </w:rPr>
      </w:pPr>
    </w:p>
    <w:p>
      <w:pPr>
        <w:jc w:val="both"/>
        <w:ind w:left="880" w:firstLine="797"/>
        <w:spacing w:after="0" w:line="287" w:lineRule="auto"/>
        <w:rPr>
          <w:sz w:val="20"/>
          <w:szCs w:val="20"/>
          <w:color w:val="auto"/>
        </w:rPr>
      </w:pPr>
      <w:r>
        <w:rPr>
          <w:rFonts w:ascii="Arial" w:cs="Arial" w:eastAsia="Arial" w:hAnsi="Arial"/>
          <w:sz w:val="19"/>
          <w:szCs w:val="19"/>
          <w:color w:val="auto"/>
        </w:rPr>
        <w:t>(i)Each Lender and Agent that is a United States person (as defined in Section 7701(a)(30) of the Code) shall deliver to the Borrower and the Administrative Agent on or before the date on which it becomes a party to this Agreement two properly completed and duly signed executed copies of Internal Revenue Service Form W-9 certifying that such Lender or Agent (as the case may be) is exempt from federal backup withholding.</w:t>
      </w:r>
    </w:p>
    <w:p>
      <w:pPr>
        <w:spacing w:after="0" w:line="143"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(ii)Each Lender and Agent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86" w:lineRule="exact"/>
        <w:rPr>
          <w:sz w:val="20"/>
          <w:szCs w:val="20"/>
          <w:color w:val="auto"/>
        </w:rPr>
      </w:pPr>
    </w:p>
    <w:p>
      <w:pPr>
        <w:jc w:val="both"/>
        <w:ind w:firstLine="979"/>
        <w:spacing w:after="0" w:line="257" w:lineRule="auto"/>
        <w:tabs>
          <w:tab w:leader="none" w:pos="191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two properly completed and duly signed executed copies of Internal Revenue Service Form W-8BEN or Internal Revenue Service Form W-8BEN-E (or any successor forms) claiming eligibility for the benefits of an income tax treaty to which the United States is a party, and such other documentation as required under the Code,</w:t>
      </w:r>
    </w:p>
    <w:p>
      <w:pPr>
        <w:spacing w:after="0" w:line="169" w:lineRule="exact"/>
        <w:rPr>
          <w:rFonts w:ascii="Arial" w:cs="Arial" w:eastAsia="Arial" w:hAnsi="Arial"/>
          <w:sz w:val="21"/>
          <w:szCs w:val="21"/>
          <w:color w:val="auto"/>
        </w:rPr>
      </w:pPr>
    </w:p>
    <w:p>
      <w:pPr>
        <w:jc w:val="both"/>
        <w:ind w:firstLine="979"/>
        <w:spacing w:after="0" w:line="238" w:lineRule="auto"/>
        <w:tabs>
          <w:tab w:leader="none" w:pos="190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two properly completed and duly signed executed copies of Internal Revenue Service Form W-8ECI (or any successor forms) and, in the case of an Agent, a withholding certificate that satisfies the requirements of Treasury Regulation Sections 1.1441-1(b)(2)(iv) and 1.1441-1(e)(3)(v) as applicable to a U.S. branch that has agreed to be treated as a U.S. person for withholding tax purposes,</w:t>
      </w:r>
    </w:p>
    <w:p>
      <w:pPr>
        <w:spacing w:after="0" w:line="184" w:lineRule="exact"/>
        <w:rPr>
          <w:rFonts w:ascii="Arial" w:cs="Arial" w:eastAsia="Arial" w:hAnsi="Arial"/>
          <w:sz w:val="22"/>
          <w:szCs w:val="22"/>
          <w:color w:val="auto"/>
        </w:rPr>
      </w:pPr>
    </w:p>
    <w:p>
      <w:pPr>
        <w:jc w:val="both"/>
        <w:ind w:firstLine="979"/>
        <w:spacing w:after="0" w:line="252" w:lineRule="auto"/>
        <w:tabs>
          <w:tab w:leader="none" w:pos="190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in the case of a Lender claiming the benefits of the exemption for portfolio interest under Section 881(c) of the Code, (A) a certificate substantially in the form of </w:t>
      </w:r>
      <w:r>
        <w:rPr>
          <w:rFonts w:ascii="Arial" w:cs="Arial" w:eastAsia="Arial" w:hAnsi="Arial"/>
          <w:sz w:val="21"/>
          <w:szCs w:val="21"/>
          <w:u w:val="single" w:color="auto"/>
          <w:color w:val="auto"/>
        </w:rPr>
        <w:t>Exhibit G-1</w:t>
      </w:r>
      <w:r>
        <w:rPr>
          <w:rFonts w:ascii="Arial" w:cs="Arial" w:eastAsia="Arial" w:hAnsi="Arial"/>
          <w:sz w:val="21"/>
          <w:szCs w:val="21"/>
          <w:color w:val="auto"/>
        </w:rPr>
        <w:t xml:space="preserve">, </w:t>
      </w:r>
      <w:r>
        <w:rPr>
          <w:rFonts w:ascii="Arial" w:cs="Arial" w:eastAsia="Arial" w:hAnsi="Arial"/>
          <w:sz w:val="21"/>
          <w:szCs w:val="21"/>
          <w:u w:val="single" w:color="auto"/>
          <w:color w:val="auto"/>
        </w:rPr>
        <w:t>G-2</w:t>
      </w:r>
      <w:r>
        <w:rPr>
          <w:rFonts w:ascii="Arial" w:cs="Arial" w:eastAsia="Arial" w:hAnsi="Arial"/>
          <w:sz w:val="21"/>
          <w:szCs w:val="21"/>
          <w:color w:val="auto"/>
        </w:rPr>
        <w:t xml:space="preserve">, </w:t>
      </w:r>
      <w:r>
        <w:rPr>
          <w:rFonts w:ascii="Arial" w:cs="Arial" w:eastAsia="Arial" w:hAnsi="Arial"/>
          <w:sz w:val="21"/>
          <w:szCs w:val="21"/>
          <w:u w:val="single" w:color="auto"/>
          <w:color w:val="auto"/>
        </w:rPr>
        <w:t>G-3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G-4</w:t>
      </w:r>
      <w:r>
        <w:rPr>
          <w:rFonts w:ascii="Arial" w:cs="Arial" w:eastAsia="Arial" w:hAnsi="Arial"/>
          <w:sz w:val="21"/>
          <w:szCs w:val="21"/>
          <w:color w:val="auto"/>
        </w:rPr>
        <w:t>, as applicable (any such certificate a “</w:t>
      </w:r>
      <w:r>
        <w:rPr>
          <w:rFonts w:ascii="Arial" w:cs="Arial" w:eastAsia="Arial" w:hAnsi="Arial"/>
          <w:sz w:val="21"/>
          <w:szCs w:val="21"/>
          <w:b w:val="1"/>
          <w:bCs w:val="1"/>
          <w:color w:val="auto"/>
        </w:rPr>
        <w:t>United</w:t>
      </w:r>
      <w:r>
        <w:rPr>
          <w:rFonts w:ascii="Arial" w:cs="Arial" w:eastAsia="Arial" w:hAnsi="Arial"/>
          <w:sz w:val="21"/>
          <w:szCs w:val="21"/>
          <w:color w:val="auto"/>
        </w:rPr>
        <w:t xml:space="preserve"> </w:t>
      </w:r>
      <w:r>
        <w:rPr>
          <w:rFonts w:ascii="Arial" w:cs="Arial" w:eastAsia="Arial" w:hAnsi="Arial"/>
          <w:sz w:val="21"/>
          <w:szCs w:val="21"/>
          <w:b w:val="1"/>
          <w:bCs w:val="1"/>
          <w:color w:val="auto"/>
        </w:rPr>
        <w:t>States Tax Compliance Certificate</w:t>
      </w:r>
      <w:r>
        <w:rPr>
          <w:rFonts w:ascii="Arial" w:cs="Arial" w:eastAsia="Arial" w:hAnsi="Arial"/>
          <w:sz w:val="21"/>
          <w:szCs w:val="21"/>
          <w:color w:val="auto"/>
        </w:rPr>
        <w:t>”) and (B) two properly completed and duly signed executed copies of Internal Revenue</w:t>
      </w:r>
      <w:r>
        <w:rPr>
          <w:rFonts w:ascii="Arial" w:cs="Arial" w:eastAsia="Arial" w:hAnsi="Arial"/>
          <w:sz w:val="21"/>
          <w:szCs w:val="21"/>
          <w:b w:val="1"/>
          <w:bCs w:val="1"/>
          <w:color w:val="auto"/>
        </w:rPr>
        <w:t xml:space="preserve"> </w:t>
      </w:r>
      <w:r>
        <w:rPr>
          <w:rFonts w:ascii="Arial" w:cs="Arial" w:eastAsia="Arial" w:hAnsi="Arial"/>
          <w:sz w:val="21"/>
          <w:szCs w:val="21"/>
          <w:color w:val="auto"/>
        </w:rPr>
        <w:t>Service Form W-8BEN or Internal Revenue Service Form W-8BEN-E, or</w:t>
      </w:r>
    </w:p>
    <w:p>
      <w:pPr>
        <w:spacing w:after="0" w:line="173" w:lineRule="exact"/>
        <w:rPr>
          <w:rFonts w:ascii="Arial" w:cs="Arial" w:eastAsia="Arial" w:hAnsi="Arial"/>
          <w:sz w:val="21"/>
          <w:szCs w:val="21"/>
          <w:color w:val="auto"/>
        </w:rPr>
      </w:pPr>
    </w:p>
    <w:p>
      <w:pPr>
        <w:jc w:val="both"/>
        <w:ind w:firstLine="979"/>
        <w:spacing w:after="0" w:line="235" w:lineRule="auto"/>
        <w:tabs>
          <w:tab w:leader="none" w:pos="191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W-8BEN-E, United States Tax Compliance Certificate, Form W-9, Form W-8IMY or any other required information from each beneficial owner, as applicable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one or more beneficial owners are claiming the portfolio interest exemption, the United States Tax Compliance Certificate may be provided by such Lender on behalf of such</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4" w:name="page135"/>
    <w:bookmarkEnd w:id="134"/>
    <w:p>
      <w:pPr>
        <w:jc w:val="both"/>
        <w:spacing w:after="0" w:line="234" w:lineRule="auto"/>
        <w:rPr>
          <w:sz w:val="20"/>
          <w:szCs w:val="20"/>
          <w:color w:val="auto"/>
        </w:rPr>
      </w:pPr>
      <w:r>
        <w:rPr>
          <w:rFonts w:ascii="Arial" w:cs="Arial" w:eastAsia="Arial" w:hAnsi="Arial"/>
          <w:sz w:val="22"/>
          <w:szCs w:val="22"/>
          <w:color w:val="auto"/>
        </w:rPr>
        <w:t>beneficial owner). Each Lender and Agent shall deliver to the Borrower and the Administrative Agent two further executed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that it is unable to do so. Each Lender and Agent shall promptly notify the Administrative Agent at any time it determines that it is no longer in a position to provide any previously delivered form or certification to the Borrower or the Administrative Agent.</w:t>
      </w:r>
    </w:p>
    <w:p>
      <w:pPr>
        <w:spacing w:after="0" w:line="191" w:lineRule="exact"/>
        <w:rPr>
          <w:sz w:val="20"/>
          <w:szCs w:val="20"/>
          <w:color w:val="auto"/>
        </w:rPr>
      </w:pPr>
    </w:p>
    <w:p>
      <w:pPr>
        <w:jc w:val="both"/>
        <w:ind w:firstLine="979"/>
        <w:spacing w:after="0" w:line="249" w:lineRule="auto"/>
        <w:tabs>
          <w:tab w:leader="none" w:pos="2507"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Any Lender or Agent claiming any additional amounts payable pursuant to this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shall use its reasonable efforts to change the jurisdiction of its lending office (or take any other measures reasonably requested by the Borrower) if such a change or other measures would reduce any such additional amounts (or any similar amount that may thereafter accrue) and would not, in the reasonable, good faith determination of such Lender, result in any unreimbursed cost or expense or be otherwise materially disadvantageous to such Lender.</w:t>
      </w:r>
    </w:p>
    <w:p>
      <w:pPr>
        <w:spacing w:after="0" w:line="178" w:lineRule="exact"/>
        <w:rPr>
          <w:rFonts w:ascii="Arial" w:cs="Arial" w:eastAsia="Arial" w:hAnsi="Arial"/>
          <w:sz w:val="21"/>
          <w:szCs w:val="21"/>
          <w:color w:val="auto"/>
        </w:rPr>
      </w:pPr>
    </w:p>
    <w:p>
      <w:pPr>
        <w:jc w:val="both"/>
        <w:ind w:firstLine="979"/>
        <w:spacing w:after="0" w:line="273" w:lineRule="auto"/>
        <w:tabs>
          <w:tab w:leader="none" w:pos="248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If any Lender or Agent determines, in its reasonable, good faith discretion, that it has received a refund in respect of any Taxes as to which indemnification or additional amounts have been paid to it by the Borrower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(including by payment of additional amounts pursuant to this Section) it shall promptly remit such refund to the Borrower or Guarantor, net of all out-of-pocket expenses of the Lender or Agent, as the case may be and without interest (other than any interest paid by the relevant Governmental Authority with respect to such refund net of any Taxes payable by any Agent or Lender on such interest);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and Guarantors, upon the request of the Lender or Agent, as the case may be, agree promptly to return such refund (plus any penalties, interest or other charges imposed by the relevant Governmental Authority) to such party in the event such party is required to repay such refund to the relevant Governmental Authority. This section shall not be construed to require the Administrative Agent or any Lender to make available its tax returns (or any other information relating to Taxes that it deems confidential) to the Borrower or any other person.</w:t>
      </w:r>
    </w:p>
    <w:p>
      <w:pPr>
        <w:spacing w:after="0" w:line="160" w:lineRule="exact"/>
        <w:rPr>
          <w:rFonts w:ascii="Arial" w:cs="Arial" w:eastAsia="Arial" w:hAnsi="Arial"/>
          <w:sz w:val="19"/>
          <w:szCs w:val="19"/>
          <w:color w:val="auto"/>
        </w:rPr>
      </w:pPr>
    </w:p>
    <w:p>
      <w:pPr>
        <w:jc w:val="both"/>
        <w:ind w:firstLine="979"/>
        <w:spacing w:after="0" w:line="273" w:lineRule="auto"/>
        <w:tabs>
          <w:tab w:leader="none" w:pos="251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If a payment made to a Lender or Agent under any Loan Document would be subject to withholding Tax imposed by FATCA if such Lender or Agent were to fail to comply with the applicable reporting requirements of FATCA (including those contained in Section 1471(b) or 1472(b) of the Code, as applicable), such Lender or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Agent has complied with such Lender’s or Agent’s obligations under FATCA or to determine the amount, if any, to deduct and withhold from such payment. Solely for purposes of this </w:t>
      </w:r>
      <w:r>
        <w:rPr>
          <w:rFonts w:ascii="Arial" w:cs="Arial" w:eastAsia="Arial" w:hAnsi="Arial"/>
          <w:sz w:val="19"/>
          <w:szCs w:val="19"/>
          <w:u w:val="single" w:color="auto"/>
          <w:color w:val="auto"/>
        </w:rPr>
        <w:t>Section 3.01(h)</w:t>
      </w:r>
      <w:r>
        <w:rPr>
          <w:rFonts w:ascii="Arial" w:cs="Arial" w:eastAsia="Arial" w:hAnsi="Arial"/>
          <w:sz w:val="19"/>
          <w:szCs w:val="19"/>
          <w:color w:val="auto"/>
        </w:rPr>
        <w:t>, “FATCA” shall include any amendments made to FATCA after the date of this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5" w:name="page136"/>
    <w:bookmarkEnd w:id="135"/>
    <w:p>
      <w:pPr>
        <w:jc w:val="both"/>
        <w:ind w:firstLine="979"/>
        <w:spacing w:after="0"/>
        <w:tabs>
          <w:tab w:leader="none" w:pos="251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shall survive any assignment of rights by, or the replacement of, a Lender, the termination of the Commitments and the repayment, satisfaction or discharge of all obligations under any Loan Document.</w:t>
      </w:r>
    </w:p>
    <w:p>
      <w:pPr>
        <w:spacing w:after="0" w:line="186" w:lineRule="exact"/>
        <w:rPr>
          <w:rFonts w:ascii="Arial" w:cs="Arial" w:eastAsia="Arial" w:hAnsi="Arial"/>
          <w:sz w:val="22"/>
          <w:szCs w:val="22"/>
          <w:color w:val="auto"/>
        </w:rPr>
      </w:pPr>
    </w:p>
    <w:p>
      <w:pPr>
        <w:jc w:val="both"/>
        <w:ind w:firstLine="979"/>
        <w:spacing w:after="0" w:line="246" w:lineRule="auto"/>
        <w:tabs>
          <w:tab w:leader="none" w:pos="2471"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Each Lender shall indemnify each Agent, within 10 days following written demand therefor, for (i) the full amount of any Indemnified Taxes and Other Taxes attributable to such Lender (but only to the extent that such Agent has not already been indemnified by the Borrower and each Guarantor for such Indemnified Taxes and Other Taxes and without limiting the obligation of the Borrower and each Guarantor to do so), and (ii) any Taxes attributable to such Lender’s failure to comply with the provision of </w:t>
      </w:r>
      <w:r>
        <w:rPr>
          <w:rFonts w:ascii="Arial" w:cs="Arial" w:eastAsia="Arial" w:hAnsi="Arial"/>
          <w:sz w:val="21"/>
          <w:szCs w:val="21"/>
          <w:u w:val="single" w:color="auto"/>
          <w:color w:val="auto"/>
        </w:rPr>
        <w:t>Section 10.04(f)</w:t>
      </w:r>
      <w:r>
        <w:rPr>
          <w:rFonts w:ascii="Arial" w:cs="Arial" w:eastAsia="Arial" w:hAnsi="Arial"/>
          <w:sz w:val="21"/>
          <w:szCs w:val="21"/>
          <w:color w:val="auto"/>
        </w:rPr>
        <w:t xml:space="preserve"> relating to the maintenance of a Participant Register, in each case, that are payable or paid by such Agent in connection with any Loan Documents, and any expenses arising therefrom or with respect thereto;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such Agent provides such lender with a written statement thereof setting forth in reasonable detail the basis and</w:t>
      </w:r>
      <w:r>
        <w:rPr>
          <w:rFonts w:ascii="Arial" w:cs="Arial" w:eastAsia="Arial" w:hAnsi="Arial"/>
          <w:sz w:val="21"/>
          <w:szCs w:val="21"/>
          <w:i w:val="1"/>
          <w:iCs w:val="1"/>
          <w:color w:val="auto"/>
        </w:rPr>
        <w:t xml:space="preserve"> </w:t>
      </w:r>
      <w:r>
        <w:rPr>
          <w:rFonts w:ascii="Arial" w:cs="Arial" w:eastAsia="Arial" w:hAnsi="Arial"/>
          <w:sz w:val="21"/>
          <w:szCs w:val="21"/>
          <w:color w:val="auto"/>
        </w:rPr>
        <w:t>calculation of such amounts.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Illegality</w:t>
      </w:r>
    </w:p>
    <w:p>
      <w:pPr>
        <w:spacing w:after="0" w:line="206" w:lineRule="exact"/>
        <w:rPr>
          <w:sz w:val="20"/>
          <w:szCs w:val="20"/>
          <w:color w:val="auto"/>
        </w:rPr>
      </w:pPr>
    </w:p>
    <w:p>
      <w:pPr>
        <w:jc w:val="both"/>
        <w:ind w:firstLine="872"/>
        <w:spacing w:after="0" w:line="272" w:lineRule="auto"/>
        <w:tabs>
          <w:tab w:leader="none" w:pos="1026" w:val="left"/>
        </w:tabs>
        <w:numPr>
          <w:ilvl w:val="0"/>
          <w:numId w:val="118"/>
        </w:numPr>
        <w:rPr>
          <w:rFonts w:ascii="Arial" w:cs="Arial" w:eastAsia="Arial" w:hAnsi="Arial"/>
          <w:sz w:val="19"/>
          <w:szCs w:val="19"/>
          <w:i w:val="1"/>
          <w:iCs w:val="1"/>
          <w:color w:val="auto"/>
        </w:rPr>
      </w:pPr>
      <w:r>
        <w:rPr>
          <w:rFonts w:ascii="Arial" w:cs="Arial" w:eastAsia="Arial" w:hAnsi="Arial"/>
          <w:sz w:val="19"/>
          <w:szCs w:val="19"/>
          <w:color w:val="auto"/>
        </w:rPr>
        <w:t xml:space="preserve">If any Law has made it unlawful, or that any Governmental Authority has asserted that it is unlawful, for any Lender or its applicable lending office to make, maintain or fund Eurodollar Loans, or to determine or charge interest rates based upon the LIBO Rate, then, on notice thereof by such Lender to the Borrower through the Administrative Agent, any obligation of such Lender to make or continue Eurodollar Loans or to convert ABR Loans to Eurodollar Loans shall be suspended until such Lender notifies the Administrative Agent and the Borrower that the circumstances giving rise to such determination no longer exist. Upon receipt of such notice, the Borrower shall promptly following written demand from such Lender (with a copy to the Administrative Agent), prepay or, if applicable, convert all applicable Eurodollar Loans of such Lender to ABR Loans, either on the last day of the Interest Period therefor, if such Lender may lawfully continue to maintain such Eurodollar Loans to such day, or promptly, if such Lender may not lawfully continue to maintain such Eurodollar Loans. Upon any such prepayment or conversion, the Borrower shall also pay accrued interest on the amount so prepaid or converted and all amounts due, if any, in connection with such prepayment or conversion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Each Lender agrees to designate a different lending office if such designation will avoid the need for such notice and will not, in the good faith judgment of such Lender, otherwise be materially disadvantageous to such Lender.</w:t>
      </w:r>
    </w:p>
    <w:p>
      <w:pPr>
        <w:spacing w:after="0" w:line="200" w:lineRule="exact"/>
        <w:rPr>
          <w:sz w:val="20"/>
          <w:szCs w:val="20"/>
          <w:color w:val="auto"/>
        </w:rPr>
      </w:pPr>
    </w:p>
    <w:p>
      <w:pPr>
        <w:spacing w:after="0" w:line="204" w:lineRule="exact"/>
        <w:rPr>
          <w:sz w:val="20"/>
          <w:szCs w:val="20"/>
          <w:color w:val="auto"/>
        </w:rPr>
      </w:pPr>
    </w:p>
    <w:p>
      <w:pPr>
        <w:ind w:left="880" w:right="2880"/>
        <w:spacing w:after="0" w:line="435" w:lineRule="auto"/>
        <w:rPr>
          <w:sz w:val="20"/>
          <w:szCs w:val="20"/>
          <w:color w:val="auto"/>
        </w:rPr>
      </w:pPr>
      <w:r>
        <w:rPr>
          <w:rFonts w:ascii="Arial" w:cs="Arial" w:eastAsia="Arial" w:hAnsi="Arial"/>
          <w:sz w:val="22"/>
          <w:szCs w:val="22"/>
          <w:color w:val="auto"/>
        </w:rPr>
        <w:t>Increased Cost and Reduced Return; Capital Adequacy; Reserves on Eurodollar Loans .</w:t>
      </w:r>
    </w:p>
    <w:p>
      <w:pPr>
        <w:spacing w:after="0" w:line="1" w:lineRule="exact"/>
        <w:rPr>
          <w:sz w:val="20"/>
          <w:szCs w:val="20"/>
          <w:color w:val="auto"/>
        </w:rPr>
      </w:pPr>
    </w:p>
    <w:p>
      <w:pPr>
        <w:jc w:val="both"/>
        <w:ind w:left="120" w:firstLine="744"/>
        <w:spacing w:after="0" w:line="245" w:lineRule="auto"/>
        <w:tabs>
          <w:tab w:leader="none" w:pos="2404"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If any Lender reasonably determines that as a result of the introduction of or any change in or in the interpretation of any Law, in each case after the Restatement Effective Date, or such Lender’s compliance therewith, there shall be any material increase in the cost to such Lender of agreeing to make or making, funding or maintaining any Eurodollar Loans, or a material reduction in the amount received or receivable by such Lender in connection with any of the foregoing (excluding for purposes of this </w:t>
      </w:r>
      <w:r>
        <w:rPr>
          <w:rFonts w:ascii="Arial" w:cs="Arial" w:eastAsia="Arial" w:hAnsi="Arial"/>
          <w:sz w:val="21"/>
          <w:szCs w:val="21"/>
          <w:u w:val="single" w:color="auto"/>
          <w:color w:val="auto"/>
        </w:rPr>
        <w:t>Section 3.03(a)</w:t>
      </w:r>
      <w:r>
        <w:rPr>
          <w:rFonts w:ascii="Arial" w:cs="Arial" w:eastAsia="Arial" w:hAnsi="Arial"/>
          <w:sz w:val="21"/>
          <w:szCs w:val="21"/>
          <w:color w:val="auto"/>
        </w:rPr>
        <w:t xml:space="preserve"> any such increased costs or reduction in amount resulting from (i) Indemnified Taxes or Other Taxes for which additional amounts are payable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or any Taxes excluded from the definition of Indemnified Taxes under exception (iii) thereof to the extent such Taxes are imposed on or measured by net income or profits or are franchise taxes (imposed in lieu of the foregoing taxes) and any Taxes excluded from the definition of Indemnified Taxes under exceptions (i), (ii), (iv),</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6" w:name="page137"/>
    <w:bookmarkEnd w:id="136"/>
    <w:p>
      <w:pPr>
        <w:jc w:val="both"/>
        <w:ind w:left="120" w:hanging="4"/>
        <w:spacing w:after="0" w:line="279" w:lineRule="auto"/>
        <w:tabs>
          <w:tab w:leader="none" w:pos="42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and (vi) thereof or (ii) reserve requirements contemplated by </w:t>
      </w:r>
      <w:r>
        <w:rPr>
          <w:rFonts w:ascii="Arial" w:cs="Arial" w:eastAsia="Arial" w:hAnsi="Arial"/>
          <w:sz w:val="19"/>
          <w:szCs w:val="19"/>
          <w:u w:val="single" w:color="auto"/>
          <w:color w:val="auto"/>
        </w:rPr>
        <w:t>Section 3.03(c)</w:t>
      </w:r>
      <w:r>
        <w:rPr>
          <w:rFonts w:ascii="Arial" w:cs="Arial" w:eastAsia="Arial" w:hAnsi="Arial"/>
          <w:sz w:val="19"/>
          <w:szCs w:val="19"/>
          <w:color w:val="auto"/>
        </w:rPr>
        <w:t xml:space="preserve"> or reflected in the Adjusted LIBO Rate) and the result of any of the foregoing shall be to increase the cost to such Lender of making or maintaining any Eurodollar Loan (or of maintaining its obligations to make any Loan), or to reduce the amount of any sum received or receivable by such Lender, then from time to time within fifteen (15) days after written demand by such Lender setting forth in reasonable detail such increased costs (with a copy of such written demand to the Administrative Agent given in accordance with </w:t>
      </w:r>
      <w:r>
        <w:rPr>
          <w:rFonts w:ascii="Arial" w:cs="Arial" w:eastAsia="Arial" w:hAnsi="Arial"/>
          <w:sz w:val="19"/>
          <w:szCs w:val="19"/>
          <w:u w:val="single" w:color="auto"/>
          <w:color w:val="auto"/>
        </w:rPr>
        <w:t>Section 3.05</w:t>
      </w:r>
      <w:r>
        <w:rPr>
          <w:rFonts w:ascii="Arial" w:cs="Arial" w:eastAsia="Arial" w:hAnsi="Arial"/>
          <w:sz w:val="19"/>
          <w:szCs w:val="19"/>
          <w:color w:val="auto"/>
        </w:rPr>
        <w:t>), the Borrower shall pay to such Lender such additional amounts as will compensate such Lender for such increased cost or reduction.</w:t>
      </w:r>
    </w:p>
    <w:p>
      <w:pPr>
        <w:spacing w:after="0" w:line="150" w:lineRule="exact"/>
        <w:rPr>
          <w:rFonts w:ascii="Arial" w:cs="Arial" w:eastAsia="Arial" w:hAnsi="Arial"/>
          <w:sz w:val="19"/>
          <w:szCs w:val="19"/>
          <w:color w:val="auto"/>
        </w:rPr>
      </w:pPr>
    </w:p>
    <w:p>
      <w:pPr>
        <w:jc w:val="both"/>
        <w:ind w:firstLine="872"/>
        <w:spacing w:after="0" w:line="245" w:lineRule="auto"/>
        <w:tabs>
          <w:tab w:leader="none" w:pos="2411" w:val="left"/>
        </w:tabs>
        <w:numPr>
          <w:ilvl w:val="1"/>
          <w:numId w:val="120"/>
        </w:numPr>
        <w:rPr>
          <w:rFonts w:ascii="Arial" w:cs="Arial" w:eastAsia="Arial" w:hAnsi="Arial"/>
          <w:sz w:val="21"/>
          <w:szCs w:val="21"/>
          <w:color w:val="auto"/>
        </w:rPr>
      </w:pPr>
      <w:r>
        <w:rPr>
          <w:rFonts w:ascii="Arial" w:cs="Arial" w:eastAsia="Arial" w:hAnsi="Arial"/>
          <w:sz w:val="21"/>
          <w:szCs w:val="21"/>
          <w:color w:val="auto"/>
        </w:rPr>
        <w:t xml:space="preserve">If any Lender determines that the introduction of any Law regarding capital adequacy or liquidity or any change therein or in the interpretation thereof, in each case after the Restatement Effective Date, or compliance by such Lender (or its lending office) therewith, has the effect of reducing the rate of return on the capital of such Lender or any entity controlling such Lender as a consequence of such Lender’s obligations hereunder (taking into consideration its policies with respect to capital adequacy and liquidity and such Lender’s desired return on capital), then from time to time upon written demand of such Lender setting forth in reasonable detail the charge and the calculation of such reduced rate of return (with a copy of such written demand to the Administrative Agent given in accordance with </w:t>
      </w:r>
      <w:r>
        <w:rPr>
          <w:rFonts w:ascii="Arial" w:cs="Arial" w:eastAsia="Arial" w:hAnsi="Arial"/>
          <w:sz w:val="21"/>
          <w:szCs w:val="21"/>
          <w:u w:val="single" w:color="auto"/>
          <w:color w:val="auto"/>
        </w:rPr>
        <w:t>Section 3.05</w:t>
      </w:r>
      <w:r>
        <w:rPr>
          <w:rFonts w:ascii="Arial" w:cs="Arial" w:eastAsia="Arial" w:hAnsi="Arial"/>
          <w:sz w:val="21"/>
          <w:szCs w:val="21"/>
          <w:color w:val="auto"/>
        </w:rPr>
        <w:t>), the Borrower shall pay to such Lender such additional amounts as will compensate such Lender or controlling entity for such reduction within fifteen (15) days after receipt of such written demand.</w:t>
      </w:r>
    </w:p>
    <w:p>
      <w:pPr>
        <w:spacing w:after="0" w:line="184" w:lineRule="exact"/>
        <w:rPr>
          <w:rFonts w:ascii="Arial" w:cs="Arial" w:eastAsia="Arial" w:hAnsi="Arial"/>
          <w:sz w:val="21"/>
          <w:szCs w:val="21"/>
          <w:color w:val="auto"/>
        </w:rPr>
      </w:pPr>
    </w:p>
    <w:p>
      <w:pPr>
        <w:jc w:val="both"/>
        <w:ind w:firstLine="872"/>
        <w:spacing w:after="0" w:line="271" w:lineRule="auto"/>
        <w:tabs>
          <w:tab w:leader="none" w:pos="2399"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Except to the extent already reflected in the Adjusted LIBO Rate, the Borrower shall pay to each Lender, (i) as long as such Lender shall be required to maintain reserves with respect to liabilities or assets consisting of or including Eurodollar funds or deposits, additional interest on the unpaid principal amount of each applicable Eurodollar Loan of the Borrower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any Eurodollar Loans of the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Borrower shall have received at least fifteen (15) days’ prior written notice (with a copy to the Administrative Agent) of such additional interest or cost from such Lender. If a Lender fails to give written notice fifteen (15) days prior to the relevant Interest Payment Date, such additional interest or cost shall be due and payable fifteen (15) days from receipt of such written notice.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firstLine="872"/>
        <w:spacing w:after="0" w:line="250" w:lineRule="auto"/>
        <w:tabs>
          <w:tab w:leader="none" w:pos="2411" w:val="left"/>
        </w:tabs>
        <w:numPr>
          <w:ilvl w:val="1"/>
          <w:numId w:val="120"/>
        </w:numPr>
        <w:rPr>
          <w:rFonts w:ascii="Arial" w:cs="Arial" w:eastAsia="Arial" w:hAnsi="Arial"/>
          <w:sz w:val="22"/>
          <w:szCs w:val="22"/>
          <w:color w:val="auto"/>
        </w:rPr>
      </w:pPr>
      <w:r>
        <w:rPr>
          <w:rFonts w:ascii="Arial" w:cs="Arial" w:eastAsia="Arial" w:hAnsi="Arial"/>
          <w:sz w:val="22"/>
          <w:szCs w:val="22"/>
          <w:color w:val="auto"/>
        </w:rPr>
        <w:t xml:space="preserve">Failure or delay on the part of any Lender to demand compensation pursuant to this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shall not constitute a waiver of such Lender’s right to demand such compensation.</w:t>
      </w:r>
    </w:p>
    <w:p>
      <w:pPr>
        <w:spacing w:after="0" w:line="174" w:lineRule="exact"/>
        <w:rPr>
          <w:rFonts w:ascii="Arial" w:cs="Arial" w:eastAsia="Arial" w:hAnsi="Arial"/>
          <w:sz w:val="22"/>
          <w:szCs w:val="22"/>
          <w:color w:val="auto"/>
        </w:rPr>
      </w:pPr>
    </w:p>
    <w:p>
      <w:pPr>
        <w:jc w:val="both"/>
        <w:ind w:firstLine="872"/>
        <w:spacing w:after="0" w:line="238" w:lineRule="auto"/>
        <w:tabs>
          <w:tab w:leader="none" w:pos="2399" w:val="left"/>
        </w:tabs>
        <w:numPr>
          <w:ilvl w:val="1"/>
          <w:numId w:val="120"/>
        </w:numPr>
        <w:rPr>
          <w:rFonts w:ascii="Arial" w:cs="Arial" w:eastAsia="Arial" w:hAnsi="Arial"/>
          <w:sz w:val="22"/>
          <w:szCs w:val="22"/>
          <w:color w:val="auto"/>
        </w:rPr>
      </w:pPr>
      <w:r>
        <w:rPr>
          <w:rFonts w:ascii="Arial" w:cs="Arial" w:eastAsia="Arial" w:hAnsi="Arial"/>
          <w:sz w:val="22"/>
          <w:szCs w:val="22"/>
          <w:color w:val="auto"/>
        </w:rPr>
        <w:t xml:space="preserve">If any Lender requests compensation under this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then such Lender will, if requested by the Borrower, use commercially reasonable efforts to designate another lending office for any Loan affected by such event;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such efforts are made on terms that, in the reasonable judgment of such Lender, cause such Lender and its lending</w:t>
      </w:r>
      <w:r>
        <w:rPr>
          <w:rFonts w:ascii="Arial" w:cs="Arial" w:eastAsia="Arial" w:hAnsi="Arial"/>
          <w:sz w:val="22"/>
          <w:szCs w:val="22"/>
          <w:i w:val="1"/>
          <w:iCs w:val="1"/>
          <w:color w:val="auto"/>
        </w:rPr>
        <w:t xml:space="preserve"> </w:t>
      </w:r>
      <w:r>
        <w:rPr>
          <w:rFonts w:ascii="Arial" w:cs="Arial" w:eastAsia="Arial" w:hAnsi="Arial"/>
          <w:sz w:val="22"/>
          <w:szCs w:val="22"/>
          <w:color w:val="auto"/>
        </w:rPr>
        <w:t>office(s) to suffer no</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7" w:name="page138"/>
    <w:bookmarkEnd w:id="137"/>
    <w:p>
      <w:pPr>
        <w:spacing w:after="0" w:line="328" w:lineRule="auto"/>
        <w:rPr>
          <w:sz w:val="20"/>
          <w:szCs w:val="20"/>
          <w:color w:val="auto"/>
        </w:rPr>
      </w:pPr>
      <w:r>
        <w:rPr>
          <w:rFonts w:ascii="Arial" w:cs="Arial" w:eastAsia="Arial" w:hAnsi="Arial"/>
          <w:sz w:val="19"/>
          <w:szCs w:val="19"/>
          <w:color w:val="auto"/>
        </w:rPr>
        <w:t xml:space="preserve">material economic, legal or regulatory disadvantage,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3.03(e)</w:t>
      </w:r>
      <w:r>
        <w:rPr>
          <w:rFonts w:ascii="Arial" w:cs="Arial" w:eastAsia="Arial" w:hAnsi="Arial"/>
          <w:sz w:val="19"/>
          <w:szCs w:val="19"/>
          <w:color w:val="auto"/>
        </w:rPr>
        <w:t xml:space="preserve"> shall affect or postpone any of the Obligations of the Borrower or the rights of such Lender pursuant to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Funding Losses</w:t>
      </w:r>
    </w:p>
    <w:p>
      <w:pPr>
        <w:spacing w:after="0" w:line="206" w:lineRule="exact"/>
        <w:rPr>
          <w:sz w:val="20"/>
          <w:szCs w:val="20"/>
          <w:color w:val="auto"/>
        </w:rPr>
      </w:pPr>
    </w:p>
    <w:p>
      <w:pPr>
        <w:jc w:val="both"/>
        <w:ind w:firstLine="872"/>
        <w:spacing w:after="0" w:line="297" w:lineRule="auto"/>
        <w:tabs>
          <w:tab w:leader="none" w:pos="1080" w:val="left"/>
        </w:tabs>
        <w:numPr>
          <w:ilvl w:val="0"/>
          <w:numId w:val="121"/>
        </w:numPr>
        <w:rPr>
          <w:rFonts w:ascii="Arial" w:cs="Arial" w:eastAsia="Arial" w:hAnsi="Arial"/>
          <w:sz w:val="19"/>
          <w:szCs w:val="19"/>
          <w:i w:val="1"/>
          <w:iCs w:val="1"/>
          <w:color w:val="auto"/>
        </w:rPr>
      </w:pPr>
      <w:r>
        <w:rPr>
          <w:rFonts w:ascii="Arial" w:cs="Arial" w:eastAsia="Arial" w:hAnsi="Arial"/>
          <w:sz w:val="19"/>
          <w:szCs w:val="19"/>
          <w:color w:val="auto"/>
        </w:rPr>
        <w:t>Promptly following written demand of any Lender (with a copy to the Administrative Agent) from time to time, which demand shall set forth in reasonable detail the basis for requesting such amount, the Borrower shall promptly compensate such Lender for and hold such Lender harmless from any loss, cost or expense actually incurred by it as a result of:</w:t>
      </w:r>
    </w:p>
    <w:p>
      <w:pPr>
        <w:spacing w:after="0" w:line="13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(i)any continuation or conversion of any Eurodollar Loan of the Borrower on a day prior to the last day of the Interest Period for such Loan, or any payment or prepayment of any Eurodollar Loan of the Borrower on a day prior to the last day of the Interest Period for such Loan; or</w:t>
      </w:r>
    </w:p>
    <w:p>
      <w:pPr>
        <w:spacing w:after="0" w:line="18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(ii)any failure by the Borrower (for a reason other than the failure of such Lender to make a Loan) to prepay, borrow, continue or convert any Eurodollar Loan of the Borrower on the date or in the amount notified by the Borrower;</w:t>
      </w:r>
    </w:p>
    <w:p>
      <w:pPr>
        <w:spacing w:after="0" w:line="15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including an amount equal to the excess, as reasonably determined by such Lender, of (1) its cost of obtaining funds for the Eurodollar Loan that is the subject of such event for the period from the date of such event to the last day of the Interest Period in effect (or that would have been in effect) for such Loan over (2) the amount of interest likely to be realized by such Lender in redeploying the funds released or not utilized by reason of such event for such period, but excluding (a) loss of anticipated profits, and (b) any loss, cost or expense resulting from Indemnified Taxes or Other Taxes for which additional amounts are payable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any Taxes excluded from the definition of Indemnified Taxes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3.01</w:t>
      </w:r>
      <w:r>
        <w:rPr>
          <w:rFonts w:ascii="Arial" w:cs="Arial" w:eastAsia="Arial" w:hAnsi="Arial"/>
          <w:sz w:val="22"/>
          <w:szCs w:val="22"/>
          <w:color w:val="auto"/>
        </w:rPr>
        <w: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Matters Applicable to all Requests for Compensation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8" w:lineRule="auto"/>
        <w:tabs>
          <w:tab w:leader="none" w:pos="239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and customary averaging and attribution methods.</w:t>
      </w:r>
    </w:p>
    <w:p>
      <w:pPr>
        <w:spacing w:after="0" w:line="184" w:lineRule="exact"/>
        <w:rPr>
          <w:rFonts w:ascii="Arial" w:cs="Arial" w:eastAsia="Arial" w:hAnsi="Arial"/>
          <w:sz w:val="22"/>
          <w:szCs w:val="22"/>
          <w:color w:val="auto"/>
        </w:rPr>
      </w:pPr>
    </w:p>
    <w:p>
      <w:pPr>
        <w:jc w:val="both"/>
        <w:ind w:firstLine="872"/>
        <w:spacing w:after="0" w:line="275" w:lineRule="auto"/>
        <w:tabs>
          <w:tab w:leader="none" w:pos="241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With respect to any Lender’s claim for compensation under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circumstance giving rise to such claim is retroactive, then such 180-day period referred to above shall be extended to include the period of retroactive effect thereof. If any Lender requests compensation by the Borrower under </w:t>
      </w:r>
      <w:r>
        <w:rPr>
          <w:rFonts w:ascii="Arial" w:cs="Arial" w:eastAsia="Arial" w:hAnsi="Arial"/>
          <w:sz w:val="19"/>
          <w:szCs w:val="19"/>
          <w:u w:val="single" w:color="auto"/>
          <w:color w:val="auto"/>
        </w:rPr>
        <w:t>Section 3.03</w:t>
      </w:r>
      <w:r>
        <w:rPr>
          <w:rFonts w:ascii="Arial" w:cs="Arial" w:eastAsia="Arial" w:hAnsi="Arial"/>
          <w:sz w:val="19"/>
          <w:szCs w:val="19"/>
          <w:color w:val="auto"/>
        </w:rPr>
        <w:t>, the Borrower may, by notice to such Lender (with a copy to the Administrative Agent), suspend the obligation of such Lender to make or continue from one Interest Period to another any applicable Eurodollar Loan, or, if applicable, to convert ABR Loans into Eurodollar Loans, until the event or condition giving rise to such request ceases to be in effect (in which case the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8" w:name="page139"/>
    <w:bookmarkEnd w:id="138"/>
    <w:p>
      <w:pPr>
        <w:spacing w:after="0" w:line="250" w:lineRule="auto"/>
        <w:rPr>
          <w:sz w:val="20"/>
          <w:szCs w:val="20"/>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3.05(c)</w:t>
      </w:r>
      <w:r>
        <w:rPr>
          <w:rFonts w:ascii="Arial" w:cs="Arial" w:eastAsia="Arial" w:hAnsi="Arial"/>
          <w:sz w:val="22"/>
          <w:szCs w:val="22"/>
          <w:color w:val="auto"/>
        </w:rPr>
        <w:t xml:space="preserve"> shall be applicable);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suspension shall not affect the right of such Lender to receive the compensation so requested.</w:t>
      </w:r>
    </w:p>
    <w:p>
      <w:pPr>
        <w:spacing w:after="0" w:line="175" w:lineRule="exact"/>
        <w:rPr>
          <w:sz w:val="20"/>
          <w:szCs w:val="20"/>
          <w:color w:val="auto"/>
        </w:rPr>
      </w:pPr>
    </w:p>
    <w:p>
      <w:pPr>
        <w:jc w:val="both"/>
        <w:ind w:firstLine="872"/>
        <w:spacing w:after="0" w:line="248" w:lineRule="auto"/>
        <w:tabs>
          <w:tab w:leader="none" w:pos="2399"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If the obligation of any Lender to make or continue any Eurodollar Loan, or to convert ABR Loans into Eurodollar Loans shall be suspended pursuant to </w:t>
      </w:r>
      <w:r>
        <w:rPr>
          <w:rFonts w:ascii="Arial" w:cs="Arial" w:eastAsia="Arial" w:hAnsi="Arial"/>
          <w:sz w:val="21"/>
          <w:szCs w:val="21"/>
          <w:u w:val="single" w:color="auto"/>
          <w:color w:val="auto"/>
        </w:rPr>
        <w:t>Section 3.05(b)</w:t>
      </w:r>
      <w:r>
        <w:rPr>
          <w:rFonts w:ascii="Arial" w:cs="Arial" w:eastAsia="Arial" w:hAnsi="Arial"/>
          <w:sz w:val="21"/>
          <w:szCs w:val="21"/>
          <w:color w:val="auto"/>
        </w:rPr>
        <w:t xml:space="preserve"> hereof, such Lender’s applicable Eurodollar Loans shall be automatically converted into ABR Loans (or, if such conversion is not possible, repaid) on the last day(s) of the then current Interest Period(s) for such Eurodollar Loans (or, in the case of an immediate conversion required by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on such earlier date as required by Law) and, unless and until such Lender gives notice as provided below that the circumstances specified in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3.03</w:t>
      </w:r>
      <w:r>
        <w:rPr>
          <w:rFonts w:ascii="Arial" w:cs="Arial" w:eastAsia="Arial" w:hAnsi="Arial"/>
          <w:sz w:val="21"/>
          <w:szCs w:val="21"/>
          <w:color w:val="auto"/>
        </w:rPr>
        <w:t xml:space="preserve"> hereof that gave rise to such conversion no longer exist:</w:t>
      </w:r>
    </w:p>
    <w:p>
      <w:pPr>
        <w:spacing w:after="0" w:line="177"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(i)to the extent that such Lender’s Eurodollar Loans have been so converted, all payments and prepayments of principal that would otherwise be applied to such Lender’s applicable Eurodollar Loans shall be applied instead to its ABR Loans; and</w:t>
      </w:r>
    </w:p>
    <w:p>
      <w:pPr>
        <w:spacing w:after="0" w:line="186" w:lineRule="exact"/>
        <w:rPr>
          <w:sz w:val="20"/>
          <w:szCs w:val="20"/>
          <w:color w:val="auto"/>
        </w:rPr>
      </w:pPr>
    </w:p>
    <w:p>
      <w:pPr>
        <w:jc w:val="both"/>
        <w:ind w:left="880" w:firstLine="797"/>
        <w:spacing w:after="0" w:line="257" w:lineRule="auto"/>
        <w:rPr>
          <w:sz w:val="20"/>
          <w:szCs w:val="20"/>
          <w:color w:val="auto"/>
        </w:rPr>
      </w:pPr>
      <w:r>
        <w:rPr>
          <w:rFonts w:ascii="Arial" w:cs="Arial" w:eastAsia="Arial" w:hAnsi="Arial"/>
          <w:sz w:val="21"/>
          <w:szCs w:val="21"/>
          <w:color w:val="auto"/>
        </w:rPr>
        <w:t>(ii)all Loans that would otherwise be made or continued from one Interest Period to another by such Lender as Eurodollar Loans shall be made or continued instead as ABR Loans (if possible), and all ABR Loans of such Lender that would otherwise be converted into Eurodollar Loans shall remain as ABR Loans.</w:t>
      </w:r>
    </w:p>
    <w:p>
      <w:pPr>
        <w:spacing w:after="0" w:line="169" w:lineRule="exact"/>
        <w:rPr>
          <w:sz w:val="20"/>
          <w:szCs w:val="20"/>
          <w:color w:val="auto"/>
        </w:rPr>
      </w:pPr>
    </w:p>
    <w:p>
      <w:pPr>
        <w:jc w:val="both"/>
        <w:ind w:firstLine="872"/>
        <w:spacing w:after="0" w:line="275" w:lineRule="auto"/>
        <w:tabs>
          <w:tab w:leader="none" w:pos="241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If any Lender gives notice to the Borrower (with a copy to the Administrative Agent) that the circumstances specified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hereof that gave rise to the conversion of any of such Lender’s Eurodollar Loans pursuant to this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no longer exist (which such Lender agrees to do promptly upon such circumstances ceasing to exist) at a time when Eurodollar Loans made by other Lenders under the applicable Facility are outstanding, if applicable, such Lender’s ABR Loans shall be automatically converted, on the first day(s) of the next succeeding Interest Period(s) for such outstanding Eurodollar Loans, to the extent necessary so that, after giving effect thereto, all Loans held by the Lenders holding Eurodollar Loans under such Facility and by such Lender are held pro rata (as to principal amounts, interest rate basis, and Interest Periods) in accordance with their respective Commitments for the applicable Facility.</w:t>
      </w:r>
    </w:p>
    <w:p>
      <w:pPr>
        <w:spacing w:after="0" w:line="157" w:lineRule="exact"/>
        <w:rPr>
          <w:rFonts w:ascii="Arial" w:cs="Arial" w:eastAsia="Arial" w:hAnsi="Arial"/>
          <w:sz w:val="19"/>
          <w:szCs w:val="19"/>
          <w:color w:val="auto"/>
        </w:rPr>
      </w:pPr>
    </w:p>
    <w:p>
      <w:pPr>
        <w:jc w:val="both"/>
        <w:ind w:firstLine="872"/>
        <w:spacing w:after="0" w:line="235" w:lineRule="auto"/>
        <w:tabs>
          <w:tab w:leader="none" w:pos="239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adopted or made after the Restatement Effective Date, regardless of the date enacted or adopted.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Replacement of Lenders under Certain Circumstances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87" w:lineRule="auto"/>
        <w:tabs>
          <w:tab w:leader="none" w:pos="239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If at any time (i) the Borrower becomes obligated to pay additional amounts or indemnity payments described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as a result of any condition described in such Sections or any Lender ceases to make any Eurodollar Loans as a result of any condition described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or (ii) any Lender becomes a Non-Consenting Lender, then the Borrower may, on prior written notice to the Administrative Agent and such Lender, (x)</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9" w:name="page140"/>
    <w:bookmarkEnd w:id="139"/>
    <w:p>
      <w:pPr>
        <w:jc w:val="both"/>
        <w:spacing w:after="0" w:line="271" w:lineRule="auto"/>
        <w:rPr>
          <w:sz w:val="20"/>
          <w:szCs w:val="20"/>
          <w:color w:val="auto"/>
        </w:rPr>
      </w:pPr>
      <w:r>
        <w:rPr>
          <w:rFonts w:ascii="Arial" w:cs="Arial" w:eastAsia="Arial" w:hAnsi="Arial"/>
          <w:sz w:val="19"/>
          <w:szCs w:val="19"/>
          <w:color w:val="auto"/>
        </w:rPr>
        <w:t xml:space="preserve">replace such Lender by causing such Lender to (and such Lender shall be obligated to) assign pursuant to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(unless otherwise agreed, with the assignment fee to be paid by the Borrower in such instance) (it being understood that any such assignment shall become effective only in accordance with </w:t>
      </w:r>
      <w:r>
        <w:rPr>
          <w:rFonts w:ascii="Arial" w:cs="Arial" w:eastAsia="Arial" w:hAnsi="Arial"/>
          <w:sz w:val="19"/>
          <w:szCs w:val="19"/>
          <w:u w:val="single" w:color="auto"/>
          <w:color w:val="auto"/>
        </w:rPr>
        <w:t>Section 10.04(e)</w:t>
      </w:r>
      <w:r>
        <w:rPr>
          <w:rFonts w:ascii="Arial" w:cs="Arial" w:eastAsia="Arial" w:hAnsi="Arial"/>
          <w:sz w:val="19"/>
          <w:szCs w:val="19"/>
          <w:color w:val="auto"/>
        </w:rPr>
        <w:t xml:space="preserve">), all of its rights and obligations under this Agreement (in respect of any applicable Facility only in the case of clause (i) or, with respect to a Class vote, clause (ii)) to one or more Eligible Assignees;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Administrative Agent nor any Lender shall have any obligation to the Borrower to find a replacement Lender or other such Person;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 in the case of any such assignment resulting from a claim for compensation under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and repay all Obligations of the Borrower owing to such Lender relating to the Loans and participations held by such Lender as of such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with respect to a Class vote, clause (ii).</w:t>
      </w:r>
    </w:p>
    <w:p>
      <w:pPr>
        <w:spacing w:after="0" w:line="160" w:lineRule="exact"/>
        <w:rPr>
          <w:sz w:val="20"/>
          <w:szCs w:val="20"/>
          <w:color w:val="auto"/>
        </w:rPr>
      </w:pPr>
    </w:p>
    <w:p>
      <w:pPr>
        <w:jc w:val="both"/>
        <w:ind w:firstLine="872"/>
        <w:spacing w:after="0" w:line="246" w:lineRule="auto"/>
        <w:tabs>
          <w:tab w:leader="none" w:pos="2411"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directly and adversely affected Lender, each Lender with respect to a certain Class of Loans or each directly and adversely affected Lender with respect to a certain Class of Loans, in each case in accordance with </w:t>
      </w:r>
      <w:r>
        <w:rPr>
          <w:rFonts w:ascii="Arial" w:cs="Arial" w:eastAsia="Arial" w:hAnsi="Arial"/>
          <w:sz w:val="21"/>
          <w:szCs w:val="21"/>
          <w:u w:val="single" w:color="auto"/>
          <w:color w:val="auto"/>
        </w:rPr>
        <w:t>Section 10.08</w:t>
      </w:r>
      <w:r>
        <w:rPr>
          <w:rFonts w:ascii="Arial" w:cs="Arial" w:eastAsia="Arial" w:hAnsi="Arial"/>
          <w:sz w:val="21"/>
          <w:szCs w:val="21"/>
          <w:color w:val="auto"/>
        </w:rPr>
        <w:t>, and (iii) the Required Lenders (or, in the case of a consent, waiver or amendment involving all Lenders or all directly and adversely affected Lenders of a certain Class, the Required Class Lenders) have agreed to such consent, waiver or amendment, then any Lender who does not agree to such consent, waiver or amendment shall be deemed a “</w:t>
      </w:r>
      <w:r>
        <w:rPr>
          <w:rFonts w:ascii="Arial" w:cs="Arial" w:eastAsia="Arial" w:hAnsi="Arial"/>
          <w:sz w:val="21"/>
          <w:szCs w:val="21"/>
          <w:b w:val="1"/>
          <w:bCs w:val="1"/>
          <w:color w:val="auto"/>
        </w:rPr>
        <w:t>Non-Consenting Lender</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872"/>
        <w:spacing w:after="0" w:line="272" w:lineRule="auto"/>
        <w:tabs>
          <w:tab w:leader="none" w:pos="239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Any Lender being replaced pursuant to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above shall (i) execute and deliver an Assignment and Acceptance with respect to such Lender’s applicable Commitment and outstanding Loans, and (ii) deliver any Term Notes evidencing such Loans to the Borrower or Administrative Agent. Pursuant to such Assignment and Acceptance, (A) the assignee Lender shall acquire all or a portion, as the case may be, of the assigning Lender’s outstanding Loans, (B) all obligations of the Borrower owing to the assigning Lender relating to the Loans and participations so assigned shall be paid in full by the assignee Lender to such assigning Lender concurrently with such Assignment and Acceptance and (C) upon such payment and, if so requested by the assignee Lender, delivery to the assignee Lender of the appropriate Term Note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does not execute and deliver to the Administrative Agent a duly executed Assignment and Acceptance reflecting such replacement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21"/>
          <w:szCs w:val="21"/>
          <w:color w:val="auto"/>
        </w:rPr>
        <w:t>within five (5) Business Days of the date on which the assignee Lender executes and delivers such Assignment and Acceptance to such Non-Consenting Lender, then such Non-Consenting Lender shall be deemed to have executed and delivered such Assignment and Acceptance without any action on the part of the Non-Consenting Lender.</w:t>
      </w:r>
    </w:p>
    <w:p>
      <w:pPr>
        <w:spacing w:after="0" w:line="169" w:lineRule="exact"/>
        <w:rPr>
          <w:sz w:val="20"/>
          <w:szCs w:val="20"/>
          <w:color w:val="auto"/>
        </w:rPr>
      </w:pPr>
    </w:p>
    <w:p>
      <w:pPr>
        <w:ind w:firstLine="872"/>
        <w:spacing w:after="0" w:line="250" w:lineRule="auto"/>
        <w:tabs>
          <w:tab w:leader="none" w:pos="241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above, the Lender that acts as the Administrative Agent may not be replaced hereunder except in accordance with Article 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Survival</w:t>
      </w:r>
    </w:p>
    <w:p>
      <w:pPr>
        <w:spacing w:after="0" w:line="206" w:lineRule="exact"/>
        <w:rPr>
          <w:sz w:val="20"/>
          <w:szCs w:val="20"/>
          <w:color w:val="auto"/>
        </w:rPr>
      </w:pPr>
    </w:p>
    <w:p>
      <w:pPr>
        <w:ind w:firstLine="872"/>
        <w:spacing w:after="0" w:line="250" w:lineRule="auto"/>
        <w:tabs>
          <w:tab w:leader="none" w:pos="101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All of the Borrower’s obligations under this Article 3 shall survive termination of the Commitments and repayment of all other Obligations 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ONDITIONS</w:t>
      </w:r>
      <w:r>
        <w:rPr>
          <w:rFonts w:ascii="Arial" w:cs="Arial" w:eastAsia="Arial" w:hAnsi="Arial"/>
          <w:sz w:val="22"/>
          <w:szCs w:val="22"/>
          <w:color w:val="auto"/>
        </w:rPr>
        <w:t xml:space="preserve"> P</w:t>
      </w:r>
      <w:r>
        <w:rPr>
          <w:rFonts w:ascii="Arial" w:cs="Arial" w:eastAsia="Arial" w:hAnsi="Arial"/>
          <w:sz w:val="14"/>
          <w:szCs w:val="14"/>
          <w:color w:val="auto"/>
        </w:rPr>
        <w:t>RECEDENT TO</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E</w:t>
      </w:r>
      <w:r>
        <w:rPr>
          <w:rFonts w:ascii="Arial" w:cs="Arial" w:eastAsia="Arial" w:hAnsi="Arial"/>
          <w:sz w:val="14"/>
          <w:szCs w:val="14"/>
          <w:color w:val="auto"/>
        </w:rPr>
        <w:t>XTENSIONS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All Credit Extensions</w:t>
      </w:r>
    </w:p>
    <w:p>
      <w:pPr>
        <w:spacing w:after="0" w:line="206" w:lineRule="exact"/>
        <w:rPr>
          <w:sz w:val="20"/>
          <w:szCs w:val="20"/>
          <w:color w:val="auto"/>
        </w:rPr>
      </w:pPr>
    </w:p>
    <w:p>
      <w:pPr>
        <w:jc w:val="both"/>
        <w:ind w:firstLine="872"/>
        <w:spacing w:after="0"/>
        <w:tabs>
          <w:tab w:leader="none" w:pos="1039" w:val="left"/>
        </w:tabs>
        <w:numPr>
          <w:ilvl w:val="0"/>
          <w:numId w:val="129"/>
        </w:numPr>
        <w:rPr>
          <w:rFonts w:ascii="Arial" w:cs="Arial" w:eastAsia="Arial" w:hAnsi="Arial"/>
          <w:sz w:val="22"/>
          <w:szCs w:val="22"/>
          <w:i w:val="1"/>
          <w:iCs w:val="1"/>
          <w:color w:val="auto"/>
        </w:rPr>
      </w:pPr>
      <w:r>
        <w:rPr>
          <w:rFonts w:ascii="Arial" w:cs="Arial" w:eastAsia="Arial" w:hAnsi="Arial"/>
          <w:sz w:val="22"/>
          <w:szCs w:val="22"/>
          <w:color w:val="auto"/>
        </w:rPr>
        <w:t>The obligation of each Lender to honor any Request for Credit Extension (other than a Request for Credit Extension requesting only a conversion of Loans to the other Type, or a continuation of Eurodollar Loans) is subject to satisfaction (or waiver) of the following conditions precedent:</w:t>
      </w:r>
    </w:p>
    <w:p>
      <w:pPr>
        <w:spacing w:after="0" w:line="186" w:lineRule="exact"/>
        <w:rPr>
          <w:sz w:val="20"/>
          <w:szCs w:val="20"/>
          <w:color w:val="auto"/>
        </w:rPr>
      </w:pPr>
    </w:p>
    <w:p>
      <w:pPr>
        <w:jc w:val="both"/>
        <w:ind w:firstLine="872"/>
        <w:spacing w:after="0" w:line="246" w:lineRule="auto"/>
        <w:tabs>
          <w:tab w:leader="none" w:pos="2399"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set forth in Article 5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21"/>
          <w:szCs w:val="21"/>
          <w:i w:val="1"/>
          <w:iCs w:val="1"/>
          <w:color w:val="auto"/>
        </w:rPr>
        <w:t>provided</w:t>
      </w:r>
      <w:r>
        <w:rPr>
          <w:rFonts w:ascii="Arial" w:cs="Arial" w:eastAsia="Arial" w:hAnsi="Arial"/>
          <w:sz w:val="21"/>
          <w:szCs w:val="21"/>
          <w:color w:val="auto"/>
        </w:rPr>
        <w:t>, that any such representation and warranty that is qualified by “materiality”, “material adverse effect” or similar language shall be true and correct in all respects (after giving effect to such qualification therein) on and as of the date of such Credit Extension with the same effect as though made on and as of such date or such earlier date, as applicable.</w:t>
      </w:r>
    </w:p>
    <w:p>
      <w:pPr>
        <w:spacing w:after="0" w:line="184" w:lineRule="exact"/>
        <w:rPr>
          <w:rFonts w:ascii="Arial" w:cs="Arial" w:eastAsia="Arial" w:hAnsi="Arial"/>
          <w:sz w:val="21"/>
          <w:szCs w:val="21"/>
          <w:color w:val="auto"/>
        </w:rPr>
      </w:pPr>
    </w:p>
    <w:p>
      <w:pPr>
        <w:ind w:left="2420" w:hanging="1548"/>
        <w:spacing w:after="0"/>
        <w:tabs>
          <w:tab w:leader="none" w:pos="242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from the application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proceeds therefrom.</w:t>
      </w:r>
    </w:p>
    <w:p>
      <w:pPr>
        <w:spacing w:after="0" w:line="188" w:lineRule="exact"/>
        <w:rPr>
          <w:rFonts w:ascii="Arial" w:cs="Arial" w:eastAsia="Arial" w:hAnsi="Arial"/>
          <w:sz w:val="19"/>
          <w:szCs w:val="19"/>
          <w:color w:val="auto"/>
        </w:rPr>
      </w:pPr>
    </w:p>
    <w:p>
      <w:pPr>
        <w:ind w:left="2400" w:hanging="1528"/>
        <w:spacing w:after="0"/>
        <w:tabs>
          <w:tab w:leader="none" w:pos="24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Administrative Agent shall have received a Request for Credit Extension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requirements hereof.</w:t>
      </w:r>
    </w:p>
    <w:p>
      <w:pPr>
        <w:spacing w:after="0" w:line="188" w:lineRule="exact"/>
        <w:rPr>
          <w:rFonts w:ascii="Arial" w:cs="Arial" w:eastAsia="Arial" w:hAnsi="Arial"/>
          <w:sz w:val="19"/>
          <w:szCs w:val="19"/>
          <w:color w:val="auto"/>
        </w:rPr>
      </w:pPr>
    </w:p>
    <w:p>
      <w:pPr>
        <w:ind w:right="220" w:firstLine="872"/>
        <w:spacing w:after="0"/>
        <w:tabs>
          <w:tab w:leader="none" w:pos="241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Collateral and Guarantee Requirement shall have been satisfied in all material respects with respect to each Material Real Property and, solely to the extent required under clause (b)(iv) of the definition of “Collateral and Guarantee Requirement”, each Pension Real Property.</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Each Request for Credit Extension (other than a Request for Credit Extension requesting only a conversion of Loans to the other Type, or a continuation of Eurodollar Loans) submitted by the Borrower shall be deemed to be a representation and warranty by the Borrower that the conditions specified in </w:t>
      </w:r>
      <w:r>
        <w:rPr>
          <w:rFonts w:ascii="Arial" w:cs="Arial" w:eastAsia="Arial" w:hAnsi="Arial"/>
          <w:sz w:val="22"/>
          <w:szCs w:val="22"/>
          <w:u w:val="single" w:color="auto"/>
          <w:color w:val="auto"/>
        </w:rPr>
        <w:t>Sections 4.01(a)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have been satisfied or waived on and as of the date of the applicable Credit Extension.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First Credit Extension</w:t>
      </w:r>
    </w:p>
    <w:p>
      <w:pPr>
        <w:spacing w:after="0" w:line="206" w:lineRule="exact"/>
        <w:rPr>
          <w:sz w:val="20"/>
          <w:szCs w:val="20"/>
          <w:color w:val="auto"/>
        </w:rPr>
      </w:pPr>
    </w:p>
    <w:p>
      <w:pPr>
        <w:ind w:firstLine="872"/>
        <w:spacing w:after="0" w:line="250" w:lineRule="auto"/>
        <w:tabs>
          <w:tab w:leader="none" w:pos="1066" w:val="left"/>
        </w:tabs>
        <w:numPr>
          <w:ilvl w:val="0"/>
          <w:numId w:val="131"/>
        </w:numPr>
        <w:rPr>
          <w:rFonts w:ascii="Arial" w:cs="Arial" w:eastAsia="Arial" w:hAnsi="Arial"/>
          <w:sz w:val="22"/>
          <w:szCs w:val="22"/>
          <w:i w:val="1"/>
          <w:iCs w:val="1"/>
          <w:color w:val="auto"/>
        </w:rPr>
      </w:pPr>
      <w:r>
        <w:rPr>
          <w:rFonts w:ascii="Arial" w:cs="Arial" w:eastAsia="Arial" w:hAnsi="Arial"/>
          <w:sz w:val="22"/>
          <w:szCs w:val="22"/>
          <w:color w:val="auto"/>
        </w:rPr>
        <w:t>The amendment and restatement of the Existing Credit Agreement provided for hereby and the obligation of each Tranche B-2 Term Lender to</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make Tranche B-2 Term Loans, shall be subject to satisfaction (or waiver) of the following conditions precedent:</w:t>
      </w:r>
    </w:p>
    <w:p>
      <w:pPr>
        <w:spacing w:after="0" w:line="206" w:lineRule="exact"/>
        <w:rPr>
          <w:sz w:val="20"/>
          <w:szCs w:val="20"/>
          <w:color w:val="auto"/>
        </w:rPr>
      </w:pPr>
    </w:p>
    <w:p>
      <w:pPr>
        <w:ind w:firstLine="872"/>
        <w:spacing w:after="0" w:line="274" w:lineRule="auto"/>
        <w:tabs>
          <w:tab w:leader="none" w:pos="239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Administrative Agent and the Required Lenders shall have received the following, each properly executed by a Responsible Officer of the signing Loan Party, each dated as of the Restatement Effective Date:</w:t>
      </w:r>
    </w:p>
    <w:p>
      <w:pPr>
        <w:spacing w:after="0" w:line="15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(i)executed counterparts of this Agreement duly executed by the Borrower and each Guarantor;</w:t>
      </w:r>
    </w:p>
    <w:p>
      <w:pPr>
        <w:spacing w:after="0" w:line="206" w:lineRule="exact"/>
        <w:rPr>
          <w:sz w:val="20"/>
          <w:szCs w:val="20"/>
          <w:color w:val="auto"/>
        </w:rPr>
      </w:pPr>
    </w:p>
    <w:p>
      <w:pPr>
        <w:ind w:left="880" w:firstLine="797"/>
        <w:spacing w:after="0" w:line="250" w:lineRule="auto"/>
        <w:rPr>
          <w:sz w:val="20"/>
          <w:szCs w:val="20"/>
          <w:color w:val="auto"/>
        </w:rPr>
      </w:pPr>
      <w:r>
        <w:rPr>
          <w:rFonts w:ascii="Arial" w:cs="Arial" w:eastAsia="Arial" w:hAnsi="Arial"/>
          <w:sz w:val="22"/>
          <w:szCs w:val="22"/>
          <w:color w:val="auto"/>
        </w:rPr>
        <w:t>(ii)a Term Note executed by the Borrower in favor of each Lender that has requested a Term Note at least two Business Days in advance of the Restatement Effective Date;</w:t>
      </w:r>
    </w:p>
    <w:p>
      <w:pPr>
        <w:spacing w:after="0" w:line="17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(iii)the Security Agreement duly executed by the parties thereto; and</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(iv)the Fee Letter and the Administrative Fee Letter duly executed by the respective parties thereto.</w:t>
      </w:r>
    </w:p>
    <w:p>
      <w:pPr>
        <w:spacing w:after="0" w:line="218" w:lineRule="exact"/>
        <w:rPr>
          <w:sz w:val="20"/>
          <w:szCs w:val="20"/>
          <w:color w:val="auto"/>
        </w:rPr>
      </w:pPr>
    </w:p>
    <w:p>
      <w:pPr>
        <w:jc w:val="both"/>
        <w:ind w:firstLine="872"/>
        <w:spacing w:after="0" w:line="236" w:lineRule="auto"/>
        <w:tabs>
          <w:tab w:leader="none" w:pos="241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The Administrative Agent and the Required Lenders shall have received, on behalf of themselves, the Collateral Agent and the Lenders, an opinion of (i) Kirkland &amp; Ellis LLP, counsel for the Loan Parties, and (ii) from each local counsel for the Loan Parties listed on </w:t>
      </w:r>
      <w:r>
        <w:rPr>
          <w:rFonts w:ascii="Arial" w:cs="Arial" w:eastAsia="Arial" w:hAnsi="Arial"/>
          <w:sz w:val="22"/>
          <w:szCs w:val="22"/>
          <w:u w:val="single" w:color="auto"/>
          <w:color w:val="auto"/>
        </w:rPr>
        <w:t>Schedule 4.02(b)</w:t>
      </w:r>
      <w:r>
        <w:rPr>
          <w:rFonts w:ascii="Arial" w:cs="Arial" w:eastAsia="Arial" w:hAnsi="Arial"/>
          <w:sz w:val="22"/>
          <w:szCs w:val="22"/>
          <w:color w:val="auto"/>
        </w:rPr>
        <w:t>, in each case, dated the Restatement Effective Date and addressed to the Administrative Agent, the Collateral Agent and the Lenders and in customary form and substance, and the Borrower hereby requests such counsel to deliver such opinions.</w:t>
      </w:r>
    </w:p>
    <w:p>
      <w:pPr>
        <w:spacing w:after="0" w:line="187" w:lineRule="exact"/>
        <w:rPr>
          <w:rFonts w:ascii="Arial" w:cs="Arial" w:eastAsia="Arial" w:hAnsi="Arial"/>
          <w:sz w:val="22"/>
          <w:szCs w:val="22"/>
          <w:color w:val="auto"/>
        </w:rPr>
      </w:pPr>
    </w:p>
    <w:p>
      <w:pPr>
        <w:jc w:val="both"/>
        <w:ind w:firstLine="872"/>
        <w:spacing w:after="0" w:line="271" w:lineRule="auto"/>
        <w:tabs>
          <w:tab w:leader="none" w:pos="239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Administrative Agent and the Required Lenders shall have received (i) a copy of the certificate or articles of incorporation or organization or certificate of formation, including all amendments thereto, of each Loan Party, certified, if applicable, as of a recent date by the Secretary of State of the state of its organization, and a certificate as to the good standing (to the extent applicable) of each Loan Party as of a recent date, from such Secretary of State or similar Governmental Authority; (ii) a certificate of the Secretary or Assistant Secretary of each Loan Party dated the Restatement Effective Date and certifying (A) that attached thereto is a true and complete copy of the by-laws or operating (or limited liability company) agreement of such Loan Party as in effect on the Restatement Effective Date and at all times since a date prior to the date of the resolutions described in clause (B) below, (B) that attached thereto is a true and complete copy of resolutions duly adopted by the board of directors (or equivalent governing body) of such Loan Party authorizing the execution, delivery and performance of the Loan Documents to which such Loan Party is a party and, in the case of the Borrower, the borrowings hereunder, and that such resolutions have not been modified, rescinded or amended and are in full force and effect, (C) that the certificate or articles of incorporation or organization or certificate of formation of such Loan Party have not been amended since the date of the last amendment thereto shown on the certificate of good standing furnished pursuant to clause (i) above, (D) as to the incumbency and specimen signature of each officer executing any Loan Document or any other document delivered in connection herewith on behalf of such Loan Party on the Restatement Effective Date, and (E) as to the absence of any proceeding for the dissolution or liquidation of such Loan Party;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2" w:name="page143"/>
    <w:bookmarkEnd w:id="142"/>
    <w:p>
      <w:pPr>
        <w:ind w:right="20"/>
        <w:spacing w:after="0" w:line="250" w:lineRule="auto"/>
        <w:rPr>
          <w:sz w:val="20"/>
          <w:szCs w:val="20"/>
          <w:color w:val="auto"/>
        </w:rPr>
      </w:pPr>
      <w:r>
        <w:rPr>
          <w:rFonts w:ascii="Arial" w:cs="Arial" w:eastAsia="Arial" w:hAnsi="Arial"/>
          <w:sz w:val="22"/>
          <w:szCs w:val="22"/>
          <w:color w:val="auto"/>
        </w:rPr>
        <w:t>and (iii) a certificate of another officer as to the incumbency and specimen signature of the Secretary or Assistant Secretary executing the certificate pursuant to clause (ii) above.</w:t>
      </w:r>
    </w:p>
    <w:p>
      <w:pPr>
        <w:spacing w:after="0" w:line="175" w:lineRule="exact"/>
        <w:rPr>
          <w:sz w:val="20"/>
          <w:szCs w:val="20"/>
          <w:color w:val="auto"/>
        </w:rPr>
      </w:pPr>
    </w:p>
    <w:p>
      <w:pPr>
        <w:jc w:val="both"/>
        <w:ind w:firstLine="872"/>
        <w:spacing w:after="0" w:line="274" w:lineRule="auto"/>
        <w:tabs>
          <w:tab w:leader="none" w:pos="241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 The Administrative Agent and the Required Lenders shall have received the results of (x) searches of the Uniform Commercial Code filings (or equivalent filings) and (y) judgment and tax lien searches, made with respect to each Loan Party in the states or other jurisdictions of formation of such Loan Party and with respect to such other locations and names listed on the Perfection Certificate, together with copies of the financing statements (or similar documents) disclosed by such search and (ii) each of the Security Agreement, the Custodial Administration Agreement and the Intellectual Property Security Agreement shall have been duly executed and delivered by each Loan Party that is to be a party thereto, together with (x) certificates, if any, representing the Equity Interests pledged by the Borrower and the Guarantors accompanied by undated stock powers executed in blank and (y) documents and instruments to be recorded or filed that the Administrative Agent may deem, subject to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reasonably necessary to satisfy the Collateral and Guarantee Requirement.</w:t>
      </w:r>
    </w:p>
    <w:p>
      <w:pPr>
        <w:spacing w:after="0" w:line="158" w:lineRule="exact"/>
        <w:rPr>
          <w:rFonts w:ascii="Arial" w:cs="Arial" w:eastAsia="Arial" w:hAnsi="Arial"/>
          <w:sz w:val="19"/>
          <w:szCs w:val="19"/>
          <w:color w:val="auto"/>
        </w:rPr>
      </w:pPr>
    </w:p>
    <w:p>
      <w:pPr>
        <w:ind w:firstLine="872"/>
        <w:spacing w:after="0" w:line="250" w:lineRule="auto"/>
        <w:tabs>
          <w:tab w:leader="none" w:pos="239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Collateral and Guarantee Requirement shall have been satisfied in all material respects with respect to each Material Real Property.</w:t>
      </w:r>
    </w:p>
    <w:p>
      <w:pPr>
        <w:spacing w:after="0" w:line="174" w:lineRule="exact"/>
        <w:rPr>
          <w:rFonts w:ascii="Arial" w:cs="Arial" w:eastAsia="Arial" w:hAnsi="Arial"/>
          <w:sz w:val="22"/>
          <w:szCs w:val="22"/>
          <w:color w:val="auto"/>
        </w:rPr>
      </w:pPr>
    </w:p>
    <w:p>
      <w:pPr>
        <w:jc w:val="both"/>
        <w:ind w:firstLine="872"/>
        <w:spacing w:after="0"/>
        <w:tabs>
          <w:tab w:leader="none" w:pos="237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Prior to or substantially concurrently with the funding of the Loans on the Restatement Effective Date, the Administrative Agent, the ABL Agent and the Borrower shall have executed and delivered the ABL Intercreditor Amendment.</w:t>
      </w:r>
    </w:p>
    <w:p>
      <w:pPr>
        <w:spacing w:after="0" w:line="186" w:lineRule="exact"/>
        <w:rPr>
          <w:rFonts w:ascii="Arial" w:cs="Arial" w:eastAsia="Arial" w:hAnsi="Arial"/>
          <w:sz w:val="22"/>
          <w:szCs w:val="22"/>
          <w:color w:val="auto"/>
        </w:rPr>
      </w:pPr>
    </w:p>
    <w:p>
      <w:pPr>
        <w:ind w:firstLine="872"/>
        <w:spacing w:after="0" w:line="250" w:lineRule="auto"/>
        <w:tabs>
          <w:tab w:leader="none" w:pos="241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Succession Agreement shall have been duly executed and delivered by the parties thereto and actions required to assign the Collateral to the Collateral Agent shall have been consummated.</w:t>
      </w:r>
    </w:p>
    <w:p>
      <w:pPr>
        <w:spacing w:after="0" w:line="174" w:lineRule="exact"/>
        <w:rPr>
          <w:rFonts w:ascii="Arial" w:cs="Arial" w:eastAsia="Arial" w:hAnsi="Arial"/>
          <w:sz w:val="22"/>
          <w:szCs w:val="22"/>
          <w:color w:val="auto"/>
        </w:rPr>
      </w:pPr>
    </w:p>
    <w:p>
      <w:pPr>
        <w:jc w:val="both"/>
        <w:ind w:firstLine="872"/>
        <w:spacing w:after="0" w:line="279" w:lineRule="auto"/>
        <w:tabs>
          <w:tab w:leader="none" w:pos="241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Prior to or substantially concurrently with the funding of the Loans on the Restatement Effective Date, (i) the IBT Agreement shall be in full force and effect, and (ii) the Refinancing Transaction shall have been consummated and the Administrative Agent shall have received evidence thereof reasonably satisfactory to the Administrative Agent. Immediately after giving effect to the Refinancing Transaction and the other transactions contemplated hereby, the Borrower and the Subsidiaries shall have outstanding no Indebtedness for borrowed money other than (i) Indebtedness outstanding under this Agreement, (ii) the ABL Facility Indebtedness, and (iii) Indebtedness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872"/>
        <w:spacing w:after="0" w:line="287" w:lineRule="auto"/>
        <w:tabs>
          <w:tab w:leader="none" w:pos="236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The Administrative Agent and the Required Lenders shall have received a solvency certificate, substantially in the form set forth in </w:t>
      </w:r>
      <w:r>
        <w:rPr>
          <w:rFonts w:ascii="Arial" w:cs="Arial" w:eastAsia="Arial" w:hAnsi="Arial"/>
          <w:sz w:val="19"/>
          <w:szCs w:val="19"/>
          <w:u w:val="single" w:color="auto"/>
          <w:color w:val="auto"/>
        </w:rPr>
        <w:t>Exhibit H</w:t>
      </w:r>
      <w:r>
        <w:rPr>
          <w:rFonts w:ascii="Arial" w:cs="Arial" w:eastAsia="Arial" w:hAnsi="Arial"/>
          <w:sz w:val="19"/>
          <w:szCs w:val="19"/>
          <w:color w:val="auto"/>
        </w:rPr>
        <w:t>, from the chief financial officer or chief accounting officer or other officer with equivalent duties of the Borrower, or in lieu thereof at the option of the Borrower, an opinion of a nationally recognized valuation firm as to the solvency (on a consolidated basis) of the Borrower and its Subsidiaries as of the Restatement Effective Date.</w:t>
      </w:r>
    </w:p>
    <w:p>
      <w:pPr>
        <w:spacing w:after="0" w:line="142" w:lineRule="exact"/>
        <w:rPr>
          <w:rFonts w:ascii="Arial" w:cs="Arial" w:eastAsia="Arial" w:hAnsi="Arial"/>
          <w:sz w:val="19"/>
          <w:szCs w:val="19"/>
          <w:color w:val="auto"/>
        </w:rPr>
      </w:pPr>
    </w:p>
    <w:p>
      <w:pPr>
        <w:ind w:firstLine="872"/>
        <w:spacing w:after="0" w:line="250" w:lineRule="auto"/>
        <w:tabs>
          <w:tab w:leader="none" w:pos="236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ABL Credit Agreement shall have been amended pursuant to an amendment agreement, in form and substance reasonably satisfactory to the Required Lenders, to permit the Transactions.</w:t>
      </w:r>
    </w:p>
    <w:p>
      <w:pPr>
        <w:spacing w:after="0" w:line="174" w:lineRule="exact"/>
        <w:rPr>
          <w:rFonts w:ascii="Arial" w:cs="Arial" w:eastAsia="Arial" w:hAnsi="Arial"/>
          <w:sz w:val="22"/>
          <w:szCs w:val="22"/>
          <w:color w:val="auto"/>
        </w:rPr>
      </w:pPr>
    </w:p>
    <w:p>
      <w:pPr>
        <w:ind w:right="20" w:firstLine="872"/>
        <w:spacing w:after="0" w:line="250" w:lineRule="auto"/>
        <w:tabs>
          <w:tab w:leader="none" w:pos="241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Administrative Agent and the Required Lenders shall have received all documentation and other information about the Borrower and the Guarantors required under</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21"/>
          <w:szCs w:val="21"/>
          <w:color w:val="auto"/>
        </w:rPr>
        <w:t>applicable “know your customer” and anti-money laundering rules and regulations, including the USA PATRIOT Act, including without limitation, a duly executed W-9 tax form (or such other applicable IRS tax form) of the Borrower, that has been reasonably requested in writing at least five Business Days prior to the Restatement Effective Date.</w:t>
      </w:r>
    </w:p>
    <w:p>
      <w:pPr>
        <w:spacing w:after="0" w:line="169" w:lineRule="exact"/>
        <w:rPr>
          <w:sz w:val="20"/>
          <w:szCs w:val="20"/>
          <w:color w:val="auto"/>
        </w:rPr>
      </w:pPr>
    </w:p>
    <w:p>
      <w:pPr>
        <w:ind w:right="20" w:firstLine="872"/>
        <w:spacing w:after="0" w:line="274" w:lineRule="auto"/>
        <w:tabs>
          <w:tab w:leader="none" w:pos="2363"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Administrative Agent and the Required Lenders shall have received a certificate from an officer of the Borrower certifying that since December 31, 2018, there has not occurred any Material Adverse Effect.</w:t>
      </w:r>
    </w:p>
    <w:p>
      <w:pPr>
        <w:spacing w:after="0" w:line="150" w:lineRule="exact"/>
        <w:rPr>
          <w:rFonts w:ascii="Arial" w:cs="Arial" w:eastAsia="Arial" w:hAnsi="Arial"/>
          <w:sz w:val="21"/>
          <w:szCs w:val="21"/>
          <w:color w:val="auto"/>
        </w:rPr>
      </w:pPr>
    </w:p>
    <w:p>
      <w:pPr>
        <w:jc w:val="both"/>
        <w:ind w:firstLine="872"/>
        <w:spacing w:after="0" w:line="236" w:lineRule="auto"/>
        <w:tabs>
          <w:tab w:leader="none" w:pos="247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Administrative Agent and the Required Lenders shall have received all applicable fees and other amounts due and payable on or prior to the Restatement Effective Date, including, to the extent invoiced at least three Business Days prior to the Restatement Effective Date (except as otherwise reasonably agreed by the Borrower), reimbursement or payment of all out-of-pocket expenses required to be reimbursed or paid by the Borrower hereunder or under any other Loan Document on or prior to the Restatement Effective Date.</w:t>
      </w:r>
    </w:p>
    <w:p>
      <w:pPr>
        <w:spacing w:after="0" w:line="187" w:lineRule="exact"/>
        <w:rPr>
          <w:rFonts w:ascii="Arial" w:cs="Arial" w:eastAsia="Arial" w:hAnsi="Arial"/>
          <w:sz w:val="22"/>
          <w:szCs w:val="22"/>
          <w:color w:val="auto"/>
        </w:rPr>
      </w:pPr>
    </w:p>
    <w:p>
      <w:pPr>
        <w:ind w:right="160" w:firstLine="872"/>
        <w:spacing w:after="0"/>
        <w:tabs>
          <w:tab w:leader="none" w:pos="241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To the extent required by </w:t>
      </w:r>
      <w:r>
        <w:rPr>
          <w:rFonts w:ascii="Arial" w:cs="Arial" w:eastAsia="Arial" w:hAnsi="Arial"/>
          <w:sz w:val="22"/>
          <w:szCs w:val="22"/>
          <w:u w:val="single" w:color="auto"/>
          <w:color w:val="auto"/>
        </w:rPr>
        <w:t>Section 6.07</w:t>
      </w:r>
      <w:r>
        <w:rPr>
          <w:rFonts w:ascii="Arial" w:cs="Arial" w:eastAsia="Arial" w:hAnsi="Arial"/>
          <w:sz w:val="22"/>
          <w:szCs w:val="22"/>
          <w:color w:val="auto"/>
        </w:rPr>
        <w:t xml:space="preserve">, the Administrative Agent shall have received evidence that the insurance required by </w:t>
      </w:r>
      <w:r>
        <w:rPr>
          <w:rFonts w:ascii="Arial" w:cs="Arial" w:eastAsia="Arial" w:hAnsi="Arial"/>
          <w:sz w:val="22"/>
          <w:szCs w:val="22"/>
          <w:u w:val="single" w:color="auto"/>
          <w:color w:val="auto"/>
        </w:rPr>
        <w:t>Section 6.07</w:t>
      </w:r>
      <w:r>
        <w:rPr>
          <w:rFonts w:ascii="Arial" w:cs="Arial" w:eastAsia="Arial" w:hAnsi="Arial"/>
          <w:sz w:val="22"/>
          <w:szCs w:val="22"/>
          <w:color w:val="auto"/>
        </w:rPr>
        <w:t xml:space="preserve"> is in effect, together with endorsements naming the Administrative Agent, for the benefit of the Secured Parties, as additional insured and loss payee thereunder.</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Solely for purposes of determining whether the conditions set forth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4.02</w:t>
      </w:r>
      <w:r>
        <w:rPr>
          <w:rFonts w:ascii="Arial" w:cs="Arial" w:eastAsia="Arial" w:hAnsi="Arial"/>
          <w:sz w:val="21"/>
          <w:szCs w:val="21"/>
          <w:color w:val="auto"/>
        </w:rPr>
        <w:t xml:space="preserve"> have been satisfied in respect of any Credit Extension, the Agents and each Lender party hereto shall be deemed to have consented to, approved, accepted or be reasonably satisfied with any document delivered prior to such Credit Extension or other matter (in each case, for which such consent, approval, acceptance or satisfaction is expressly required by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4.02</w:t>
      </w:r>
      <w:r>
        <w:rPr>
          <w:rFonts w:ascii="Arial" w:cs="Arial" w:eastAsia="Arial" w:hAnsi="Arial"/>
          <w:sz w:val="21"/>
          <w:szCs w:val="21"/>
          <w:color w:val="auto"/>
        </w:rPr>
        <w:t>, as applicable) by releasing its signature page to this Agreement or to an Assignment and Acceptance, as the case may be.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EPRESENTATIONS AND</w:t>
      </w:r>
      <w:r>
        <w:rPr>
          <w:rFonts w:ascii="Arial" w:cs="Arial" w:eastAsia="Arial" w:hAnsi="Arial"/>
          <w:sz w:val="22"/>
          <w:szCs w:val="22"/>
          <w:color w:val="auto"/>
        </w:rPr>
        <w:t xml:space="preserve"> W</w:t>
      </w:r>
      <w:r>
        <w:rPr>
          <w:rFonts w:ascii="Arial" w:cs="Arial" w:eastAsia="Arial" w:hAnsi="Arial"/>
          <w:sz w:val="14"/>
          <w:szCs w:val="14"/>
          <w:color w:val="auto"/>
        </w:rPr>
        <w:t>ARRANTIES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Each of the Borrower and each of the Guarantors party hereto represents and warrants to the Administrative Agent,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Collateral Agent and each of the Lenders that: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Existence, Qualification and Power; Compliance with Laws</w:t>
      </w:r>
    </w:p>
    <w:p>
      <w:pPr>
        <w:spacing w:after="0" w:line="206" w:lineRule="exact"/>
        <w:rPr>
          <w:sz w:val="20"/>
          <w:szCs w:val="20"/>
          <w:color w:val="auto"/>
        </w:rPr>
      </w:pPr>
    </w:p>
    <w:p>
      <w:pPr>
        <w:jc w:val="both"/>
        <w:ind w:firstLine="872"/>
        <w:spacing w:after="0" w:line="275" w:lineRule="auto"/>
        <w:tabs>
          <w:tab w:leader="none" w:pos="1066" w:val="left"/>
        </w:tabs>
        <w:numPr>
          <w:ilvl w:val="0"/>
          <w:numId w:val="136"/>
        </w:numPr>
        <w:rPr>
          <w:rFonts w:ascii="Arial" w:cs="Arial" w:eastAsia="Arial" w:hAnsi="Arial"/>
          <w:sz w:val="19"/>
          <w:szCs w:val="19"/>
          <w:i w:val="1"/>
          <w:iCs w:val="1"/>
          <w:color w:val="auto"/>
        </w:rPr>
      </w:pPr>
      <w:r>
        <w:rPr>
          <w:rFonts w:ascii="Arial" w:cs="Arial" w:eastAsia="Arial" w:hAnsi="Arial"/>
          <w:sz w:val="19"/>
          <w:szCs w:val="19"/>
          <w:color w:val="auto"/>
        </w:rPr>
        <w:t>Each Loan Party and each Restricted Subsidiary (a) is a Person duly organized or formed, validly existing and in good standing (where relevant) under the Laws of the jurisdiction of its incorporation or organization, (b) has all requisite organizational power and authority to execute, deliver and perform its obligations under the Loan Documents to which it is a party and, in the case of the Borrower, to borrow hereunder,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franchises, licenses, authorizations, qualifications, consents and approvals to operate its business as currently conducted; except in each case, referred to in clause (a) (other than with respect to any Loan Party), (c), (d) or (e), to the extent that failure to do</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so, individually or in the aggregate, would not reasonably be expected to have a Material Adverse Effect.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Authorization; No Contravention</w:t>
      </w:r>
    </w:p>
    <w:p>
      <w:pPr>
        <w:spacing w:after="0" w:line="206" w:lineRule="exact"/>
        <w:rPr>
          <w:sz w:val="20"/>
          <w:szCs w:val="20"/>
          <w:color w:val="auto"/>
        </w:rPr>
      </w:pPr>
    </w:p>
    <w:p>
      <w:pPr>
        <w:jc w:val="both"/>
        <w:ind w:firstLine="872"/>
        <w:spacing w:after="0" w:line="245" w:lineRule="auto"/>
        <w:tabs>
          <w:tab w:leader="none" w:pos="1026" w:val="left"/>
        </w:tabs>
        <w:numPr>
          <w:ilvl w:val="0"/>
          <w:numId w:val="137"/>
        </w:numPr>
        <w:rPr>
          <w:rFonts w:ascii="Arial" w:cs="Arial" w:eastAsia="Arial" w:hAnsi="Arial"/>
          <w:sz w:val="21"/>
          <w:szCs w:val="21"/>
          <w:i w:val="1"/>
          <w:iCs w:val="1"/>
          <w:color w:val="auto"/>
        </w:rPr>
      </w:pPr>
      <w:r>
        <w:rPr>
          <w:rFonts w:ascii="Arial" w:cs="Arial" w:eastAsia="Arial" w:hAnsi="Arial"/>
          <w:sz w:val="21"/>
          <w:szCs w:val="21"/>
          <w:color w:val="auto"/>
        </w:rPr>
        <w:t xml:space="preserve">The execution, delivery and performance by each Loan Party of each Loan Document to which such Person is a party, and the consummation of the Transactions, (a) are within such Loan Party’s organizational powers, (b) have been duly authorized by all necessary corporate or other organizational action, and (c) do not (i) contravene the terms of any of such Person’s Organization Documents, (ii) conflict with or result in any breach or contravention of, or the creation of (or the requirement to create) any Lien under (other than as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or require any payment to be made under (x) any Indebtedness of such Person in excess of the Threshold Amount or (y) any material order, injunction, writ or decree of any Governmental Authority or any arbitral award to which such Person or its property is subject; or (iii) violate any material Law; except with respect to any conflict, breach or contravention or payment (but not creation of Liens) referred to in clause (c)(ii)(x), to the extent that such violation, conflict, breach, contravention or payment, individually or in the aggregate, could not reasonably be expected to have a Material Adverse Effect.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Governmental Authorization; Other Consents</w:t>
      </w:r>
    </w:p>
    <w:p>
      <w:pPr>
        <w:spacing w:after="0" w:line="206" w:lineRule="exact"/>
        <w:rPr>
          <w:sz w:val="20"/>
          <w:szCs w:val="20"/>
          <w:color w:val="auto"/>
        </w:rPr>
      </w:pPr>
    </w:p>
    <w:p>
      <w:pPr>
        <w:jc w:val="both"/>
        <w:ind w:firstLine="872"/>
        <w:spacing w:after="0" w:line="272" w:lineRule="auto"/>
        <w:tabs>
          <w:tab w:leader="none" w:pos="1066" w:val="left"/>
        </w:tabs>
        <w:numPr>
          <w:ilvl w:val="0"/>
          <w:numId w:val="138"/>
        </w:numPr>
        <w:rPr>
          <w:rFonts w:ascii="Arial" w:cs="Arial" w:eastAsia="Arial" w:hAnsi="Arial"/>
          <w:sz w:val="19"/>
          <w:szCs w:val="19"/>
          <w:i w:val="1"/>
          <w:iCs w:val="1"/>
          <w:color w:val="auto"/>
        </w:rPr>
      </w:pPr>
      <w:r>
        <w:rPr>
          <w:rFonts w:ascii="Arial" w:cs="Arial" w:eastAsia="Arial" w:hAnsi="Arial"/>
          <w:sz w:val="19"/>
          <w:szCs w:val="19"/>
          <w:color w:val="auto"/>
        </w:rPr>
        <w:t>No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to the extent required thereunder or (d) the exercise by the Administrative Agent, the Collateral Agent or any Lender of its rights under the Loan Documents or the remedies in respect of the Collateral pursuant to the Collateral Documents, except for (i) approvals, consents, exemptions, authorizations or other actions by, or notices to, or filings necessary to perfect the Liens on the Collateral granted by the Loan Parties in favor of the Secured Parties (or release existing Liens), (ii) the approvals, consents, exemptions, authorizations, actions, notices and filings which have been duly obtained, taken, given or made and are in full force and effect (except to the extent not required to be obtained, taken, given or made or to be in full force and effect pursuant to the Collateral and Guarantee Requirement) and (iii) those approvals, consents, exemptions, authorizations or other actions, notices or filings, the failure of which to obtain or make, individually or in the aggregate, could not reasonably be expected to have a Material Adverse Effect.</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Binding Effect</w:t>
      </w:r>
    </w:p>
    <w:p>
      <w:pPr>
        <w:spacing w:after="0" w:line="206" w:lineRule="exact"/>
        <w:rPr>
          <w:sz w:val="20"/>
          <w:szCs w:val="20"/>
          <w:color w:val="auto"/>
        </w:rPr>
      </w:pPr>
    </w:p>
    <w:p>
      <w:pPr>
        <w:jc w:val="both"/>
        <w:ind w:firstLine="872"/>
        <w:spacing w:after="0" w:line="238" w:lineRule="auto"/>
        <w:tabs>
          <w:tab w:leader="none" w:pos="1053" w:val="left"/>
        </w:tabs>
        <w:numPr>
          <w:ilvl w:val="0"/>
          <w:numId w:val="139"/>
        </w:numPr>
        <w:rPr>
          <w:rFonts w:ascii="Arial" w:cs="Arial" w:eastAsia="Arial" w:hAnsi="Arial"/>
          <w:sz w:val="22"/>
          <w:szCs w:val="22"/>
          <w:i w:val="1"/>
          <w:iCs w:val="1"/>
          <w:color w:val="auto"/>
        </w:rPr>
      </w:pPr>
      <w:r>
        <w:rPr>
          <w:rFonts w:ascii="Arial" w:cs="Arial" w:eastAsia="Arial" w:hAnsi="Arial"/>
          <w:sz w:val="22"/>
          <w:szCs w:val="22"/>
          <w:color w:val="auto"/>
        </w:rPr>
        <w:t>This Agreement and each other Loan Document has been duly executed and delivered by each Loan Party that is a party thereto. This Agreement and each other Loan Document constitutes a legal, valid and binding obligation of each such Loan Party, enforceable against each Loan Party that is a party thereto in accordance with its terms, except as such enforceability may be limited by Debtor Relief Laws and by general principles of equity.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Financial Statements; No Material Adverse Effect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firstLine="872"/>
        <w:spacing w:after="0" w:line="250" w:lineRule="auto"/>
        <w:tabs>
          <w:tab w:leader="none" w:pos="239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 The Audited Financial Statements fairly present in all material respects the financial condition of the Borrower and its consolidated Subsidiaries as of the dates thereof and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5" w:name="page146"/>
    <w:bookmarkEnd w:id="145"/>
    <w:p>
      <w:pPr>
        <w:spacing w:after="0" w:line="250" w:lineRule="auto"/>
        <w:rPr>
          <w:sz w:val="20"/>
          <w:szCs w:val="20"/>
          <w:color w:val="auto"/>
        </w:rPr>
      </w:pPr>
      <w:r>
        <w:rPr>
          <w:rFonts w:ascii="Arial" w:cs="Arial" w:eastAsia="Arial" w:hAnsi="Arial"/>
          <w:sz w:val="22"/>
          <w:szCs w:val="22"/>
          <w:color w:val="auto"/>
        </w:rPr>
        <w:t>their results of operations for the period covered thereby in accordance with GAAP consistently applied throughout the periods covered thereby, except as otherwise expressly noted therein.</w:t>
      </w:r>
    </w:p>
    <w:p>
      <w:pPr>
        <w:spacing w:after="0" w:line="175" w:lineRule="exact"/>
        <w:rPr>
          <w:sz w:val="20"/>
          <w:szCs w:val="20"/>
          <w:color w:val="auto"/>
        </w:rPr>
      </w:pPr>
    </w:p>
    <w:p>
      <w:pPr>
        <w:jc w:val="both"/>
        <w:ind w:left="880" w:firstLine="797"/>
        <w:spacing w:after="0" w:line="238" w:lineRule="auto"/>
        <w:rPr>
          <w:sz w:val="20"/>
          <w:szCs w:val="20"/>
          <w:color w:val="auto"/>
        </w:rPr>
      </w:pPr>
      <w:r>
        <w:rPr>
          <w:rFonts w:ascii="Arial" w:cs="Arial" w:eastAsia="Arial" w:hAnsi="Arial"/>
          <w:sz w:val="22"/>
          <w:szCs w:val="22"/>
          <w:color w:val="auto"/>
        </w:rPr>
        <w:t>(i)The Unaudited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 and the absence of footnotes.</w:t>
      </w:r>
    </w:p>
    <w:p>
      <w:pPr>
        <w:spacing w:after="0" w:line="185" w:lineRule="exact"/>
        <w:rPr>
          <w:sz w:val="20"/>
          <w:szCs w:val="20"/>
          <w:color w:val="auto"/>
        </w:rPr>
      </w:pPr>
    </w:p>
    <w:p>
      <w:pPr>
        <w:jc w:val="both"/>
        <w:ind w:firstLine="872"/>
        <w:spacing w:after="0" w:line="274" w:lineRule="auto"/>
        <w:tabs>
          <w:tab w:leader="none" w:pos="241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forecasts of income statements of the Borrower and its Subsidiaries which have been furnished to the Administrative Agent and the Required Lenders prior to the Restatement Effective Date have been prepared in good faith on the basis of the assumptions stated therein, which assumptions were believed to be reasonable at the time of preparation of such forecasts it being understood by the Agents and the Lenders that such projections as to future events (i) are not to be viewed as facts, (ii)(A) are subject to significant uncertainties and contingencies, which may be beyond the control of the Borrower and its Restricted Subsidiaries, (B) no assurance is given by the Borrower and its Restricted Subsidiaries that the results or forecast in any such projections will be realized and (C) the actual results may differ from the forecast results set forth in such projections and such differences may be material and (iii) are not a guarantee of performance and that actual results during the period or periods covered by any such projections may vary significantly from the projected results and such differences may be material.</w:t>
      </w:r>
    </w:p>
    <w:p>
      <w:pPr>
        <w:spacing w:after="0" w:line="158" w:lineRule="exact"/>
        <w:rPr>
          <w:rFonts w:ascii="Arial" w:cs="Arial" w:eastAsia="Arial" w:hAnsi="Arial"/>
          <w:sz w:val="19"/>
          <w:szCs w:val="19"/>
          <w:color w:val="auto"/>
        </w:rPr>
      </w:pPr>
    </w:p>
    <w:p>
      <w:pPr>
        <w:ind w:firstLine="872"/>
        <w:spacing w:after="0" w:line="250" w:lineRule="auto"/>
        <w:tabs>
          <w:tab w:leader="none" w:pos="239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Since December 31, 2018, there has been no event or circumstance, either individually or in the aggregate, that has had or would reasonably be expected to have a Material Adverse Effect.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Compliance With Laws</w:t>
      </w:r>
    </w:p>
    <w:p>
      <w:pPr>
        <w:spacing w:after="0" w:line="206" w:lineRule="exact"/>
        <w:rPr>
          <w:sz w:val="20"/>
          <w:szCs w:val="20"/>
          <w:color w:val="auto"/>
        </w:rPr>
      </w:pPr>
    </w:p>
    <w:p>
      <w:pPr>
        <w:jc w:val="both"/>
        <w:ind w:firstLine="872"/>
        <w:spacing w:after="0" w:line="235" w:lineRule="auto"/>
        <w:tabs>
          <w:tab w:leader="none" w:pos="109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Neither the Borrower nor any of the Restricted Subsidiaries or any of their respective properties or assets is in violation of, nor will the continued operation of their properties and assets as currently conducted violate, any law, rule or regulation (including any zoning, building, ordinance, code or approval or any building permits) or any restrictions of record or agreements affecting the Mortgaged Property, or is in default with respect to any judgment, writ, injunction, decree or order of any Governmental Authority, where in each case such violation or default, individually or in the aggregate, would reasonably be expected to result in a Material Adverse Effect.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Ownership of Property; Liens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right="320" w:firstLine="872"/>
        <w:spacing w:after="0"/>
        <w:tabs>
          <w:tab w:leader="none" w:pos="239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Schedule 1.01(c) sets forth a true, complete and correct list of all Real Property owned (whether in fee or through a leasehold estate under any ground lease) by Borrower and the Restricted Subsidiaries as of the Restatement Effective Date.</w:t>
      </w:r>
    </w:p>
    <w:p>
      <w:pPr>
        <w:spacing w:after="0" w:line="186" w:lineRule="exact"/>
        <w:rPr>
          <w:rFonts w:ascii="Arial" w:cs="Arial" w:eastAsia="Arial" w:hAnsi="Arial"/>
          <w:sz w:val="22"/>
          <w:szCs w:val="22"/>
          <w:color w:val="auto"/>
        </w:rPr>
      </w:pPr>
    </w:p>
    <w:p>
      <w:pPr>
        <w:ind w:right="100" w:firstLine="872"/>
        <w:spacing w:after="0" w:line="287" w:lineRule="auto"/>
        <w:tabs>
          <w:tab w:leader="none" w:pos="241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of the Borrower and the Restricted Subsidiaries has good record title to, or valid leasehold interests in, or easements or other limited property interests in, all its properties and assets (including all Mortgaged Property material to its business), free and clear of all Liens except for minor defects in title that do not materially interfere with its ability to conduct its business or to utilize such assets for their intended purposes and except where the failure to have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such title or interest would not reasonably be expected to have, individually or in the aggregate, a Material Adverse Effect.</w:t>
      </w:r>
    </w:p>
    <w:p>
      <w:pPr>
        <w:spacing w:after="0" w:line="241" w:lineRule="exact"/>
        <w:rPr>
          <w:sz w:val="20"/>
          <w:szCs w:val="20"/>
          <w:color w:val="auto"/>
        </w:rPr>
      </w:pPr>
    </w:p>
    <w:p>
      <w:pPr>
        <w:jc w:val="both"/>
        <w:ind w:firstLine="872"/>
        <w:spacing w:after="0"/>
        <w:tabs>
          <w:tab w:leader="none" w:pos="239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As of the Restatement Effective Date, </w:t>
      </w:r>
      <w:r>
        <w:rPr>
          <w:rFonts w:ascii="Arial" w:cs="Arial" w:eastAsia="Arial" w:hAnsi="Arial"/>
          <w:sz w:val="22"/>
          <w:szCs w:val="22"/>
          <w:u w:val="single" w:color="auto"/>
          <w:color w:val="auto"/>
        </w:rPr>
        <w:t>Schedule 9</w:t>
      </w:r>
      <w:r>
        <w:rPr>
          <w:rFonts w:ascii="Arial" w:cs="Arial" w:eastAsia="Arial" w:hAnsi="Arial"/>
          <w:sz w:val="22"/>
          <w:szCs w:val="22"/>
          <w:color w:val="auto"/>
        </w:rPr>
        <w:t xml:space="preserve"> to the Perfection Certificate dated the Restatement Effective Date contains a true and complete list of each Material Real Property owned by the Borrower each other Loan Party and its Restricted Subsidiaries.</w:t>
      </w:r>
    </w:p>
    <w:p>
      <w:pPr>
        <w:spacing w:after="0" w:line="186" w:lineRule="exact"/>
        <w:rPr>
          <w:rFonts w:ascii="Arial" w:cs="Arial" w:eastAsia="Arial" w:hAnsi="Arial"/>
          <w:sz w:val="22"/>
          <w:szCs w:val="22"/>
          <w:color w:val="auto"/>
        </w:rPr>
      </w:pPr>
    </w:p>
    <w:p>
      <w:pPr>
        <w:jc w:val="both"/>
        <w:ind w:firstLine="872"/>
        <w:spacing w:after="0" w:line="252" w:lineRule="auto"/>
        <w:tabs>
          <w:tab w:leader="none" w:pos="2411" w:val="left"/>
        </w:tabs>
        <w:numPr>
          <w:ilvl w:val="0"/>
          <w:numId w:val="144"/>
        </w:numPr>
        <w:rPr>
          <w:rFonts w:ascii="Arial" w:cs="Arial" w:eastAsia="Arial" w:hAnsi="Arial"/>
          <w:sz w:val="21"/>
          <w:szCs w:val="21"/>
          <w:color w:val="auto"/>
        </w:rPr>
      </w:pPr>
      <w:r>
        <w:rPr>
          <w:rFonts w:ascii="Arial" w:cs="Arial" w:eastAsia="Arial" w:hAnsi="Arial"/>
          <w:sz w:val="21"/>
          <w:szCs w:val="21"/>
          <w:color w:val="auto"/>
        </w:rPr>
        <w:t>As of the Restatement Effective Date, except as otherwise disclosed in writing to the Collateral Agent and the Required Lenders, no Mortgage encumbers improved Mortgaged Property that is located in an area that has been identified by the Secretary of Housing and Urban Development as an area having special flood hazards within the meaning of the Flood Laws unless Evidence of Flood Insurance has been delivered to the Collateral Agent.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Environmental Matters</w:t>
      </w:r>
    </w:p>
    <w:p>
      <w:pPr>
        <w:spacing w:after="0" w:line="206" w:lineRule="exact"/>
        <w:rPr>
          <w:sz w:val="20"/>
          <w:szCs w:val="20"/>
          <w:color w:val="auto"/>
        </w:rPr>
      </w:pPr>
    </w:p>
    <w:p>
      <w:pPr>
        <w:ind w:left="1040" w:hanging="168"/>
        <w:spacing w:after="0"/>
        <w:tabs>
          <w:tab w:leader="none" w:pos="1040" w:val="left"/>
        </w:tabs>
        <w:numPr>
          <w:ilvl w:val="0"/>
          <w:numId w:val="145"/>
        </w:numPr>
        <w:rPr>
          <w:rFonts w:ascii="Arial" w:cs="Arial" w:eastAsia="Arial" w:hAnsi="Arial"/>
          <w:sz w:val="19"/>
          <w:szCs w:val="19"/>
          <w:i w:val="1"/>
          <w:iCs w:val="1"/>
          <w:color w:val="auto"/>
        </w:rPr>
      </w:pPr>
      <w:r>
        <w:rPr>
          <w:rFonts w:ascii="Arial" w:cs="Arial" w:eastAsia="Arial" w:hAnsi="Arial"/>
          <w:sz w:val="19"/>
          <w:szCs w:val="19"/>
          <w:color w:val="auto"/>
        </w:rPr>
        <w:t>Except as would not reasonably be expected to have, individually or in the aggregate, a Material Adverse Effect:</w:t>
      </w:r>
    </w:p>
    <w:p>
      <w:pPr>
        <w:spacing w:after="0" w:line="241" w:lineRule="exact"/>
        <w:rPr>
          <w:sz w:val="20"/>
          <w:szCs w:val="20"/>
          <w:color w:val="auto"/>
        </w:rPr>
      </w:pPr>
    </w:p>
    <w:p>
      <w:pPr>
        <w:jc w:val="both"/>
        <w:ind w:firstLine="872"/>
        <w:spacing w:after="0"/>
        <w:tabs>
          <w:tab w:leader="none" w:pos="239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Each Loan Party and each Restricted Subsidiary is and has been in compliance with all Environmental Laws, which includes obtaining and maintaining all Environmental Permits required under such Environmental Laws to carry on the business of the Loan Parties and the Restricted Subsidiaries;</w:t>
      </w:r>
    </w:p>
    <w:p>
      <w:pPr>
        <w:spacing w:after="0" w:line="186" w:lineRule="exact"/>
        <w:rPr>
          <w:rFonts w:ascii="Arial" w:cs="Arial" w:eastAsia="Arial" w:hAnsi="Arial"/>
          <w:sz w:val="22"/>
          <w:szCs w:val="22"/>
          <w:color w:val="auto"/>
        </w:rPr>
      </w:pPr>
    </w:p>
    <w:p>
      <w:pPr>
        <w:jc w:val="both"/>
        <w:ind w:firstLine="872"/>
        <w:spacing w:after="0" w:line="238" w:lineRule="auto"/>
        <w:tabs>
          <w:tab w:leader="none" w:pos="241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Loan Parties and the Restricted Subsidiaries have not received notice alleging any Environmental Liability or proposing or seeking to revoke, modify or deny the renewal of any Environmental Permit required to be held by the Loan Parties or the Restricted Subsidiaries, and neither the Loan Parties nor the Restricted Subsidiaries have become subject to any Environmental Liability;</w:t>
      </w:r>
    </w:p>
    <w:p>
      <w:pPr>
        <w:spacing w:after="0" w:line="184" w:lineRule="exact"/>
        <w:rPr>
          <w:rFonts w:ascii="Arial" w:cs="Arial" w:eastAsia="Arial" w:hAnsi="Arial"/>
          <w:sz w:val="22"/>
          <w:szCs w:val="22"/>
          <w:color w:val="auto"/>
        </w:rPr>
      </w:pPr>
    </w:p>
    <w:p>
      <w:pPr>
        <w:jc w:val="both"/>
        <w:ind w:firstLine="872"/>
        <w:spacing w:after="0" w:line="234" w:lineRule="auto"/>
        <w:tabs>
          <w:tab w:leader="none" w:pos="239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there has been no Release, discharge or disposal of Hazardous Materials (i) on, to, at, under or from any Real Property or any vehicles or facilities owned or leased by any of the Loan Parties or the Restricted Subsidiaries, or, to the knowledge of the Borrower, formerly owned, operated or leased by any Loan Party or any Restricted Subsidiary, or (ii) arising out of the conduct of the Loan Parties or the Restricted Subsidiaries that, in the case of (i) or (ii), could reasonably be expected to require investigation, remedial activity or corrective action or cleanup by or on behalf of any Loan Party or any Restricted Subsidiary or for which any Loan Party or Restricted Subsidiary reasonably could be expected to otherwise incur any Environmental Liability; and</w:t>
      </w:r>
    </w:p>
    <w:p>
      <w:pPr>
        <w:spacing w:after="0" w:line="190" w:lineRule="exact"/>
        <w:rPr>
          <w:rFonts w:ascii="Arial" w:cs="Arial" w:eastAsia="Arial" w:hAnsi="Arial"/>
          <w:sz w:val="22"/>
          <w:szCs w:val="22"/>
          <w:color w:val="auto"/>
        </w:rPr>
      </w:pPr>
    </w:p>
    <w:p>
      <w:pPr>
        <w:jc w:val="both"/>
        <w:ind w:firstLine="872"/>
        <w:spacing w:after="0" w:line="234" w:lineRule="auto"/>
        <w:tabs>
          <w:tab w:leader="none" w:pos="241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there are no facts, circumstances or conditions arising out of or relating to, and there are no pending or reasonably anticipated requirements under Environmental Law associated with, the operations of the Loan Parties or the Restricted Subsidiaries or any Real Property, vehicles or facilities currently or, to the knowledge of the Borrower, previously owned or leased by the Loan Parties or any Restricted Subsidiary that, in such case, are known to or would reasonably be likely to require investigation, remedial activity or corrective action or cleanup by or on behalf of any Loan Party or any Restricted Subsidiary or that are known to or would reasonably be likely to result in the Borrower or any other Loan Party or Restricted Subsidiary incurring any Environmental Liability or capital expenditures to achieve or maintain compliance with Environmental Laws.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7" w:name="page148"/>
    <w:bookmarkEnd w:id="147"/>
    <w:p>
      <w:pPr>
        <w:ind w:left="880"/>
        <w:spacing w:after="0"/>
        <w:rPr>
          <w:sz w:val="20"/>
          <w:szCs w:val="20"/>
          <w:color w:val="auto"/>
        </w:rPr>
      </w:pPr>
      <w:r>
        <w:rPr>
          <w:rFonts w:ascii="Arial" w:cs="Arial" w:eastAsia="Arial" w:hAnsi="Arial"/>
          <w:sz w:val="22"/>
          <w:szCs w:val="22"/>
          <w:i w:val="1"/>
          <w:iCs w:val="1"/>
          <w:color w:val="auto"/>
        </w:rPr>
        <w:t>Taxes</w:t>
      </w:r>
    </w:p>
    <w:p>
      <w:pPr>
        <w:spacing w:after="0" w:line="206" w:lineRule="exact"/>
        <w:rPr>
          <w:sz w:val="20"/>
          <w:szCs w:val="20"/>
          <w:color w:val="auto"/>
        </w:rPr>
      </w:pPr>
    </w:p>
    <w:p>
      <w:pPr>
        <w:jc w:val="both"/>
        <w:ind w:firstLine="872"/>
        <w:spacing w:after="0" w:line="246" w:lineRule="auto"/>
        <w:tabs>
          <w:tab w:leader="none" w:pos="1053" w:val="left"/>
        </w:tabs>
        <w:numPr>
          <w:ilvl w:val="0"/>
          <w:numId w:val="147"/>
        </w:numPr>
        <w:rPr>
          <w:rFonts w:ascii="Arial" w:cs="Arial" w:eastAsia="Arial" w:hAnsi="Arial"/>
          <w:sz w:val="21"/>
          <w:szCs w:val="21"/>
          <w:i w:val="1"/>
          <w:iCs w:val="1"/>
          <w:color w:val="auto"/>
        </w:rPr>
      </w:pPr>
      <w:r>
        <w:rPr>
          <w:rFonts w:ascii="Arial" w:cs="Arial" w:eastAsia="Arial" w:hAnsi="Arial"/>
          <w:sz w:val="21"/>
          <w:szCs w:val="21"/>
          <w:color w:val="auto"/>
        </w:rPr>
        <w:t>Except as would not, either individually or in the aggregate, reasonably be expected to result in a Material Adverse Effect: each of the Loan Parties and their Restricted Subsidiaries have timely filed all tax returns required to be filed (taking into account any extensions), and have paid all Taxes levied or imposed upon them or their properties, that are due and payable (including in their capacity as a withholding agent), except those which are being contested in good faith by appropriate proceedings diligently conducted if such contest shall have the effect of suspending enforcement or collection of such Taxes and for which adequate reserves have been provided in accordance with GAAP. There is no proposed Tax deficiency or assessment known to any Loan Party against any Loan Party or any Restricted Subsidiary that would, if made, individually or in the aggregate, have a Material Adverse Effect.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ERISA Compliance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Except as would not, either individually or in the aggregate, reasonably be expected to result in a Material Adverse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188" w:lineRule="exact"/>
        <w:rPr>
          <w:sz w:val="20"/>
          <w:szCs w:val="20"/>
          <w:color w:val="auto"/>
        </w:rPr>
      </w:pPr>
    </w:p>
    <w:p>
      <w:pPr>
        <w:ind w:firstLine="872"/>
        <w:spacing w:after="0" w:line="250" w:lineRule="auto"/>
        <w:tabs>
          <w:tab w:leader="none" w:pos="239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Each Plan is in compliance with the applicable provisions of ERISA, the Code and other Federal or state Laws (and the regulations and published interpretations thereunder).</w:t>
      </w:r>
    </w:p>
    <w:p>
      <w:pPr>
        <w:spacing w:after="0" w:line="174" w:lineRule="exact"/>
        <w:rPr>
          <w:rFonts w:ascii="Arial" w:cs="Arial" w:eastAsia="Arial" w:hAnsi="Arial"/>
          <w:sz w:val="22"/>
          <w:szCs w:val="22"/>
          <w:color w:val="auto"/>
        </w:rPr>
      </w:pPr>
    </w:p>
    <w:p>
      <w:pPr>
        <w:jc w:val="both"/>
        <w:ind w:firstLine="872"/>
        <w:spacing w:after="0"/>
        <w:tabs>
          <w:tab w:leader="none" w:pos="241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The Loan Parties, their Restricted Subsidiaries and their respective ERISA Affiliates may incur liability for ordinary course contributions to (and make payments in satisfaction of such liabilities) plans listed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5.10(b)</w:t>
      </w:r>
      <w:r>
        <w:rPr>
          <w:rFonts w:ascii="Arial" w:cs="Arial" w:eastAsia="Arial" w:hAnsi="Arial"/>
          <w:sz w:val="22"/>
          <w:szCs w:val="22"/>
          <w:color w:val="auto"/>
        </w:rPr>
        <w:t>, which are Multiemployer Plans.</w:t>
      </w:r>
    </w:p>
    <w:p>
      <w:pPr>
        <w:spacing w:after="0" w:line="186" w:lineRule="exact"/>
        <w:rPr>
          <w:rFonts w:ascii="Arial" w:cs="Arial" w:eastAsia="Arial" w:hAnsi="Arial"/>
          <w:sz w:val="22"/>
          <w:szCs w:val="22"/>
          <w:color w:val="auto"/>
        </w:rPr>
      </w:pPr>
    </w:p>
    <w:p>
      <w:pPr>
        <w:ind w:left="2400" w:hanging="1536"/>
        <w:spacing w:after="0"/>
        <w:tabs>
          <w:tab w:leader="none" w:pos="24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No ERISA Event has occurred.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Subsidiaries</w:t>
      </w:r>
    </w:p>
    <w:p>
      <w:pPr>
        <w:spacing w:after="0" w:line="206" w:lineRule="exact"/>
        <w:rPr>
          <w:sz w:val="20"/>
          <w:szCs w:val="20"/>
          <w:color w:val="auto"/>
        </w:rPr>
      </w:pPr>
    </w:p>
    <w:p>
      <w:pPr>
        <w:jc w:val="both"/>
        <w:ind w:firstLine="872"/>
        <w:spacing w:after="0" w:line="274" w:lineRule="auto"/>
        <w:tabs>
          <w:tab w:leader="none" w:pos="1026" w:val="left"/>
        </w:tabs>
        <w:numPr>
          <w:ilvl w:val="0"/>
          <w:numId w:val="149"/>
        </w:numPr>
        <w:rPr>
          <w:rFonts w:ascii="Arial" w:cs="Arial" w:eastAsia="Arial" w:hAnsi="Arial"/>
          <w:sz w:val="19"/>
          <w:szCs w:val="19"/>
          <w:i w:val="1"/>
          <w:iCs w:val="1"/>
          <w:color w:val="auto"/>
        </w:rPr>
      </w:pPr>
      <w:r>
        <w:rPr>
          <w:rFonts w:ascii="Arial" w:cs="Arial" w:eastAsia="Arial" w:hAnsi="Arial"/>
          <w:sz w:val="19"/>
          <w:szCs w:val="19"/>
          <w:color w:val="auto"/>
        </w:rPr>
        <w:t xml:space="preserve">As of the Restatement Effective Date (after giving effect to the Transactions), no Loan Party has any direct or indirect Restricted Subsidiaries other than those specifically disclosed in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and all of the outstanding Equity Interests owned by the Loan Parties (or a Restricted Subsidiary of any Loan Party) in such Subsidiaries have been validly issued and are fully paid and (if applicable) non-assessable and all Equity Interests owned by a Loan Party (or a Restricted Subsidiary of any Loan Party) in such Subsidiaries are owned free and clear of all Liens except (a) those created under the Collateral Documents or under the ABL Facility Documentation (which Liens shall be subject to the ABL Intercreditor Agreement) and (b) any other Lien that is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As of the Restatement Effective Date, (i) </w:t>
      </w:r>
      <w:r>
        <w:rPr>
          <w:rFonts w:ascii="Arial" w:cs="Arial" w:eastAsia="Arial" w:hAnsi="Arial"/>
          <w:sz w:val="19"/>
          <w:szCs w:val="19"/>
          <w:u w:val="single" w:color="auto"/>
          <w:color w:val="auto"/>
        </w:rPr>
        <w:t>Section 2(c)</w:t>
      </w:r>
      <w:r>
        <w:rPr>
          <w:rFonts w:ascii="Arial" w:cs="Arial" w:eastAsia="Arial" w:hAnsi="Arial"/>
          <w:sz w:val="19"/>
          <w:szCs w:val="19"/>
          <w:color w:val="auto"/>
        </w:rPr>
        <w:t xml:space="preserve"> of the Perfection Certificate sets forth the name and jurisdiction of each Loan Party and (ii) Schedule 5 to the Perfection Certificate sets forth the direct ownership interest of the Borrower and any Loan Party thereof in each such Subsidiary, including the percentage of such ownership.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Margin Regulations; Investment Company Act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79"/>
        <w:spacing w:after="0" w:line="236" w:lineRule="auto"/>
        <w:tabs>
          <w:tab w:leader="none" w:pos="2507" w:val="left"/>
        </w:tabs>
        <w:numPr>
          <w:ilvl w:val="0"/>
          <w:numId w:val="150"/>
        </w:numPr>
        <w:rPr>
          <w:rFonts w:ascii="Arial" w:cs="Arial" w:eastAsia="Arial" w:hAnsi="Arial"/>
          <w:sz w:val="22"/>
          <w:szCs w:val="22"/>
          <w:color w:val="auto"/>
        </w:rPr>
      </w:pPr>
      <w:r>
        <w:rPr>
          <w:rFonts w:ascii="Arial" w:cs="Arial" w:eastAsia="Arial" w:hAnsi="Arial"/>
          <w:sz w:val="22"/>
          <w:szCs w:val="22"/>
          <w:color w:val="auto"/>
        </w:rPr>
        <w:t>No Loan Party or Restricted Subsidiary is engaged nor will it engage, principally, or as one of its important activities in the business of purchasing or carrying Margin Stock, or extending credit for the purpose of purchasing or carrying Margin Stock, and no proceeds of any Borrowings will be used, whether directly or indirectly, and whether immediately, incidentally or ultimately, for any purpose that entails a violation of the provisions of the Regulations of the Board, including Regulation T, U or X.</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8" w:name="page149"/>
    <w:bookmarkEnd w:id="148"/>
    <w:p>
      <w:pPr>
        <w:ind w:right="20" w:firstLine="979"/>
        <w:spacing w:after="0" w:line="250" w:lineRule="auto"/>
        <w:tabs>
          <w:tab w:leader="none" w:pos="251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Neither the Borrower, nor any of the Restricted Subsidiaries is or is required to be registered as an “investment company” under the Investment Company Act of 1940.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Disclosure</w:t>
      </w:r>
    </w:p>
    <w:p>
      <w:pPr>
        <w:spacing w:after="0" w:line="206" w:lineRule="exact"/>
        <w:rPr>
          <w:sz w:val="20"/>
          <w:szCs w:val="20"/>
          <w:color w:val="auto"/>
        </w:rPr>
      </w:pPr>
    </w:p>
    <w:p>
      <w:pPr>
        <w:jc w:val="both"/>
        <w:ind w:firstLine="872"/>
        <w:spacing w:after="0" w:line="272" w:lineRule="auto"/>
        <w:tabs>
          <w:tab w:leader="none" w:pos="1053" w:val="left"/>
        </w:tabs>
        <w:numPr>
          <w:ilvl w:val="0"/>
          <w:numId w:val="152"/>
        </w:numPr>
        <w:rPr>
          <w:rFonts w:ascii="Arial" w:cs="Arial" w:eastAsia="Arial" w:hAnsi="Arial"/>
          <w:sz w:val="19"/>
          <w:szCs w:val="19"/>
          <w:i w:val="1"/>
          <w:iCs w:val="1"/>
          <w:color w:val="auto"/>
        </w:rPr>
      </w:pPr>
      <w:r>
        <w:rPr>
          <w:rFonts w:ascii="Arial" w:cs="Arial" w:eastAsia="Arial" w:hAnsi="Arial"/>
          <w:sz w:val="19"/>
          <w:szCs w:val="19"/>
          <w:color w:val="auto"/>
        </w:rPr>
        <w:t>No report, financial statement, certificate or other written information furnished by or on behalf of any Loan Party (other than projected financial information, pro forma financial information, budgets, estimates and information of a general economic or industry nature) to any Agent or any Lender about the Borrower and its Subsidiaries in connection with the transactions contemplated hereby and the negotiation of this Agreement or delivered hereunder or under any other Loan Document (as modified or supplemented by other information so furnished) when taken as a whole contains or will contain any material misstatement of fact or omits or will omit to state any material fact necessary to make the statements therein (when taken as a whole), in the light of the circumstances under which they were or will be made, not materially misleading. With respect to projected financial information and pro forma financial information, the Borrower represents that such information was prepared in good faith based upon assumptions believed to be reasonable at the time of preparation; it being understood and agreed by the Agents and the Lenders that such projections as to future events (i) are not to be viewed as facts, (ii) are subject to significant uncertainties and contingencies, which may be beyond the control of the Borrower and its Restricted Subsidiaries and (iii) are not a guarantee of performance and that actual results during the period or periods covered by any such projections may vary significantly from the projected results and such differences may be material.</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520" w:type="dxa"/>
            <w:vAlign w:val="bottom"/>
          </w:tcPr>
          <w:p>
            <w:pPr>
              <w:spacing w:after="0"/>
              <w:rPr>
                <w:sz w:val="23"/>
                <w:szCs w:val="23"/>
                <w:color w:val="auto"/>
              </w:rPr>
            </w:pPr>
          </w:p>
        </w:tc>
        <w:tc>
          <w:tcPr>
            <w:tcW w:w="10640" w:type="dxa"/>
            <w:vAlign w:val="bottom"/>
            <w:gridSpan w:val="5"/>
          </w:tcPr>
          <w:p>
            <w:pPr>
              <w:ind w:left="280"/>
              <w:spacing w:after="0"/>
              <w:rPr>
                <w:sz w:val="20"/>
                <w:szCs w:val="20"/>
                <w:color w:val="auto"/>
              </w:rPr>
            </w:pPr>
            <w:r>
              <w:rPr>
                <w:rFonts w:ascii="Arial" w:cs="Arial" w:eastAsia="Arial" w:hAnsi="Arial"/>
                <w:sz w:val="22"/>
                <w:szCs w:val="22"/>
                <w:color w:val="auto"/>
              </w:rPr>
              <w:t>Labor Matters</w:t>
            </w:r>
          </w:p>
        </w:tc>
      </w:tr>
      <w:tr>
        <w:trPr>
          <w:trHeight w:val="459"/>
        </w:trPr>
        <w:tc>
          <w:tcPr>
            <w:tcW w:w="520" w:type="dxa"/>
            <w:vAlign w:val="bottom"/>
          </w:tcPr>
          <w:p>
            <w:pPr>
              <w:spacing w:after="0"/>
              <w:rPr>
                <w:sz w:val="24"/>
                <w:szCs w:val="24"/>
                <w:color w:val="auto"/>
              </w:rPr>
            </w:pPr>
          </w:p>
        </w:tc>
        <w:tc>
          <w:tcPr>
            <w:tcW w:w="4320" w:type="dxa"/>
            <w:vAlign w:val="bottom"/>
          </w:tcPr>
          <w:p>
            <w:pPr>
              <w:ind w:left="280"/>
              <w:spacing w:after="0"/>
              <w:rPr>
                <w:sz w:val="20"/>
                <w:szCs w:val="20"/>
                <w:color w:val="auto"/>
              </w:rPr>
            </w:pPr>
            <w:r>
              <w:rPr>
                <w:rFonts w:ascii="Arial" w:cs="Arial" w:eastAsia="Arial" w:hAnsi="Arial"/>
                <w:sz w:val="22"/>
                <w:szCs w:val="22"/>
                <w:color w:val="auto"/>
              </w:rPr>
              <w:t>.</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(a)</w:t>
            </w:r>
          </w:p>
        </w:tc>
        <w:tc>
          <w:tcPr>
            <w:tcW w:w="10640" w:type="dxa"/>
            <w:vAlign w:val="bottom"/>
            <w:gridSpan w:val="5"/>
          </w:tcPr>
          <w:p>
            <w:pPr>
              <w:ind w:left="1060"/>
              <w:spacing w:after="0"/>
              <w:rPr>
                <w:sz w:val="20"/>
                <w:szCs w:val="20"/>
                <w:color w:val="auto"/>
              </w:rPr>
            </w:pPr>
            <w:r>
              <w:rPr>
                <w:rFonts w:ascii="Arial" w:cs="Arial" w:eastAsia="Arial" w:hAnsi="Arial"/>
                <w:sz w:val="22"/>
                <w:szCs w:val="22"/>
                <w:color w:val="auto"/>
                <w:w w:val="90"/>
              </w:rPr>
              <w:t>Except as, in the aggregate, would not reasonably be expected to result in a Material Adverse Effect: (i) there</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4"/>
              </w:rPr>
              <w:t>are no strikes or other labor disputes against the Borrower or any of its Restricted Subsidiaries pending or, to the</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6"/>
              </w:rPr>
              <w:t>knowledge of the Borrower, threatened in writing; (ii) hours worked by and payment made to employees of the</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1"/>
              </w:rPr>
              <w:t>Borrower or any of its Restricted Subsidiaries have not been in violation of the Fair Labor Standards Act or any other</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7"/>
              </w:rPr>
              <w:t>applicable Law dealing with such matters; and (iii) all payments due from the Borrower or any of its Restricted</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88"/>
              </w:rPr>
              <w:t>Subsidiaries on account of employee health and welfare insurance have been paid or accrued as a liability on the books</w:t>
            </w:r>
          </w:p>
        </w:tc>
      </w:tr>
      <w:tr>
        <w:trPr>
          <w:trHeight w:val="224"/>
        </w:trPr>
        <w:tc>
          <w:tcPr>
            <w:tcW w:w="520" w:type="dxa"/>
            <w:vAlign w:val="bottom"/>
          </w:tcPr>
          <w:p>
            <w:pPr>
              <w:spacing w:after="0"/>
              <w:rPr>
                <w:sz w:val="19"/>
                <w:szCs w:val="19"/>
                <w:color w:val="auto"/>
              </w:rPr>
            </w:pPr>
          </w:p>
        </w:tc>
        <w:tc>
          <w:tcPr>
            <w:tcW w:w="10640" w:type="dxa"/>
            <w:vAlign w:val="bottom"/>
            <w:gridSpan w:val="5"/>
          </w:tcPr>
          <w:p>
            <w:pPr>
              <w:ind w:left="260"/>
              <w:spacing w:after="0" w:line="224" w:lineRule="exact"/>
              <w:rPr>
                <w:sz w:val="20"/>
                <w:szCs w:val="20"/>
                <w:color w:val="auto"/>
              </w:rPr>
            </w:pPr>
            <w:r>
              <w:rPr>
                <w:rFonts w:ascii="Arial" w:cs="Arial" w:eastAsia="Arial" w:hAnsi="Arial"/>
                <w:sz w:val="22"/>
                <w:szCs w:val="22"/>
                <w:color w:val="auto"/>
                <w:w w:val="90"/>
              </w:rPr>
              <w:t>of the relevant party.  Except as disclosed on Schedule 5.14, as of the Restatement Effective Date no Loan Party is a</w:t>
            </w:r>
          </w:p>
        </w:tc>
      </w:tr>
      <w:tr>
        <w:trPr>
          <w:trHeight w:val="20"/>
        </w:trPr>
        <w:tc>
          <w:tcPr>
            <w:tcW w:w="5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5"/>
          </w:tcPr>
          <w:p>
            <w:pPr>
              <w:ind w:left="260"/>
              <w:spacing w:after="0" w:line="242" w:lineRule="exact"/>
              <w:rPr>
                <w:sz w:val="20"/>
                <w:szCs w:val="20"/>
                <w:color w:val="auto"/>
              </w:rPr>
            </w:pPr>
            <w:r>
              <w:rPr>
                <w:rFonts w:ascii="Arial" w:cs="Arial" w:eastAsia="Arial" w:hAnsi="Arial"/>
                <w:sz w:val="22"/>
                <w:szCs w:val="22"/>
                <w:color w:val="auto"/>
                <w:w w:val="95"/>
              </w:rPr>
              <w:t>party to or bound by any collective bargaining agreement or, with respect to any Foreign Subsidiary, any similar</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3"/>
              </w:rPr>
              <w:t>agreement.  To the knowledge of any Loan Party, the consummation of the transactions contemplated by the Loan</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4"/>
              </w:rPr>
              <w:t>Documents will not give rise to any right of termination or right of renegotiation on the part of any union under any</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88"/>
              </w:rPr>
              <w:t>collective bargaining agreement to which any Loan Party is bound to the extent that such would be reasonably expected</w:t>
            </w:r>
          </w:p>
        </w:tc>
      </w:tr>
      <w:tr>
        <w:trPr>
          <w:trHeight w:val="274"/>
        </w:trPr>
        <w:tc>
          <w:tcPr>
            <w:tcW w:w="520" w:type="dxa"/>
            <w:vAlign w:val="bottom"/>
          </w:tcPr>
          <w:p>
            <w:pPr>
              <w:spacing w:after="0"/>
              <w:rPr>
                <w:sz w:val="23"/>
                <w:szCs w:val="23"/>
                <w:color w:val="auto"/>
              </w:rPr>
            </w:pPr>
          </w:p>
        </w:tc>
        <w:tc>
          <w:tcPr>
            <w:tcW w:w="10640" w:type="dxa"/>
            <w:vAlign w:val="bottom"/>
            <w:gridSpan w:val="5"/>
          </w:tcPr>
          <w:p>
            <w:pPr>
              <w:ind w:left="260"/>
              <w:spacing w:after="0"/>
              <w:rPr>
                <w:sz w:val="20"/>
                <w:szCs w:val="20"/>
                <w:color w:val="auto"/>
              </w:rPr>
            </w:pPr>
            <w:r>
              <w:rPr>
                <w:rFonts w:ascii="Arial" w:cs="Arial" w:eastAsia="Arial" w:hAnsi="Arial"/>
                <w:sz w:val="22"/>
                <w:szCs w:val="22"/>
                <w:color w:val="auto"/>
              </w:rPr>
              <w:t>to result in a Material Adverse Effect.</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640" w:type="dxa"/>
            <w:vAlign w:val="bottom"/>
            <w:gridSpan w:val="5"/>
          </w:tcPr>
          <w:p>
            <w:pPr>
              <w:ind w:left="1060"/>
              <w:spacing w:after="0"/>
              <w:rPr>
                <w:sz w:val="20"/>
                <w:szCs w:val="20"/>
                <w:color w:val="auto"/>
              </w:rPr>
            </w:pPr>
            <w:r>
              <w:rPr>
                <w:rFonts w:ascii="Arial" w:cs="Arial" w:eastAsia="Arial" w:hAnsi="Arial"/>
                <w:sz w:val="22"/>
                <w:szCs w:val="22"/>
                <w:color w:val="auto"/>
                <w:w w:val="91"/>
              </w:rPr>
              <w:t>(i) The IBT Agreement is in full force and effect and (ii) other than as contemplated by the IBT Transactions,</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4"/>
              </w:rPr>
              <w:t>the IBT Agreement has not been amended, waived or otherwise modified in any respect materially adverse to the</w:t>
            </w:r>
          </w:p>
        </w:tc>
      </w:tr>
      <w:tr>
        <w:trPr>
          <w:trHeight w:val="224"/>
        </w:trPr>
        <w:tc>
          <w:tcPr>
            <w:tcW w:w="520" w:type="dxa"/>
            <w:vAlign w:val="bottom"/>
          </w:tcPr>
          <w:p>
            <w:pPr>
              <w:spacing w:after="0"/>
              <w:rPr>
                <w:sz w:val="19"/>
                <w:szCs w:val="19"/>
                <w:color w:val="auto"/>
              </w:rPr>
            </w:pPr>
          </w:p>
        </w:tc>
        <w:tc>
          <w:tcPr>
            <w:tcW w:w="10640" w:type="dxa"/>
            <w:vAlign w:val="bottom"/>
            <w:gridSpan w:val="5"/>
          </w:tcPr>
          <w:p>
            <w:pPr>
              <w:ind w:left="260"/>
              <w:spacing w:after="0" w:line="224" w:lineRule="exact"/>
              <w:rPr>
                <w:sz w:val="20"/>
                <w:szCs w:val="20"/>
                <w:color w:val="auto"/>
              </w:rPr>
            </w:pPr>
            <w:r>
              <w:rPr>
                <w:rFonts w:ascii="Arial" w:cs="Arial" w:eastAsia="Arial" w:hAnsi="Arial"/>
                <w:sz w:val="22"/>
                <w:szCs w:val="22"/>
                <w:color w:val="auto"/>
                <w:w w:val="96"/>
              </w:rPr>
              <w:t>Borrower and its Subsidiaries (taken as a whole). For purposes of this Section 5.14(b), it is understood that the</w:t>
            </w:r>
          </w:p>
        </w:tc>
      </w:tr>
      <w:tr>
        <w:trPr>
          <w:trHeight w:val="20"/>
        </w:trPr>
        <w:tc>
          <w:tcPr>
            <w:tcW w:w="52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5"/>
          </w:tcPr>
          <w:p>
            <w:pPr>
              <w:ind w:left="260"/>
              <w:spacing w:after="0" w:line="242" w:lineRule="exact"/>
              <w:rPr>
                <w:sz w:val="20"/>
                <w:szCs w:val="20"/>
                <w:color w:val="auto"/>
              </w:rPr>
            </w:pPr>
            <w:r>
              <w:rPr>
                <w:rFonts w:ascii="Arial" w:cs="Arial" w:eastAsia="Arial" w:hAnsi="Arial"/>
                <w:sz w:val="22"/>
                <w:szCs w:val="22"/>
                <w:color w:val="auto"/>
                <w:w w:val="91"/>
              </w:rPr>
              <w:t>resolution in the ordinary course of business of an employee grievance seeking to enforce the IBT Agreement terms</w:t>
            </w:r>
          </w:p>
        </w:tc>
      </w:tr>
      <w:tr>
        <w:trPr>
          <w:trHeight w:val="274"/>
        </w:trPr>
        <w:tc>
          <w:tcPr>
            <w:tcW w:w="520" w:type="dxa"/>
            <w:vAlign w:val="bottom"/>
          </w:tcPr>
          <w:p>
            <w:pPr>
              <w:spacing w:after="0"/>
              <w:rPr>
                <w:sz w:val="23"/>
                <w:szCs w:val="23"/>
                <w:color w:val="auto"/>
              </w:rPr>
            </w:pPr>
          </w:p>
        </w:tc>
        <w:tc>
          <w:tcPr>
            <w:tcW w:w="10640" w:type="dxa"/>
            <w:vAlign w:val="bottom"/>
            <w:gridSpan w:val="5"/>
          </w:tcPr>
          <w:p>
            <w:pPr>
              <w:ind w:left="260"/>
              <w:spacing w:after="0"/>
              <w:rPr>
                <w:sz w:val="20"/>
                <w:szCs w:val="20"/>
                <w:color w:val="auto"/>
              </w:rPr>
            </w:pPr>
            <w:r>
              <w:rPr>
                <w:rFonts w:ascii="Arial" w:cs="Arial" w:eastAsia="Arial" w:hAnsi="Arial"/>
                <w:sz w:val="22"/>
                <w:szCs w:val="22"/>
                <w:color w:val="auto"/>
              </w:rPr>
              <w:t>will not be deemed to constitute an amendment, waiver or other modification to the IBT Agreement.</w:t>
            </w:r>
          </w:p>
        </w:tc>
      </w:tr>
      <w:tr>
        <w:trPr>
          <w:trHeight w:val="459"/>
        </w:trPr>
        <w:tc>
          <w:tcPr>
            <w:tcW w:w="520" w:type="dxa"/>
            <w:vAlign w:val="bottom"/>
          </w:tcPr>
          <w:p>
            <w:pPr>
              <w:spacing w:after="0"/>
              <w:rPr>
                <w:sz w:val="24"/>
                <w:szCs w:val="24"/>
                <w:color w:val="auto"/>
              </w:rPr>
            </w:pPr>
          </w:p>
        </w:tc>
        <w:tc>
          <w:tcPr>
            <w:tcW w:w="10640" w:type="dxa"/>
            <w:vAlign w:val="bottom"/>
            <w:gridSpan w:val="5"/>
          </w:tcPr>
          <w:p>
            <w:pPr>
              <w:ind w:left="280"/>
              <w:spacing w:after="0"/>
              <w:rPr>
                <w:sz w:val="20"/>
                <w:szCs w:val="20"/>
                <w:color w:val="auto"/>
              </w:rPr>
            </w:pPr>
            <w:r>
              <w:rPr>
                <w:rFonts w:ascii="Arial" w:cs="Arial" w:eastAsia="Arial" w:hAnsi="Arial"/>
                <w:sz w:val="22"/>
                <w:szCs w:val="22"/>
                <w:color w:val="auto"/>
              </w:rPr>
              <w:t>Insurance</w:t>
            </w:r>
          </w:p>
        </w:tc>
      </w:tr>
    </w:tbl>
    <w:p>
      <w:pPr>
        <w:spacing w:after="0" w:line="185" w:lineRule="exact"/>
        <w:rPr>
          <w:sz w:val="20"/>
          <w:szCs w:val="20"/>
          <w:color w:val="auto"/>
        </w:rPr>
      </w:pPr>
    </w:p>
    <w:p>
      <w:pPr>
        <w:ind w:right="20" w:firstLine="872"/>
        <w:spacing w:after="0" w:line="250" w:lineRule="auto"/>
        <w:tabs>
          <w:tab w:leader="none" w:pos="1080" w:val="left"/>
        </w:tabs>
        <w:numPr>
          <w:ilvl w:val="0"/>
          <w:numId w:val="153"/>
        </w:numPr>
        <w:rPr>
          <w:rFonts w:ascii="Arial" w:cs="Arial" w:eastAsia="Arial" w:hAnsi="Arial"/>
          <w:sz w:val="22"/>
          <w:szCs w:val="22"/>
          <w:i w:val="1"/>
          <w:iCs w:val="1"/>
          <w:color w:val="auto"/>
        </w:rPr>
      </w:pPr>
      <w:r>
        <w:rPr>
          <w:rFonts w:ascii="Arial" w:cs="Arial" w:eastAsia="Arial" w:hAnsi="Arial"/>
          <w:sz w:val="22"/>
          <w:szCs w:val="22"/>
          <w:color w:val="auto"/>
        </w:rPr>
        <w:t>Each of the Borrower and its Subsidiaries maintains, with financially sound and reputable insurance companies, insurance in such amounts and against such</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9" w:name="page150"/>
    <w:bookmarkEnd w:id="149"/>
    <w:p>
      <w:pPr>
        <w:jc w:val="both"/>
        <w:spacing w:after="0" w:line="238" w:lineRule="auto"/>
        <w:rPr>
          <w:sz w:val="20"/>
          <w:szCs w:val="20"/>
          <w:color w:val="auto"/>
        </w:rPr>
      </w:pPr>
      <w:r>
        <w:rPr>
          <w:rFonts w:ascii="Arial" w:cs="Arial" w:eastAsia="Arial" w:hAnsi="Arial"/>
          <w:sz w:val="22"/>
          <w:szCs w:val="22"/>
          <w:color w:val="auto"/>
        </w:rPr>
        <w:t xml:space="preserve">risks as are customarily maintained by companies engaged in the same or similar businesses operating in the same or similar locations; </w:t>
      </w:r>
      <w:r>
        <w:rPr>
          <w:rFonts w:ascii="Arial" w:cs="Arial" w:eastAsia="Arial" w:hAnsi="Arial"/>
          <w:sz w:val="22"/>
          <w:szCs w:val="22"/>
          <w:i w:val="1"/>
          <w:iCs w:val="1"/>
          <w:color w:val="auto"/>
        </w:rPr>
        <w:t>provided</w:t>
      </w:r>
      <w:r>
        <w:rPr>
          <w:rFonts w:ascii="Arial" w:cs="Arial" w:eastAsia="Arial" w:hAnsi="Arial"/>
          <w:sz w:val="22"/>
          <w:szCs w:val="22"/>
          <w:color w:val="auto"/>
        </w:rPr>
        <w:t>, that each of the Borrower and its Subsidiaries may self-insure to the same extent as other companies engaged in similar businesses and owning similar properties in the same general areas in which the Borrower or each such Subsidiary, as applicable, operates.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Solvency</w:t>
      </w:r>
    </w:p>
    <w:p>
      <w:pPr>
        <w:spacing w:after="0" w:line="206" w:lineRule="exact"/>
        <w:rPr>
          <w:sz w:val="20"/>
          <w:szCs w:val="20"/>
          <w:color w:val="auto"/>
        </w:rPr>
      </w:pPr>
    </w:p>
    <w:p>
      <w:pPr>
        <w:jc w:val="both"/>
        <w:ind w:firstLine="872"/>
        <w:spacing w:after="0" w:line="272" w:lineRule="auto"/>
        <w:tabs>
          <w:tab w:leader="none" w:pos="1039" w:val="left"/>
        </w:tabs>
        <w:numPr>
          <w:ilvl w:val="0"/>
          <w:numId w:val="154"/>
        </w:numPr>
        <w:rPr>
          <w:rFonts w:ascii="Arial" w:cs="Arial" w:eastAsia="Arial" w:hAnsi="Arial"/>
          <w:sz w:val="19"/>
          <w:szCs w:val="19"/>
          <w:i w:val="1"/>
          <w:iCs w:val="1"/>
          <w:color w:val="auto"/>
        </w:rPr>
      </w:pPr>
      <w:r>
        <w:rPr>
          <w:rFonts w:ascii="Arial" w:cs="Arial" w:eastAsia="Arial" w:hAnsi="Arial"/>
          <w:sz w:val="19"/>
          <w:szCs w:val="19"/>
          <w:color w:val="auto"/>
        </w:rPr>
        <w:t xml:space="preserve">Immediately after giving effect to the consummation of the Transactions to occur on the Restatement Effective Date, including the making of the Loans under this Agreement, and immediately after giving effect to the application of the proceeds of such Loans, on the Restatement Effective Date (a) the fair value of the assets of the Borrower and its Subsidiaries, on a consolidated basis (on a going concern basis),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in the ordinary course of business; (c) the Borrower and its Subsidiaries, on a consolidated basis, are able to pay their debts and liabilities, subordinated, contingent or otherwise, as such liabilities become absolute and matured; and (d) the Borrower and its Subsidiaries, on a consolidated basis, are not engaged in, and are not about to engage in, business for which they have unreasonably small capital. For purposes of this </w:t>
      </w:r>
      <w:r>
        <w:rPr>
          <w:rFonts w:ascii="Arial" w:cs="Arial" w:eastAsia="Arial" w:hAnsi="Arial"/>
          <w:sz w:val="19"/>
          <w:szCs w:val="19"/>
          <w:u w:val="single" w:color="auto"/>
          <w:color w:val="auto"/>
        </w:rPr>
        <w:t>Section 5.16</w:t>
      </w:r>
      <w:r>
        <w:rPr>
          <w:rFonts w:ascii="Arial" w:cs="Arial" w:eastAsia="Arial" w:hAnsi="Arial"/>
          <w:sz w:val="19"/>
          <w:szCs w:val="19"/>
          <w:color w:val="auto"/>
        </w:rPr>
        <w:t>, the amount of any contingent liability at any time shall be computed as the amount that would reasonably be expected to become an actual and matured liability in the ordinary course of business.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0000FF"/>
        </w:rPr>
        <w:t>No Other Borrowed Money Indebtedness</w:t>
      </w:r>
    </w:p>
    <w:p>
      <w:pPr>
        <w:spacing w:after="0" w:line="21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FF0000"/>
          <w:strike w:val="1"/>
        </w:rPr>
        <w:t>Section 5.17</w:t>
      </w:r>
      <w:r>
        <w:rPr>
          <w:rFonts w:ascii="Arial" w:cs="Arial" w:eastAsia="Arial" w:hAnsi="Arial"/>
          <w:sz w:val="21"/>
          <w:szCs w:val="21"/>
          <w:color w:val="FF0000"/>
        </w:rPr>
        <w:t xml:space="preserve"> </w:t>
      </w:r>
      <w:r>
        <w:rPr>
          <w:rFonts w:ascii="Arial" w:cs="Arial" w:eastAsia="Arial" w:hAnsi="Arial"/>
          <w:sz w:val="21"/>
          <w:szCs w:val="21"/>
          <w:i w:val="1"/>
          <w:iCs w:val="1"/>
          <w:color w:val="FF0000"/>
          <w:strike w:val="1"/>
        </w:rPr>
        <w:t>Indebtedness</w:t>
      </w:r>
      <w:r>
        <w:rPr>
          <w:rFonts w:ascii="Arial" w:cs="Arial" w:eastAsia="Arial" w:hAnsi="Arial"/>
          <w:sz w:val="21"/>
          <w:szCs w:val="21"/>
          <w:i w:val="1"/>
          <w:iCs w:val="1"/>
          <w:color w:val="000000"/>
        </w:rPr>
        <w:t>.</w:t>
      </w:r>
      <w:r>
        <w:rPr>
          <w:rFonts w:ascii="Arial" w:cs="Arial" w:eastAsia="Arial" w:hAnsi="Arial"/>
          <w:sz w:val="21"/>
          <w:szCs w:val="21"/>
          <w:color w:val="FF0000"/>
        </w:rPr>
        <w:t xml:space="preserve"> </w:t>
      </w:r>
      <w:r>
        <w:rPr>
          <w:rFonts w:ascii="Arial" w:cs="Arial" w:eastAsia="Arial" w:hAnsi="Arial"/>
          <w:sz w:val="21"/>
          <w:szCs w:val="21"/>
          <w:color w:val="000000"/>
        </w:rPr>
        <w:t>Immediately after giving effect to the consummation of the Transactions to occur on the</w:t>
      </w:r>
      <w:r>
        <w:rPr>
          <w:rFonts w:ascii="Arial" w:cs="Arial" w:eastAsia="Arial" w:hAnsi="Arial"/>
          <w:sz w:val="21"/>
          <w:szCs w:val="21"/>
          <w:color w:val="FF0000"/>
        </w:rPr>
        <w:t xml:space="preserve"> </w:t>
      </w:r>
      <w:r>
        <w:rPr>
          <w:rFonts w:ascii="Arial" w:cs="Arial" w:eastAsia="Arial" w:hAnsi="Arial"/>
          <w:sz w:val="21"/>
          <w:szCs w:val="21"/>
          <w:color w:val="000000"/>
        </w:rPr>
        <w:t xml:space="preserve">Restatement Effective Date the Borrower and its Subsidiaries shall have outstanding no Indebtedness for borrowed money other than (a) Indebtedness outstanding under this Agreement, (b) the ABL Facility Indebtedness, (c) Indebtedness set forth on Schedule 7.03(b) and (d) Indebtedness permitted pursuant to </w:t>
      </w:r>
      <w:r>
        <w:rPr>
          <w:rFonts w:ascii="Arial" w:cs="Arial" w:eastAsia="Arial" w:hAnsi="Arial"/>
          <w:sz w:val="21"/>
          <w:szCs w:val="21"/>
          <w:u w:val="single" w:color="auto"/>
          <w:color w:val="000000"/>
        </w:rPr>
        <w:t>Section 7.03</w:t>
      </w:r>
      <w:r>
        <w:rPr>
          <w:rFonts w:ascii="Arial" w:cs="Arial" w:eastAsia="Arial" w:hAnsi="Arial"/>
          <w:sz w:val="21"/>
          <w:szCs w:val="21"/>
          <w:color w:val="000000"/>
        </w:rPr>
        <w: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Collateral Documents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spacing w:after="0"/>
        <w:tabs>
          <w:tab w:leader="none" w:pos="2380" w:val="left"/>
          <w:tab w:leader="none" w:pos="36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i w:val="1"/>
          <w:iCs w:val="1"/>
          <w:color w:val="auto"/>
        </w:rPr>
        <w:t>Valid Liens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Collateral Documents are, or on execution and delivery thereof by the parties</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thereto will be, effective to create in favor of the Collateral Agent for the benefit of the Secured Parties, legal, valid and enforceable Liens on, and security interests in, the Collateral described therein to the extent intended to be created thereby, except as the enforceability thereof may be limited by bankruptcy, insolvency or similar laws affecting creditors’ rights generally and subject to general principles of equity and (i) when financing statements and other filings in appropriate form are filed in the offices specified in Section 2 of the Perfection Certificate (and payments of all fees)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and (iii) upon the notating of the Lien of the Collateral Agent on all certificates of title in respect of any Collateral, the Liens created by the Collateral Documents (other than the Mortgages) shall constitute fully perfected Liens on, and security interests in, all right, title and interest of the grantors in such</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0" w:name="page151"/>
    <w:bookmarkEnd w:id="150"/>
    <w:p>
      <w:pPr>
        <w:jc w:val="both"/>
        <w:spacing w:after="0" w:line="297" w:lineRule="auto"/>
        <w:rPr>
          <w:sz w:val="20"/>
          <w:szCs w:val="20"/>
          <w:color w:val="auto"/>
        </w:rPr>
      </w:pPr>
      <w:r>
        <w:rPr>
          <w:rFonts w:ascii="Arial" w:cs="Arial" w:eastAsia="Arial" w:hAnsi="Arial"/>
          <w:sz w:val="19"/>
          <w:szCs w:val="19"/>
          <w:color w:val="auto"/>
        </w:rPr>
        <w:t xml:space="preserve">Collateral, in each case prior and superior in right to any other Person,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(other than Liens securing Permitted Second Priority Additional Debt or any Permitted Refinancing thereof and Liens securing ABL Facility Indebtedness or Permitted Refinancing thereof, that are intended to be junior to the Liens of the Collateral Documents).</w:t>
      </w:r>
    </w:p>
    <w:p>
      <w:pPr>
        <w:spacing w:after="0" w:line="13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i w:val="1"/>
          <w:iCs w:val="1"/>
          <w:color w:val="auto"/>
        </w:rPr>
        <w:t>PTO Filing; Copyright Office Filing</w:t>
      </w:r>
      <w:r>
        <w:rPr>
          <w:rFonts w:ascii="Arial" w:cs="Arial" w:eastAsia="Arial" w:hAnsi="Arial"/>
          <w:sz w:val="21"/>
          <w:szCs w:val="21"/>
          <w:color w:val="auto"/>
        </w:rPr>
        <w:t xml:space="preserve">. When the Security Agreement or a short form thereof is properly filed (and payments of all fees) in the United States Patent and Trademark Office and the United States Copyright Office, to the extent such filings may perfect such interests, the Liens created by such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or Copyrights (as defined in such Security Agreement) registered or applied for with the United States Copyright Office, as the case may be, in each case prior and superior in right to any other Person, other than Liens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(other than Liens securing Permitted Second Priority Additional Debt or any Permitted Refinancing thereof and Liens securing ABL Facility Indebtedness or Permitted Refinancing thereof, , that are intended to be junior to the Liens of the Collateral Documents) (it being understood that subsequent recordings in the United States Patent and Trademark Office and the United States Copyright Office may be necessary to establish a Lien on registered Patents, Trademarks and Copyrights acquired by the grantors thereof after the Restatement Effective Date).</w:t>
      </w:r>
    </w:p>
    <w:p>
      <w:pPr>
        <w:spacing w:after="0" w:line="186"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Mortgages</w:t>
      </w:r>
      <w:r>
        <w:rPr>
          <w:rFonts w:ascii="Arial" w:cs="Arial" w:eastAsia="Arial" w:hAnsi="Arial"/>
          <w:sz w:val="22"/>
          <w:szCs w:val="22"/>
          <w:color w:val="auto"/>
        </w:rPr>
        <w:t xml:space="preserve">. Upon recording thereof in the appropriate recording office (and payments of all applicable fees), each Mortgage is effective to 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the Mortgaged Property thereunder and the proceeds thereof, subject only to Liens permitted hereunder, and when such Mortgage is filed in the offices specified in the local counsel opinion delivered with respect thereto in accordance with the provisions of </w:t>
      </w:r>
      <w:r>
        <w:rPr>
          <w:rFonts w:ascii="Arial" w:cs="Arial" w:eastAsia="Arial" w:hAnsi="Arial"/>
          <w:sz w:val="22"/>
          <w:szCs w:val="22"/>
          <w:u w:val="single" w:color="auto"/>
          <w:color w:val="auto"/>
        </w:rPr>
        <w:t>Sections 6.11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6.13</w:t>
      </w:r>
      <w:r>
        <w:rPr>
          <w:rFonts w:ascii="Arial" w:cs="Arial" w:eastAsia="Arial" w:hAnsi="Arial"/>
          <w:sz w:val="22"/>
          <w:szCs w:val="22"/>
          <w:color w:val="auto"/>
        </w:rPr>
        <w:t xml:space="preserve">, such Mortgage shall constitute a fully perfected Lien on, and security interest in, all right, title and interest of the Loan Party to such Mortgage in the Mortgaged Property described therein and the proceeds thereof, in each case prior and superior in right to any other Person, other than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9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i w:val="1"/>
          <w:iCs w:val="1"/>
          <w:color w:val="auto"/>
        </w:rPr>
        <w:t>Rolling Stock</w:t>
      </w:r>
      <w:r>
        <w:rPr>
          <w:rFonts w:ascii="Arial" w:cs="Arial" w:eastAsia="Arial" w:hAnsi="Arial"/>
          <w:sz w:val="21"/>
          <w:szCs w:val="21"/>
          <w:color w:val="auto"/>
        </w:rPr>
        <w:t xml:space="preserve">. Upon the recording thereof on the applicable certificate of title (and filing of financing statements and payment of applicable fees, which shall be for the account of the Borrower), the notation of the Administrative Agent’s lien on any rolling stock or other goods subject to a certificate of title is effective to 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such Collateral and the proceeds thereof, subject only to Liens permitted hereunder, in each case prior and superior in right to any other Person, other than Liens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w:t>
      </w:r>
    </w:p>
    <w:p>
      <w:pPr>
        <w:spacing w:after="0" w:line="18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Notwithstanding anything herein (including this </w:t>
      </w:r>
      <w:r>
        <w:rPr>
          <w:rFonts w:ascii="Arial" w:cs="Arial" w:eastAsia="Arial" w:hAnsi="Arial"/>
          <w:sz w:val="22"/>
          <w:szCs w:val="22"/>
          <w:u w:val="single" w:color="auto"/>
          <w:color w:val="auto"/>
        </w:rPr>
        <w:t>Section 5.18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5.04</w:t>
      </w:r>
      <w:r>
        <w:rPr>
          <w:rFonts w:ascii="Arial" w:cs="Arial" w:eastAsia="Arial" w:hAnsi="Arial"/>
          <w:sz w:val="22"/>
          <w:szCs w:val="22"/>
          <w:color w:val="auto"/>
        </w:rPr>
        <w:t>) or in any other Loan Document to the contrary, neither the Borrower nor any other Loan Party makes any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1" w:name="page152"/>
    <w:bookmarkEnd w:id="151"/>
    <w:p>
      <w:pPr>
        <w:jc w:val="both"/>
        <w:spacing w:after="0" w:line="235" w:lineRule="auto"/>
        <w:rPr>
          <w:sz w:val="20"/>
          <w:szCs w:val="20"/>
          <w:color w:val="auto"/>
        </w:rPr>
      </w:pPr>
      <w:r>
        <w:rPr>
          <w:rFonts w:ascii="Arial" w:cs="Arial" w:eastAsia="Arial" w:hAnsi="Arial"/>
          <w:sz w:val="22"/>
          <w:szCs w:val="22"/>
          <w:color w:val="auto"/>
        </w:rPr>
        <w:t xml:space="preserve">representation or warranty as to (A) [reserved]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 or (C) on the Restatement Effective Date and until required pursuant to </w:t>
      </w:r>
      <w:r>
        <w:rPr>
          <w:rFonts w:ascii="Arial" w:cs="Arial" w:eastAsia="Arial" w:hAnsi="Arial"/>
          <w:sz w:val="22"/>
          <w:szCs w:val="22"/>
          <w:u w:val="single" w:color="auto"/>
          <w:color w:val="auto"/>
        </w:rPr>
        <w:t>Section 4.02(d)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6.13</w:t>
      </w:r>
      <w:r>
        <w:rPr>
          <w:rFonts w:ascii="Arial" w:cs="Arial" w:eastAsia="Arial" w:hAnsi="Arial"/>
          <w:sz w:val="22"/>
          <w:szCs w:val="22"/>
          <w:color w:val="auto"/>
        </w:rPr>
        <w:t xml:space="preserve">, the pledge or creation of any security interest, or the effects of perfection or non-perfection, the priority or enforceability of any pledge or security interest to the extent not required on the Restatement Effective Date pursuant to </w:t>
      </w:r>
      <w:r>
        <w:rPr>
          <w:rFonts w:ascii="Arial" w:cs="Arial" w:eastAsia="Arial" w:hAnsi="Arial"/>
          <w:sz w:val="22"/>
          <w:szCs w:val="22"/>
          <w:u w:val="single" w:color="auto"/>
          <w:color w:val="auto"/>
        </w:rPr>
        <w:t>Section 4.02(d)</w:t>
      </w:r>
      <w:r>
        <w:rPr>
          <w:rFonts w:ascii="Arial" w:cs="Arial" w:eastAsia="Arial" w:hAnsi="Arial"/>
          <w:sz w:val="22"/>
          <w:szCs w:val="22"/>
          <w:color w:val="auto"/>
        </w:rPr>
        <w: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Compliance with Anti-Terrorism and Corruption Laws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3" w:lineRule="auto"/>
        <w:tabs>
          <w:tab w:leader="none" w:pos="2399" w:val="left"/>
        </w:tabs>
        <w:numPr>
          <w:ilvl w:val="1"/>
          <w:numId w:val="155"/>
        </w:numPr>
        <w:rPr>
          <w:rFonts w:ascii="Arial" w:cs="Arial" w:eastAsia="Arial" w:hAnsi="Arial"/>
          <w:sz w:val="19"/>
          <w:szCs w:val="19"/>
          <w:color w:val="auto"/>
        </w:rPr>
      </w:pPr>
      <w:r>
        <w:rPr>
          <w:rFonts w:ascii="Arial" w:cs="Arial" w:eastAsia="Arial" w:hAnsi="Arial"/>
          <w:sz w:val="19"/>
          <w:szCs w:val="19"/>
          <w:color w:val="auto"/>
        </w:rPr>
        <w:t>To the extent applicable, the Borrower and the Restricted Subsidiaries are in compliance, in all material respects, with (i) the Trading with the Enemy Act and each of the foreign assets control regulations of the United States Treasury Department (31 CFR, Subtitle B, Chapter V) and any other enabling legislation or executive order relating thereto,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USA PATRIOT Act.</w:t>
      </w:r>
    </w:p>
    <w:p>
      <w:pPr>
        <w:spacing w:after="0" w:line="188" w:lineRule="exact"/>
        <w:rPr>
          <w:rFonts w:ascii="Arial" w:cs="Arial" w:eastAsia="Arial" w:hAnsi="Arial"/>
          <w:sz w:val="22"/>
          <w:szCs w:val="22"/>
          <w:color w:val="auto"/>
        </w:rPr>
      </w:pPr>
    </w:p>
    <w:p>
      <w:pPr>
        <w:jc w:val="both"/>
        <w:ind w:firstLine="872"/>
        <w:spacing w:after="0" w:line="276" w:lineRule="auto"/>
        <w:tabs>
          <w:tab w:leader="none" w:pos="2411" w:val="left"/>
        </w:tabs>
        <w:numPr>
          <w:ilvl w:val="1"/>
          <w:numId w:val="156"/>
        </w:numPr>
        <w:rPr>
          <w:rFonts w:ascii="Arial" w:cs="Arial" w:eastAsia="Arial" w:hAnsi="Arial"/>
          <w:sz w:val="19"/>
          <w:szCs w:val="19"/>
          <w:color w:val="auto"/>
        </w:rPr>
      </w:pPr>
      <w:r>
        <w:rPr>
          <w:rFonts w:ascii="Arial" w:cs="Arial" w:eastAsia="Arial" w:hAnsi="Arial"/>
          <w:sz w:val="19"/>
          <w:szCs w:val="19"/>
          <w:color w:val="auto"/>
        </w:rPr>
        <w:t>None of the Borrower or any Restricted Subsidiary nor, to the knowledge of the Borrower, any director, officer, agent, employee or controlled Affiliate of the Borrower or any Restricted Subsidiary, (i) is a Blocked Person or</w:t>
      </w:r>
    </w:p>
    <w:p>
      <w:pPr>
        <w:spacing w:after="0" w:line="1" w:lineRule="exact"/>
        <w:rPr>
          <w:rFonts w:ascii="Arial" w:cs="Arial" w:eastAsia="Arial" w:hAnsi="Arial"/>
          <w:sz w:val="19"/>
          <w:szCs w:val="19"/>
          <w:color w:val="auto"/>
        </w:rPr>
      </w:pPr>
    </w:p>
    <w:p>
      <w:pPr>
        <w:jc w:val="both"/>
        <w:ind w:firstLine="8"/>
        <w:spacing w:after="0" w:line="287" w:lineRule="auto"/>
        <w:tabs>
          <w:tab w:leader="none" w:pos="33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is currently subject to any U.S. sanctions administered by OFAC that could, individually or in the aggregate, reasonably be expected to have a Material Adverse Effect; and none of the Borrower or any Restricted Subsidiary will use the proceeds of the Loans for the purpose of financing the activities of any Person currently subject to any U.S. sanctions administered by OFAC.</w:t>
      </w:r>
    </w:p>
    <w:p>
      <w:pPr>
        <w:spacing w:after="0" w:line="143"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No part of the proceeds of the Loans will be used by the Borrower or any of the Restricted Subsidiaries,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i w:val="1"/>
          <w:iCs w:val="1"/>
          <w:color w:val="auto"/>
        </w:rPr>
        <w:t>Section 5.20. Real Property Permits</w:t>
      </w:r>
      <w:r>
        <w:rPr>
          <w:rFonts w:ascii="Arial" w:cs="Arial" w:eastAsia="Arial" w:hAnsi="Arial"/>
          <w:sz w:val="22"/>
          <w:szCs w:val="22"/>
          <w:color w:val="auto"/>
        </w:rPr>
        <w:t>. Borrower has all Permits, all of which are in full force and effect as of the date</w:t>
      </w:r>
      <w:r>
        <w:rPr>
          <w:rFonts w:ascii="Arial" w:cs="Arial" w:eastAsia="Arial" w:hAnsi="Arial"/>
          <w:sz w:val="22"/>
          <w:szCs w:val="22"/>
          <w:i w:val="1"/>
          <w:iCs w:val="1"/>
          <w:color w:val="auto"/>
        </w:rPr>
        <w:t xml:space="preserve"> </w:t>
      </w:r>
      <w:r>
        <w:rPr>
          <w:rFonts w:ascii="Arial" w:cs="Arial" w:eastAsia="Arial" w:hAnsi="Arial"/>
          <w:sz w:val="22"/>
          <w:szCs w:val="22"/>
          <w:color w:val="auto"/>
        </w:rPr>
        <w:t>hereof required by the applicable Governmental Authorities in connection with the ownership and operation of any Material Real Property, except to the extent that the failure to have any such Permits would not, individually or in the aggregate, reasonably be expected to have a Material Adverse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FFIRMATIVE</w:t>
      </w:r>
      <w:r>
        <w:rPr>
          <w:rFonts w:ascii="Arial" w:cs="Arial" w:eastAsia="Arial" w:hAnsi="Arial"/>
          <w:sz w:val="22"/>
          <w:szCs w:val="22"/>
          <w:color w:val="auto"/>
        </w:rPr>
        <w:t xml:space="preserve"> C</w:t>
      </w:r>
      <w:r>
        <w:rPr>
          <w:rFonts w:ascii="Arial" w:cs="Arial" w:eastAsia="Arial" w:hAnsi="Arial"/>
          <w:sz w:val="14"/>
          <w:szCs w:val="14"/>
          <w:color w:val="auto"/>
        </w:rPr>
        <w:t>OVENANTS</w:t>
      </w:r>
    </w:p>
    <w:p>
      <w:pPr>
        <w:spacing w:after="0" w:line="20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So long as any Lender shall have any Commitment hereunder or any Loan or other Obligation (other than contingent indemnification or reimbursement obligations) hereunder which is accrued or payable shall remain unpaid or unsatisfied, then from and after the Restatement Effective Date, the Borrower shall and shall (except in the case of the covenants set forth in </w:t>
      </w:r>
      <w:r>
        <w:rPr>
          <w:rFonts w:ascii="Arial" w:cs="Arial" w:eastAsia="Arial" w:hAnsi="Arial"/>
          <w:sz w:val="21"/>
          <w:szCs w:val="21"/>
          <w:u w:val="single" w:color="auto"/>
          <w:color w:val="auto"/>
        </w:rPr>
        <w:t>Sections 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6.02</w:t>
      </w:r>
      <w:r>
        <w:rPr>
          <w:rFonts w:ascii="Arial" w:cs="Arial" w:eastAsia="Arial" w:hAnsi="Arial"/>
          <w:sz w:val="21"/>
          <w:szCs w:val="21"/>
          <w:color w:val="auto"/>
        </w:rPr>
        <w:t xml:space="preserve">, </w:t>
      </w:r>
      <w:r>
        <w:rPr>
          <w:rFonts w:ascii="Arial" w:cs="Arial" w:eastAsia="Arial" w:hAnsi="Arial"/>
          <w:sz w:val="21"/>
          <w:szCs w:val="21"/>
          <w:u w:val="single" w:color="auto"/>
          <w:color w:val="auto"/>
        </w:rPr>
        <w:t>6.03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6.15</w:t>
      </w:r>
      <w:r>
        <w:rPr>
          <w:rFonts w:ascii="Arial" w:cs="Arial" w:eastAsia="Arial" w:hAnsi="Arial"/>
          <w:sz w:val="21"/>
          <w:szCs w:val="21"/>
          <w:color w:val="auto"/>
        </w:rPr>
        <w:t>) cause each of the Restricted Subsidiaries to:</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2" w:name="page153"/>
    <w:bookmarkEnd w:id="152"/>
    <w:p>
      <w:pPr>
        <w:ind w:left="880"/>
        <w:spacing w:after="0"/>
        <w:rPr>
          <w:sz w:val="20"/>
          <w:szCs w:val="20"/>
          <w:color w:val="auto"/>
        </w:rPr>
      </w:pPr>
      <w:r>
        <w:rPr>
          <w:rFonts w:ascii="Arial" w:cs="Arial" w:eastAsia="Arial" w:hAnsi="Arial"/>
          <w:sz w:val="22"/>
          <w:szCs w:val="22"/>
          <w:i w:val="1"/>
          <w:iCs w:val="1"/>
          <w:color w:val="auto"/>
        </w:rPr>
        <w:t>Financial Statements, Reports, Etc</w:t>
      </w:r>
    </w:p>
    <w:p>
      <w:pPr>
        <w:spacing w:after="0" w:line="206" w:lineRule="exact"/>
        <w:rPr>
          <w:sz w:val="20"/>
          <w:szCs w:val="20"/>
          <w:color w:val="auto"/>
        </w:rPr>
      </w:pPr>
    </w:p>
    <w:p>
      <w:pPr>
        <w:ind w:left="1040" w:hanging="168"/>
        <w:spacing w:after="0"/>
        <w:tabs>
          <w:tab w:leader="none" w:pos="1040" w:val="left"/>
        </w:tabs>
        <w:numPr>
          <w:ilvl w:val="0"/>
          <w:numId w:val="158"/>
        </w:numPr>
        <w:rPr>
          <w:rFonts w:ascii="Arial" w:cs="Arial" w:eastAsia="Arial" w:hAnsi="Arial"/>
          <w:sz w:val="21"/>
          <w:szCs w:val="21"/>
          <w:i w:val="1"/>
          <w:iCs w:val="1"/>
          <w:color w:val="auto"/>
        </w:rPr>
      </w:pPr>
      <w:r>
        <w:rPr>
          <w:rFonts w:ascii="Arial" w:cs="Arial" w:eastAsia="Arial" w:hAnsi="Arial"/>
          <w:sz w:val="21"/>
          <w:szCs w:val="21"/>
          <w:color w:val="auto"/>
        </w:rPr>
        <w:t>In the case of the Borrower, deliver to the Administrative Agent for prompt further distribution to each Lender:</w:t>
      </w:r>
    </w:p>
    <w:p>
      <w:pPr>
        <w:spacing w:after="0" w:line="218" w:lineRule="exact"/>
        <w:rPr>
          <w:sz w:val="20"/>
          <w:szCs w:val="20"/>
          <w:color w:val="auto"/>
        </w:rPr>
      </w:pPr>
    </w:p>
    <w:p>
      <w:pPr>
        <w:jc w:val="both"/>
        <w:ind w:firstLine="872"/>
        <w:spacing w:after="0" w:line="272" w:lineRule="auto"/>
        <w:tabs>
          <w:tab w:leader="none" w:pos="239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within 90 days after the end of each fiscal year of the Borrower (beginning with the fiscal year ending December 31, 2019), a consolidated balance sheet of the Borrower and its Subsidiaries as at the end of such fiscal year, and the related consolidated statements of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 (i) shall be prepared in accordance with generally accepted auditing standards, (ii) shall not be subject to qualifications or exceptions as to the scope of such audit, (iii) shall be without a “going concern” disclosure or like qualification or exception (other than with respect to, or disclosure or an exception or qualification solely resulting from, (x) the impending maturity of any Indebtedness or (y) any prospective or actual default under any financial covenant and (iv) shall be accompanied with customary management discussion and analysis;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872"/>
        <w:spacing w:after="0" w:line="274" w:lineRule="auto"/>
        <w:tabs>
          <w:tab w:leader="none" w:pos="241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(3) fiscal quarters of each fiscal year of the Borrower (commencing with the fiscal quarter ended September 30, 2019), a consolidated balance sheet of the Borrower and its Subsidiaries as at the end of such fiscal quarter, and the related (x) consolidated statements of income or operations for such fiscal quarter and for the portion of the fiscal year then ended and (y) consolidated statements of cash flows for such fiscal quarter and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and cash flows of the Borrower and its Subsidiaries in accordance with GAAP, subject only to normal year-end audit adjustments and the absence of footnotes and accompanied by customary management discussion and analysis; and</w:t>
      </w:r>
    </w:p>
    <w:p>
      <w:pPr>
        <w:spacing w:after="0" w:line="158" w:lineRule="exact"/>
        <w:rPr>
          <w:rFonts w:ascii="Arial" w:cs="Arial" w:eastAsia="Arial" w:hAnsi="Arial"/>
          <w:sz w:val="19"/>
          <w:szCs w:val="19"/>
          <w:color w:val="auto"/>
        </w:rPr>
      </w:pPr>
    </w:p>
    <w:p>
      <w:pPr>
        <w:jc w:val="both"/>
        <w:ind w:firstLine="872"/>
        <w:spacing w:after="0" w:line="272" w:lineRule="auto"/>
        <w:tabs>
          <w:tab w:leader="none" w:pos="239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within 90 days after the end of each fiscal year (commencing with the fiscal year ending December 31, 2019) of the Borrower, a reasonably detailed consolidated budget for the following fiscal year on a quarterly basis (including a projected consolidated balance sheet of the Borrower and its Subsidiaries as of the end of the following fiscal year, the related consolidated statements of projected cash flows and projected income and a summary of the material underlying assumptions applicable thereto) (collectively, the “</w:t>
      </w:r>
      <w:r>
        <w:rPr>
          <w:rFonts w:ascii="Arial" w:cs="Arial" w:eastAsia="Arial" w:hAnsi="Arial"/>
          <w:sz w:val="19"/>
          <w:szCs w:val="19"/>
          <w:u w:val="single" w:color="auto"/>
          <w:color w:val="auto"/>
        </w:rPr>
        <w:t>Projections</w:t>
      </w:r>
      <w:r>
        <w:rPr>
          <w:rFonts w:ascii="Arial" w:cs="Arial" w:eastAsia="Arial" w:hAnsi="Arial"/>
          <w:sz w:val="19"/>
          <w:szCs w:val="19"/>
          <w:color w:val="auto"/>
        </w:rPr>
        <w:t>”), which Projections shall in each case be accompanied by a certificate of a Responsible Officer stating that such Projections have been prepared in good faith on the basis of the assumptions stated therein, which assumptions were believed to be reasonable at the time of preparation of such Projections, it being understood by the Agents and the Lenders that such projections as to future events (i) are not to be viewed as facts, (ii)(A) are subject to significant uncertainties and contingencies, which may be beyond the control of the Borrower and its Restricted Subsidiaries, (B) no assurance is given by the Borrower and its Restricted Subsidiaries that the results or forecast in any such projections will be realized and (C) the actual results may differ from the forecast results set forth in such projections and such differences may be material and (iii) are not a guarantee of performance and that actual results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3" w:name="page154"/>
    <w:bookmarkEnd w:id="153"/>
    <w:p>
      <w:pPr>
        <w:jc w:val="both"/>
        <w:ind w:right="20"/>
        <w:spacing w:after="0" w:line="250" w:lineRule="auto"/>
        <w:rPr>
          <w:sz w:val="20"/>
          <w:szCs w:val="20"/>
          <w:color w:val="auto"/>
        </w:rPr>
      </w:pPr>
      <w:r>
        <w:rPr>
          <w:rFonts w:ascii="Arial" w:cs="Arial" w:eastAsia="Arial" w:hAnsi="Arial"/>
          <w:sz w:val="22"/>
          <w:szCs w:val="22"/>
          <w:color w:val="auto"/>
        </w:rPr>
        <w:t>during the period or periods covered by any such projections may vary significantly from the projected results and such differences may be material.</w:t>
      </w:r>
    </w:p>
    <w:p>
      <w:pPr>
        <w:spacing w:after="0" w:line="175"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Notwithstanding the foregoing, the obligations in paragraphs (a) and (b) of this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6.02(b)</w:t>
      </w:r>
      <w:r>
        <w:rPr>
          <w:rFonts w:ascii="Arial" w:cs="Arial" w:eastAsia="Arial" w:hAnsi="Arial"/>
          <w:sz w:val="21"/>
          <w:szCs w:val="21"/>
          <w:color w:val="auto"/>
        </w:rPr>
        <w:t xml:space="preserve"> may be satisfied with respect to information of the Borrower and the Subsidiaries by furnishing within the time period specified in the applicable paragraph (A) the applicable financial statements of the Borrower or (B) the Borrower’s Form l0-K or 10-Q, as applicable, filed with the SEC;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clauses (A) and (B), to the extent such information is in lieu of information required to be provided under </w:t>
      </w:r>
      <w:r>
        <w:rPr>
          <w:rFonts w:ascii="Arial" w:cs="Arial" w:eastAsia="Arial" w:hAnsi="Arial"/>
          <w:sz w:val="21"/>
          <w:szCs w:val="21"/>
          <w:u w:val="single" w:color="auto"/>
          <w:color w:val="auto"/>
        </w:rPr>
        <w:t>Section 6.01(a)</w:t>
      </w:r>
      <w:r>
        <w:rPr>
          <w:rFonts w:ascii="Arial" w:cs="Arial" w:eastAsia="Arial" w:hAnsi="Arial"/>
          <w:sz w:val="21"/>
          <w:szCs w:val="21"/>
          <w:color w:val="auto"/>
        </w:rPr>
        <w:t>, such materials are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 (i) shall be prepared in accordance with generally accepted auditing standards, (ii) shall not be subject to qualifications or exceptions as to the scope of such audit and (iii) shall be without a “going concern” disclosure or like qualification or exception (other than with respect to, or disclosure or an exception or qualification solely resulting from, (A) the impending maturity of any Indebtedness or (B) any prospective or actual default under any financial covenant).</w:t>
      </w:r>
    </w:p>
    <w:p>
      <w:pPr>
        <w:spacing w:after="0" w:line="18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may be delivered electronically and if so delivered, shall be deemed to have been delivered on the earliest date on which (i) Borrower posts such documents, or provides a link thereto on Borrower’s website on the Internet and provides notice thereof to the Administrative Agent; (ii) such documents are posted on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promptly following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Notwithstanding anything contained herein, in every instance the Borrower shall be required to provide paper copies of the Compliance Certificates required by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to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if such Compliance Certificate is first delivered by electronic means, the date of such delivery by electronic means shall constitute the date of delivery for purposes of compliance with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Certificates; Other Information</w:t>
      </w:r>
    </w:p>
    <w:p>
      <w:pPr>
        <w:spacing w:after="0" w:line="206" w:lineRule="exact"/>
        <w:rPr>
          <w:sz w:val="20"/>
          <w:szCs w:val="20"/>
          <w:color w:val="auto"/>
        </w:rPr>
      </w:pPr>
    </w:p>
    <w:p>
      <w:pPr>
        <w:ind w:left="1040" w:hanging="168"/>
        <w:spacing w:after="0"/>
        <w:tabs>
          <w:tab w:leader="none" w:pos="1040" w:val="left"/>
        </w:tabs>
        <w:numPr>
          <w:ilvl w:val="0"/>
          <w:numId w:val="160"/>
        </w:numPr>
        <w:rPr>
          <w:rFonts w:ascii="Arial" w:cs="Arial" w:eastAsia="Arial" w:hAnsi="Arial"/>
          <w:sz w:val="22"/>
          <w:szCs w:val="22"/>
          <w:i w:val="1"/>
          <w:iCs w:val="1"/>
          <w:color w:val="auto"/>
        </w:rPr>
      </w:pPr>
      <w:r>
        <w:rPr>
          <w:rFonts w:ascii="Arial" w:cs="Arial" w:eastAsia="Arial" w:hAnsi="Arial"/>
          <w:sz w:val="22"/>
          <w:szCs w:val="22"/>
          <w:color w:val="auto"/>
        </w:rPr>
        <w:t>Deliver to the Administrative Agent for prompt further distribution to each Lender:</w:t>
      </w:r>
    </w:p>
    <w:p>
      <w:pPr>
        <w:spacing w:after="0" w:line="206" w:lineRule="exact"/>
        <w:rPr>
          <w:sz w:val="20"/>
          <w:szCs w:val="20"/>
          <w:color w:val="auto"/>
        </w:rPr>
      </w:pPr>
    </w:p>
    <w:p>
      <w:pPr>
        <w:jc w:val="both"/>
        <w:ind w:firstLine="872"/>
        <w:spacing w:after="0"/>
        <w:tabs>
          <w:tab w:leader="none" w:pos="239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 xml:space="preserve">no later than five (5) Business Days after the delivery of the financial statements referred to in </w:t>
      </w:r>
      <w:r>
        <w:rPr>
          <w:rFonts w:ascii="Arial" w:cs="Arial" w:eastAsia="Arial" w:hAnsi="Arial"/>
          <w:sz w:val="22"/>
          <w:szCs w:val="22"/>
          <w:u w:val="single" w:color="auto"/>
          <w:color w:val="auto"/>
        </w:rPr>
        <w:t>Sections 6.01(a)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6.01(b)</w:t>
      </w:r>
      <w:r>
        <w:rPr>
          <w:rFonts w:ascii="Arial" w:cs="Arial" w:eastAsia="Arial" w:hAnsi="Arial"/>
          <w:sz w:val="22"/>
          <w:szCs w:val="22"/>
          <w:color w:val="auto"/>
        </w:rPr>
        <w:t xml:space="preserve"> (or the date on which such delivery is required), commencing with the first full fiscal quarter completed after the Restatement Effective Date, a</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4" w:name="page155"/>
    <w:bookmarkEnd w:id="154"/>
    <w:p>
      <w:pPr>
        <w:jc w:val="both"/>
        <w:spacing w:after="0" w:line="245" w:lineRule="auto"/>
        <w:rPr>
          <w:sz w:val="20"/>
          <w:szCs w:val="20"/>
          <w:color w:val="auto"/>
        </w:rPr>
      </w:pPr>
      <w:r>
        <w:rPr>
          <w:rFonts w:ascii="Arial" w:cs="Arial" w:eastAsia="Arial" w:hAnsi="Arial"/>
          <w:sz w:val="21"/>
          <w:szCs w:val="21"/>
          <w:color w:val="auto"/>
        </w:rPr>
        <w:t xml:space="preserve">duly completed Compliance Certificate signed by a Responsible Officer of the Borrower; it being understood that , if applicable for such period of delivery, such Compliance Certificate shall include (i) information about Net Proceeds received in the period for individual amounts greater than $5,000,000 and set forth statements of the Borrower’s intention regarding the use of any portion of such Net Proceeds to acquire, maintain, develop, construct, improve, upgrade or repair assets useful in the business of the Borrower or its Restricted Subsidiaries or to make Permitted Acquisitions or any acquisition permitted hereunder of all or substantially all the assets of, or all the Equity Interests (other than directors qualifying shares) in a Person, division or line of business previously acquired) and (ii) calculations setting forth in reasonable detail the amount of any Cumulative Credit available at the beginning of the applicable period and at the end of such period and the amount and application of any Cumulative Credit during such period (it being understood that the Borrower has the right to reallocate usage of the Cumulative Credit in accordance with </w:t>
      </w:r>
      <w:r>
        <w:rPr>
          <w:rFonts w:ascii="Arial" w:cs="Arial" w:eastAsia="Arial" w:hAnsi="Arial"/>
          <w:sz w:val="21"/>
          <w:szCs w:val="21"/>
          <w:u w:val="single" w:color="auto"/>
          <w:color w:val="auto"/>
        </w:rPr>
        <w:t>Section 1.02(i)</w:t>
      </w:r>
      <w:r>
        <w:rPr>
          <w:rFonts w:ascii="Arial" w:cs="Arial" w:eastAsia="Arial" w:hAnsi="Arial"/>
          <w:sz w:val="21"/>
          <w:szCs w:val="21"/>
          <w:color w:val="auto"/>
        </w:rPr>
        <w:t xml:space="preserve"> from time to time);</w:t>
      </w:r>
    </w:p>
    <w:p>
      <w:pPr>
        <w:spacing w:after="0" w:line="181" w:lineRule="exact"/>
        <w:rPr>
          <w:sz w:val="20"/>
          <w:szCs w:val="20"/>
          <w:color w:val="auto"/>
        </w:rPr>
      </w:pPr>
    </w:p>
    <w:p>
      <w:pPr>
        <w:jc w:val="both"/>
        <w:ind w:firstLine="872"/>
        <w:spacing w:after="0" w:line="282" w:lineRule="auto"/>
        <w:tabs>
          <w:tab w:leader="none" w:pos="241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promptly after the same are publicly available, copies of all annual, regular, periodic and special reports and registration statements which the Borrower or any Restricted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47" w:lineRule="exact"/>
        <w:rPr>
          <w:rFonts w:ascii="Arial" w:cs="Arial" w:eastAsia="Arial" w:hAnsi="Arial"/>
          <w:sz w:val="19"/>
          <w:szCs w:val="19"/>
          <w:color w:val="auto"/>
        </w:rPr>
      </w:pPr>
    </w:p>
    <w:p>
      <w:pPr>
        <w:jc w:val="both"/>
        <w:ind w:firstLine="872"/>
        <w:spacing w:after="0" w:line="235" w:lineRule="auto"/>
        <w:tabs>
          <w:tab w:leader="none" w:pos="239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promptly after the furnishing thereof, copies of any material notices of default received by any Loan Party or Restricted Subsidiary (other than in the ordinary course of business) or furnished to any holder of Indebtedness or debt securities of any Loan Party or of any of its Restricted Subsidiaries pursuant to the terms of the ABL Facility Documentation, any Junior Financing Documentation, any Permitted Additional Debt or any Permitted Refinancing of any thereof, in each case in a principal amount in excess of the Threshold Amount and not otherwise required to be furnished to the Lenders pursuant to any clause of this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872"/>
        <w:spacing w:after="0" w:line="233" w:lineRule="auto"/>
        <w:tabs>
          <w:tab w:leader="none" w:pos="2411"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together with the delivery of each Compliance Certificate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(i) in the case of annual Compliance Certificates only, a report setting forth the information required by sections of the Perfection Certificate describing the legal name and the jurisdiction of organization or formation of each Loan Party and the location of the chief executive office of each Loan Party or confirming that there has been no change in such information since the Restatement Effective Date or the date of the last such report, (ii) a description of each (x) event, condition or circumstance during the last fiscal quarter covered by such Compliance Certificate requiring a mandatory prepayment under </w:t>
      </w:r>
      <w:r>
        <w:rPr>
          <w:rFonts w:ascii="Arial" w:cs="Arial" w:eastAsia="Arial" w:hAnsi="Arial"/>
          <w:sz w:val="22"/>
          <w:szCs w:val="22"/>
          <w:u w:val="single" w:color="auto"/>
          <w:color w:val="auto"/>
        </w:rPr>
        <w:t>Section 2.13(a)</w:t>
      </w:r>
      <w:r>
        <w:rPr>
          <w:rFonts w:ascii="Arial" w:cs="Arial" w:eastAsia="Arial" w:hAnsi="Arial"/>
          <w:sz w:val="22"/>
          <w:szCs w:val="22"/>
          <w:color w:val="auto"/>
        </w:rPr>
        <w:t xml:space="preserve"> and (y) Disposition of owned Real Property on which sits a trucking terminal and adjacent/vacant land located nearby and (iii) a list of each Subsidiary of the Borrower that identifies each Subsidiary as a Loan Party or a non-Loan Party as of the date of delivery of such Compliance Certificate;</w:t>
      </w:r>
    </w:p>
    <w:p>
      <w:pPr>
        <w:spacing w:after="0" w:line="192" w:lineRule="exact"/>
        <w:rPr>
          <w:rFonts w:ascii="Arial" w:cs="Arial" w:eastAsia="Arial" w:hAnsi="Arial"/>
          <w:sz w:val="22"/>
          <w:szCs w:val="22"/>
          <w:color w:val="auto"/>
        </w:rPr>
      </w:pPr>
    </w:p>
    <w:p>
      <w:pPr>
        <w:jc w:val="both"/>
        <w:ind w:firstLine="872"/>
        <w:spacing w:after="0" w:line="238" w:lineRule="auto"/>
        <w:tabs>
          <w:tab w:leader="none" w:pos="239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promptly, such additional information regarding the business, legal, financial or corporate affairs of the Loan Parties or any of their respective Restricted Subsidiaries, </w:t>
      </w:r>
      <w:r>
        <w:rPr>
          <w:rFonts w:ascii="Arial" w:cs="Arial" w:eastAsia="Arial" w:hAnsi="Arial"/>
          <w:sz w:val="22"/>
          <w:szCs w:val="22"/>
          <w:b w:val="1"/>
          <w:bCs w:val="1"/>
          <w:u w:val="single" w:color="auto"/>
          <w:color w:val="0000FF"/>
        </w:rPr>
        <w:t>including the business performance and tax and collateral</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due diligence of the Borrower and its Restricted Subsidiaries,</w:t>
      </w:r>
      <w:r>
        <w:rPr>
          <w:rFonts w:ascii="Arial" w:cs="Arial" w:eastAsia="Arial" w:hAnsi="Arial"/>
          <w:sz w:val="22"/>
          <w:szCs w:val="22"/>
          <w:b w:val="1"/>
          <w:bCs w:val="1"/>
          <w:color w:val="0000FF"/>
        </w:rPr>
        <w:t xml:space="preserve"> </w:t>
      </w:r>
      <w:r>
        <w:rPr>
          <w:rFonts w:ascii="Arial" w:cs="Arial" w:eastAsia="Arial" w:hAnsi="Arial"/>
          <w:sz w:val="22"/>
          <w:szCs w:val="22"/>
          <w:color w:val="000000"/>
        </w:rPr>
        <w:t>as the Administrative Agent or any Lender through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Administrative Agent may from time to time reasonably request;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5" w:name="page156"/>
    <w:bookmarkEnd w:id="155"/>
    <w:p>
      <w:pPr>
        <w:jc w:val="both"/>
        <w:ind w:firstLine="872"/>
        <w:spacing w:after="0"/>
        <w:tabs>
          <w:tab w:leader="none" w:pos="237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promptly after the written request by any Lender, all documentation and other information that such Lender reasonably requests in order to comply with its ongoing obligations under applicable “know your customer” and anti-money laundering rules and regulations, including the USA PATRIOT Act;</w:t>
      </w:r>
    </w:p>
    <w:p>
      <w:pPr>
        <w:spacing w:after="0" w:line="186" w:lineRule="exact"/>
        <w:rPr>
          <w:rFonts w:ascii="Arial" w:cs="Arial" w:eastAsia="Arial" w:hAnsi="Arial"/>
          <w:sz w:val="22"/>
          <w:szCs w:val="22"/>
          <w:color w:val="auto"/>
        </w:rPr>
      </w:pPr>
    </w:p>
    <w:p>
      <w:pPr>
        <w:jc w:val="both"/>
        <w:ind w:firstLine="872"/>
        <w:spacing w:after="0"/>
        <w:tabs>
          <w:tab w:leader="none" w:pos="2411"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promptly after the receipt thereof by the Borrower or any of the Restricted Subsidiaries, a copy of any final “management letter” received by any such Person from its certified public accountants and the management’s response thereto; </w:t>
      </w:r>
      <w:r>
        <w:rPr>
          <w:rFonts w:ascii="Arial" w:cs="Arial" w:eastAsia="Arial" w:hAnsi="Arial"/>
          <w:sz w:val="22"/>
          <w:szCs w:val="22"/>
          <w:color w:val="FF0000"/>
          <w:strike w:val="1"/>
        </w:rPr>
        <w:t>and</w:t>
      </w:r>
    </w:p>
    <w:p>
      <w:pPr>
        <w:spacing w:after="0" w:line="186" w:lineRule="exact"/>
        <w:rPr>
          <w:rFonts w:ascii="Arial" w:cs="Arial" w:eastAsia="Arial" w:hAnsi="Arial"/>
          <w:sz w:val="22"/>
          <w:szCs w:val="22"/>
          <w:color w:val="auto"/>
        </w:rPr>
      </w:pPr>
    </w:p>
    <w:p>
      <w:pPr>
        <w:jc w:val="both"/>
        <w:ind w:firstLine="872"/>
        <w:spacing w:after="0" w:line="245" w:lineRule="auto"/>
        <w:tabs>
          <w:tab w:leader="none" w:pos="2411"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promptly following any request therefor by the Administrative Agent or any Lender, copies of (i) any material documents described in Section 101(k) of ERISA that any Loan Party may request with respect to any Multiemployer Plan and (ii) any material notices described in Section 101(l) of ERISA that any Loan Party may request with respect to any Plan or Multiemployer Plan,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Loan Party has not requested such material documents or material notices from the administrator or sponsor of the applicable Plan or Multiemployer Plan, such Loan Party shall make a request for such material documents or material notices from the such administrator or sponsor at the earliest date on which such Loan Party determines that it is commercially reasonable to so request in order to avoid the occurrence of an event that could reasonably be expected to result in a material liability, and shall provide copies of such material documents and material notices promptly after receipt thereof</w:t>
      </w:r>
      <w:r>
        <w:rPr>
          <w:rFonts w:ascii="Arial" w:cs="Arial" w:eastAsia="Arial" w:hAnsi="Arial"/>
          <w:sz w:val="21"/>
          <w:szCs w:val="21"/>
          <w:color w:val="FF0000"/>
          <w:strike w:val="1"/>
        </w:rPr>
        <w:t>.</w:t>
      </w:r>
      <w:r>
        <w:rPr>
          <w:rFonts w:ascii="Arial" w:cs="Arial" w:eastAsia="Arial" w:hAnsi="Arial"/>
          <w:sz w:val="21"/>
          <w:szCs w:val="21"/>
          <w:b w:val="1"/>
          <w:bCs w:val="1"/>
          <w:u w:val="single" w:color="auto"/>
          <w:color w:val="0000FF"/>
        </w:rPr>
        <w:t>; and</w:t>
      </w:r>
    </w:p>
    <w:p>
      <w:pPr>
        <w:spacing w:after="0" w:line="178" w:lineRule="exact"/>
        <w:rPr>
          <w:rFonts w:ascii="Arial" w:cs="Arial" w:eastAsia="Arial" w:hAnsi="Arial"/>
          <w:sz w:val="21"/>
          <w:szCs w:val="21"/>
          <w:color w:val="auto"/>
        </w:rPr>
      </w:pPr>
    </w:p>
    <w:p>
      <w:pPr>
        <w:ind w:firstLine="872"/>
        <w:spacing w:after="0" w:line="280" w:lineRule="auto"/>
        <w:tabs>
          <w:tab w:leader="none" w:pos="2363" w:val="left"/>
        </w:tabs>
        <w:numPr>
          <w:ilvl w:val="0"/>
          <w:numId w:val="163"/>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promptly after the furnishing thereof (and in no event later than three Business Days after the delivery thereof), a copy of each borrowing base certificate delivered under the ABL Credit Agreement.</w:t>
      </w:r>
    </w:p>
    <w:p>
      <w:pPr>
        <w:spacing w:after="0" w:line="1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anything to the contrary, neither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or any binding agreement, or (iii) that is subject to attorney client or similar privilege or constitutes attorney work product.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Notices</w:t>
      </w:r>
    </w:p>
    <w:p>
      <w:pPr>
        <w:spacing w:after="0" w:line="206" w:lineRule="exact"/>
        <w:rPr>
          <w:sz w:val="20"/>
          <w:szCs w:val="20"/>
          <w:color w:val="auto"/>
        </w:rPr>
      </w:pPr>
    </w:p>
    <w:p>
      <w:pPr>
        <w:ind w:firstLine="872"/>
        <w:spacing w:after="0" w:line="250" w:lineRule="auto"/>
        <w:tabs>
          <w:tab w:leader="none" w:pos="1093" w:val="left"/>
        </w:tabs>
        <w:numPr>
          <w:ilvl w:val="0"/>
          <w:numId w:val="164"/>
        </w:numPr>
        <w:rPr>
          <w:rFonts w:ascii="Arial" w:cs="Arial" w:eastAsia="Arial" w:hAnsi="Arial"/>
          <w:sz w:val="22"/>
          <w:szCs w:val="22"/>
          <w:i w:val="1"/>
          <w:iCs w:val="1"/>
          <w:color w:val="auto"/>
        </w:rPr>
      </w:pPr>
      <w:r>
        <w:rPr>
          <w:rFonts w:ascii="Arial" w:cs="Arial" w:eastAsia="Arial" w:hAnsi="Arial"/>
          <w:sz w:val="22"/>
          <w:szCs w:val="22"/>
          <w:color w:val="auto"/>
        </w:rPr>
        <w:t>Promptly after the Borrower or any Guarantor has obtained knowledge thereof, notify the Administrative Agent (which shall provide notice to the Lenders):</w:t>
      </w:r>
    </w:p>
    <w:p>
      <w:pPr>
        <w:spacing w:after="0" w:line="175" w:lineRule="exact"/>
        <w:rPr>
          <w:sz w:val="20"/>
          <w:szCs w:val="20"/>
          <w:color w:val="auto"/>
        </w:rPr>
      </w:pPr>
    </w:p>
    <w:p>
      <w:pPr>
        <w:ind w:left="2400" w:hanging="1528"/>
        <w:spacing w:after="0"/>
        <w:tabs>
          <w:tab w:leader="none" w:pos="24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of the occurrence of any Default;</w:t>
      </w:r>
    </w:p>
    <w:p>
      <w:pPr>
        <w:spacing w:after="0" w:line="206" w:lineRule="exact"/>
        <w:rPr>
          <w:rFonts w:ascii="Arial" w:cs="Arial" w:eastAsia="Arial" w:hAnsi="Arial"/>
          <w:sz w:val="22"/>
          <w:szCs w:val="22"/>
          <w:color w:val="auto"/>
        </w:rPr>
      </w:pPr>
    </w:p>
    <w:p>
      <w:pPr>
        <w:ind w:left="2420" w:hanging="1548"/>
        <w:spacing w:after="0"/>
        <w:tabs>
          <w:tab w:leader="none" w:pos="242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 Adverse Effect;</w:t>
      </w:r>
    </w:p>
    <w:p>
      <w:pPr>
        <w:spacing w:after="0" w:line="240" w:lineRule="exact"/>
        <w:rPr>
          <w:rFonts w:ascii="Arial" w:cs="Arial" w:eastAsia="Arial" w:hAnsi="Arial"/>
          <w:sz w:val="19"/>
          <w:szCs w:val="19"/>
          <w:color w:val="auto"/>
        </w:rPr>
      </w:pPr>
    </w:p>
    <w:p>
      <w:pPr>
        <w:jc w:val="both"/>
        <w:ind w:firstLine="872"/>
        <w:spacing w:after="0" w:line="252" w:lineRule="auto"/>
        <w:tabs>
          <w:tab w:leader="none" w:pos="2399" w:val="left"/>
        </w:tabs>
        <w:numPr>
          <w:ilvl w:val="0"/>
          <w:numId w:val="165"/>
        </w:numPr>
        <w:rPr>
          <w:rFonts w:ascii="Arial" w:cs="Arial" w:eastAsia="Arial" w:hAnsi="Arial"/>
          <w:sz w:val="21"/>
          <w:szCs w:val="21"/>
          <w:color w:val="auto"/>
        </w:rPr>
      </w:pPr>
      <w:r>
        <w:rPr>
          <w:rFonts w:ascii="Arial" w:cs="Arial" w:eastAsia="Arial" w:hAnsi="Arial"/>
          <w:sz w:val="21"/>
          <w:szCs w:val="21"/>
          <w:color w:val="auto"/>
        </w:rPr>
        <w:t>of the filing or commencement of, or any written threat or written notice of intention of any person to file or commence, any action, suit, litigation or proceeding, whether at law or in equity by or before any Governmental Authority, against the Borrower or any of its Restricted Subsidiaries that has a reasonable likelihood of adverse determination and such determination could reasonably be expected to result in a Material Adverse Effect; and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jc w:val="both"/>
        <w:ind w:firstLine="872"/>
        <w:spacing w:after="0"/>
        <w:tabs>
          <w:tab w:leader="none" w:pos="2411" w:val="left"/>
        </w:tabs>
        <w:numPr>
          <w:ilvl w:val="0"/>
          <w:numId w:val="166"/>
        </w:numPr>
        <w:rPr>
          <w:rFonts w:ascii="Arial" w:cs="Arial" w:eastAsia="Arial" w:hAnsi="Arial"/>
          <w:sz w:val="22"/>
          <w:szCs w:val="22"/>
          <w:color w:val="auto"/>
        </w:rPr>
      </w:pPr>
      <w:r>
        <w:rPr>
          <w:rFonts w:ascii="Arial" w:cs="Arial" w:eastAsia="Arial" w:hAnsi="Arial"/>
          <w:sz w:val="22"/>
          <w:szCs w:val="22"/>
          <w:color w:val="auto"/>
        </w:rPr>
        <w:t>of the occurrence of any ERISA Event following the Restatement Effective Date that, alone or together with any other ERISA Events that have occurred following the Restatement Effective Date, could reasonably be expected to result in a Material Adverse Effect.</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Each notice pursuant to this Section shall be accompanied by a written statement of a Responsible Officer of the Borrower (x) that such notice is being delivered pursuant to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(as applicable) and (y) setting forth details of the occurrence referred to in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as applicable, and stating what action the Borrower has taken and proposes to take with respect thereto.</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Payment of Taxes</w:t>
      </w:r>
    </w:p>
    <w:p>
      <w:pPr>
        <w:spacing w:after="0" w:line="206" w:lineRule="exact"/>
        <w:rPr>
          <w:sz w:val="20"/>
          <w:szCs w:val="20"/>
          <w:color w:val="auto"/>
        </w:rPr>
      </w:pPr>
    </w:p>
    <w:p>
      <w:pPr>
        <w:jc w:val="both"/>
        <w:ind w:firstLine="872"/>
        <w:spacing w:after="0" w:line="248" w:lineRule="auto"/>
        <w:tabs>
          <w:tab w:leader="none" w:pos="1039" w:val="left"/>
        </w:tabs>
        <w:numPr>
          <w:ilvl w:val="0"/>
          <w:numId w:val="167"/>
        </w:numPr>
        <w:rPr>
          <w:rFonts w:ascii="Arial" w:cs="Arial" w:eastAsia="Arial" w:hAnsi="Arial"/>
          <w:sz w:val="21"/>
          <w:szCs w:val="21"/>
          <w:i w:val="1"/>
          <w:iCs w:val="1"/>
          <w:color w:val="auto"/>
        </w:rPr>
      </w:pPr>
      <w:r>
        <w:rPr>
          <w:rFonts w:ascii="Arial" w:cs="Arial" w:eastAsia="Arial" w:hAnsi="Arial"/>
          <w:sz w:val="21"/>
          <w:szCs w:val="21"/>
          <w:color w:val="auto"/>
        </w:rPr>
        <w:t>Promptly pay, discharge or otherwise satisfy as the same shall become due and payable in the normal conduct of its business, all its obligations and liabilities in respect of Taxes imposed upon it or upon its income or profits or in respect of its property, except, to the extent any such Tax is being contested in good faith and by appropriate proceedings for which appropriate reserves have been established in accordance with GAAP if such contest shall have the effect of suspending enforcement or collection of such Taxes or, where the failure to pay, discharge or otherwise satisfy the same would not reasonably be expected to have, individually or in the aggregate, a Material Adverse Effect.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Preservation of Existence, Etc</w:t>
      </w:r>
    </w:p>
    <w:p>
      <w:pPr>
        <w:spacing w:after="0" w:line="206" w:lineRule="exact"/>
        <w:rPr>
          <w:sz w:val="20"/>
          <w:szCs w:val="20"/>
          <w:color w:val="auto"/>
        </w:rPr>
      </w:pPr>
    </w:p>
    <w:p>
      <w:pPr>
        <w:jc w:val="both"/>
        <w:ind w:firstLine="872"/>
        <w:spacing w:after="0" w:line="248" w:lineRule="auto"/>
        <w:tabs>
          <w:tab w:leader="none" w:pos="1053" w:val="left"/>
        </w:tabs>
        <w:numPr>
          <w:ilvl w:val="0"/>
          <w:numId w:val="168"/>
        </w:numPr>
        <w:rPr>
          <w:rFonts w:ascii="Arial" w:cs="Arial" w:eastAsia="Arial" w:hAnsi="Arial"/>
          <w:sz w:val="21"/>
          <w:szCs w:val="21"/>
          <w:i w:val="1"/>
          <w:iCs w:val="1"/>
          <w:color w:val="auto"/>
        </w:rPr>
      </w:pPr>
      <w:r>
        <w:rPr>
          <w:rFonts w:ascii="Arial" w:cs="Arial" w:eastAsia="Arial" w:hAnsi="Arial"/>
          <w:sz w:val="21"/>
          <w:szCs w:val="21"/>
          <w:color w:val="auto"/>
        </w:rPr>
        <w:t xml:space="preserve">(a) Preserve, renew and maintain in full force and effect its legal existence under the Laws of the jurisdiction of its organization except in a transaction permitted by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and (b) obtain, maintain, renew, extend and keep in full force and effect all rights, privileges (including its good standing where applicable in the relevant jurisdiction), permits, licenses and franchises necessary or desirable in the normal conduct of its business, except, in the case of clause (a) (other than with respect to the Borrower) or (b), to the extent that failure to do so would not reasonably be expected to have, individually or in the aggregate, a Material Adverse Effect.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Maintenance of Properties</w:t>
      </w:r>
    </w:p>
    <w:p>
      <w:pPr>
        <w:spacing w:after="0" w:line="206" w:lineRule="exact"/>
        <w:rPr>
          <w:sz w:val="20"/>
          <w:szCs w:val="20"/>
          <w:color w:val="auto"/>
        </w:rPr>
      </w:pPr>
    </w:p>
    <w:p>
      <w:pPr>
        <w:jc w:val="both"/>
        <w:ind w:firstLine="872"/>
        <w:spacing w:after="0" w:line="282" w:lineRule="auto"/>
        <w:tabs>
          <w:tab w:leader="none" w:pos="1053" w:val="left"/>
        </w:tabs>
        <w:numPr>
          <w:ilvl w:val="0"/>
          <w:numId w:val="169"/>
        </w:numPr>
        <w:rPr>
          <w:rFonts w:ascii="Arial" w:cs="Arial" w:eastAsia="Arial" w:hAnsi="Arial"/>
          <w:sz w:val="19"/>
          <w:szCs w:val="19"/>
          <w:i w:val="1"/>
          <w:iCs w:val="1"/>
          <w:color w:val="auto"/>
        </w:rPr>
      </w:pPr>
      <w:r>
        <w:rPr>
          <w:rFonts w:ascii="Arial" w:cs="Arial" w:eastAsia="Arial" w:hAnsi="Arial"/>
          <w:sz w:val="19"/>
          <w:szCs w:val="19"/>
          <w:color w:val="auto"/>
        </w:rPr>
        <w:t>Except if the failure to do so could not reasonably be expected to have, individually or in the aggregate, a Material Adverse Effect, (a) maintain, preserve and protect all of its properties and equipment necessary in the operation of its business in satisfactory working order, repair and condition, ordinary wear and tear excepted and fire, casualty or condemnation excepted, and (b) make all necessary renewals, replacements, modifications, improvements, upgrades, extensions and additions thereof or thereto in accordance with prudent industry practice and in the normal conduct of its business.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Maintenance of Insurance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spacing w:after="0"/>
        <w:tabs>
          <w:tab w:leader="none" w:pos="2380" w:val="left"/>
          <w:tab w:leader="none" w:pos="3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i w:val="1"/>
          <w:iCs w:val="1"/>
          <w:color w:val="auto"/>
        </w:rPr>
        <w:t>Generally</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Maintain with financially sound and reputable insurance companies, insurance with</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respect to its properties and business consistent in all material respects with the insurance maintained by Borrower and/or such Restricted Subsidiaries (as applicable) as of the Restatement Effective Date, which insurance shall insure against loss or damage of the kinds customarily insured against by Persons engaged in the same or similar business, and which insurance shall be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 in such similar or same locations.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7" w:name="page158"/>
    <w:bookmarkEnd w:id="157"/>
    <w:p>
      <w:pPr>
        <w:jc w:val="both"/>
        <w:ind w:firstLine="864"/>
        <w:spacing w:after="0" w:line="270"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Requirements of Insurance</w:t>
      </w:r>
      <w:r>
        <w:rPr>
          <w:rFonts w:ascii="Arial" w:cs="Arial" w:eastAsia="Arial" w:hAnsi="Arial"/>
          <w:sz w:val="19"/>
          <w:szCs w:val="19"/>
          <w:color w:val="auto"/>
        </w:rPr>
        <w:t xml:space="preserve">. (A) Use commercially reasonable efforts to cause, not later than 30 days after the Restatement Effective Date (or such longer period as the Required Lenders may agree in writing in their reasonable discretion), all insurance required pursuant to </w:t>
      </w:r>
      <w:r>
        <w:rPr>
          <w:rFonts w:ascii="Arial" w:cs="Arial" w:eastAsia="Arial" w:hAnsi="Arial"/>
          <w:sz w:val="19"/>
          <w:szCs w:val="19"/>
          <w:u w:val="single" w:color="auto"/>
          <w:color w:val="auto"/>
        </w:rPr>
        <w:t>Section 6.07(a</w:t>
      </w:r>
      <w:r>
        <w:rPr>
          <w:rFonts w:ascii="Arial" w:cs="Arial" w:eastAsia="Arial" w:hAnsi="Arial"/>
          <w:sz w:val="19"/>
          <w:szCs w:val="19"/>
          <w:color w:val="auto"/>
        </w:rPr>
        <w:t>)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(x) to provide (and to continue to provide at all times thereafter) that it shall not be canceled, materially modified or not renewed (i) by reason of nonpayment of premium upon not less than 10 days’ prior written notice thereof by the insurer to the Administrative Agent and the Collateral Agent or</w:t>
      </w:r>
    </w:p>
    <w:p>
      <w:pPr>
        <w:spacing w:after="0" w:line="4" w:lineRule="exact"/>
        <w:rPr>
          <w:sz w:val="20"/>
          <w:szCs w:val="20"/>
          <w:color w:val="auto"/>
        </w:rPr>
      </w:pPr>
    </w:p>
    <w:p>
      <w:pPr>
        <w:jc w:val="both"/>
        <w:ind w:firstLine="8"/>
        <w:spacing w:after="0" w:line="269" w:lineRule="auto"/>
        <w:tabs>
          <w:tab w:leader="none" w:pos="33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for any other reason upon not less than 20 days’ prior written notice thereof by the insurer to the Administrative Agent and the Collateral Agent and (y) subject to the terms, conditions and provisions of the ABL Intercreditor Agreement to name the Collateral Agent as additional insured on behalf of the Secured Parties (in the case of liability insurance) or loss payee (in the case of property insurance), as applicable (and to continue to so name the Collateral Agent at all times thereafter), (B) use commercially reasonable efforts to deliver, not later than 30 days after the Restatement Effective Date (or such longer period as the Administrative Agent, with the consent of the Required Lenders, may agree in writing in its reasonable discretion), a copy of the policy (and to the extent any such policy is cancelled or not renewed, a renewal or replacement policy) or other evidence thereof to the Administrative Agent and the Collateral Agent, or insurance certificate with respect thereto, and (C) in the case of all property insurance policies located in the United States, not later than 30 days after the Restatement Effective Date (or such longer period as the Administrative Agent may agree in writing in its reasonable discretion) cause such policies to be endorsed or otherwise amended to include a “standard” or “New York” lender’s loss payable endorsement, in form and substance reasonably satisfactory to the Administrative Agent and the Collateral Agent, which endorsement shall provide that, from and after such date, if the insurance carrier shall have received written notice from the Administrative Agent or the Collateral Agent of the occurrence of an Event of Default, the insurance carrier shall pay all proceeds otherwise payable to the Borrower or the Loan Parties under such policies directly to the Collateral Agent during the continuance of such Event of Default.</w:t>
      </w:r>
    </w:p>
    <w:p>
      <w:pPr>
        <w:spacing w:after="0" w:line="169" w:lineRule="exact"/>
        <w:rPr>
          <w:rFonts w:ascii="Arial" w:cs="Arial" w:eastAsia="Arial" w:hAnsi="Arial"/>
          <w:sz w:val="19"/>
          <w:szCs w:val="19"/>
          <w:color w:val="auto"/>
        </w:rPr>
      </w:pPr>
    </w:p>
    <w:p>
      <w:pPr>
        <w:jc w:val="both"/>
        <w:ind w:firstLine="872"/>
        <w:spacing w:after="0"/>
        <w:tabs>
          <w:tab w:leader="none" w:pos="2399" w:val="left"/>
        </w:tabs>
        <w:numPr>
          <w:ilvl w:val="1"/>
          <w:numId w:val="170"/>
        </w:numPr>
        <w:rPr>
          <w:rFonts w:ascii="Arial" w:cs="Arial" w:eastAsia="Arial" w:hAnsi="Arial"/>
          <w:sz w:val="22"/>
          <w:szCs w:val="22"/>
          <w:color w:val="auto"/>
        </w:rPr>
      </w:pPr>
      <w:r>
        <w:rPr>
          <w:rFonts w:ascii="Arial" w:cs="Arial" w:eastAsia="Arial" w:hAnsi="Arial"/>
          <w:sz w:val="22"/>
          <w:szCs w:val="22"/>
          <w:i w:val="1"/>
          <w:iCs w:val="1"/>
          <w:color w:val="auto"/>
        </w:rPr>
        <w:t>Flood Insurance</w:t>
      </w:r>
      <w:r>
        <w:rPr>
          <w:rFonts w:ascii="Arial" w:cs="Arial" w:eastAsia="Arial" w:hAnsi="Arial"/>
          <w:sz w:val="22"/>
          <w:szCs w:val="22"/>
          <w:color w:val="auto"/>
        </w:rPr>
        <w:t>. Following the Restatement Effective Date, the Borrower shall deliver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Collateral Agent and the Required Lenders annual renewals of the flood insurance policy under the property policy or annual renewals of a force-placed flood insurance policy.</w:t>
      </w:r>
    </w:p>
    <w:p>
      <w:pPr>
        <w:spacing w:after="0" w:line="186" w:lineRule="exact"/>
        <w:rPr>
          <w:rFonts w:ascii="Arial" w:cs="Arial" w:eastAsia="Arial" w:hAnsi="Arial"/>
          <w:sz w:val="22"/>
          <w:szCs w:val="22"/>
          <w:color w:val="auto"/>
        </w:rPr>
      </w:pPr>
    </w:p>
    <w:p>
      <w:pPr>
        <w:jc w:val="both"/>
        <w:ind w:firstLine="872"/>
        <w:spacing w:after="0" w:line="277" w:lineRule="auto"/>
        <w:tabs>
          <w:tab w:leader="none" w:pos="2411" w:val="left"/>
        </w:tabs>
        <w:numPr>
          <w:ilvl w:val="1"/>
          <w:numId w:val="170"/>
        </w:numPr>
        <w:rPr>
          <w:rFonts w:ascii="Arial" w:cs="Arial" w:eastAsia="Arial" w:hAnsi="Arial"/>
          <w:sz w:val="19"/>
          <w:szCs w:val="19"/>
          <w:color w:val="auto"/>
        </w:rPr>
      </w:pPr>
      <w:r>
        <w:rPr>
          <w:rFonts w:ascii="Arial" w:cs="Arial" w:eastAsia="Arial" w:hAnsi="Arial"/>
          <w:sz w:val="19"/>
          <w:szCs w:val="19"/>
          <w:i w:val="1"/>
          <w:iCs w:val="1"/>
          <w:color w:val="auto"/>
        </w:rPr>
        <w:t xml:space="preserve">Environmental Insurance. </w:t>
      </w:r>
      <w:r>
        <w:rPr>
          <w:rFonts w:ascii="Arial" w:cs="Arial" w:eastAsia="Arial" w:hAnsi="Arial"/>
          <w:sz w:val="19"/>
          <w:szCs w:val="19"/>
          <w:color w:val="auto"/>
        </w:rPr>
        <w:t>Maintain with financially sound and reputable insurance companies,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premises pollution liability portfolio insurance and storage tank third-party liability, corrective and clean-up insurance policy with respect to its properties and business for an initial three year policy period commencing on the date hereof and with limits not less than, and with terms and conditions comparable to, the limits, terms and conditions in such policies that are in effect as of the date hereof, and subject to annual renewals after such initial three year policy period, which insurance shall be reasonably satisfactory to the Required Lenders. The Borrower shall purchase such insurance required under this </w:t>
      </w:r>
      <w:r>
        <w:rPr>
          <w:rFonts w:ascii="Arial" w:cs="Arial" w:eastAsia="Arial" w:hAnsi="Arial"/>
          <w:sz w:val="19"/>
          <w:szCs w:val="19"/>
          <w:u w:val="single" w:color="auto"/>
          <w:color w:val="auto"/>
        </w:rPr>
        <w:t>Section 6.07(d)</w:t>
      </w:r>
      <w:r>
        <w:rPr>
          <w:rFonts w:ascii="Arial" w:cs="Arial" w:eastAsia="Arial" w:hAnsi="Arial"/>
          <w:sz w:val="19"/>
          <w:szCs w:val="19"/>
          <w:color w:val="auto"/>
        </w:rPr>
        <w:t xml:space="preserve"> within 30 days following the Restatement Effective Date and provide evidence thereof to the Administrative Agent.</w:t>
      </w:r>
    </w:p>
    <w:p>
      <w:pPr>
        <w:spacing w:after="0" w:line="151" w:lineRule="exact"/>
        <w:rPr>
          <w:rFonts w:ascii="Arial" w:cs="Arial" w:eastAsia="Arial" w:hAnsi="Arial"/>
          <w:sz w:val="19"/>
          <w:szCs w:val="19"/>
          <w:color w:val="auto"/>
        </w:rPr>
      </w:pPr>
    </w:p>
    <w:p>
      <w:pPr>
        <w:jc w:val="both"/>
        <w:ind w:firstLine="872"/>
        <w:spacing w:after="0" w:line="238" w:lineRule="auto"/>
        <w:tabs>
          <w:tab w:leader="none" w:pos="2399"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xml:space="preserve">Notify the Administrative Agent and the Collateral Agent (for distribution to the Lenders) promptly whenever any separate insurance concurrent in form or contributing in the event of material loss with that required to be maintained under this </w:t>
      </w:r>
      <w:r>
        <w:rPr>
          <w:rFonts w:ascii="Arial" w:cs="Arial" w:eastAsia="Arial" w:hAnsi="Arial"/>
          <w:sz w:val="22"/>
          <w:szCs w:val="22"/>
          <w:u w:val="single" w:color="auto"/>
          <w:color w:val="auto"/>
        </w:rPr>
        <w:t>Section 6.07</w:t>
      </w:r>
      <w:r>
        <w:rPr>
          <w:rFonts w:ascii="Arial" w:cs="Arial" w:eastAsia="Arial" w:hAnsi="Arial"/>
          <w:sz w:val="22"/>
          <w:szCs w:val="22"/>
          <w:color w:val="auto"/>
        </w:rPr>
        <w:t xml:space="preserve"> is taken out by the Borrower or another Loan Party; and promptly deliver to the Administrative Agent and the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8" w:name="page159"/>
    <w:bookmarkEnd w:id="158"/>
    <w:p>
      <w:pPr>
        <w:spacing w:after="0" w:line="250" w:lineRule="auto"/>
        <w:rPr>
          <w:sz w:val="20"/>
          <w:szCs w:val="20"/>
          <w:color w:val="auto"/>
        </w:rPr>
      </w:pPr>
      <w:r>
        <w:rPr>
          <w:rFonts w:ascii="Arial" w:cs="Arial" w:eastAsia="Arial" w:hAnsi="Arial"/>
          <w:sz w:val="22"/>
          <w:szCs w:val="22"/>
          <w:color w:val="auto"/>
        </w:rPr>
        <w:t>Collateral Agent a duplicate original copy of such policy or policies, or an insurance certificate with respect thereto once available.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Compliance with Laws</w:t>
      </w:r>
    </w:p>
    <w:p>
      <w:pPr>
        <w:spacing w:after="0" w:line="206" w:lineRule="exact"/>
        <w:rPr>
          <w:sz w:val="20"/>
          <w:szCs w:val="20"/>
          <w:color w:val="auto"/>
        </w:rPr>
      </w:pPr>
    </w:p>
    <w:p>
      <w:pPr>
        <w:jc w:val="both"/>
        <w:ind w:firstLine="872"/>
        <w:spacing w:after="0"/>
        <w:tabs>
          <w:tab w:leader="none" w:pos="1080" w:val="left"/>
        </w:tabs>
        <w:numPr>
          <w:ilvl w:val="0"/>
          <w:numId w:val="171"/>
        </w:numPr>
        <w:rPr>
          <w:rFonts w:ascii="Arial" w:cs="Arial" w:eastAsia="Arial" w:hAnsi="Arial"/>
          <w:sz w:val="22"/>
          <w:szCs w:val="22"/>
          <w:i w:val="1"/>
          <w:iCs w:val="1"/>
          <w:color w:val="auto"/>
        </w:rPr>
      </w:pPr>
      <w:r>
        <w:rPr>
          <w:rFonts w:ascii="Arial" w:cs="Arial" w:eastAsia="Arial" w:hAnsi="Arial"/>
          <w:sz w:val="22"/>
          <w:szCs w:val="22"/>
          <w:color w:val="auto"/>
        </w:rPr>
        <w:t>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Books and Records</w:t>
      </w:r>
    </w:p>
    <w:p>
      <w:pPr>
        <w:spacing w:after="0" w:line="206" w:lineRule="exact"/>
        <w:rPr>
          <w:sz w:val="20"/>
          <w:szCs w:val="20"/>
          <w:color w:val="auto"/>
        </w:rPr>
      </w:pPr>
    </w:p>
    <w:p>
      <w:pPr>
        <w:jc w:val="both"/>
        <w:ind w:firstLine="872"/>
        <w:spacing w:after="0" w:line="297" w:lineRule="auto"/>
        <w:tabs>
          <w:tab w:leader="none" w:pos="1039" w:val="left"/>
        </w:tabs>
        <w:numPr>
          <w:ilvl w:val="0"/>
          <w:numId w:val="172"/>
        </w:numPr>
        <w:rPr>
          <w:rFonts w:ascii="Arial" w:cs="Arial" w:eastAsia="Arial" w:hAnsi="Arial"/>
          <w:sz w:val="19"/>
          <w:szCs w:val="19"/>
          <w:i w:val="1"/>
          <w:iCs w:val="1"/>
          <w:color w:val="auto"/>
        </w:rPr>
      </w:pPr>
      <w:r>
        <w:rPr>
          <w:rFonts w:ascii="Arial" w:cs="Arial" w:eastAsia="Arial" w:hAnsi="Arial"/>
          <w:sz w:val="19"/>
          <w:szCs w:val="19"/>
          <w:color w:val="auto"/>
        </w:rPr>
        <w:t>Maintain proper books of record and account, in which entries are made that are full, true and correct in all material respects and are in conformity with GAAP (except as noted therein) and which reflect all material financial transactions and matters involving the assets and business of the Borrower or a Restricted Subsidiary, as the case may be.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Inspection Rights</w:t>
      </w:r>
    </w:p>
    <w:p>
      <w:pPr>
        <w:spacing w:after="0" w:line="206" w:lineRule="exact"/>
        <w:rPr>
          <w:sz w:val="20"/>
          <w:szCs w:val="20"/>
          <w:color w:val="auto"/>
        </w:rPr>
      </w:pPr>
    </w:p>
    <w:p>
      <w:pPr>
        <w:jc w:val="both"/>
        <w:ind w:firstLine="872"/>
        <w:spacing w:after="0" w:line="244" w:lineRule="auto"/>
        <w:tabs>
          <w:tab w:leader="none" w:pos="1107" w:val="left"/>
        </w:tabs>
        <w:numPr>
          <w:ilvl w:val="0"/>
          <w:numId w:val="173"/>
        </w:numPr>
        <w:rPr>
          <w:rFonts w:ascii="Arial" w:cs="Arial" w:eastAsia="Arial" w:hAnsi="Arial"/>
          <w:sz w:val="21"/>
          <w:szCs w:val="21"/>
          <w:i w:val="1"/>
          <w:iCs w:val="1"/>
          <w:color w:val="auto"/>
        </w:rPr>
      </w:pPr>
      <w:r>
        <w:rPr>
          <w:rFonts w:ascii="Arial" w:cs="Arial" w:eastAsia="Arial" w:hAnsi="Arial"/>
          <w:sz w:val="21"/>
          <w:szCs w:val="21"/>
          <w:color w:val="auto"/>
        </w:rPr>
        <w:t xml:space="preserve">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subject to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confidentiality obligations, limitations imposed by law and attorney-client privilege and at such reasonable times during normal business hours and as often as may be reasonably desired, upon reasonable advance notice to the Borrower;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excluding any such visits and inspections during the continuation of an Event of Default, (x) only the Administrative Agent may exercise rights of the Administrative Agent and the Lenders under this </w:t>
      </w:r>
      <w:r>
        <w:rPr>
          <w:rFonts w:ascii="Arial" w:cs="Arial" w:eastAsia="Arial" w:hAnsi="Arial"/>
          <w:sz w:val="21"/>
          <w:szCs w:val="21"/>
          <w:u w:val="single" w:color="auto"/>
          <w:color w:val="auto"/>
        </w:rPr>
        <w:t>Section 6.10</w:t>
      </w:r>
      <w:r>
        <w:rPr>
          <w:rFonts w:ascii="Arial" w:cs="Arial" w:eastAsia="Arial" w:hAnsi="Arial"/>
          <w:sz w:val="21"/>
          <w:szCs w:val="21"/>
          <w:color w:val="auto"/>
        </w:rPr>
        <w:t xml:space="preserve"> and (y) the Administrative Agent shall not exercise such rights more often than one time during any calendar year;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Additional Collateral; Additional Guarantors</w:t>
      </w:r>
    </w:p>
    <w:p>
      <w:pPr>
        <w:spacing w:after="0" w:line="206" w:lineRule="exact"/>
        <w:rPr>
          <w:sz w:val="20"/>
          <w:szCs w:val="20"/>
          <w:color w:val="auto"/>
        </w:rPr>
      </w:pPr>
    </w:p>
    <w:p>
      <w:pPr>
        <w:jc w:val="both"/>
        <w:ind w:firstLine="872"/>
        <w:spacing w:after="0"/>
        <w:tabs>
          <w:tab w:leader="none" w:pos="1053" w:val="left"/>
        </w:tabs>
        <w:numPr>
          <w:ilvl w:val="0"/>
          <w:numId w:val="174"/>
        </w:numPr>
        <w:rPr>
          <w:rFonts w:ascii="Arial" w:cs="Arial" w:eastAsia="Arial" w:hAnsi="Arial"/>
          <w:sz w:val="22"/>
          <w:szCs w:val="22"/>
          <w:i w:val="1"/>
          <w:iCs w:val="1"/>
          <w:color w:val="auto"/>
        </w:rPr>
      </w:pPr>
      <w:r>
        <w:rPr>
          <w:rFonts w:ascii="Arial" w:cs="Arial" w:eastAsia="Arial" w:hAnsi="Arial"/>
          <w:sz w:val="22"/>
          <w:szCs w:val="22"/>
          <w:color w:val="auto"/>
        </w:rPr>
        <w:t>Subject to the terms, conditions and provisions of the Intercreditor Agreement, at the Borrower’s expense, take all reasonable actions which are necessary or reasonably requested by the Administrative Agent or the Collateral Agent to ensure that the Collateral and Guarantee Requirement continues to be satisfied, including:</w:t>
      </w:r>
    </w:p>
    <w:p>
      <w:pPr>
        <w:spacing w:after="0" w:line="186" w:lineRule="exact"/>
        <w:rPr>
          <w:sz w:val="20"/>
          <w:szCs w:val="20"/>
          <w:color w:val="auto"/>
        </w:rPr>
      </w:pPr>
    </w:p>
    <w:p>
      <w:pPr>
        <w:jc w:val="both"/>
        <w:ind w:firstLine="872"/>
        <w:spacing w:after="0"/>
        <w:tabs>
          <w:tab w:leader="none" w:pos="239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Upon (x) the formation or acquisition of any new direct or indirect Subsidiary (in each case, other than an Excluded Subsidiary) by the Borrower or (y) any Subsidiary that is an Excluded Subsidiary ceasing to be an Excluded Subsidiary:</w:t>
      </w:r>
    </w:p>
    <w:p>
      <w:pPr>
        <w:spacing w:after="0" w:line="186" w:lineRule="exact"/>
        <w:rPr>
          <w:sz w:val="20"/>
          <w:szCs w:val="20"/>
          <w:color w:val="auto"/>
        </w:rPr>
      </w:pPr>
    </w:p>
    <w:p>
      <w:pPr>
        <w:jc w:val="both"/>
        <w:ind w:left="880" w:firstLine="797"/>
        <w:spacing w:after="0"/>
        <w:rPr>
          <w:sz w:val="20"/>
          <w:szCs w:val="20"/>
          <w:color w:val="auto"/>
        </w:rPr>
      </w:pPr>
      <w:r>
        <w:rPr>
          <w:rFonts w:ascii="Arial" w:cs="Arial" w:eastAsia="Arial" w:hAnsi="Arial"/>
          <w:sz w:val="22"/>
          <w:szCs w:val="22"/>
          <w:color w:val="auto"/>
        </w:rPr>
        <w:t>(i)within 60 days after such formation, acquisition, designation or other event, or such longer period as the Administrative Agent, with the consent of the Required Lenders (not to be unreasonably withheld, delayed, conditioned or denied), may agree in writing in its reasonable discretion: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tbl>
      <w:tblPr>
        <w:tblLayout w:type="fixed"/>
        <w:tblInd w:w="28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22"/>
                <w:szCs w:val="22"/>
                <w:color w:val="auto"/>
              </w:rPr>
              <w:t>(A)</w:t>
            </w:r>
          </w:p>
        </w:tc>
        <w:tc>
          <w:tcPr>
            <w:tcW w:w="10520" w:type="dxa"/>
            <w:vAlign w:val="bottom"/>
            <w:gridSpan w:val="5"/>
          </w:tcPr>
          <w:p>
            <w:pPr>
              <w:jc w:val="right"/>
              <w:spacing w:after="0"/>
              <w:rPr>
                <w:sz w:val="20"/>
                <w:szCs w:val="20"/>
                <w:color w:val="auto"/>
              </w:rPr>
            </w:pPr>
            <w:r>
              <w:rPr>
                <w:rFonts w:ascii="Arial" w:cs="Arial" w:eastAsia="Arial" w:hAnsi="Arial"/>
                <w:sz w:val="22"/>
                <w:szCs w:val="22"/>
                <w:color w:val="auto"/>
              </w:rPr>
              <w:t>causing each such Subsidiary to duly execute and deliver to the Administrative Agent or the</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8"/>
              </w:rPr>
              <w:t>Collateral Agent (as appropriate) joinders to this Agreement as Guarantors, Security Agreement Supplements,</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rPr>
              <w:t>Intellectual Property Security Agreements, a counterpart of the Intercompany Note and other security</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agreements and documents (including, (I) with respect to any Foreign Subsidiary, local law security</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agreements and documents in each case consistent with market practice, and (II) with respect to such</w:t>
            </w:r>
          </w:p>
        </w:tc>
      </w:tr>
      <w:tr>
        <w:trPr>
          <w:trHeight w:val="224"/>
        </w:trPr>
        <w:tc>
          <w:tcPr>
            <w:tcW w:w="440" w:type="dxa"/>
            <w:vAlign w:val="bottom"/>
          </w:tcPr>
          <w:p>
            <w:pPr>
              <w:spacing w:after="0"/>
              <w:rPr>
                <w:sz w:val="19"/>
                <w:szCs w:val="19"/>
                <w:color w:val="auto"/>
              </w:rPr>
            </w:pPr>
          </w:p>
        </w:tc>
        <w:tc>
          <w:tcPr>
            <w:tcW w:w="10520" w:type="dxa"/>
            <w:vAlign w:val="bottom"/>
            <w:gridSpan w:val="5"/>
          </w:tcPr>
          <w:p>
            <w:pPr>
              <w:jc w:val="right"/>
              <w:spacing w:after="0" w:line="224" w:lineRule="exact"/>
              <w:rPr>
                <w:sz w:val="20"/>
                <w:szCs w:val="20"/>
                <w:color w:val="auto"/>
              </w:rPr>
            </w:pPr>
            <w:r>
              <w:rPr>
                <w:rFonts w:ascii="Arial" w:cs="Arial" w:eastAsia="Arial" w:hAnsi="Arial"/>
                <w:sz w:val="22"/>
                <w:szCs w:val="22"/>
                <w:color w:val="auto"/>
                <w:w w:val="98"/>
              </w:rPr>
              <w:t>Mortgages, the documents listed in Section 6.13(b)), as reasonably requested by the Required Lenders and in</w:t>
            </w:r>
          </w:p>
        </w:tc>
      </w:tr>
      <w:tr>
        <w:trPr>
          <w:trHeight w:val="20"/>
        </w:trPr>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42"/>
        </w:trPr>
        <w:tc>
          <w:tcPr>
            <w:tcW w:w="440" w:type="dxa"/>
            <w:vAlign w:val="bottom"/>
          </w:tcPr>
          <w:p>
            <w:pPr>
              <w:spacing w:after="0"/>
              <w:rPr>
                <w:sz w:val="21"/>
                <w:szCs w:val="21"/>
                <w:color w:val="auto"/>
              </w:rPr>
            </w:pPr>
          </w:p>
        </w:tc>
        <w:tc>
          <w:tcPr>
            <w:tcW w:w="10520" w:type="dxa"/>
            <w:vAlign w:val="bottom"/>
            <w:gridSpan w:val="5"/>
          </w:tcPr>
          <w:p>
            <w:pPr>
              <w:jc w:val="right"/>
              <w:spacing w:after="0" w:line="242" w:lineRule="exact"/>
              <w:rPr>
                <w:sz w:val="20"/>
                <w:szCs w:val="20"/>
                <w:color w:val="auto"/>
              </w:rPr>
            </w:pPr>
            <w:r>
              <w:rPr>
                <w:rFonts w:ascii="Arial" w:cs="Arial" w:eastAsia="Arial" w:hAnsi="Arial"/>
                <w:sz w:val="22"/>
                <w:szCs w:val="22"/>
                <w:color w:val="auto"/>
                <w:w w:val="99"/>
              </w:rPr>
              <w:t>form and substance reasonably satisfactory to the Required Lenders, Administrative Agent and the Borrower</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(consistent with the Mortgages (if any), Security Agreement, Intellectual Property Security Agreements and</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9"/>
              </w:rPr>
              <w:t>other security agreements in effect on the Restatement Effective Date), in each case granting Liens required</w:t>
            </w:r>
          </w:p>
        </w:tc>
      </w:tr>
      <w:tr>
        <w:trPr>
          <w:trHeight w:val="274"/>
        </w:trPr>
        <w:tc>
          <w:tcPr>
            <w:tcW w:w="440" w:type="dxa"/>
            <w:vAlign w:val="bottom"/>
          </w:tcPr>
          <w:p>
            <w:pPr>
              <w:spacing w:after="0"/>
              <w:rPr>
                <w:sz w:val="23"/>
                <w:szCs w:val="23"/>
                <w:color w:val="auto"/>
              </w:rPr>
            </w:pPr>
          </w:p>
        </w:tc>
        <w:tc>
          <w:tcPr>
            <w:tcW w:w="10520" w:type="dxa"/>
            <w:vAlign w:val="bottom"/>
            <w:gridSpan w:val="5"/>
          </w:tcPr>
          <w:p>
            <w:pPr>
              <w:ind w:left="1000"/>
              <w:spacing w:after="0"/>
              <w:rPr>
                <w:sz w:val="20"/>
                <w:szCs w:val="20"/>
                <w:color w:val="auto"/>
              </w:rPr>
            </w:pPr>
            <w:r>
              <w:rPr>
                <w:rFonts w:ascii="Arial" w:cs="Arial" w:eastAsia="Arial" w:hAnsi="Arial"/>
                <w:sz w:val="22"/>
                <w:szCs w:val="22"/>
                <w:color w:val="auto"/>
              </w:rPr>
              <w:t>by the Collateral and Guarantee Requirement;</w:t>
            </w:r>
          </w:p>
        </w:tc>
      </w:tr>
      <w:tr>
        <w:trPr>
          <w:trHeight w:val="428"/>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10520" w:type="dxa"/>
            <w:vAlign w:val="bottom"/>
            <w:gridSpan w:val="5"/>
          </w:tcPr>
          <w:p>
            <w:pPr>
              <w:jc w:val="right"/>
              <w:spacing w:after="0"/>
              <w:rPr>
                <w:sz w:val="20"/>
                <w:szCs w:val="20"/>
                <w:color w:val="auto"/>
              </w:rPr>
            </w:pPr>
            <w:r>
              <w:rPr>
                <w:rFonts w:ascii="Arial" w:cs="Arial" w:eastAsia="Arial" w:hAnsi="Arial"/>
                <w:sz w:val="22"/>
                <w:szCs w:val="22"/>
                <w:color w:val="auto"/>
              </w:rPr>
              <w:t>causing each such Subsidiary (and the parent of each such Subsidiary that is a Loan Party)</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to deliver to the Collateral Agent any and all certificates representing Equity Interests (to the extent</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8"/>
              </w:rPr>
              <w:t>certificated) and intercompany notes (to the extent certificated) that are required to be pledged pursuant to the</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Collateral  and  Guarantee  Requirement,  accompanied  by  undated  stock  powers  or  other  appropriate</w:t>
            </w:r>
          </w:p>
        </w:tc>
      </w:tr>
      <w:tr>
        <w:trPr>
          <w:trHeight w:val="274"/>
        </w:trPr>
        <w:tc>
          <w:tcPr>
            <w:tcW w:w="440" w:type="dxa"/>
            <w:vAlign w:val="bottom"/>
          </w:tcPr>
          <w:p>
            <w:pPr>
              <w:spacing w:after="0"/>
              <w:rPr>
                <w:sz w:val="23"/>
                <w:szCs w:val="23"/>
                <w:color w:val="auto"/>
              </w:rPr>
            </w:pPr>
          </w:p>
        </w:tc>
        <w:tc>
          <w:tcPr>
            <w:tcW w:w="10520" w:type="dxa"/>
            <w:vAlign w:val="bottom"/>
            <w:gridSpan w:val="5"/>
          </w:tcPr>
          <w:p>
            <w:pPr>
              <w:ind w:left="1000"/>
              <w:spacing w:after="0"/>
              <w:rPr>
                <w:sz w:val="20"/>
                <w:szCs w:val="20"/>
                <w:color w:val="auto"/>
              </w:rPr>
            </w:pPr>
            <w:r>
              <w:rPr>
                <w:rFonts w:ascii="Arial" w:cs="Arial" w:eastAsia="Arial" w:hAnsi="Arial"/>
                <w:sz w:val="22"/>
                <w:szCs w:val="22"/>
                <w:color w:val="auto"/>
              </w:rPr>
              <w:t>instruments of transfer executed in blank;</w:t>
            </w:r>
          </w:p>
        </w:tc>
      </w:tr>
      <w:tr>
        <w:trPr>
          <w:trHeight w:val="428"/>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10520" w:type="dxa"/>
            <w:vAlign w:val="bottom"/>
            <w:gridSpan w:val="5"/>
          </w:tcPr>
          <w:p>
            <w:pPr>
              <w:jc w:val="right"/>
              <w:spacing w:after="0"/>
              <w:rPr>
                <w:sz w:val="20"/>
                <w:szCs w:val="20"/>
                <w:color w:val="auto"/>
              </w:rPr>
            </w:pPr>
            <w:r>
              <w:rPr>
                <w:rFonts w:ascii="Arial" w:cs="Arial" w:eastAsia="Arial" w:hAnsi="Arial"/>
                <w:sz w:val="22"/>
                <w:szCs w:val="22"/>
                <w:color w:val="auto"/>
              </w:rPr>
              <w:t>taking and causing each such Restricted Subsidiary and each direct or indirect parent of such</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Restricted Subsidiary to take whatever action (including the recording of Mortgages, the filing of UCC</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financing statements and the delivery of stock and membership interest certificates) as may be necessary in</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rPr>
              <w:t>the reasonable opinion of the Collateral Agent to vest in the Collateral Agent (or in any representative of the</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rPr>
              <w:t>Collateral Agent designated by it) valid and perfected Liens to the extent required by the Collateral and</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Guarantee Requirement, and to otherwise comply with the requirements of the Collateral and Guarantee</w:t>
            </w:r>
          </w:p>
        </w:tc>
      </w:tr>
      <w:tr>
        <w:trPr>
          <w:trHeight w:val="274"/>
        </w:trPr>
        <w:tc>
          <w:tcPr>
            <w:tcW w:w="440" w:type="dxa"/>
            <w:vAlign w:val="bottom"/>
          </w:tcPr>
          <w:p>
            <w:pPr>
              <w:spacing w:after="0"/>
              <w:rPr>
                <w:sz w:val="23"/>
                <w:szCs w:val="23"/>
                <w:color w:val="auto"/>
              </w:rPr>
            </w:pPr>
          </w:p>
        </w:tc>
        <w:tc>
          <w:tcPr>
            <w:tcW w:w="10520" w:type="dxa"/>
            <w:vAlign w:val="bottom"/>
            <w:gridSpan w:val="5"/>
          </w:tcPr>
          <w:p>
            <w:pPr>
              <w:ind w:left="1000"/>
              <w:spacing w:after="0"/>
              <w:rPr>
                <w:sz w:val="20"/>
                <w:szCs w:val="20"/>
                <w:color w:val="auto"/>
              </w:rPr>
            </w:pPr>
            <w:r>
              <w:rPr>
                <w:rFonts w:ascii="Arial" w:cs="Arial" w:eastAsia="Arial" w:hAnsi="Arial"/>
                <w:sz w:val="22"/>
                <w:szCs w:val="22"/>
                <w:color w:val="auto"/>
              </w:rPr>
              <w:t>Requirement;</w:t>
            </w:r>
          </w:p>
        </w:tc>
      </w:tr>
      <w:tr>
        <w:trPr>
          <w:trHeight w:val="428"/>
        </w:trPr>
        <w:tc>
          <w:tcPr>
            <w:tcW w:w="440" w:type="dxa"/>
            <w:vAlign w:val="bottom"/>
          </w:tcPr>
          <w:p>
            <w:pPr>
              <w:spacing w:after="0"/>
              <w:rPr>
                <w:sz w:val="24"/>
                <w:szCs w:val="24"/>
                <w:color w:val="auto"/>
              </w:rPr>
            </w:pPr>
          </w:p>
        </w:tc>
        <w:tc>
          <w:tcPr>
            <w:tcW w:w="10520" w:type="dxa"/>
            <w:vAlign w:val="bottom"/>
            <w:gridSpan w:val="5"/>
          </w:tcPr>
          <w:p>
            <w:pPr>
              <w:jc w:val="right"/>
              <w:spacing w:after="0"/>
              <w:rPr>
                <w:sz w:val="20"/>
                <w:szCs w:val="20"/>
                <w:color w:val="auto"/>
              </w:rPr>
            </w:pPr>
            <w:r>
              <w:rPr>
                <w:rFonts w:ascii="Arial" w:cs="Arial" w:eastAsia="Arial" w:hAnsi="Arial"/>
                <w:sz w:val="22"/>
                <w:szCs w:val="22"/>
                <w:color w:val="auto"/>
              </w:rPr>
              <w:t>(ii)if reasonably requested by the Required Lenders, Administrative Agent or the Collateral Agent, within 45</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6"/>
              </w:rPr>
              <w:t>days after such request (or such longer period as the Administrative Agent may agree in writing in its reasonable</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2"/>
              </w:rPr>
              <w:t>discretion), delivering to the Administrative Agent a signed copy of an opinion, addressed to the Administrative Agent</w:t>
            </w:r>
          </w:p>
        </w:tc>
      </w:tr>
      <w:tr>
        <w:trPr>
          <w:trHeight w:val="224"/>
        </w:trPr>
        <w:tc>
          <w:tcPr>
            <w:tcW w:w="440" w:type="dxa"/>
            <w:vAlign w:val="bottom"/>
          </w:tcPr>
          <w:p>
            <w:pPr>
              <w:spacing w:after="0"/>
              <w:rPr>
                <w:sz w:val="19"/>
                <w:szCs w:val="19"/>
                <w:color w:val="auto"/>
              </w:rPr>
            </w:pPr>
          </w:p>
        </w:tc>
        <w:tc>
          <w:tcPr>
            <w:tcW w:w="10520" w:type="dxa"/>
            <w:vAlign w:val="bottom"/>
            <w:gridSpan w:val="5"/>
          </w:tcPr>
          <w:p>
            <w:pPr>
              <w:jc w:val="right"/>
              <w:spacing w:after="0" w:line="224" w:lineRule="exact"/>
              <w:rPr>
                <w:sz w:val="20"/>
                <w:szCs w:val="20"/>
                <w:color w:val="auto"/>
              </w:rPr>
            </w:pPr>
            <w:r>
              <w:rPr>
                <w:rFonts w:ascii="Arial" w:cs="Arial" w:eastAsia="Arial" w:hAnsi="Arial"/>
                <w:sz w:val="22"/>
                <w:szCs w:val="22"/>
                <w:color w:val="auto"/>
                <w:w w:val="89"/>
              </w:rPr>
              <w:t>and the Lenders, of counsel for the Loan Parties as to such matters set forth in this Section 6.11(a) as the Administrative</w:t>
            </w:r>
          </w:p>
        </w:tc>
      </w:tr>
      <w:tr>
        <w:trPr>
          <w:trHeight w:val="273"/>
        </w:trPr>
        <w:tc>
          <w:tcPr>
            <w:tcW w:w="440" w:type="dxa"/>
            <w:vAlign w:val="bottom"/>
          </w:tcPr>
          <w:p>
            <w:pPr>
              <w:spacing w:after="0"/>
              <w:rPr>
                <w:sz w:val="23"/>
                <w:szCs w:val="23"/>
                <w:color w:val="auto"/>
              </w:rPr>
            </w:pPr>
          </w:p>
        </w:tc>
        <w:tc>
          <w:tcPr>
            <w:tcW w:w="7300" w:type="dxa"/>
            <w:vAlign w:val="bottom"/>
            <w:gridSpan w:val="3"/>
          </w:tcPr>
          <w:p>
            <w:pPr>
              <w:ind w:left="160"/>
              <w:spacing w:after="0"/>
              <w:rPr>
                <w:sz w:val="20"/>
                <w:szCs w:val="20"/>
                <w:color w:val="auto"/>
              </w:rPr>
            </w:pPr>
            <w:r>
              <w:rPr>
                <w:rFonts w:ascii="Arial" w:cs="Arial" w:eastAsia="Arial" w:hAnsi="Arial"/>
                <w:sz w:val="22"/>
                <w:szCs w:val="22"/>
                <w:color w:val="auto"/>
              </w:rPr>
              <w:t>Agent and the Required Lenders may reasonably request; and</w:t>
            </w:r>
          </w:p>
        </w:tc>
        <w:tc>
          <w:tcPr>
            <w:tcW w:w="1320" w:type="dxa"/>
            <w:vAlign w:val="bottom"/>
            <w:tcBorders>
              <w:top w:val="single" w:sz="8" w:color="auto"/>
            </w:tcBorders>
          </w:tcPr>
          <w:p>
            <w:pPr>
              <w:spacing w:after="0"/>
              <w:rPr>
                <w:sz w:val="23"/>
                <w:szCs w:val="23"/>
                <w:color w:val="auto"/>
              </w:rPr>
            </w:pPr>
          </w:p>
        </w:tc>
        <w:tc>
          <w:tcPr>
            <w:tcW w:w="1900" w:type="dxa"/>
            <w:vAlign w:val="bottom"/>
          </w:tcPr>
          <w:p>
            <w:pPr>
              <w:spacing w:after="0"/>
              <w:rPr>
                <w:sz w:val="23"/>
                <w:szCs w:val="23"/>
                <w:color w:val="auto"/>
              </w:rPr>
            </w:pPr>
          </w:p>
        </w:tc>
      </w:tr>
      <w:tr>
        <w:trPr>
          <w:trHeight w:val="428"/>
        </w:trPr>
        <w:tc>
          <w:tcPr>
            <w:tcW w:w="440" w:type="dxa"/>
            <w:vAlign w:val="bottom"/>
          </w:tcPr>
          <w:p>
            <w:pPr>
              <w:spacing w:after="0"/>
              <w:rPr>
                <w:sz w:val="24"/>
                <w:szCs w:val="24"/>
                <w:color w:val="auto"/>
              </w:rPr>
            </w:pPr>
          </w:p>
        </w:tc>
        <w:tc>
          <w:tcPr>
            <w:tcW w:w="10520" w:type="dxa"/>
            <w:vAlign w:val="bottom"/>
            <w:gridSpan w:val="5"/>
          </w:tcPr>
          <w:p>
            <w:pPr>
              <w:jc w:val="right"/>
              <w:spacing w:after="0"/>
              <w:rPr>
                <w:sz w:val="20"/>
                <w:szCs w:val="20"/>
                <w:color w:val="auto"/>
              </w:rPr>
            </w:pPr>
            <w:r>
              <w:rPr>
                <w:rFonts w:ascii="Arial" w:cs="Arial" w:eastAsia="Arial" w:hAnsi="Arial"/>
                <w:sz w:val="22"/>
                <w:szCs w:val="22"/>
                <w:color w:val="auto"/>
              </w:rPr>
              <w:t>(iii)promptly after the reasonable request therefor by the Administrative Agent or Collateral Agent, delivering</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5"/>
              </w:rPr>
              <w:t>to the Collateral Agent with respect to each Material Real Property, any existing surveys, title reports, abstracts or</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2"/>
              </w:rPr>
              <w:t xml:space="preserve">environmental assessment reports, to the extent available and in the possession or control of the Borrower; </w:t>
            </w:r>
            <w:r>
              <w:rPr>
                <w:rFonts w:ascii="Arial" w:cs="Arial" w:eastAsia="Arial" w:hAnsi="Arial"/>
                <w:sz w:val="22"/>
                <w:szCs w:val="22"/>
                <w:i w:val="1"/>
                <w:iCs w:val="1"/>
                <w:color w:val="auto"/>
                <w:w w:val="92"/>
              </w:rPr>
              <w:t>provided,</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i w:val="1"/>
                <w:iCs w:val="1"/>
                <w:color w:val="auto"/>
                <w:w w:val="94"/>
              </w:rPr>
              <w:t>however</w:t>
            </w:r>
            <w:r>
              <w:rPr>
                <w:rFonts w:ascii="Arial" w:cs="Arial" w:eastAsia="Arial" w:hAnsi="Arial"/>
                <w:sz w:val="22"/>
                <w:szCs w:val="22"/>
                <w:color w:val="auto"/>
                <w:w w:val="94"/>
              </w:rPr>
              <w:t>, that there shall be no obligation to deliver to the Collateral Agent any existing environmental assessment</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0"/>
              </w:rPr>
              <w:t>report whose disclosure to the Collateral Agent would require the consent of a Person other than the Borrower or one of</w:t>
            </w:r>
          </w:p>
        </w:tc>
      </w:tr>
      <w:tr>
        <w:trPr>
          <w:trHeight w:val="243"/>
        </w:trPr>
        <w:tc>
          <w:tcPr>
            <w:tcW w:w="440" w:type="dxa"/>
            <w:vAlign w:val="bottom"/>
          </w:tcPr>
          <w:p>
            <w:pPr>
              <w:spacing w:after="0"/>
              <w:rPr>
                <w:sz w:val="21"/>
                <w:szCs w:val="21"/>
                <w:color w:val="auto"/>
              </w:rPr>
            </w:pPr>
          </w:p>
        </w:tc>
        <w:tc>
          <w:tcPr>
            <w:tcW w:w="105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2"/>
              </w:rPr>
              <w:t>its Subsidiaries, and where, despite the commercially reasonable efforts of the Borrower to obtain such consent, such</w:t>
            </w:r>
          </w:p>
        </w:tc>
      </w:tr>
      <w:tr>
        <w:trPr>
          <w:trHeight w:val="274"/>
        </w:trPr>
        <w:tc>
          <w:tcPr>
            <w:tcW w:w="440" w:type="dxa"/>
            <w:vAlign w:val="bottom"/>
          </w:tcPr>
          <w:p>
            <w:pPr>
              <w:spacing w:after="0"/>
              <w:rPr>
                <w:sz w:val="23"/>
                <w:szCs w:val="23"/>
                <w:color w:val="auto"/>
              </w:rPr>
            </w:pPr>
          </w:p>
        </w:tc>
        <w:tc>
          <w:tcPr>
            <w:tcW w:w="10520" w:type="dxa"/>
            <w:vAlign w:val="bottom"/>
            <w:gridSpan w:val="5"/>
          </w:tcPr>
          <w:p>
            <w:pPr>
              <w:ind w:left="160"/>
              <w:spacing w:after="0"/>
              <w:rPr>
                <w:sz w:val="20"/>
                <w:szCs w:val="20"/>
                <w:color w:val="auto"/>
              </w:rPr>
            </w:pPr>
            <w:r>
              <w:rPr>
                <w:rFonts w:ascii="Arial" w:cs="Arial" w:eastAsia="Arial" w:hAnsi="Arial"/>
                <w:sz w:val="22"/>
                <w:szCs w:val="22"/>
                <w:color w:val="auto"/>
              </w:rPr>
              <w:t>consent cannot be obtained.</w:t>
            </w:r>
          </w:p>
        </w:tc>
      </w:tr>
    </w:tbl>
    <w:p>
      <w:pPr>
        <w:spacing w:after="0" w:line="185" w:lineRule="exact"/>
        <w:rPr>
          <w:sz w:val="20"/>
          <w:szCs w:val="20"/>
          <w:color w:val="auto"/>
        </w:rPr>
      </w:pPr>
    </w:p>
    <w:p>
      <w:pPr>
        <w:jc w:val="both"/>
        <w:ind w:firstLine="872"/>
        <w:spacing w:after="0" w:line="238" w:lineRule="auto"/>
        <w:tabs>
          <w:tab w:leader="none" w:pos="2411"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if reasonably requested by the Required Lenders, Administrative Agent or the Collateral Agent, within 60 days after such request (or such longer period as the Administrative Agent may agree in writing in its reasonable discretion), delivering to the Collateral Agent any other items necessary from time to time to satisfy the Collateral and Guarantee Requirement with</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0" w:name="page161"/>
    <w:bookmarkEnd w:id="160"/>
    <w:p>
      <w:pPr>
        <w:jc w:val="both"/>
        <w:spacing w:after="0"/>
        <w:rPr>
          <w:sz w:val="20"/>
          <w:szCs w:val="20"/>
          <w:color w:val="auto"/>
        </w:rPr>
      </w:pPr>
      <w:r>
        <w:rPr>
          <w:rFonts w:ascii="Arial" w:cs="Arial" w:eastAsia="Arial" w:hAnsi="Arial"/>
          <w:sz w:val="22"/>
          <w:szCs w:val="22"/>
          <w:color w:val="auto"/>
        </w:rPr>
        <w:t>respect to the validity, perfection, existence and priority of security interests with respect to property of any Guarantor acquired after the Restatement Effective Date and subject to the Collateral and Guarantee Requirement, but not specifically covered by the preceding clauses (i), (ii) or (iii) or clause (c) below.</w:t>
      </w:r>
    </w:p>
    <w:p>
      <w:pPr>
        <w:spacing w:after="0" w:line="186" w:lineRule="exact"/>
        <w:rPr>
          <w:sz w:val="20"/>
          <w:szCs w:val="20"/>
          <w:color w:val="auto"/>
        </w:rPr>
      </w:pPr>
    </w:p>
    <w:p>
      <w:pPr>
        <w:jc w:val="both"/>
        <w:ind w:firstLine="872"/>
        <w:spacing w:after="0" w:line="273" w:lineRule="auto"/>
        <w:tabs>
          <w:tab w:leader="none" w:pos="239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not later than 120 days after (i) the acquisition by any Loan Party of Material Real Property or (ii) the release of any first lien security interest on any Real Property securing the obligations under the Contribution Deferral Agreement, in each case, that is required to be provided as Collateral pursuant to the Collateral and Guarantee Requirement (or such longer period as the Administrative Agent, with the consent of the Required Lenders, may agree in writing in its reasonable discretion), which Material Real Property would not be automatically subject to another Lien pursuant to pre-existing Collateral Documents, causing such property to be subject to a Lien in favor of the Collateral Agent for the benefit of the Secured Parties and taking, or causing the relevant Loan Party to take, such actions as shall be necessary or reasonably requested by the Required Lenders, Administrative Agent or the Collateral Agent to grant and perfect or record such Lien, in each case to the extent required by, and subject to the limitations and exceptions of, the Collateral and Guarantee Requirement and to otherwise comply with the requirements of the Collateral and Guarantee Requirement.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Compliance with Environmental Laws</w:t>
      </w:r>
    </w:p>
    <w:p>
      <w:pPr>
        <w:spacing w:after="0" w:line="206" w:lineRule="exact"/>
        <w:rPr>
          <w:sz w:val="20"/>
          <w:szCs w:val="20"/>
          <w:color w:val="auto"/>
        </w:rPr>
      </w:pPr>
    </w:p>
    <w:p>
      <w:pPr>
        <w:jc w:val="both"/>
        <w:ind w:firstLine="872"/>
        <w:spacing w:after="0" w:line="234" w:lineRule="auto"/>
        <w:tabs>
          <w:tab w:leader="none" w:pos="1026" w:val="left"/>
        </w:tabs>
        <w:numPr>
          <w:ilvl w:val="0"/>
          <w:numId w:val="178"/>
        </w:numPr>
        <w:rPr>
          <w:rFonts w:ascii="Arial" w:cs="Arial" w:eastAsia="Arial" w:hAnsi="Arial"/>
          <w:sz w:val="22"/>
          <w:szCs w:val="22"/>
          <w:i w:val="1"/>
          <w:iCs w:val="1"/>
          <w:color w:val="auto"/>
        </w:rPr>
      </w:pPr>
      <w:r>
        <w:rPr>
          <w:rFonts w:ascii="Arial" w:cs="Arial" w:eastAsia="Arial" w:hAnsi="Arial"/>
          <w:sz w:val="22"/>
          <w:szCs w:val="22"/>
          <w:color w:val="auto"/>
        </w:rPr>
        <w:t>Except, in each case, to the extent that the failure to do so could not reasonably be expected to have, individually or in the aggregate, a Material Adverse Effect: (a) comply, and take all reasonable actions to cause all lessees and other Persons operating or occupying its properties to comply, with all applicable Environmental Laws and Environmental Permits; (b) obtain and renew all Environmental Permits necessary for its operations and properties; and, (c) in each case to the extent the Loan Parties or the Restricted Subsidiaries are required to do so by Environmental Laws, conduct any investigation, remedial or other corrective action necessary to address Hazardous Materials at any property or facility in accordance with applicable Environmental Laws.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Further Assurances and Post-Closing Conditions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36" w:lineRule="auto"/>
        <w:tabs>
          <w:tab w:leader="none" w:pos="326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Within the time periods after the Restatement Effective Date set forth in </w:t>
      </w:r>
      <w:r>
        <w:rPr>
          <w:rFonts w:ascii="Arial" w:cs="Arial" w:eastAsia="Arial" w:hAnsi="Arial"/>
          <w:sz w:val="22"/>
          <w:szCs w:val="22"/>
          <w:u w:val="single" w:color="auto"/>
          <w:color w:val="auto"/>
        </w:rPr>
        <w:t>Schedule 6.13(a)</w:t>
      </w:r>
      <w:r>
        <w:rPr>
          <w:rFonts w:ascii="Arial" w:cs="Arial" w:eastAsia="Arial" w:hAnsi="Arial"/>
          <w:sz w:val="22"/>
          <w:szCs w:val="22"/>
          <w:color w:val="auto"/>
        </w:rPr>
        <w:t xml:space="preserve">, deliver each Collateral Document set forth on </w:t>
      </w:r>
      <w:r>
        <w:rPr>
          <w:rFonts w:ascii="Arial" w:cs="Arial" w:eastAsia="Arial" w:hAnsi="Arial"/>
          <w:sz w:val="22"/>
          <w:szCs w:val="22"/>
          <w:u w:val="single" w:color="auto"/>
          <w:color w:val="auto"/>
        </w:rPr>
        <w:t>Schedule 6.13(a)</w:t>
      </w:r>
      <w:r>
        <w:rPr>
          <w:rFonts w:ascii="Arial" w:cs="Arial" w:eastAsia="Arial" w:hAnsi="Arial"/>
          <w:sz w:val="22"/>
          <w:szCs w:val="22"/>
          <w:color w:val="auto"/>
        </w:rPr>
        <w:t>, duly executed by each Loan Party party thereto, together with all documents and instruments required to perfect the security interest of the Collateral Agent in the Collateral free of any other pledges, security interests or mortgages, except Liens expressly permitted hereunder, to the extent required pursuant to the Collateral and Guarantee Requirement.</w:t>
      </w:r>
    </w:p>
    <w:p>
      <w:pPr>
        <w:spacing w:after="0" w:line="187" w:lineRule="exact"/>
        <w:rPr>
          <w:rFonts w:ascii="Arial" w:cs="Arial" w:eastAsia="Arial" w:hAnsi="Arial"/>
          <w:sz w:val="22"/>
          <w:szCs w:val="22"/>
          <w:color w:val="auto"/>
        </w:rPr>
      </w:pPr>
    </w:p>
    <w:p>
      <w:pPr>
        <w:jc w:val="both"/>
        <w:ind w:firstLine="1735"/>
        <w:spacing w:after="0" w:line="277" w:lineRule="auto"/>
        <w:tabs>
          <w:tab w:leader="none" w:pos="3275" w:val="left"/>
        </w:tabs>
        <w:numPr>
          <w:ilvl w:val="0"/>
          <w:numId w:val="179"/>
        </w:numPr>
        <w:rPr>
          <w:rFonts w:ascii="Arial" w:cs="Arial" w:eastAsia="Arial" w:hAnsi="Arial"/>
          <w:sz w:val="19"/>
          <w:szCs w:val="19"/>
          <w:color w:val="auto"/>
        </w:rPr>
      </w:pPr>
      <w:r>
        <w:rPr>
          <w:rFonts w:ascii="Arial" w:cs="Arial" w:eastAsia="Arial" w:hAnsi="Arial"/>
          <w:sz w:val="19"/>
          <w:szCs w:val="19"/>
          <w:color w:val="auto"/>
        </w:rPr>
        <w:t>Promptly upon reasonable request by the Required Lenders, Administrative Agent or the Collateral Agent (i) correct any material defect or error that may be discovered in the execution, acknowledgment, filing or recordation of any Collateral Document or other document or instrument relating to any Collateral (including, without limitation, any defect or error related to certificates of title for vehicles and other rolling stock) as to which the Borrower reasonably agrees is a defect or error, and (ii) subject to the terms of the Collateral Documents, do, execute, acknowledge, deliver, record, re-record, file, re-file, register and re-register any and all such further acts, deeds, certificates, assurances and other instruments as the Required Lenders, the Administrative Agent or the Collateral Agent may reasonably request from time to time in order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1" w:name="page162"/>
    <w:bookmarkEnd w:id="161"/>
    <w:p>
      <w:pPr>
        <w:jc w:val="both"/>
        <w:spacing w:after="0" w:line="282" w:lineRule="auto"/>
        <w:rPr>
          <w:sz w:val="20"/>
          <w:szCs w:val="20"/>
          <w:color w:val="auto"/>
        </w:rPr>
      </w:pPr>
      <w:r>
        <w:rPr>
          <w:rFonts w:ascii="Arial" w:cs="Arial" w:eastAsia="Arial" w:hAnsi="Arial"/>
          <w:sz w:val="19"/>
          <w:szCs w:val="19"/>
          <w:color w:val="auto"/>
        </w:rPr>
        <w:t>to carry out more effectively the purposes of the Loan Documents and to cause the Collateral and Guarantee Requirement to be and remain satisfied. If the Required Lenders, Administrative Agent or the Collateral Agent reasonably determines that it is required by applicable Law to have appraisals prepared in respect of any Material Real Property of any Loan Party subject to a Mortgage, the Borrower shall cooperate with the Required Lenders, Administrative Agent and/or Collateral Agent, as applicable, in obtaining such appraisals and shall pay all reasonable out-of-pocket costs and expenses relating thereto.</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Maintenance of Ratings</w:t>
      </w:r>
    </w:p>
    <w:p>
      <w:pPr>
        <w:spacing w:after="0" w:line="206" w:lineRule="exact"/>
        <w:rPr>
          <w:sz w:val="20"/>
          <w:szCs w:val="20"/>
          <w:color w:val="auto"/>
        </w:rPr>
      </w:pPr>
    </w:p>
    <w:p>
      <w:pPr>
        <w:ind w:firstLine="872"/>
        <w:spacing w:after="0" w:line="250" w:lineRule="auto"/>
        <w:tabs>
          <w:tab w:leader="none" w:pos="1026" w:val="left"/>
        </w:tabs>
        <w:numPr>
          <w:ilvl w:val="0"/>
          <w:numId w:val="180"/>
        </w:numPr>
        <w:rPr>
          <w:rFonts w:ascii="Arial" w:cs="Arial" w:eastAsia="Arial" w:hAnsi="Arial"/>
          <w:sz w:val="22"/>
          <w:szCs w:val="22"/>
          <w:i w:val="1"/>
          <w:iCs w:val="1"/>
          <w:color w:val="auto"/>
        </w:rPr>
      </w:pPr>
      <w:r>
        <w:rPr>
          <w:rFonts w:ascii="Arial" w:cs="Arial" w:eastAsia="Arial" w:hAnsi="Arial"/>
          <w:sz w:val="22"/>
          <w:szCs w:val="22"/>
          <w:color w:val="auto"/>
        </w:rPr>
        <w:t>In the case of the Borrower, use commercially reasonable efforts to maintain a public corporate rating from S&amp;P and a public corporate family rating from Moody’s, in each case in respect of the Borrower.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Use of Proceeds</w:t>
      </w:r>
    </w:p>
    <w:p>
      <w:pPr>
        <w:spacing w:after="0" w:line="206" w:lineRule="exact"/>
        <w:rPr>
          <w:sz w:val="20"/>
          <w:szCs w:val="20"/>
          <w:color w:val="auto"/>
        </w:rPr>
      </w:pPr>
    </w:p>
    <w:p>
      <w:pPr>
        <w:ind w:firstLine="872"/>
        <w:spacing w:after="0" w:line="274" w:lineRule="auto"/>
        <w:tabs>
          <w:tab w:leader="none" w:pos="1066" w:val="left"/>
        </w:tabs>
        <w:numPr>
          <w:ilvl w:val="0"/>
          <w:numId w:val="181"/>
        </w:numPr>
        <w:rPr>
          <w:rFonts w:ascii="Arial" w:cs="Arial" w:eastAsia="Arial" w:hAnsi="Arial"/>
          <w:sz w:val="21"/>
          <w:szCs w:val="21"/>
          <w:i w:val="1"/>
          <w:iCs w:val="1"/>
          <w:color w:val="auto"/>
        </w:rPr>
      </w:pPr>
      <w:r>
        <w:rPr>
          <w:rFonts w:ascii="Arial" w:cs="Arial" w:eastAsia="Arial" w:hAnsi="Arial"/>
          <w:sz w:val="21"/>
          <w:szCs w:val="21"/>
          <w:color w:val="auto"/>
        </w:rPr>
        <w:t>The Borrower shall use the proceeds of the Term Loans borrowed on the Restatement Effective Date to fund the Transactions on the Restatement Effective Date, to pay Transaction Expenses and for general corporate purposes.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b w:val="1"/>
          <w:bCs w:val="1"/>
          <w:i w:val="1"/>
          <w:iCs w:val="1"/>
          <w:u w:val="single" w:color="auto"/>
          <w:color w:val="0000FF"/>
        </w:rPr>
        <w:t>2020 Financial Plan</w:t>
      </w:r>
    </w:p>
    <w:p>
      <w:pPr>
        <w:spacing w:after="0" w:line="200" w:lineRule="exact"/>
        <w:rPr>
          <w:sz w:val="20"/>
          <w:szCs w:val="20"/>
          <w:color w:val="auto"/>
        </w:rPr>
      </w:pPr>
    </w:p>
    <w:p>
      <w:pPr>
        <w:jc w:val="both"/>
        <w:ind w:firstLine="872"/>
        <w:spacing w:after="0" w:line="300" w:lineRule="auto"/>
        <w:tabs>
          <w:tab w:leader="none" w:pos="1080" w:val="left"/>
        </w:tabs>
        <w:numPr>
          <w:ilvl w:val="0"/>
          <w:numId w:val="182"/>
        </w:numPr>
        <w:rPr>
          <w:rFonts w:ascii="Arial" w:cs="Arial" w:eastAsia="Arial" w:hAnsi="Arial"/>
          <w:sz w:val="19"/>
          <w:szCs w:val="19"/>
          <w:b w:val="1"/>
          <w:bCs w:val="1"/>
          <w:i w:val="1"/>
          <w:iCs w:val="1"/>
          <w:u w:val="single" w:color="auto"/>
          <w:color w:val="0000FF"/>
        </w:rPr>
      </w:pPr>
      <w:r>
        <w:rPr>
          <w:rFonts w:ascii="Arial" w:cs="Arial" w:eastAsia="Arial" w:hAnsi="Arial"/>
          <w:sz w:val="19"/>
          <w:szCs w:val="19"/>
          <w:b w:val="1"/>
          <w:bCs w:val="1"/>
          <w:u w:val="single" w:color="auto"/>
          <w:color w:val="0000FF"/>
        </w:rPr>
        <w:t>From and after the Amendment No. 1 Effective Date, the Borrower shall use its commercially reasonable efforts to achieve the aggregate amount of cost savings and other operational initiatives set forth in the updated consolidated budget for the fiscal year ending December 31, 2020 delivered to the Required Lenders on March 28, 2020.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EGATIVE</w:t>
      </w:r>
      <w:r>
        <w:rPr>
          <w:rFonts w:ascii="Arial" w:cs="Arial" w:eastAsia="Arial" w:hAnsi="Arial"/>
          <w:sz w:val="22"/>
          <w:szCs w:val="22"/>
          <w:color w:val="auto"/>
        </w:rPr>
        <w:t xml:space="preserve"> C</w:t>
      </w:r>
      <w:r>
        <w:rPr>
          <w:rFonts w:ascii="Arial" w:cs="Arial" w:eastAsia="Arial" w:hAnsi="Arial"/>
          <w:sz w:val="14"/>
          <w:szCs w:val="14"/>
          <w:color w:val="auto"/>
        </w:rPr>
        <w:t>OVENANTS</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So long as any Lender shall have any Commitment hereunder or any Loan or other Obligation (other than contingent indemnification or reimbursement obligations) hereunder which is accrued or payable shall remain unpaid or unsatisfied, then from and after the Restatement Effective Date: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Liens</w:t>
      </w:r>
    </w:p>
    <w:p>
      <w:pPr>
        <w:spacing w:after="0" w:line="206" w:lineRule="exact"/>
        <w:rPr>
          <w:sz w:val="20"/>
          <w:szCs w:val="20"/>
          <w:color w:val="auto"/>
        </w:rPr>
      </w:pPr>
    </w:p>
    <w:p>
      <w:pPr>
        <w:jc w:val="both"/>
        <w:ind w:firstLine="872"/>
        <w:spacing w:after="0"/>
        <w:tabs>
          <w:tab w:leader="none" w:pos="1026" w:val="left"/>
        </w:tabs>
        <w:numPr>
          <w:ilvl w:val="0"/>
          <w:numId w:val="183"/>
        </w:numPr>
        <w:rPr>
          <w:rFonts w:ascii="Arial" w:cs="Arial" w:eastAsia="Arial" w:hAnsi="Arial"/>
          <w:sz w:val="22"/>
          <w:szCs w:val="22"/>
          <w:i w:val="1"/>
          <w:iCs w:val="1"/>
          <w:color w:val="auto"/>
        </w:rPr>
      </w:pPr>
      <w:r>
        <w:rPr>
          <w:rFonts w:ascii="Arial" w:cs="Arial" w:eastAsia="Arial" w:hAnsi="Arial"/>
          <w:sz w:val="22"/>
          <w:szCs w:val="22"/>
          <w:color w:val="auto"/>
        </w:rPr>
        <w:t>The Borrower shall not, nor shall it permit any Restricted Subsidiary to, directly or indirectly, create, incur, assume or suffer to exist any Lien upon any of its property, assets or revenues, whether now owned or hereafter acquired, other than the following:</w:t>
      </w:r>
    </w:p>
    <w:p>
      <w:pPr>
        <w:spacing w:after="0" w:line="186" w:lineRule="exact"/>
        <w:rPr>
          <w:sz w:val="20"/>
          <w:szCs w:val="20"/>
          <w:color w:val="auto"/>
        </w:rPr>
      </w:pPr>
    </w:p>
    <w:p>
      <w:pPr>
        <w:ind w:left="2400" w:hanging="1528"/>
        <w:spacing w:after="0"/>
        <w:tabs>
          <w:tab w:leader="none" w:pos="240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Liens created pursuant to any Loan Document;</w:t>
      </w:r>
    </w:p>
    <w:p>
      <w:pPr>
        <w:spacing w:after="0" w:line="206" w:lineRule="exact"/>
        <w:rPr>
          <w:rFonts w:ascii="Arial" w:cs="Arial" w:eastAsia="Arial" w:hAnsi="Arial"/>
          <w:sz w:val="22"/>
          <w:szCs w:val="22"/>
          <w:color w:val="auto"/>
        </w:rPr>
      </w:pPr>
    </w:p>
    <w:p>
      <w:pPr>
        <w:jc w:val="both"/>
        <w:ind w:firstLine="872"/>
        <w:spacing w:after="0" w:line="275" w:lineRule="auto"/>
        <w:tabs>
          <w:tab w:leader="none" w:pos="2411"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Liens existing or contemplated on the Restatement Effective Date and listed on </w:t>
      </w:r>
      <w:r>
        <w:rPr>
          <w:rFonts w:ascii="Arial" w:cs="Arial" w:eastAsia="Arial" w:hAnsi="Arial"/>
          <w:sz w:val="19"/>
          <w:szCs w:val="19"/>
          <w:u w:val="single" w:color="auto"/>
          <w:color w:val="auto"/>
        </w:rPr>
        <w:t>Schedule 7.01(b)</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the Lien does not extend to any additional property other than (A) any replacements of such property or assets</w:t>
      </w:r>
      <w:r>
        <w:rPr>
          <w:rFonts w:ascii="Arial" w:cs="Arial" w:eastAsia="Arial" w:hAnsi="Arial"/>
          <w:sz w:val="19"/>
          <w:szCs w:val="19"/>
          <w:i w:val="1"/>
          <w:iCs w:val="1"/>
          <w:color w:val="auto"/>
        </w:rPr>
        <w:t xml:space="preserve"> </w:t>
      </w:r>
      <w:r>
        <w:rPr>
          <w:rFonts w:ascii="Arial" w:cs="Arial" w:eastAsia="Arial" w:hAnsi="Arial"/>
          <w:sz w:val="19"/>
          <w:szCs w:val="19"/>
          <w:color w:val="auto"/>
        </w:rPr>
        <w:t>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or asset of the Borrower or any Restricted Subsidiary and the proceeds and the products thereof and customary security deposits in respect thereof and in the case of multiple financings of equipment provided by any lender, other equipment financed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jc w:val="both"/>
        <w:spacing w:after="0" w:line="297" w:lineRule="auto"/>
        <w:rPr>
          <w:sz w:val="20"/>
          <w:szCs w:val="20"/>
          <w:color w:val="auto"/>
        </w:rPr>
      </w:pPr>
      <w:r>
        <w:rPr>
          <w:rFonts w:ascii="Arial" w:cs="Arial" w:eastAsia="Arial" w:hAnsi="Arial"/>
          <w:sz w:val="19"/>
          <w:szCs w:val="19"/>
          <w:color w:val="auto"/>
        </w:rPr>
        <w:t>by such lender), and (ii) such Lien does not secure any obligation (including unused commitments) other than those it secured on the Restatement Effective Date or, to the extent constituting Indebtedness, any Permitted Refinancing of the Indebtedness secured thereby on the Restatement Effective Date and any extensions, renewals, restructurings, refinancings and replacements thereof;</w:t>
      </w:r>
    </w:p>
    <w:p>
      <w:pPr>
        <w:spacing w:after="0" w:line="134" w:lineRule="exact"/>
        <w:rPr>
          <w:sz w:val="20"/>
          <w:szCs w:val="20"/>
          <w:color w:val="auto"/>
        </w:rPr>
      </w:pPr>
    </w:p>
    <w:p>
      <w:pPr>
        <w:jc w:val="both"/>
        <w:ind w:firstLine="872"/>
        <w:spacing w:after="0" w:line="287" w:lineRule="auto"/>
        <w:tabs>
          <w:tab w:leader="none" w:pos="239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Liens for unpaid utilities, taxes, assessments or governmental charges that are (i) not overdue for a period of more than thirty (30) days and are not otherwise delinquent, securing obligations in an amount not to exceed $500,000, or that are being contested in good faith and by appropriate actions, if adequate reserves with respect thereto are maintained on the books of the applicable Person in accordance with GAAP or (ii) otherwise not required to be paid pursuant to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872"/>
        <w:spacing w:after="0" w:line="248" w:lineRule="auto"/>
        <w:tabs>
          <w:tab w:leader="none" w:pos="2411" w:val="left"/>
        </w:tabs>
        <w:numPr>
          <w:ilvl w:val="0"/>
          <w:numId w:val="185"/>
        </w:numPr>
        <w:rPr>
          <w:rFonts w:ascii="Arial" w:cs="Arial" w:eastAsia="Arial" w:hAnsi="Arial"/>
          <w:sz w:val="21"/>
          <w:szCs w:val="21"/>
          <w:color w:val="auto"/>
        </w:rPr>
      </w:pPr>
      <w:r>
        <w:rPr>
          <w:rFonts w:ascii="Arial" w:cs="Arial" w:eastAsia="Arial" w:hAnsi="Arial"/>
          <w:sz w:val="21"/>
          <w:szCs w:val="21"/>
          <w:color w:val="auto"/>
        </w:rPr>
        <w:t>Statutory, lease or common law Liens of landlords, sublandlords, carriers, warehousemen, mechanics, materialmen, repairmen, construction contractors or other like Liens, or other customary Liens (other than in respect of Indebtedness) in favor of landlords, in each case arising in the ordinary course of business that secure amounts not overdue for a period of more than thirty (30) days or if more than thirty (30) days overdue, that either secure obligations in an amount not to exceed $1,000,000 or are being contested in good faith and by appropriate actions, if adequate reserves with respect thereto are maintained on the books of the applicable Person in accordance with GAAP;</w:t>
      </w:r>
    </w:p>
    <w:p>
      <w:pPr>
        <w:spacing w:after="0" w:line="176" w:lineRule="exact"/>
        <w:rPr>
          <w:rFonts w:ascii="Arial" w:cs="Arial" w:eastAsia="Arial" w:hAnsi="Arial"/>
          <w:sz w:val="21"/>
          <w:szCs w:val="21"/>
          <w:color w:val="auto"/>
        </w:rPr>
      </w:pPr>
    </w:p>
    <w:p>
      <w:pPr>
        <w:jc w:val="both"/>
        <w:ind w:firstLine="872"/>
        <w:spacing w:after="0" w:line="279" w:lineRule="auto"/>
        <w:tabs>
          <w:tab w:leader="none" w:pos="239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(i) Liens in the ordinary course of business in connection with workers’ compensation, unemployment insurance and other social security legislation (other than any Lien imposed pursuant to Section 430(k) of the Code or Section 303(k) of ERISA or a violation of Section 436 of the Code) and (ii) Liens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of its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7.01(e)</w:t>
      </w:r>
      <w:r>
        <w:rPr>
          <w:rFonts w:ascii="Arial" w:cs="Arial" w:eastAsia="Arial" w:hAnsi="Arial"/>
          <w:sz w:val="19"/>
          <w:szCs w:val="19"/>
          <w:color w:val="auto"/>
        </w:rPr>
        <w:t xml:space="preserve"> shall not permit liens securing letters of credit;</w:t>
      </w:r>
    </w:p>
    <w:p>
      <w:pPr>
        <w:spacing w:after="0" w:line="150" w:lineRule="exact"/>
        <w:rPr>
          <w:rFonts w:ascii="Arial" w:cs="Arial" w:eastAsia="Arial" w:hAnsi="Arial"/>
          <w:sz w:val="19"/>
          <w:szCs w:val="19"/>
          <w:color w:val="auto"/>
        </w:rPr>
      </w:pPr>
    </w:p>
    <w:p>
      <w:pPr>
        <w:jc w:val="both"/>
        <w:ind w:firstLine="872"/>
        <w:spacing w:after="0" w:line="236" w:lineRule="auto"/>
        <w:tabs>
          <w:tab w:leader="none" w:pos="237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Liens to secure the performance of bids, trade contracts, governmental contracts and leases (in the case of each of the foregoing, other than for Indebtedness for borrowed money), statutory obligations, surety, stay, customs and appeal bonds, performance bonds and other obligations of a like nature (including those to secure health, safety and environmental obligations), in each case incurred in the ordinary course of business;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this </w:t>
      </w:r>
      <w:r>
        <w:rPr>
          <w:rFonts w:ascii="Arial" w:cs="Arial" w:eastAsia="Arial" w:hAnsi="Arial"/>
          <w:sz w:val="22"/>
          <w:szCs w:val="22"/>
          <w:u w:val="single" w:color="auto"/>
          <w:color w:val="auto"/>
        </w:rPr>
        <w:t>Section 7.01(f)</w:t>
      </w:r>
      <w:r>
        <w:rPr>
          <w:rFonts w:ascii="Arial" w:cs="Arial" w:eastAsia="Arial" w:hAnsi="Arial"/>
          <w:sz w:val="22"/>
          <w:szCs w:val="22"/>
          <w:color w:val="auto"/>
        </w:rPr>
        <w:t xml:space="preserve"> shall not permit liens securing letters of credit;</w:t>
      </w:r>
    </w:p>
    <w:p>
      <w:pPr>
        <w:spacing w:after="0" w:line="187" w:lineRule="exact"/>
        <w:rPr>
          <w:rFonts w:ascii="Arial" w:cs="Arial" w:eastAsia="Arial" w:hAnsi="Arial"/>
          <w:sz w:val="22"/>
          <w:szCs w:val="22"/>
          <w:color w:val="auto"/>
        </w:rPr>
      </w:pPr>
    </w:p>
    <w:p>
      <w:pPr>
        <w:jc w:val="both"/>
        <w:ind w:firstLine="872"/>
        <w:spacing w:after="0" w:line="279" w:lineRule="auto"/>
        <w:tabs>
          <w:tab w:leader="none" w:pos="241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(i) easements, rights-of-way, restrictions (including zoning restrictions and other land use regulations), encroachments, protrusions, reservations and other similar encumbrances and minor title defects affecting Real Property that do not in the aggregate materially interfere with the ordinary conduct of the business of the Borrower and the Restricted Subsidiaries, taken as a whole and (ii) ground leases in respect of Real Property on which facilities owned or leased by the Borrower or any of the Restricted Subsidiaries are located;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the case of this clause (ii) that such ground leases do not confer rights on the counter-party(ies) thereto superior to those of the Collateral Agent in the relevant property;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3" w:name="page164"/>
    <w:bookmarkEnd w:id="163"/>
    <w:p>
      <w:pPr>
        <w:ind w:left="2420" w:hanging="1548"/>
        <w:spacing w:after="0"/>
        <w:tabs>
          <w:tab w:leader="none" w:pos="24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Liens securing judgments not constituting an Event of Default under </w:t>
      </w:r>
      <w:r>
        <w:rPr>
          <w:rFonts w:ascii="Arial" w:cs="Arial" w:eastAsia="Arial" w:hAnsi="Arial"/>
          <w:sz w:val="22"/>
          <w:szCs w:val="22"/>
          <w:u w:val="single" w:color="auto"/>
          <w:color w:val="auto"/>
        </w:rPr>
        <w:t>Section 8.01(h)</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72"/>
        <w:spacing w:after="0"/>
        <w:tabs>
          <w:tab w:leader="none" w:pos="236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leases, licenses, subleases or sublicenses granted to others in the ordinary course of business which do not (i) interfere in any material respect with the business of the Borrower and the Restricted Subsidiaries, taken as a whole, or (ii) secure any Indebtedness</w:t>
      </w:r>
      <w:r>
        <w:rPr>
          <w:rFonts w:ascii="Arial" w:cs="Arial" w:eastAsia="Arial" w:hAnsi="Arial"/>
          <w:sz w:val="22"/>
          <w:szCs w:val="22"/>
          <w:i w:val="1"/>
          <w:iCs w:val="1"/>
          <w:color w:val="auto"/>
        </w:rPr>
        <w:t>;</w:t>
      </w:r>
    </w:p>
    <w:p>
      <w:pPr>
        <w:spacing w:after="0" w:line="186" w:lineRule="exact"/>
        <w:rPr>
          <w:rFonts w:ascii="Arial" w:cs="Arial" w:eastAsia="Arial" w:hAnsi="Arial"/>
          <w:sz w:val="22"/>
          <w:szCs w:val="22"/>
          <w:color w:val="auto"/>
        </w:rPr>
      </w:pPr>
    </w:p>
    <w:p>
      <w:pPr>
        <w:jc w:val="both"/>
        <w:ind w:firstLine="872"/>
        <w:spacing w:after="0" w:line="236" w:lineRule="auto"/>
        <w:tabs>
          <w:tab w:leader="none" w:pos="236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Liens (i) in favor of customs and revenue authorities arising as a matter of Law to secure payment of customs duties in connection with the importation of goods in the ordinary course of business or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87" w:lineRule="exact"/>
        <w:rPr>
          <w:rFonts w:ascii="Arial" w:cs="Arial" w:eastAsia="Arial" w:hAnsi="Arial"/>
          <w:sz w:val="22"/>
          <w:szCs w:val="22"/>
          <w:color w:val="auto"/>
        </w:rPr>
      </w:pPr>
    </w:p>
    <w:p>
      <w:pPr>
        <w:jc w:val="both"/>
        <w:ind w:firstLine="872"/>
        <w:spacing w:after="0" w:line="249" w:lineRule="auto"/>
        <w:tabs>
          <w:tab w:leader="none" w:pos="2411" w:val="left"/>
        </w:tabs>
        <w:numPr>
          <w:ilvl w:val="0"/>
          <w:numId w:val="186"/>
        </w:numPr>
        <w:rPr>
          <w:rFonts w:ascii="Arial" w:cs="Arial" w:eastAsia="Arial" w:hAnsi="Arial"/>
          <w:sz w:val="21"/>
          <w:szCs w:val="21"/>
          <w:color w:val="auto"/>
        </w:rPr>
      </w:pPr>
      <w:r>
        <w:rPr>
          <w:rFonts w:ascii="Arial" w:cs="Arial" w:eastAsia="Arial" w:hAnsi="Arial"/>
          <w:sz w:val="21"/>
          <w:szCs w:val="21"/>
          <w:color w:val="auto"/>
        </w:rPr>
        <w:t>Liens (i) of a collection bank arising under Section 4-210 of the Uniform Commercial Code on items in the course of collection and (ii) arising in the ordinary course of business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the general terms and conditions of such banking institutions;</w:t>
      </w:r>
    </w:p>
    <w:p>
      <w:pPr>
        <w:spacing w:after="0" w:line="178" w:lineRule="exact"/>
        <w:rPr>
          <w:rFonts w:ascii="Arial" w:cs="Arial" w:eastAsia="Arial" w:hAnsi="Arial"/>
          <w:sz w:val="21"/>
          <w:szCs w:val="21"/>
          <w:color w:val="auto"/>
        </w:rPr>
      </w:pPr>
    </w:p>
    <w:p>
      <w:pPr>
        <w:jc w:val="both"/>
        <w:ind w:firstLine="872"/>
        <w:spacing w:after="0" w:line="236" w:lineRule="auto"/>
        <w:tabs>
          <w:tab w:leader="none" w:pos="236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Liens (i) on cash earnest money deposits or other cash advances in favor of the seller of any property to be acquired in an Investment permitted pursuant to </w:t>
      </w:r>
      <w:r>
        <w:rPr>
          <w:rFonts w:ascii="Arial" w:cs="Arial" w:eastAsia="Arial" w:hAnsi="Arial"/>
          <w:sz w:val="22"/>
          <w:szCs w:val="22"/>
          <w:u w:val="single" w:color="auto"/>
          <w:color w:val="auto"/>
        </w:rPr>
        <w:t>Sections 7.02(e), (h), (l), (p), (r)</w:t>
      </w:r>
      <w:r>
        <w:rPr>
          <w:rFonts w:ascii="Arial" w:cs="Arial" w:eastAsia="Arial" w:hAnsi="Arial"/>
          <w:sz w:val="22"/>
          <w:szCs w:val="22"/>
          <w:color w:val="auto"/>
        </w:rPr>
        <w:t xml:space="preserve"> or (v), in each case to be applied against the purchase price for such Investment, and (ii) consisting of an agreement to Dispose of any property in a Disposition permitted under </w:t>
      </w:r>
      <w:r>
        <w:rPr>
          <w:rFonts w:ascii="Arial" w:cs="Arial" w:eastAsia="Arial" w:hAnsi="Arial"/>
          <w:sz w:val="22"/>
          <w:szCs w:val="22"/>
          <w:u w:val="single" w:color="auto"/>
          <w:color w:val="auto"/>
        </w:rPr>
        <w:t>Section 7.05</w:t>
      </w:r>
      <w:r>
        <w:rPr>
          <w:rFonts w:ascii="Arial" w:cs="Arial" w:eastAsia="Arial" w:hAnsi="Arial"/>
          <w:sz w:val="22"/>
          <w:szCs w:val="22"/>
          <w:color w:val="auto"/>
        </w:rPr>
        <w:t>, in each case, solely to the extent such Investment or Disposition, as the case may be, would have been permitted on the date of the creation of such Lien;</w:t>
      </w:r>
    </w:p>
    <w:p>
      <w:pPr>
        <w:spacing w:after="0" w:line="187" w:lineRule="exact"/>
        <w:rPr>
          <w:rFonts w:ascii="Arial" w:cs="Arial" w:eastAsia="Arial" w:hAnsi="Arial"/>
          <w:sz w:val="22"/>
          <w:szCs w:val="22"/>
          <w:color w:val="auto"/>
        </w:rPr>
      </w:pPr>
    </w:p>
    <w:p>
      <w:pPr>
        <w:ind w:firstLine="872"/>
        <w:spacing w:after="0" w:line="328" w:lineRule="auto"/>
        <w:tabs>
          <w:tab w:leader="none" w:pos="247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Liens (i) in favor of the Borrower or a Restricted Subsidiary on assets of a Restricted Subsidiary that is not a Loan Party securing Indebtedness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and (ii) in favor of the Borrower or any Guarantor;</w:t>
      </w:r>
    </w:p>
    <w:p>
      <w:pPr>
        <w:spacing w:after="0" w:line="104" w:lineRule="exact"/>
        <w:rPr>
          <w:rFonts w:ascii="Arial" w:cs="Arial" w:eastAsia="Arial" w:hAnsi="Arial"/>
          <w:sz w:val="19"/>
          <w:szCs w:val="19"/>
          <w:color w:val="auto"/>
        </w:rPr>
      </w:pPr>
    </w:p>
    <w:p>
      <w:pPr>
        <w:jc w:val="both"/>
        <w:ind w:firstLine="872"/>
        <w:spacing w:after="0" w:line="238" w:lineRule="auto"/>
        <w:tabs>
          <w:tab w:leader="none" w:pos="241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any interest or title (and all encumbrances and other matters affecting such interest or title) of a lessor, sublessor, licensor or sublicensor under leases, subleases, licenses or sublicenses entered into by the Borrower or any of the Restricted Subsidiaries in the ordinary course of business; </w:t>
      </w:r>
      <w:r>
        <w:rPr>
          <w:rFonts w:ascii="Arial" w:cs="Arial" w:eastAsia="Arial" w:hAnsi="Arial"/>
          <w:sz w:val="22"/>
          <w:szCs w:val="22"/>
          <w:i w:val="1"/>
          <w:iCs w:val="1"/>
          <w:color w:val="auto"/>
        </w:rPr>
        <w:t>provided</w:t>
      </w:r>
      <w:r>
        <w:rPr>
          <w:rFonts w:ascii="Arial" w:cs="Arial" w:eastAsia="Arial" w:hAnsi="Arial"/>
          <w:sz w:val="22"/>
          <w:szCs w:val="22"/>
          <w:color w:val="auto"/>
        </w:rPr>
        <w:t>, that no such lease or sublease shall constitute a Capitalized Lease;</w:t>
      </w:r>
    </w:p>
    <w:p>
      <w:pPr>
        <w:spacing w:after="0" w:line="184" w:lineRule="exact"/>
        <w:rPr>
          <w:rFonts w:ascii="Arial" w:cs="Arial" w:eastAsia="Arial" w:hAnsi="Arial"/>
          <w:sz w:val="22"/>
          <w:szCs w:val="22"/>
          <w:color w:val="auto"/>
        </w:rPr>
      </w:pPr>
    </w:p>
    <w:p>
      <w:pPr>
        <w:ind w:left="2420" w:hanging="1548"/>
        <w:spacing w:after="0"/>
        <w:tabs>
          <w:tab w:leader="none" w:pos="242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Liens deemed to exist in connection with Investments in repurchase agreements permitted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right="20" w:firstLine="872"/>
        <w:spacing w:after="0"/>
        <w:tabs>
          <w:tab w:leader="none" w:pos="241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Liens encumbering reasonable customary initial deposits and margin deposits and similar Liens attaching to commodity accounts or other brokerage accounts incurred in the ordinary course of business and not for speculative purposes;</w:t>
      </w:r>
    </w:p>
    <w:p>
      <w:pPr>
        <w:spacing w:after="0" w:line="186" w:lineRule="exact"/>
        <w:rPr>
          <w:rFonts w:ascii="Arial" w:cs="Arial" w:eastAsia="Arial" w:hAnsi="Arial"/>
          <w:sz w:val="22"/>
          <w:szCs w:val="22"/>
          <w:color w:val="auto"/>
        </w:rPr>
      </w:pPr>
    </w:p>
    <w:p>
      <w:pPr>
        <w:jc w:val="both"/>
        <w:ind w:firstLine="872"/>
        <w:spacing w:after="0"/>
        <w:tabs>
          <w:tab w:leader="none" w:pos="241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Liens (including any interest or title (and all encumbrances and other matters affecting such interest or title) of a lessor or sublessor under Capitalized Leases) securing Indebtedness constituting Capital Leases and purchase money security interests permitted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-3339465</wp:posOffset>
            </wp:positionV>
            <wp:extent cx="2025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4" w:name="page165"/>
    <w:bookmarkEnd w:id="164"/>
    <w:p>
      <w:pPr>
        <w:jc w:val="both"/>
        <w:spacing w:after="0" w:line="277" w:lineRule="auto"/>
        <w:rPr>
          <w:sz w:val="20"/>
          <w:szCs w:val="20"/>
          <w:color w:val="auto"/>
        </w:rPr>
      </w:pPr>
      <w:r>
        <w:rPr>
          <w:rFonts w:ascii="Arial" w:cs="Arial" w:eastAsia="Arial" w:hAnsi="Arial"/>
          <w:sz w:val="19"/>
          <w:szCs w:val="19"/>
          <w:u w:val="single" w:color="auto"/>
          <w:color w:val="auto"/>
        </w:rPr>
        <w:t>Section 7.03(e)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7.03(ff)</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Liens are created within 270 days of the acquisition, construction, repair, lease or improvement, as applicable, of the property subject to such Liens, (ii) such Liens do not at any time encumber property (except for replacements, additions and accessions to such property) other than the property financed by such Indebtedness and the proceeds and products thereof and customary security deposits, and (iii) such Liens do not at any time extend to or cover any assets (except for replacements, additions and accessions to such assets) other than the assets subject to Capitalized Leases and the proceeds and products thereof and customary security deposits;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individual financings of equipment provided by one lender may be cross collateralized to other financings of equipment provided by such lender;</w:t>
      </w:r>
    </w:p>
    <w:p>
      <w:pPr>
        <w:spacing w:after="0" w:line="152" w:lineRule="exact"/>
        <w:rPr>
          <w:sz w:val="20"/>
          <w:szCs w:val="20"/>
          <w:color w:val="auto"/>
        </w:rPr>
      </w:pPr>
    </w:p>
    <w:p>
      <w:pPr>
        <w:jc w:val="both"/>
        <w:ind w:firstLine="872"/>
        <w:spacing w:after="0"/>
        <w:tabs>
          <w:tab w:leader="none" w:pos="237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Liens on property (i) of any Foreign Subsidiary that is not a Loan Party and (ii) that does not constitute Collateral, which Liens secure Indebtedness of the applicable Foreign Subsidiary that is not a Loan Party permitted under </w:t>
      </w:r>
      <w:r>
        <w:rPr>
          <w:rFonts w:ascii="Arial" w:cs="Arial" w:eastAsia="Arial" w:hAnsi="Arial"/>
          <w:sz w:val="22"/>
          <w:szCs w:val="22"/>
          <w:u w:val="single" w:color="auto"/>
          <w:color w:val="auto"/>
        </w:rPr>
        <w:t>Section 7.03</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872"/>
        <w:spacing w:after="0" w:line="275" w:lineRule="auto"/>
        <w:tabs>
          <w:tab w:leader="none" w:pos="238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Liens existing on property at the time of its acquisition or existing on the property of any Person at the time such Person becomes a Restricted Subsidiary, in each case after the Restatement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ind w:left="2380" w:hanging="1508"/>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Liens arising from precautionary Uniform Commercial Code financing statements or similar filings;</w:t>
      </w:r>
    </w:p>
    <w:p>
      <w:pPr>
        <w:spacing w:after="0" w:line="240" w:lineRule="exact"/>
        <w:rPr>
          <w:rFonts w:ascii="Arial" w:cs="Arial" w:eastAsia="Arial" w:hAnsi="Arial"/>
          <w:sz w:val="19"/>
          <w:szCs w:val="19"/>
          <w:color w:val="auto"/>
        </w:rPr>
      </w:pPr>
    </w:p>
    <w:p>
      <w:pPr>
        <w:ind w:firstLine="872"/>
        <w:spacing w:after="0" w:line="250" w:lineRule="auto"/>
        <w:tabs>
          <w:tab w:leader="none" w:pos="241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Liens on insurance policies and the proceeds thereof securing the financing of the premiums with respect thereto in the ordinary course of business;</w:t>
      </w:r>
    </w:p>
    <w:p>
      <w:pPr>
        <w:spacing w:after="0" w:line="174" w:lineRule="exact"/>
        <w:rPr>
          <w:rFonts w:ascii="Arial" w:cs="Arial" w:eastAsia="Arial" w:hAnsi="Arial"/>
          <w:sz w:val="22"/>
          <w:szCs w:val="22"/>
          <w:color w:val="auto"/>
        </w:rPr>
      </w:pPr>
    </w:p>
    <w:p>
      <w:pPr>
        <w:jc w:val="both"/>
        <w:ind w:firstLine="872"/>
        <w:spacing w:after="0" w:line="273" w:lineRule="auto"/>
        <w:tabs>
          <w:tab w:leader="none" w:pos="241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Liens on the Collateral securing Indebtedness permitted under </w:t>
      </w:r>
      <w:r>
        <w:rPr>
          <w:rFonts w:ascii="Arial" w:cs="Arial" w:eastAsia="Arial" w:hAnsi="Arial"/>
          <w:sz w:val="19"/>
          <w:szCs w:val="19"/>
          <w:u w:val="single" w:color="auto"/>
          <w:color w:val="auto"/>
        </w:rPr>
        <w:t>Section 7.03(o)</w:t>
      </w:r>
      <w:r>
        <w:rPr>
          <w:rFonts w:ascii="Arial" w:cs="Arial" w:eastAsia="Arial" w:hAnsi="Arial"/>
          <w:sz w:val="19"/>
          <w:szCs w:val="19"/>
          <w:color w:val="auto"/>
        </w:rPr>
        <w:t xml:space="preserve"> or other obligations otherwise secured pursuant to or in connection with the documents governing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shall be subject to the ABL Intercreditor Agreement;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0000FF"/>
        </w:rPr>
        <w:t>further</w:t>
      </w:r>
      <w:r>
        <w:rPr>
          <w:rFonts w:ascii="Arial" w:cs="Arial" w:eastAsia="Arial" w:hAnsi="Arial"/>
          <w:sz w:val="19"/>
          <w:szCs w:val="19"/>
          <w:b w:val="1"/>
          <w:bCs w:val="1"/>
          <w:u w:val="single" w:color="auto"/>
          <w:color w:val="0000FF"/>
        </w:rPr>
        <w:t>, that in the case of any Lien (as defined in the ABL</w:t>
      </w:r>
    </w:p>
    <w:p>
      <w:pPr>
        <w:spacing w:after="0" w:line="1"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21"/>
          <w:szCs w:val="21"/>
          <w:b w:val="1"/>
          <w:bCs w:val="1"/>
          <w:u w:val="single" w:color="auto"/>
          <w:color w:val="0000FF"/>
        </w:rPr>
        <w:t>Intercreditor Agreement) in respect of all or any portion of the Term Priority Collateral (as defined in the ABL Intercreditor Agreement) now or hereafter held by or on behalf of the ABL Agent (as defined in the ABL Intercreditor Agreement) or any ABL Secured Party (as defined in the ABL Intercreditor Agreement) that secures all or any portion of the ABL Obligations (as defined in the ABL Intercreditor Agreement) shall in all respects be junior and subordinate to all Liens granted to the Term Agent (as defined in the ABL Intercreditor Agreement) and the Term Secured Parties (as defined in the ABL Intercreditor Agreement) in such Term Priority Collateral to secure all or any portion of the Term Obligations (as defined in the ABL Intercreditor Agreement);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5" w:name="page166"/>
    <w:bookmarkEnd w:id="165"/>
    <w:p>
      <w:pPr>
        <w:jc w:val="both"/>
        <w:ind w:firstLine="872"/>
        <w:spacing w:after="0" w:line="238" w:lineRule="auto"/>
        <w:tabs>
          <w:tab w:leader="none" w:pos="245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Liens on the Collateral securing Credit Agreement Refinancing Indebtedness that is Permitted Second Priority Additional Debt and any Permitted Refinancing of the foregoing; </w:t>
      </w:r>
      <w:r>
        <w:rPr>
          <w:rFonts w:ascii="Arial" w:cs="Arial" w:eastAsia="Arial" w:hAnsi="Arial"/>
          <w:sz w:val="22"/>
          <w:szCs w:val="22"/>
          <w:i w:val="1"/>
          <w:iCs w:val="1"/>
          <w:color w:val="auto"/>
        </w:rPr>
        <w:t>provided</w:t>
      </w:r>
      <w:r>
        <w:rPr>
          <w:rFonts w:ascii="Arial" w:cs="Arial" w:eastAsia="Arial" w:hAnsi="Arial"/>
          <w:sz w:val="22"/>
          <w:szCs w:val="22"/>
          <w:color w:val="auto"/>
        </w:rPr>
        <w:t>, that any such Liens are secured on a junior lien basis to the Liens securing the Obligations pursuant to, and subject at all times to, the Second Lien Intercreditor Agreement;</w:t>
      </w:r>
    </w:p>
    <w:p>
      <w:pPr>
        <w:spacing w:after="0" w:line="184" w:lineRule="exact"/>
        <w:rPr>
          <w:rFonts w:ascii="Arial" w:cs="Arial" w:eastAsia="Arial" w:hAnsi="Arial"/>
          <w:sz w:val="22"/>
          <w:szCs w:val="22"/>
          <w:color w:val="auto"/>
        </w:rPr>
      </w:pPr>
    </w:p>
    <w:p>
      <w:pPr>
        <w:ind w:right="20" w:firstLine="872"/>
        <w:spacing w:after="0" w:line="250" w:lineRule="auto"/>
        <w:tabs>
          <w:tab w:leader="none" w:pos="241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Liens on the Equity Interests of any joint venture entity of the Borrower consisting of a transfer restriction, purchase option, call or similar right of a third party joint venture partner;</w:t>
      </w:r>
    </w:p>
    <w:p>
      <w:pPr>
        <w:spacing w:after="0" w:line="174" w:lineRule="exact"/>
        <w:rPr>
          <w:rFonts w:ascii="Arial" w:cs="Arial" w:eastAsia="Arial" w:hAnsi="Arial"/>
          <w:sz w:val="22"/>
          <w:szCs w:val="22"/>
          <w:color w:val="auto"/>
        </w:rPr>
      </w:pPr>
    </w:p>
    <w:p>
      <w:pPr>
        <w:ind w:left="2420" w:hanging="1548"/>
        <w:spacing w:after="0"/>
        <w:tabs>
          <w:tab w:leader="none" w:pos="242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line="257" w:lineRule="auto"/>
        <w:tabs>
          <w:tab w:leader="none" w:pos="2399"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Liens on the Collateral securing Alternative Incremental Indebtedness that is Permitted Second Priority Additional Debt and any Permitted Refinancing of the foregoing; </w:t>
      </w:r>
      <w:r>
        <w:rPr>
          <w:rFonts w:ascii="Arial" w:cs="Arial" w:eastAsia="Arial" w:hAnsi="Arial"/>
          <w:sz w:val="21"/>
          <w:szCs w:val="21"/>
          <w:i w:val="1"/>
          <w:iCs w:val="1"/>
          <w:color w:val="auto"/>
        </w:rPr>
        <w:t>provided</w:t>
      </w:r>
      <w:r>
        <w:rPr>
          <w:rFonts w:ascii="Arial" w:cs="Arial" w:eastAsia="Arial" w:hAnsi="Arial"/>
          <w:sz w:val="21"/>
          <w:szCs w:val="21"/>
          <w:color w:val="auto"/>
        </w:rPr>
        <w:t>, that any such Liens are secured on a junior lien basis to the Liens securing the Obligations pursuant to the Second Lien Intercreditor Agreement;</w:t>
      </w:r>
    </w:p>
    <w:p>
      <w:pPr>
        <w:spacing w:after="0" w:line="169" w:lineRule="exact"/>
        <w:rPr>
          <w:sz w:val="20"/>
          <w:szCs w:val="20"/>
          <w:color w:val="auto"/>
        </w:rPr>
      </w:pPr>
    </w:p>
    <w:p>
      <w:pPr>
        <w:ind w:firstLine="872"/>
        <w:spacing w:after="0" w:line="250" w:lineRule="auto"/>
        <w:tabs>
          <w:tab w:leader="none" w:pos="2495" w:val="left"/>
        </w:tabs>
        <w:numPr>
          <w:ilvl w:val="0"/>
          <w:numId w:val="189"/>
        </w:numPr>
        <w:rPr>
          <w:rFonts w:ascii="Arial" w:cs="Arial" w:eastAsia="Arial" w:hAnsi="Arial"/>
          <w:sz w:val="22"/>
          <w:szCs w:val="22"/>
          <w:color w:val="auto"/>
        </w:rPr>
      </w:pPr>
      <w:r>
        <w:rPr>
          <w:rFonts w:ascii="Arial" w:cs="Arial" w:eastAsia="Arial" w:hAnsi="Arial"/>
          <w:sz w:val="22"/>
          <w:szCs w:val="22"/>
          <w:color w:val="auto"/>
        </w:rPr>
        <w:t>Liens on (i) the Securitization Assets arising in connection with a Qualified Securitization Financing or (ii) the Receivables Assets arising in connection with a Receivables Facility;</w:t>
      </w:r>
    </w:p>
    <w:p>
      <w:pPr>
        <w:spacing w:after="0" w:line="174" w:lineRule="exact"/>
        <w:rPr>
          <w:rFonts w:ascii="Arial" w:cs="Arial" w:eastAsia="Arial" w:hAnsi="Arial"/>
          <w:sz w:val="22"/>
          <w:szCs w:val="22"/>
          <w:color w:val="auto"/>
        </w:rPr>
      </w:pPr>
    </w:p>
    <w:p>
      <w:pPr>
        <w:ind w:right="20" w:firstLine="872"/>
        <w:spacing w:after="0" w:line="328" w:lineRule="auto"/>
        <w:tabs>
          <w:tab w:leader="none" w:pos="2519" w:val="left"/>
        </w:tabs>
        <w:numPr>
          <w:ilvl w:val="0"/>
          <w:numId w:val="189"/>
        </w:numPr>
        <w:rPr>
          <w:rFonts w:ascii="Arial" w:cs="Arial" w:eastAsia="Arial" w:hAnsi="Arial"/>
          <w:sz w:val="19"/>
          <w:szCs w:val="19"/>
          <w:color w:val="auto"/>
        </w:rPr>
      </w:pPr>
      <w:r>
        <w:rPr>
          <w:rFonts w:ascii="Arial" w:cs="Arial" w:eastAsia="Arial" w:hAnsi="Arial"/>
          <w:sz w:val="19"/>
          <w:szCs w:val="19"/>
          <w:color w:val="auto"/>
        </w:rPr>
        <w:t>Liens (i) arising out of conditional sale, title retention, consignment or similar arrangements for the sale of goods or (ii) encumbering deposits made to secure obligations arising from contractual or warranty requirements;</w:t>
      </w:r>
    </w:p>
    <w:p>
      <w:pPr>
        <w:spacing w:after="0" w:line="104" w:lineRule="exact"/>
        <w:rPr>
          <w:rFonts w:ascii="Arial" w:cs="Arial" w:eastAsia="Arial" w:hAnsi="Arial"/>
          <w:sz w:val="19"/>
          <w:szCs w:val="19"/>
          <w:color w:val="auto"/>
        </w:rPr>
      </w:pPr>
    </w:p>
    <w:p>
      <w:pPr>
        <w:ind w:left="2500" w:hanging="1628"/>
        <w:spacing w:after="0"/>
        <w:tabs>
          <w:tab w:leader="none" w:pos="25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Utility and similar deposits in the ordinary course of business;</w:t>
      </w:r>
    </w:p>
    <w:p>
      <w:pPr>
        <w:spacing w:after="0" w:line="206" w:lineRule="exact"/>
        <w:rPr>
          <w:rFonts w:ascii="Arial" w:cs="Arial" w:eastAsia="Arial" w:hAnsi="Arial"/>
          <w:sz w:val="22"/>
          <w:szCs w:val="22"/>
          <w:color w:val="auto"/>
        </w:rPr>
      </w:pPr>
    </w:p>
    <w:p>
      <w:pPr>
        <w:ind w:left="2520" w:hanging="1648"/>
        <w:spacing w:after="0"/>
        <w:tabs>
          <w:tab w:leader="none" w:pos="252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line="252" w:lineRule="auto"/>
        <w:tabs>
          <w:tab w:leader="none" w:pos="249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Liens related to Sale and Leaseback Transactions in an aggregate amount of $50,000,000; </w:t>
      </w:r>
      <w:r>
        <w:rPr>
          <w:rFonts w:ascii="Arial" w:cs="Arial" w:eastAsia="Arial" w:hAnsi="Arial"/>
          <w:sz w:val="21"/>
          <w:szCs w:val="21"/>
          <w:b w:val="1"/>
          <w:bCs w:val="1"/>
          <w:i w:val="1"/>
          <w:iCs w:val="1"/>
          <w:u w:val="single" w:color="auto"/>
          <w:color w:val="0000FF"/>
        </w:rPr>
        <w:t>provided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that, during the Specified Amendment No. 1 Period (and during the continuance of an Event of Default at any time after the end of the Specified Amendment No. 1 Period), this clause (ee) shall be unavailable for use under this Agreement and the dollar amount specified in this clause (ee) shall be $0;</w:t>
      </w:r>
    </w:p>
    <w:p>
      <w:pPr>
        <w:spacing w:after="0" w:line="173" w:lineRule="exact"/>
        <w:rPr>
          <w:rFonts w:ascii="Arial" w:cs="Arial" w:eastAsia="Arial" w:hAnsi="Arial"/>
          <w:sz w:val="21"/>
          <w:szCs w:val="21"/>
          <w:color w:val="auto"/>
        </w:rPr>
      </w:pPr>
    </w:p>
    <w:p>
      <w:pPr>
        <w:jc w:val="both"/>
        <w:ind w:firstLine="872"/>
        <w:spacing w:after="0" w:line="238" w:lineRule="auto"/>
        <w:tabs>
          <w:tab w:leader="none" w:pos="2443"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other Liens with respect to property or assets securing obligations of the Borrower or any Restricted Subsidiary in an aggregate principal amount outstanding at any time not to exceed $5,000,000;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do not secure Indebtedness for borrowed money and are not incurred in respect of any pension obligations of the Borrower or any of its Restricted Subsidiaries; and</w:t>
      </w:r>
    </w:p>
    <w:p>
      <w:pPr>
        <w:spacing w:after="0" w:line="184" w:lineRule="exact"/>
        <w:rPr>
          <w:rFonts w:ascii="Arial" w:cs="Arial" w:eastAsia="Arial" w:hAnsi="Arial"/>
          <w:sz w:val="22"/>
          <w:szCs w:val="22"/>
          <w:color w:val="auto"/>
        </w:rPr>
      </w:pPr>
    </w:p>
    <w:p>
      <w:pPr>
        <w:jc w:val="both"/>
        <w:ind w:firstLine="872"/>
        <w:spacing w:after="0" w:line="235" w:lineRule="auto"/>
        <w:tabs>
          <w:tab w:leader="none" w:pos="251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Liens on Pension Real Property related to or arising on account of Indebtedness in respect of Specified Pension Fund Obligations permitted pursuant to </w:t>
      </w:r>
      <w:r>
        <w:rPr>
          <w:rFonts w:ascii="Arial" w:cs="Arial" w:eastAsia="Arial" w:hAnsi="Arial"/>
          <w:sz w:val="22"/>
          <w:szCs w:val="22"/>
          <w:u w:val="single" w:color="auto"/>
          <w:color w:val="auto"/>
        </w:rPr>
        <w:t>Section 7.03(u)</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amount of Indebtedness in respect of Specified Pension Fund Obligations permitted to be secured by such Liens on Pension Real Property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7.01(gg)</w:t>
      </w:r>
      <w:r>
        <w:rPr>
          <w:rFonts w:ascii="Arial" w:cs="Arial" w:eastAsia="Arial" w:hAnsi="Arial"/>
          <w:sz w:val="22"/>
          <w:szCs w:val="22"/>
          <w:color w:val="auto"/>
        </w:rPr>
        <w:t xml:space="preserve"> shall not at any time exceed (x) the aggregate amount of Specified Pension Fund Obligations that are secured by such Liens on Pension Real Property on the Restatement Effective Date less (y) payments of Specified Pension Fund Obligations after the Restatement Effective Date.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6" w:name="page167"/>
    <w:bookmarkEnd w:id="166"/>
    <w:p>
      <w:pPr>
        <w:ind w:left="880"/>
        <w:spacing w:after="0"/>
        <w:rPr>
          <w:sz w:val="20"/>
          <w:szCs w:val="20"/>
          <w:color w:val="auto"/>
        </w:rPr>
      </w:pPr>
      <w:r>
        <w:rPr>
          <w:rFonts w:ascii="Arial" w:cs="Arial" w:eastAsia="Arial" w:hAnsi="Arial"/>
          <w:sz w:val="22"/>
          <w:szCs w:val="22"/>
          <w:i w:val="1"/>
          <w:iCs w:val="1"/>
          <w:color w:val="auto"/>
        </w:rPr>
        <w:t>Investments</w:t>
      </w:r>
    </w:p>
    <w:p>
      <w:pPr>
        <w:spacing w:after="0" w:line="206" w:lineRule="exact"/>
        <w:rPr>
          <w:sz w:val="20"/>
          <w:szCs w:val="20"/>
          <w:color w:val="auto"/>
        </w:rPr>
      </w:pPr>
    </w:p>
    <w:p>
      <w:pPr>
        <w:ind w:firstLine="872"/>
        <w:spacing w:after="0" w:line="250" w:lineRule="auto"/>
        <w:tabs>
          <w:tab w:leader="none" w:pos="1080" w:val="left"/>
        </w:tabs>
        <w:numPr>
          <w:ilvl w:val="0"/>
          <w:numId w:val="190"/>
        </w:numPr>
        <w:rPr>
          <w:rFonts w:ascii="Arial" w:cs="Arial" w:eastAsia="Arial" w:hAnsi="Arial"/>
          <w:sz w:val="22"/>
          <w:szCs w:val="22"/>
          <w:i w:val="1"/>
          <w:iCs w:val="1"/>
          <w:color w:val="auto"/>
        </w:rPr>
      </w:pPr>
      <w:r>
        <w:rPr>
          <w:rFonts w:ascii="Arial" w:cs="Arial" w:eastAsia="Arial" w:hAnsi="Arial"/>
          <w:sz w:val="22"/>
          <w:szCs w:val="22"/>
          <w:color w:val="auto"/>
        </w:rPr>
        <w:t>The Borrower shall not, nor shall it permit any Restricted Subsidiary to, directly or indirectly, make or hold any Investments, except:</w:t>
      </w:r>
    </w:p>
    <w:p>
      <w:pPr>
        <w:spacing w:after="0" w:line="175" w:lineRule="exact"/>
        <w:rPr>
          <w:sz w:val="20"/>
          <w:szCs w:val="20"/>
          <w:color w:val="auto"/>
        </w:rPr>
      </w:pPr>
    </w:p>
    <w:p>
      <w:pPr>
        <w:ind w:left="2400" w:hanging="1528"/>
        <w:spacing w:after="0"/>
        <w:tabs>
          <w:tab w:leader="none" w:pos="240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Investments by the Borrower or any of the Restricted Subsidiaries in cash or Cash Equivalents;</w:t>
      </w:r>
    </w:p>
    <w:p>
      <w:pPr>
        <w:spacing w:after="0" w:line="217" w:lineRule="exact"/>
        <w:rPr>
          <w:rFonts w:ascii="Arial" w:cs="Arial" w:eastAsia="Arial" w:hAnsi="Arial"/>
          <w:sz w:val="21"/>
          <w:szCs w:val="21"/>
          <w:color w:val="auto"/>
        </w:rPr>
      </w:pPr>
    </w:p>
    <w:p>
      <w:pPr>
        <w:jc w:val="both"/>
        <w:ind w:firstLine="872"/>
        <w:spacing w:after="0" w:line="277" w:lineRule="auto"/>
        <w:tabs>
          <w:tab w:leader="none" w:pos="241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loans or advances to officers, directors and employees of any Loan Party or any of its Restricted Subsidiaries (i) for reasonable and customary business-related travel, entertainment, relocation and analogous ordinary business purposes, in each case, consistent with past practice (including pursuant to use of any credit cards, credit card processing services, debit cards, stored value cards, purchase cards (including so-called "procurement cards" or "P-cards") or other similar cash management services), (ii) in connection with such Person’s purchase of Equity Interests of the Borrower and (iii) for any other corporate purposes not described in the foregoing clauses (i) and (ii);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principal amount of loans and advances outstanding at any time under this </w:t>
      </w:r>
      <w:r>
        <w:rPr>
          <w:rFonts w:ascii="Arial" w:cs="Arial" w:eastAsia="Arial" w:hAnsi="Arial"/>
          <w:sz w:val="19"/>
          <w:szCs w:val="19"/>
          <w:u w:val="single" w:color="auto"/>
          <w:color w:val="auto"/>
        </w:rPr>
        <w:t>Section 7.02(b)(ii)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shall not exceed $2,000,000;</w:t>
      </w:r>
    </w:p>
    <w:p>
      <w:pPr>
        <w:spacing w:after="0" w:line="151" w:lineRule="exact"/>
        <w:rPr>
          <w:rFonts w:ascii="Arial" w:cs="Arial" w:eastAsia="Arial" w:hAnsi="Arial"/>
          <w:sz w:val="19"/>
          <w:szCs w:val="19"/>
          <w:color w:val="auto"/>
        </w:rPr>
      </w:pPr>
    </w:p>
    <w:p>
      <w:pPr>
        <w:jc w:val="both"/>
        <w:ind w:firstLine="872"/>
        <w:spacing w:after="0" w:line="275" w:lineRule="auto"/>
        <w:tabs>
          <w:tab w:leader="none" w:pos="2399"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Investments (i) by the Borrower or any Restricted Subsidiary in any Loan Party (or any newly formed wholly owned Restricted Subsidiary that is not an Excluded Subsidiary and is to become a Loan Party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(ii) by any Restricted Subsidiary that is not a Loan Party in any other Restricted Subsidiary that is not a Loan Party and (iii) by any Loan Party in a Restricted Subsidiary that is not a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Investments at any time outstanding under this clause (iii) shall not exceed </w:t>
      </w:r>
      <w:r>
        <w:rPr>
          <w:rFonts w:ascii="Arial" w:cs="Arial" w:eastAsia="Arial" w:hAnsi="Arial"/>
          <w:sz w:val="19"/>
          <w:szCs w:val="19"/>
          <w:color w:val="FF0000"/>
          <w:strike w:val="1"/>
        </w:rPr>
        <w:t>$15,000,000;</w:t>
      </w:r>
      <w:r>
        <w:rPr>
          <w:rFonts w:ascii="Arial" w:cs="Arial" w:eastAsia="Arial" w:hAnsi="Arial"/>
          <w:sz w:val="19"/>
          <w:szCs w:val="19"/>
          <w:b w:val="1"/>
          <w:bCs w:val="1"/>
          <w:u w:val="single" w:color="auto"/>
          <w:color w:val="0000FF"/>
        </w:rPr>
        <w:t>(x) during the Specified Amendment No. 1 Period,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$5,000,000, and (y) after the Specified Amendment No. 1 Period shall have ended, $15,000,000, provided that, if after the end of the Specified Amendment No. 1 Period an Event or Default shall occur and be continuing, such dollar amount in this clause (y) shall be reduced to $5,000,000;</w:t>
      </w:r>
    </w:p>
    <w:p>
      <w:pPr>
        <w:spacing w:after="0" w:line="157" w:lineRule="exact"/>
        <w:rPr>
          <w:rFonts w:ascii="Arial" w:cs="Arial" w:eastAsia="Arial" w:hAnsi="Arial"/>
          <w:sz w:val="19"/>
          <w:szCs w:val="19"/>
          <w:color w:val="auto"/>
        </w:rPr>
      </w:pPr>
    </w:p>
    <w:p>
      <w:pPr>
        <w:ind w:firstLine="872"/>
        <w:spacing w:after="0" w:line="250" w:lineRule="auto"/>
        <w:tabs>
          <w:tab w:leader="none" w:pos="2411"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Investments consisting of extensions of credit in the nature of accounts receivable or notes receivable arising from the grant of trade credit or other credits to suppliers in the ordinary course of business;</w:t>
      </w:r>
    </w:p>
    <w:p>
      <w:pPr>
        <w:spacing w:after="0" w:line="174" w:lineRule="exact"/>
        <w:rPr>
          <w:rFonts w:ascii="Arial" w:cs="Arial" w:eastAsia="Arial" w:hAnsi="Arial"/>
          <w:sz w:val="22"/>
          <w:szCs w:val="22"/>
          <w:color w:val="auto"/>
        </w:rPr>
      </w:pPr>
    </w:p>
    <w:p>
      <w:pPr>
        <w:jc w:val="both"/>
        <w:ind w:firstLine="872"/>
        <w:spacing w:after="0" w:line="246" w:lineRule="auto"/>
        <w:tabs>
          <w:tab w:leader="none" w:pos="2399"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Investments (i) existing or contemplated on the Restatement Effective Date and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7.02(e)</w:t>
      </w:r>
      <w:r>
        <w:rPr>
          <w:rFonts w:ascii="Arial" w:cs="Arial" w:eastAsia="Arial" w:hAnsi="Arial"/>
          <w:sz w:val="21"/>
          <w:szCs w:val="21"/>
          <w:color w:val="auto"/>
        </w:rPr>
        <w:t xml:space="preserve"> (including unused commitments) and any modification, replacement, renewal or extension thereof and (ii) existing on the Restatement Effective Date by the Borrower or any other Restricted Subsidiary in any Restricted Subsidiary and any modification, replacement, renewal or extension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clause (i) and clause (ii) the amount of the original Investment is not increased except by the terms of such original Investment as set forth on Schedule 7.02(e) or as otherwise permitted by this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(and in such case made in reliance on the other paragraph of this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so permitting such modification, replacement, renewal or extension thereof);</w:t>
      </w:r>
    </w:p>
    <w:p>
      <w:pPr>
        <w:spacing w:after="0" w:line="184" w:lineRule="exact"/>
        <w:rPr>
          <w:rFonts w:ascii="Arial" w:cs="Arial" w:eastAsia="Arial" w:hAnsi="Arial"/>
          <w:sz w:val="21"/>
          <w:szCs w:val="21"/>
          <w:color w:val="auto"/>
        </w:rPr>
      </w:pPr>
    </w:p>
    <w:p>
      <w:pPr>
        <w:ind w:left="2380" w:hanging="1508"/>
        <w:spacing w:after="0"/>
        <w:tabs>
          <w:tab w:leader="none" w:pos="23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Investments in Swap Contracts permitted under </w:t>
      </w:r>
      <w:r>
        <w:rPr>
          <w:rFonts w:ascii="Arial" w:cs="Arial" w:eastAsia="Arial" w:hAnsi="Arial"/>
          <w:sz w:val="22"/>
          <w:szCs w:val="22"/>
          <w:u w:val="single" w:color="auto"/>
          <w:color w:val="auto"/>
        </w:rPr>
        <w:t>Section 7.03</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420" w:hanging="1548"/>
        <w:spacing w:after="0"/>
        <w:tabs>
          <w:tab w:leader="none" w:pos="24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promissory notes and other non-cash consideration received in connection with Dispositions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xml:space="preserve">permitted by </w:t>
      </w:r>
      <w:r>
        <w:rPr>
          <w:rFonts w:ascii="Arial" w:cs="Arial" w:eastAsia="Arial" w:hAnsi="Arial"/>
          <w:sz w:val="22"/>
          <w:szCs w:val="22"/>
          <w:u w:val="single" w:color="auto"/>
          <w:color w:val="auto"/>
        </w:rPr>
        <w:t>Section 7.05</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firstLine="872"/>
        <w:spacing w:after="0" w:line="250" w:lineRule="auto"/>
        <w:tabs>
          <w:tab w:leader="none" w:pos="2411"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any acquisition by the Borrower or any Restricted Subsidiary of all or substantially all the assets of, or all the Equity Interests (other than directors’ qualifying shares, shares issued to</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7" w:name="page168"/>
    <w:bookmarkEnd w:id="167"/>
    <w:p>
      <w:pPr>
        <w:jc w:val="both"/>
        <w:spacing w:after="0" w:line="267" w:lineRule="auto"/>
        <w:rPr>
          <w:sz w:val="20"/>
          <w:szCs w:val="20"/>
          <w:color w:val="auto"/>
        </w:rPr>
      </w:pPr>
      <w:r>
        <w:rPr>
          <w:rFonts w:ascii="Arial" w:cs="Arial" w:eastAsia="Arial" w:hAnsi="Arial"/>
          <w:sz w:val="19"/>
          <w:szCs w:val="19"/>
          <w:color w:val="auto"/>
        </w:rPr>
        <w:t xml:space="preserve">foreign nationals as required by applicable law or any options for Equity Interests that cannot, as a matter of law, be cancelled, redeemed or otherwise extinguished without the express agreement of the holder thereof at or prior to acquisition) in, a Person or division, business unit or line of business of a Person (or any subsequent investment made in a Person, division, business unit or line of business previously acquired in a Permitted Acquisition), in each case in a single transaction or series of related transactions, if (i) no Event of Default shall have occurred and be continuing or would result therefrom at the time of entering in the agreement to consummate such acquisition; (ii) all transactions related thereto shall be consummated in all material respects in accordance with applicable Laws; (iii) as of the most recently ended fiscal quarter for which financial statements of the Borrower and the target are available, (A) the Borrower and the Restricted Subsidiaries shall be in compliance, on a Pro Forma Basis, with the covenant set forth in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and (B) the Total Leverage Ratio, on a Pro Forma Basis, for the Test Period most recently ended shall not be greater than 3.00:1.00, in each case, after giving effect to such acquisition or investment and any related transactions; (iv) any acquired or newly formed Restricted Subsidiary shall not be liable for any Indebtedness except for Indebtedness otherwise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(v) to the extent required by the Collateral and Guarantee Requirement, (A) the property, assets and businesses acquired in such purchase or other acquisition shall constitute Collateral and (B) any such newly created or acquired Subsidiary (other than an Excluded Subsidiary) shall become a Guarantor, in each case, to the extent required by and in accordance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(vi) the businesses acquired in such purchase or other acquisition shall be in compliance with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and (vii) the Borrower shall have delivered to the Administrative Agent a certificate of a Responsible Officer of the Borrower certifying that the conditions set forth in the preceding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have been satisfied (any such acquisition, a “</w:t>
      </w:r>
      <w:r>
        <w:rPr>
          <w:rFonts w:ascii="Arial" w:cs="Arial" w:eastAsia="Arial" w:hAnsi="Arial"/>
          <w:sz w:val="19"/>
          <w:szCs w:val="19"/>
          <w:b w:val="1"/>
          <w:bCs w:val="1"/>
          <w:color w:val="auto"/>
        </w:rPr>
        <w:t>Permitted Acquisition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Investments made by Loan Parties pursuant to this </w:t>
      </w:r>
      <w:r>
        <w:rPr>
          <w:rFonts w:ascii="Arial" w:cs="Arial" w:eastAsia="Arial" w:hAnsi="Arial"/>
          <w:sz w:val="19"/>
          <w:szCs w:val="19"/>
          <w:u w:val="single" w:color="auto"/>
          <w:color w:val="auto"/>
        </w:rPr>
        <w:t>Section 7.02(h)</w:t>
      </w:r>
      <w:r>
        <w:rPr>
          <w:rFonts w:ascii="Arial" w:cs="Arial" w:eastAsia="Arial" w:hAnsi="Arial"/>
          <w:sz w:val="19"/>
          <w:szCs w:val="19"/>
          <w:color w:val="auto"/>
        </w:rPr>
        <w:t xml:space="preserve"> in assets that are not (or do not become) owned by a Loan Party or in Equity Interests in Persons that do not become Loan Parties upon consummation of such Permitted Acquisition shall not exceed $15,000,000 at any time outstanding;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0000FF"/>
        </w:rPr>
        <w:t>further</w:t>
      </w:r>
      <w:r>
        <w:rPr>
          <w:rFonts w:ascii="Arial" w:cs="Arial" w:eastAsia="Arial" w:hAnsi="Arial"/>
          <w:sz w:val="19"/>
          <w:szCs w:val="19"/>
          <w:b w:val="1"/>
          <w:bCs w:val="1"/>
          <w:u w:val="single" w:color="auto"/>
          <w:color w:val="0000FF"/>
        </w:rPr>
        <w:t>, that notwithstanding anything to the contrary, during the Specified Amendment No. 1</w:t>
      </w:r>
    </w:p>
    <w:p>
      <w:pPr>
        <w:spacing w:after="0" w:line="17" w:lineRule="exact"/>
        <w:rPr>
          <w:sz w:val="20"/>
          <w:szCs w:val="20"/>
          <w:color w:val="auto"/>
        </w:rPr>
      </w:pPr>
    </w:p>
    <w:p>
      <w:pPr>
        <w:jc w:val="both"/>
        <w:ind w:right="20"/>
        <w:spacing w:after="0" w:line="256" w:lineRule="auto"/>
        <w:rPr>
          <w:sz w:val="20"/>
          <w:szCs w:val="20"/>
          <w:color w:val="auto"/>
        </w:rPr>
      </w:pPr>
      <w:r>
        <w:rPr>
          <w:rFonts w:ascii="Arial" w:cs="Arial" w:eastAsia="Arial" w:hAnsi="Arial"/>
          <w:sz w:val="21"/>
          <w:szCs w:val="21"/>
          <w:b w:val="1"/>
          <w:bCs w:val="1"/>
          <w:u w:val="single" w:color="auto"/>
          <w:color w:val="0000FF"/>
        </w:rPr>
        <w:t>Period, this clause (h) shall be unavailable under this Agreement and no Permitted Acquisitions may be made (and Permitted Acquisitions shall be disregarded in any reference in any other term or provision herein);</w:t>
      </w:r>
    </w:p>
    <w:p>
      <w:pPr>
        <w:spacing w:after="0" w:line="169" w:lineRule="exact"/>
        <w:rPr>
          <w:sz w:val="20"/>
          <w:szCs w:val="20"/>
          <w:color w:val="auto"/>
        </w:rPr>
      </w:pPr>
    </w:p>
    <w:p>
      <w:pPr>
        <w:ind w:right="20" w:firstLine="872"/>
        <w:spacing w:after="0" w:line="274" w:lineRule="auto"/>
        <w:tabs>
          <w:tab w:leader="none" w:pos="2363" w:val="left"/>
        </w:tabs>
        <w:numPr>
          <w:ilvl w:val="0"/>
          <w:numId w:val="192"/>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UCC Article 3 endorsements for collection or deposit and UCC Article 4 customary trade arrangements with customers consistent with past practices;</w:t>
      </w:r>
    </w:p>
    <w:p>
      <w:pPr>
        <w:spacing w:after="0" w:line="150" w:lineRule="exact"/>
        <w:rPr>
          <w:rFonts w:ascii="Arial" w:cs="Arial" w:eastAsia="Arial" w:hAnsi="Arial"/>
          <w:sz w:val="21"/>
          <w:szCs w:val="21"/>
          <w:color w:val="auto"/>
        </w:rPr>
      </w:pPr>
    </w:p>
    <w:p>
      <w:pPr>
        <w:jc w:val="both"/>
        <w:ind w:firstLine="872"/>
        <w:spacing w:after="0"/>
        <w:tabs>
          <w:tab w:leader="none" w:pos="2363"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Investments (including debt obligations and Equity Interests) received in connection with the bankruptcy or reorganization of suppliers and customers or in settlement of delinquent obligations of, or other disputes with, customers and suppliers;</w:t>
      </w:r>
    </w:p>
    <w:p>
      <w:pPr>
        <w:spacing w:after="0" w:line="186" w:lineRule="exact"/>
        <w:rPr>
          <w:rFonts w:ascii="Arial" w:cs="Arial" w:eastAsia="Arial" w:hAnsi="Arial"/>
          <w:sz w:val="22"/>
          <w:szCs w:val="22"/>
          <w:color w:val="auto"/>
        </w:rPr>
      </w:pPr>
    </w:p>
    <w:p>
      <w:pPr>
        <w:ind w:left="2420" w:hanging="1548"/>
        <w:spacing w:after="0"/>
        <w:tabs>
          <w:tab w:leader="none" w:pos="24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advances of payroll payments to employees in the ordinary course of business;</w:t>
      </w:r>
    </w:p>
    <w:p>
      <w:pPr>
        <w:spacing w:after="0" w:line="206" w:lineRule="exact"/>
        <w:rPr>
          <w:rFonts w:ascii="Arial" w:cs="Arial" w:eastAsia="Arial" w:hAnsi="Arial"/>
          <w:sz w:val="22"/>
          <w:szCs w:val="22"/>
          <w:color w:val="auto"/>
        </w:rPr>
      </w:pPr>
    </w:p>
    <w:p>
      <w:pPr>
        <w:ind w:right="20" w:firstLine="872"/>
        <w:spacing w:after="0" w:line="250" w:lineRule="auto"/>
        <w:tabs>
          <w:tab w:leader="none" w:pos="2363"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Investments to the extent that payment for such Investments is made with Equity Interests (other than Disqualified Equity Interests) of the Borrower or the Net Proceeds received from the issuance thereof;</w:t>
      </w:r>
    </w:p>
    <w:p>
      <w:pPr>
        <w:spacing w:after="0" w:line="174" w:lineRule="exact"/>
        <w:rPr>
          <w:rFonts w:ascii="Arial" w:cs="Arial" w:eastAsia="Arial" w:hAnsi="Arial"/>
          <w:sz w:val="22"/>
          <w:szCs w:val="22"/>
          <w:color w:val="auto"/>
        </w:rPr>
      </w:pPr>
    </w:p>
    <w:p>
      <w:pPr>
        <w:ind w:firstLine="872"/>
        <w:spacing w:after="0" w:line="250" w:lineRule="auto"/>
        <w:tabs>
          <w:tab w:leader="none" w:pos="2471"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Investments of a Restricted Subsidiary acquired after the Restatement Effective Date pursuant to a Permitted Acquisition or of a corporation merged or amalgamated or</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jc w:val="both"/>
        <w:spacing w:after="0" w:line="238" w:lineRule="auto"/>
        <w:rPr>
          <w:sz w:val="20"/>
          <w:szCs w:val="20"/>
          <w:color w:val="auto"/>
        </w:rPr>
      </w:pPr>
      <w:r>
        <w:rPr>
          <w:rFonts w:ascii="Arial" w:cs="Arial" w:eastAsia="Arial" w:hAnsi="Arial"/>
          <w:sz w:val="22"/>
          <w:szCs w:val="22"/>
          <w:color w:val="auto"/>
        </w:rPr>
        <w:t xml:space="preserve">consolidated into the Borrower or merged, amalgamated or consolidated with a Restricted Subsidiary, in each case in accordance with this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7.04</w:t>
      </w:r>
      <w:r>
        <w:rPr>
          <w:rFonts w:ascii="Arial" w:cs="Arial" w:eastAsia="Arial" w:hAnsi="Arial"/>
          <w:sz w:val="22"/>
          <w:szCs w:val="22"/>
          <w:color w:val="auto"/>
        </w:rPr>
        <w:t xml:space="preserve"> after the Restatement Effective Date, to the extent that such Investments were not made in contemplation of or in connection with such acquisition, merger, amalgamation or consolidation and were in existence on the date of such acquisition, merger or consolidation;</w:t>
      </w:r>
    </w:p>
    <w:p>
      <w:pPr>
        <w:spacing w:after="0" w:line="185" w:lineRule="exact"/>
        <w:rPr>
          <w:sz w:val="20"/>
          <w:szCs w:val="20"/>
          <w:color w:val="auto"/>
        </w:rPr>
      </w:pPr>
    </w:p>
    <w:p>
      <w:pPr>
        <w:jc w:val="both"/>
        <w:ind w:firstLine="872"/>
        <w:spacing w:after="0"/>
        <w:tabs>
          <w:tab w:leader="none" w:pos="2411" w:val="left"/>
        </w:tabs>
        <w:numPr>
          <w:ilvl w:val="1"/>
          <w:numId w:val="193"/>
        </w:numPr>
        <w:rPr>
          <w:rFonts w:ascii="Arial" w:cs="Arial" w:eastAsia="Arial" w:hAnsi="Arial"/>
          <w:sz w:val="22"/>
          <w:szCs w:val="22"/>
          <w:color w:val="auto"/>
        </w:rPr>
      </w:pPr>
      <w:r>
        <w:rPr>
          <w:rFonts w:ascii="Arial" w:cs="Arial" w:eastAsia="Arial" w:hAnsi="Arial"/>
          <w:sz w:val="22"/>
          <w:szCs w:val="22"/>
          <w:color w:val="auto"/>
        </w:rPr>
        <w:t xml:space="preserve">Investments made by any Restricted Subsidiary that is not a Loan Party to the extent such Investments are financed with the proceeds received by such Restricted Subsidiary from an Investment in such Restricted Subsidiary made pursuant to </w:t>
      </w:r>
      <w:r>
        <w:rPr>
          <w:rFonts w:ascii="Arial" w:cs="Arial" w:eastAsia="Arial" w:hAnsi="Arial"/>
          <w:sz w:val="22"/>
          <w:szCs w:val="22"/>
          <w:u w:val="single" w:color="auto"/>
          <w:color w:val="auto"/>
        </w:rPr>
        <w:t>Section 7.02(c)(iii)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7.02(p)</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872"/>
        <w:spacing w:after="0"/>
        <w:tabs>
          <w:tab w:leader="none" w:pos="2411" w:val="left"/>
        </w:tabs>
        <w:numPr>
          <w:ilvl w:val="1"/>
          <w:numId w:val="193"/>
        </w:numPr>
        <w:rPr>
          <w:rFonts w:ascii="Arial" w:cs="Arial" w:eastAsia="Arial" w:hAnsi="Arial"/>
          <w:sz w:val="22"/>
          <w:szCs w:val="22"/>
          <w:color w:val="auto"/>
        </w:rPr>
      </w:pPr>
      <w:r>
        <w:rPr>
          <w:rFonts w:ascii="Arial" w:cs="Arial" w:eastAsia="Arial" w:hAnsi="Arial"/>
          <w:sz w:val="22"/>
          <w:szCs w:val="22"/>
          <w:color w:val="auto"/>
        </w:rPr>
        <w:t>Guarantees by the Borrower or any Restricted Subsidiary of operating leases (other than Capitalized Leases) or of other obligations that do not constitute Indebtedness, in each case, which leases or other obligations are entered into by the Borrower or any Guarantor in the ordinary course of business;</w:t>
      </w:r>
    </w:p>
    <w:p>
      <w:pPr>
        <w:spacing w:after="0" w:line="180" w:lineRule="exact"/>
        <w:rPr>
          <w:rFonts w:ascii="Arial" w:cs="Arial" w:eastAsia="Arial" w:hAnsi="Arial"/>
          <w:sz w:val="22"/>
          <w:szCs w:val="22"/>
          <w:color w:val="auto"/>
        </w:rPr>
      </w:pPr>
    </w:p>
    <w:p>
      <w:pPr>
        <w:jc w:val="both"/>
        <w:ind w:firstLine="872"/>
        <w:spacing w:after="0" w:line="273" w:lineRule="auto"/>
        <w:tabs>
          <w:tab w:leader="none" w:pos="2411"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other Investments (including </w:t>
      </w:r>
      <w:r>
        <w:rPr>
          <w:rFonts w:ascii="Arial" w:cs="Arial" w:eastAsia="Arial" w:hAnsi="Arial"/>
          <w:sz w:val="19"/>
          <w:szCs w:val="19"/>
          <w:b w:val="1"/>
          <w:bCs w:val="1"/>
          <w:u w:val="single" w:color="auto"/>
          <w:color w:val="0000FF"/>
        </w:rPr>
        <w:t>after the Specified Amendment No. 1 Period</w:t>
      </w:r>
      <w:r>
        <w:rPr>
          <w:rFonts w:ascii="Arial" w:cs="Arial" w:eastAsia="Arial" w:hAnsi="Arial"/>
          <w:sz w:val="19"/>
          <w:szCs w:val="19"/>
          <w:color w:val="auto"/>
        </w:rPr>
        <w:t xml:space="preserve"> for Permitted Acquisitions) in an aggregate amount outstanding pursuant to this clause (p) at any time not to exceed (x) together with (I) the aggregate amount of Restricted Payments made under sub-clause (x) of </w:t>
      </w:r>
      <w:r>
        <w:rPr>
          <w:rFonts w:ascii="Arial" w:cs="Arial" w:eastAsia="Arial" w:hAnsi="Arial"/>
          <w:sz w:val="19"/>
          <w:szCs w:val="19"/>
          <w:u w:val="single" w:color="auto"/>
          <w:color w:val="auto"/>
        </w:rPr>
        <w:t>Section 7.06(e)</w:t>
      </w:r>
      <w:r>
        <w:rPr>
          <w:rFonts w:ascii="Arial" w:cs="Arial" w:eastAsia="Arial" w:hAnsi="Arial"/>
          <w:sz w:val="19"/>
          <w:szCs w:val="19"/>
          <w:color w:val="auto"/>
        </w:rPr>
        <w:t xml:space="preserve"> and (II) the aggregate amount of prepayments, redemptions, purchases, defeasances and other payments made pursuant to sub-clause (x) of </w:t>
      </w:r>
      <w:r>
        <w:rPr>
          <w:rFonts w:ascii="Arial" w:cs="Arial" w:eastAsia="Arial" w:hAnsi="Arial"/>
          <w:sz w:val="19"/>
          <w:szCs w:val="19"/>
          <w:u w:val="single" w:color="auto"/>
          <w:color w:val="auto"/>
        </w:rPr>
        <w:t>Section 7.13(a)(vi)</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72" w:lineRule="auto"/>
        <w:tabs>
          <w:tab w:leader="none" w:pos="355" w:val="left"/>
        </w:tabs>
        <w:numPr>
          <w:ilvl w:val="0"/>
          <w:numId w:val="19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during the Amendment No. 1 Specified Period, $20,000,000, and (B) after the Specified Amendment No. 1 Period shall have ended,</w:t>
      </w:r>
      <w:r>
        <w:rPr>
          <w:rFonts w:ascii="Arial" w:cs="Arial" w:eastAsia="Arial" w:hAnsi="Arial"/>
          <w:sz w:val="19"/>
          <w:szCs w:val="19"/>
          <w:b w:val="1"/>
          <w:bCs w:val="1"/>
          <w:color w:val="0000FF"/>
        </w:rPr>
        <w:t xml:space="preserve"> </w:t>
      </w:r>
      <w:r>
        <w:rPr>
          <w:rFonts w:ascii="Arial" w:cs="Arial" w:eastAsia="Arial" w:hAnsi="Arial"/>
          <w:sz w:val="19"/>
          <w:szCs w:val="19"/>
          <w:color w:val="000000"/>
        </w:rPr>
        <w:t>$30,000,000 plus, (y) the portion, if any, of the Cumulative Credit on the date of such election that the Borrower</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elects to apply to this subclause (y);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with respect to any Investment made pursuant to this </w:t>
      </w:r>
      <w:r>
        <w:rPr>
          <w:rFonts w:ascii="Arial" w:cs="Arial" w:eastAsia="Arial" w:hAnsi="Arial"/>
          <w:sz w:val="19"/>
          <w:szCs w:val="19"/>
          <w:u w:val="single" w:color="auto"/>
          <w:color w:val="000000"/>
        </w:rPr>
        <w:t>Section 7.02(p)</w:t>
      </w:r>
      <w:r>
        <w:rPr>
          <w:rFonts w:ascii="Arial" w:cs="Arial" w:eastAsia="Arial" w:hAnsi="Arial"/>
          <w:sz w:val="19"/>
          <w:szCs w:val="19"/>
          <w:color w:val="000000"/>
        </w:rPr>
        <w:t>, (A) no Event of Default shall have occurred and be continuing or would result from the making of any such Investment and (B) with respect to Investments made in reliance on this subclause (y) (i) other than Investments made in Restricted Subsidiaries organized under the laws of Canada or Mexico or, in each case, any political subdivision thereof, on a Pro Forma Basis after giving effect thereto the Total Leverage Ratio is equal to or less than 2.00:1.00 or (ii) with respect to Investments in Restricted Subsidiaries organized under the laws of Canada or Mexico or, in each case, any political subdivision thereof, on a Pro Forma Basis after giving effect thereto the Total Leverage Ratio is equal to or less than 4.00:1.00;</w:t>
      </w:r>
    </w:p>
    <w:p>
      <w:pPr>
        <w:spacing w:after="0" w:line="156" w:lineRule="exact"/>
        <w:rPr>
          <w:rFonts w:ascii="Arial" w:cs="Arial" w:eastAsia="Arial" w:hAnsi="Arial"/>
          <w:sz w:val="19"/>
          <w:szCs w:val="19"/>
          <w:b w:val="1"/>
          <w:bCs w:val="1"/>
          <w:u w:val="single" w:color="auto"/>
          <w:color w:val="0000FF"/>
        </w:rPr>
      </w:pPr>
    </w:p>
    <w:p>
      <w:pPr>
        <w:jc w:val="both"/>
        <w:ind w:firstLine="872"/>
        <w:spacing w:after="0"/>
        <w:tabs>
          <w:tab w:leader="none" w:pos="2411" w:val="left"/>
        </w:tabs>
        <w:numPr>
          <w:ilvl w:val="1"/>
          <w:numId w:val="194"/>
        </w:numPr>
        <w:rPr>
          <w:rFonts w:ascii="Arial" w:cs="Arial" w:eastAsia="Arial" w:hAnsi="Arial"/>
          <w:sz w:val="22"/>
          <w:szCs w:val="22"/>
          <w:color w:val="auto"/>
        </w:rPr>
      </w:pPr>
      <w:r>
        <w:rPr>
          <w:rFonts w:ascii="Arial" w:cs="Arial" w:eastAsia="Arial" w:hAnsi="Arial"/>
          <w:sz w:val="22"/>
          <w:szCs w:val="22"/>
          <w:color w:val="auto"/>
        </w:rPr>
        <w:t>(i) make lease, utility and other similar deposits or any other advance or deposit permitted by this Agreement in the ordinary course of business or (ii) make prepayments and deposits to suppliers in the ordinary course of business;</w:t>
      </w:r>
    </w:p>
    <w:p>
      <w:pPr>
        <w:spacing w:after="0" w:line="186" w:lineRule="exact"/>
        <w:rPr>
          <w:rFonts w:ascii="Arial" w:cs="Arial" w:eastAsia="Arial" w:hAnsi="Arial"/>
          <w:sz w:val="22"/>
          <w:szCs w:val="22"/>
          <w:color w:val="auto"/>
        </w:rPr>
      </w:pPr>
    </w:p>
    <w:p>
      <w:pPr>
        <w:ind w:left="2380" w:hanging="1508"/>
        <w:spacing w:after="0"/>
        <w:tabs>
          <w:tab w:leader="none" w:pos="238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to the extent constituting Investments, capital expenditures otherwise permitted under this Agreement;</w:t>
      </w:r>
    </w:p>
    <w:p>
      <w:pPr>
        <w:spacing w:after="0" w:line="240" w:lineRule="exact"/>
        <w:rPr>
          <w:rFonts w:ascii="Arial" w:cs="Arial" w:eastAsia="Arial" w:hAnsi="Arial"/>
          <w:sz w:val="19"/>
          <w:szCs w:val="19"/>
          <w:color w:val="auto"/>
        </w:rPr>
      </w:pPr>
    </w:p>
    <w:p>
      <w:pPr>
        <w:ind w:left="2400" w:hanging="1528"/>
        <w:spacing w:after="0"/>
        <w:tabs>
          <w:tab w:leader="none" w:pos="240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Investments in deposit accounts or securities accounts opened in the ordinary course of business;</w:t>
      </w:r>
    </w:p>
    <w:p>
      <w:pPr>
        <w:spacing w:after="0" w:line="240" w:lineRule="exact"/>
        <w:rPr>
          <w:rFonts w:ascii="Arial" w:cs="Arial" w:eastAsia="Arial" w:hAnsi="Arial"/>
          <w:sz w:val="19"/>
          <w:szCs w:val="19"/>
          <w:color w:val="auto"/>
        </w:rPr>
      </w:pPr>
    </w:p>
    <w:p>
      <w:pPr>
        <w:ind w:firstLine="872"/>
        <w:spacing w:after="0" w:line="250" w:lineRule="auto"/>
        <w:tabs>
          <w:tab w:leader="none" w:pos="2363" w:val="left"/>
        </w:tabs>
        <w:numPr>
          <w:ilvl w:val="1"/>
          <w:numId w:val="194"/>
        </w:numPr>
        <w:rPr>
          <w:rFonts w:ascii="Arial" w:cs="Arial" w:eastAsia="Arial" w:hAnsi="Arial"/>
          <w:sz w:val="22"/>
          <w:szCs w:val="22"/>
          <w:color w:val="auto"/>
        </w:rPr>
      </w:pPr>
      <w:r>
        <w:rPr>
          <w:rFonts w:ascii="Arial" w:cs="Arial" w:eastAsia="Arial" w:hAnsi="Arial"/>
          <w:sz w:val="22"/>
          <w:szCs w:val="22"/>
          <w:color w:val="auto"/>
        </w:rPr>
        <w:t xml:space="preserve">repurchase, retirement or repayment of any Indebtedness to the extent not otherwise prohibited by this Agreement, including, without limitation, acquisitions of Term Loans pursuant to </w:t>
      </w:r>
      <w:r>
        <w:rPr>
          <w:rFonts w:ascii="Arial" w:cs="Arial" w:eastAsia="Arial" w:hAnsi="Arial"/>
          <w:sz w:val="22"/>
          <w:szCs w:val="22"/>
          <w:u w:val="single" w:color="auto"/>
          <w:color w:val="auto"/>
        </w:rPr>
        <w:t>Section 10.04</w:t>
      </w:r>
      <w:r>
        <w:rPr>
          <w:rFonts w:ascii="Arial" w:cs="Arial" w:eastAsia="Arial" w:hAnsi="Arial"/>
          <w:sz w:val="22"/>
          <w:szCs w:val="22"/>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9" w:name="page170"/>
    <w:bookmarkEnd w:id="169"/>
    <w:p>
      <w:pPr>
        <w:jc w:val="both"/>
        <w:ind w:firstLine="872"/>
        <w:spacing w:after="0" w:line="248" w:lineRule="auto"/>
        <w:tabs>
          <w:tab w:leader="none" w:pos="241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 Investments (including by consideration in the form of cash, Cash Equivalents, contributing receivables and through subordinated notes) in any Receivables Facility or any Securitization Subsidiary or other Subsidiary that in turn then transfers Securitization Assets to a Securitization Subsidiary in order to effectuate a Qualified Securitization Financing, including the ownership of Equity Interests in such Securitization Subsidiary and (b) distributions or payments of Securitization Fees and purchases of Securitization Assets or Receivables Assets pursuant to a Securitization Purchase Obligation in connection with a Qualified Securitization Financing or a Receivables Facility;</w:t>
      </w:r>
    </w:p>
    <w:p>
      <w:pPr>
        <w:spacing w:after="0" w:line="176" w:lineRule="exact"/>
        <w:rPr>
          <w:rFonts w:ascii="Arial" w:cs="Arial" w:eastAsia="Arial" w:hAnsi="Arial"/>
          <w:sz w:val="21"/>
          <w:szCs w:val="21"/>
          <w:color w:val="auto"/>
        </w:rPr>
      </w:pPr>
    </w:p>
    <w:p>
      <w:pPr>
        <w:jc w:val="both"/>
        <w:ind w:firstLine="872"/>
        <w:spacing w:after="0"/>
        <w:tabs>
          <w:tab w:leader="none" w:pos="2411"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Investments consisting of or resulting from (i) Indebtedness permitted under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(ii) Liens permitted under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(iii) Restricted Payments permitted under </w:t>
      </w:r>
      <w:r>
        <w:rPr>
          <w:rFonts w:ascii="Arial" w:cs="Arial" w:eastAsia="Arial" w:hAnsi="Arial"/>
          <w:sz w:val="22"/>
          <w:szCs w:val="22"/>
          <w:u w:val="single" w:color="auto"/>
          <w:color w:val="auto"/>
        </w:rPr>
        <w:t>Section 7.06</w:t>
      </w:r>
      <w:r>
        <w:rPr>
          <w:rFonts w:ascii="Arial" w:cs="Arial" w:eastAsia="Arial" w:hAnsi="Arial"/>
          <w:sz w:val="22"/>
          <w:szCs w:val="22"/>
          <w:color w:val="auto"/>
        </w:rPr>
        <w:t xml:space="preserve">, (iv) Dispositions permitted by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and (v) fundamental changes permitted by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20" w:firstLine="872"/>
        <w:spacing w:after="0" w:line="250" w:lineRule="auto"/>
        <w:tabs>
          <w:tab w:leader="none" w:pos="245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Investments solely to the extent such Investments reflect an increase in the value of Investments otherwise permitted under this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872"/>
        <w:spacing w:after="0"/>
        <w:tabs>
          <w:tab w:leader="none" w:pos="2411"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loans and advances to Borrower in lieu of, and not in excess of the amount of (after giving effect to any other such loans or advances or Restricted Payments in respect thereof), Restricted Payments to the extent permitted to be made in accordance with </w:t>
      </w:r>
      <w:r>
        <w:rPr>
          <w:rFonts w:ascii="Arial" w:cs="Arial" w:eastAsia="Arial" w:hAnsi="Arial"/>
          <w:sz w:val="22"/>
          <w:szCs w:val="22"/>
          <w:u w:val="single" w:color="auto"/>
          <w:color w:val="auto"/>
        </w:rPr>
        <w:t>Section 7.06</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7.06(i)</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jc w:val="both"/>
        <w:ind w:firstLine="872"/>
        <w:spacing w:after="0" w:line="238" w:lineRule="auto"/>
        <w:tabs>
          <w:tab w:leader="none" w:pos="2411" w:val="left"/>
        </w:tabs>
        <w:numPr>
          <w:ilvl w:val="0"/>
          <w:numId w:val="195"/>
        </w:numPr>
        <w:rPr>
          <w:rFonts w:ascii="Arial" w:cs="Arial" w:eastAsia="Arial" w:hAnsi="Arial"/>
          <w:sz w:val="22"/>
          <w:szCs w:val="22"/>
          <w:color w:val="auto"/>
        </w:rPr>
      </w:pPr>
      <w:r>
        <w:rPr>
          <w:rFonts w:ascii="Arial" w:cs="Arial" w:eastAsia="Arial" w:hAnsi="Arial"/>
          <w:sz w:val="22"/>
          <w:szCs w:val="22"/>
          <w:color w:val="auto"/>
        </w:rPr>
        <w:t>Guarantee obligations of the Borrower or any Restricted Subsidiary in respect of letters of support, guarantees or similar obligations issued, made or incurred for the benefit of any Restricted Subsidiary of the Borrower to the extent required by law or in connection with any statutory filing or the delivery of audit opinions performed in jurisdictions other than within the United States.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Indebtedness</w:t>
      </w:r>
    </w:p>
    <w:p>
      <w:pPr>
        <w:spacing w:after="0" w:line="206" w:lineRule="exact"/>
        <w:rPr>
          <w:sz w:val="20"/>
          <w:szCs w:val="20"/>
          <w:color w:val="auto"/>
        </w:rPr>
      </w:pPr>
    </w:p>
    <w:p>
      <w:pPr>
        <w:ind w:right="20" w:firstLine="872"/>
        <w:spacing w:after="0" w:line="250" w:lineRule="auto"/>
        <w:tabs>
          <w:tab w:leader="none" w:pos="1026" w:val="left"/>
        </w:tabs>
        <w:numPr>
          <w:ilvl w:val="0"/>
          <w:numId w:val="196"/>
        </w:numPr>
        <w:rPr>
          <w:rFonts w:ascii="Arial" w:cs="Arial" w:eastAsia="Arial" w:hAnsi="Arial"/>
          <w:sz w:val="22"/>
          <w:szCs w:val="22"/>
          <w:i w:val="1"/>
          <w:iCs w:val="1"/>
          <w:color w:val="auto"/>
        </w:rPr>
      </w:pPr>
      <w:r>
        <w:rPr>
          <w:rFonts w:ascii="Arial" w:cs="Arial" w:eastAsia="Arial" w:hAnsi="Arial"/>
          <w:sz w:val="22"/>
          <w:szCs w:val="22"/>
          <w:color w:val="auto"/>
        </w:rPr>
        <w:t>The Borrower shall not, nor shall it permit any Restricted Subsidiary to, directly or indirectly, create, incur, assume or suffer to exist any Indebtedness, except:</w:t>
      </w:r>
    </w:p>
    <w:p>
      <w:pPr>
        <w:spacing w:after="0" w:line="175" w:lineRule="exact"/>
        <w:rPr>
          <w:sz w:val="20"/>
          <w:szCs w:val="20"/>
          <w:color w:val="auto"/>
        </w:rPr>
      </w:pPr>
    </w:p>
    <w:p>
      <w:pPr>
        <w:ind w:left="2400" w:hanging="1528"/>
        <w:spacing w:after="0"/>
        <w:tabs>
          <w:tab w:leader="none" w:pos="24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Indebtedness of any Loan Party under the Loan Documents;</w:t>
      </w:r>
    </w:p>
    <w:p>
      <w:pPr>
        <w:spacing w:after="0" w:line="206" w:lineRule="exact"/>
        <w:rPr>
          <w:rFonts w:ascii="Arial" w:cs="Arial" w:eastAsia="Arial" w:hAnsi="Arial"/>
          <w:sz w:val="22"/>
          <w:szCs w:val="22"/>
          <w:color w:val="auto"/>
        </w:rPr>
      </w:pPr>
    </w:p>
    <w:p>
      <w:pPr>
        <w:jc w:val="both"/>
        <w:ind w:firstLine="872"/>
        <w:spacing w:after="0" w:line="282" w:lineRule="auto"/>
        <w:tabs>
          <w:tab w:leader="none" w:pos="2411"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(i) Indebtedness outstanding on the Restatement Effective Date and listed on </w:t>
      </w:r>
      <w:r>
        <w:rPr>
          <w:rFonts w:ascii="Arial" w:cs="Arial" w:eastAsia="Arial" w:hAnsi="Arial"/>
          <w:sz w:val="19"/>
          <w:szCs w:val="19"/>
          <w:u w:val="single" w:color="auto"/>
          <w:color w:val="auto"/>
        </w:rPr>
        <w:t>Schedule 7.03(b)</w:t>
      </w:r>
      <w:r>
        <w:rPr>
          <w:rFonts w:ascii="Arial" w:cs="Arial" w:eastAsia="Arial" w:hAnsi="Arial"/>
          <w:sz w:val="19"/>
          <w:szCs w:val="19"/>
          <w:color w:val="auto"/>
        </w:rPr>
        <w:t xml:space="preserve"> and any Permitted Refinancing thereof and (ii) intercompany Indebtedness outstanding on the Restatement Effective Date and any Permitted Refinancing thereof; </w:t>
      </w:r>
      <w:r>
        <w:rPr>
          <w:rFonts w:ascii="Arial" w:cs="Arial" w:eastAsia="Arial" w:hAnsi="Arial"/>
          <w:sz w:val="19"/>
          <w:szCs w:val="19"/>
          <w:i w:val="1"/>
          <w:iCs w:val="1"/>
          <w:color w:val="auto"/>
        </w:rPr>
        <w:t>provided</w:t>
      </w:r>
      <w:r>
        <w:rPr>
          <w:rFonts w:ascii="Arial" w:cs="Arial" w:eastAsia="Arial" w:hAnsi="Arial"/>
          <w:sz w:val="19"/>
          <w:szCs w:val="19"/>
          <w:color w:val="auto"/>
        </w:rPr>
        <w:t>, that (x) any intercompany Indebtedness shall be evidenced by an Intercompany Note and (y) any intercompany Indebtedness of any Loan Party owed to any Person that is not a Loan Party shall be unsecured and subordinated to the Obligations pursuant to the subordination provisions reasonably acceptable to the Required Lenders;</w:t>
      </w:r>
    </w:p>
    <w:p>
      <w:pPr>
        <w:spacing w:after="0" w:line="147" w:lineRule="exact"/>
        <w:rPr>
          <w:rFonts w:ascii="Arial" w:cs="Arial" w:eastAsia="Arial" w:hAnsi="Arial"/>
          <w:sz w:val="19"/>
          <w:szCs w:val="19"/>
          <w:color w:val="auto"/>
        </w:rPr>
      </w:pPr>
    </w:p>
    <w:p>
      <w:pPr>
        <w:jc w:val="both"/>
        <w:ind w:firstLine="872"/>
        <w:spacing w:after="0" w:line="249" w:lineRule="auto"/>
        <w:tabs>
          <w:tab w:leader="none" w:pos="2399" w:val="left"/>
        </w:tabs>
        <w:numPr>
          <w:ilvl w:val="0"/>
          <w:numId w:val="197"/>
        </w:numPr>
        <w:rPr>
          <w:rFonts w:ascii="Arial" w:cs="Arial" w:eastAsia="Arial" w:hAnsi="Arial"/>
          <w:sz w:val="21"/>
          <w:szCs w:val="21"/>
          <w:color w:val="auto"/>
        </w:rPr>
      </w:pPr>
      <w:r>
        <w:rPr>
          <w:rFonts w:ascii="Arial" w:cs="Arial" w:eastAsia="Arial" w:hAnsi="Arial"/>
          <w:sz w:val="21"/>
          <w:szCs w:val="21"/>
          <w:color w:val="auto"/>
        </w:rPr>
        <w:t xml:space="preserve">Guarantees by the Borrower and any Restricted Subsidiary in respect of Indebtedness of the Borrower or any Restricted Subsidiary of the Borrower otherwise permitted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no Guarantee by any Restricted Subsidiary of any ABL Facility Indebtedness, any Junior Financing, any Permitted Additional Debt or any Permitted Refinancing of any of the foregoing shall be permitted unless such guaranteeing party shall have also provided a Guarantee of the Obligations on the terms set forth herein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clause (i) shall</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0" w:name="page171"/>
    <w:bookmarkEnd w:id="170"/>
    <w:p>
      <w:pPr>
        <w:jc w:val="both"/>
        <w:spacing w:after="0" w:line="287" w:lineRule="auto"/>
        <w:rPr>
          <w:sz w:val="20"/>
          <w:szCs w:val="20"/>
          <w:color w:val="auto"/>
        </w:rPr>
      </w:pPr>
      <w:r>
        <w:rPr>
          <w:rFonts w:ascii="Arial" w:cs="Arial" w:eastAsia="Arial" w:hAnsi="Arial"/>
          <w:sz w:val="19"/>
          <w:szCs w:val="19"/>
          <w:color w:val="auto"/>
        </w:rPr>
        <w:t>not apply in the case of a Guarantee by any Foreign Subsidiary that is not a Loan Party of any Indebtedness of another Foreign Subsidiary that is not a Loan Party), and (ii) if the Indebtedness being Guaranteed is Junior Financing that is, or is required by this Agreement to be, Subordinated Indebtedness, such Guarantee shall be subordinated to the Guarantee of the Obligations on terms (taken as a whole) at least as favorable to the Lenders as those contained in the subordination of such Junior Financing;</w:t>
      </w:r>
    </w:p>
    <w:p>
      <w:pPr>
        <w:spacing w:after="0" w:line="143" w:lineRule="exact"/>
        <w:rPr>
          <w:sz w:val="20"/>
          <w:szCs w:val="20"/>
          <w:color w:val="auto"/>
        </w:rPr>
      </w:pPr>
    </w:p>
    <w:p>
      <w:pPr>
        <w:jc w:val="both"/>
        <w:ind w:firstLine="872"/>
        <w:spacing w:after="0" w:line="279" w:lineRule="auto"/>
        <w:tabs>
          <w:tab w:leader="none" w:pos="2411"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Indebtedness (other than Indebtedness permitted under </w:t>
      </w:r>
      <w:r>
        <w:rPr>
          <w:rFonts w:ascii="Arial" w:cs="Arial" w:eastAsia="Arial" w:hAnsi="Arial"/>
          <w:sz w:val="19"/>
          <w:szCs w:val="19"/>
          <w:u w:val="single" w:color="auto"/>
          <w:color w:val="auto"/>
        </w:rPr>
        <w:t>Section 7.03(b)</w:t>
      </w:r>
      <w:r>
        <w:rPr>
          <w:rFonts w:ascii="Arial" w:cs="Arial" w:eastAsia="Arial" w:hAnsi="Arial"/>
          <w:sz w:val="19"/>
          <w:szCs w:val="19"/>
          <w:color w:val="auto"/>
        </w:rPr>
        <w:t xml:space="preserve">) of the Borrower or any Restricted Subsidiary owing to any Loan Party or any other Restricted Subsidiary (or consisting of a Guaranty on behalf of any Loan Party or any other Restricted Subsidiary) to the extent constituting an Investment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(other than clause (v)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all such Indebtedness shall be evidenced by an Intercompany Note and (y) all such Indebtedness of any Loan Party owed to any Person that is not a Loan Party shall be unsecured and subordinated to the Obligations pursuant to the subordination provisions reasonably acceptable to the Required Lenders;</w:t>
      </w:r>
    </w:p>
    <w:p>
      <w:pPr>
        <w:spacing w:after="0" w:line="150" w:lineRule="exact"/>
        <w:rPr>
          <w:rFonts w:ascii="Arial" w:cs="Arial" w:eastAsia="Arial" w:hAnsi="Arial"/>
          <w:sz w:val="19"/>
          <w:szCs w:val="19"/>
          <w:color w:val="auto"/>
        </w:rPr>
      </w:pPr>
    </w:p>
    <w:p>
      <w:pPr>
        <w:jc w:val="both"/>
        <w:ind w:firstLine="872"/>
        <w:spacing w:after="0" w:line="287" w:lineRule="auto"/>
        <w:tabs>
          <w:tab w:leader="none" w:pos="239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Attributable Indebtedness and other Indebtedness of the Borrower or any Restricted Subsidiary (including Capitalized Leases) financing an acquisition, construction, repair, replacement, lease or improvement of a fixed or capital asset incurred prior to or within 270 days after the acquisition, lease or improvement of the applicable asset in an aggregate amount (together with any Permitted Refinancings thereof) not to exceed $50,000,000 at any time outstanding;</w:t>
      </w:r>
    </w:p>
    <w:p>
      <w:pPr>
        <w:spacing w:after="0" w:line="142" w:lineRule="exact"/>
        <w:rPr>
          <w:rFonts w:ascii="Arial" w:cs="Arial" w:eastAsia="Arial" w:hAnsi="Arial"/>
          <w:sz w:val="19"/>
          <w:szCs w:val="19"/>
          <w:color w:val="auto"/>
        </w:rPr>
      </w:pPr>
    </w:p>
    <w:p>
      <w:pPr>
        <w:jc w:val="both"/>
        <w:ind w:firstLine="872"/>
        <w:spacing w:after="0"/>
        <w:tabs>
          <w:tab w:leader="none" w:pos="2375" w:val="left"/>
        </w:tabs>
        <w:numPr>
          <w:ilvl w:val="0"/>
          <w:numId w:val="198"/>
        </w:numPr>
        <w:rPr>
          <w:rFonts w:ascii="Arial" w:cs="Arial" w:eastAsia="Arial" w:hAnsi="Arial"/>
          <w:sz w:val="22"/>
          <w:szCs w:val="22"/>
          <w:color w:val="auto"/>
        </w:rPr>
      </w:pPr>
      <w:r>
        <w:rPr>
          <w:rFonts w:ascii="Arial" w:cs="Arial" w:eastAsia="Arial" w:hAnsi="Arial"/>
          <w:sz w:val="22"/>
          <w:szCs w:val="22"/>
          <w:color w:val="auto"/>
        </w:rPr>
        <w:t>Indebtedness in respect of Swap Contracts designed to hedge against the Borrower’s or any Restricted Subsidiary’s exposure to interest rates, foreign exchange rates or commodities (including fuel) pricing risks incurred not for speculative purposes;</w:t>
      </w:r>
    </w:p>
    <w:p>
      <w:pPr>
        <w:spacing w:after="0" w:line="186" w:lineRule="exact"/>
        <w:rPr>
          <w:rFonts w:ascii="Arial" w:cs="Arial" w:eastAsia="Arial" w:hAnsi="Arial"/>
          <w:sz w:val="22"/>
          <w:szCs w:val="22"/>
          <w:color w:val="auto"/>
        </w:rPr>
      </w:pPr>
    </w:p>
    <w:p>
      <w:pPr>
        <w:jc w:val="both"/>
        <w:ind w:firstLine="872"/>
        <w:spacing w:after="0" w:line="277" w:lineRule="auto"/>
        <w:tabs>
          <w:tab w:leader="none" w:pos="2411"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Restricted Subsidiary assumed in connection with any Permitted Acquisition or other Investment permitted hereunder, </w:t>
      </w:r>
      <w:r>
        <w:rPr>
          <w:rFonts w:ascii="Arial" w:cs="Arial" w:eastAsia="Arial" w:hAnsi="Arial"/>
          <w:sz w:val="19"/>
          <w:szCs w:val="19"/>
          <w:i w:val="1"/>
          <w:iCs w:val="1"/>
          <w:color w:val="auto"/>
        </w:rPr>
        <w:t>provided</w:t>
      </w:r>
      <w:r>
        <w:rPr>
          <w:rFonts w:ascii="Arial" w:cs="Arial" w:eastAsia="Arial" w:hAnsi="Arial"/>
          <w:sz w:val="19"/>
          <w:szCs w:val="19"/>
          <w:color w:val="auto"/>
        </w:rPr>
        <w:t>, that (w) such Indebtedness is not incurred in contemplation of such Permitted Acquisition or Investment, and any Permitted Refinancing thereof, (x) such Indebtedness and all Indebtedness resulting from a Permitted Refinancing thereof is unsecured (except for Liens permitted by Section 7.01(s)), and (y) both immediately prior and after giving effect thereto, (1) no Event of Default shall exist or result therefrom, and (2) immediately after giving effect to the related Permitted Acquisition or Investment and the assumption of Indebtedness, the Total Leverage Ratio, on a Pro Forma Basis, for the Test Period most recently ended shall not be greater than 3.00:1.00;</w:t>
      </w:r>
    </w:p>
    <w:p>
      <w:pPr>
        <w:spacing w:after="0" w:line="151" w:lineRule="exact"/>
        <w:rPr>
          <w:rFonts w:ascii="Arial" w:cs="Arial" w:eastAsia="Arial" w:hAnsi="Arial"/>
          <w:sz w:val="19"/>
          <w:szCs w:val="19"/>
          <w:color w:val="auto"/>
        </w:rPr>
      </w:pPr>
    </w:p>
    <w:p>
      <w:pPr>
        <w:jc w:val="both"/>
        <w:ind w:firstLine="872"/>
        <w:spacing w:after="0"/>
        <w:tabs>
          <w:tab w:leader="none" w:pos="2411" w:val="left"/>
        </w:tabs>
        <w:numPr>
          <w:ilvl w:val="0"/>
          <w:numId w:val="198"/>
        </w:numPr>
        <w:rPr>
          <w:rFonts w:ascii="Arial" w:cs="Arial" w:eastAsia="Arial" w:hAnsi="Arial"/>
          <w:sz w:val="22"/>
          <w:szCs w:val="22"/>
          <w:color w:val="auto"/>
        </w:rPr>
      </w:pPr>
      <w:r>
        <w:rPr>
          <w:rFonts w:ascii="Arial" w:cs="Arial" w:eastAsia="Arial" w:hAnsi="Arial"/>
          <w:sz w:val="22"/>
          <w:szCs w:val="22"/>
          <w:color w:val="auto"/>
        </w:rPr>
        <w:t>Indebtedness representing deferred compensation to employees of the Borrower or any of its Restricted Subsidiaries incurred in the ordinary course of business and other obligations and liabilities arising under employee benefit plans in the ordinary course of business;</w:t>
      </w:r>
    </w:p>
    <w:p>
      <w:pPr>
        <w:spacing w:after="0" w:line="186" w:lineRule="exact"/>
        <w:rPr>
          <w:rFonts w:ascii="Arial" w:cs="Arial" w:eastAsia="Arial" w:hAnsi="Arial"/>
          <w:sz w:val="22"/>
          <w:szCs w:val="22"/>
          <w:color w:val="auto"/>
        </w:rPr>
      </w:pPr>
    </w:p>
    <w:p>
      <w:pPr>
        <w:jc w:val="both"/>
        <w:ind w:right="20" w:firstLine="872"/>
        <w:spacing w:after="0" w:line="297" w:lineRule="auto"/>
        <w:tabs>
          <w:tab w:leader="none" w:pos="236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Indebtedness consisting of unsecured promissory notes issued by the Borrower or any of its Restricted Subsidiaries to current or former officers, managers, consultants, directors and employees, their respective estates, spouses or former spouses to finance the purchase or redemption of Equity Interests of the Borrower permitted by </w:t>
      </w:r>
      <w:r>
        <w:rPr>
          <w:rFonts w:ascii="Arial" w:cs="Arial" w:eastAsia="Arial" w:hAnsi="Arial"/>
          <w:sz w:val="19"/>
          <w:szCs w:val="19"/>
          <w:u w:val="single" w:color="auto"/>
          <w:color w:val="auto"/>
        </w:rPr>
        <w:t>Section 7.06</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firstLine="872"/>
        <w:spacing w:after="0" w:line="250" w:lineRule="auto"/>
        <w:tabs>
          <w:tab w:leader="none" w:pos="236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Indebtedness incurred by the Borrower or any of its Restricted Subsidiaries in a Permitted Acquisition, any other Investment expressly permitted hereunder or any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-2146300</wp:posOffset>
            </wp:positionV>
            <wp:extent cx="9245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spacing w:after="0" w:line="250" w:lineRule="auto"/>
        <w:rPr>
          <w:sz w:val="20"/>
          <w:szCs w:val="20"/>
          <w:color w:val="auto"/>
        </w:rPr>
      </w:pPr>
      <w:r>
        <w:rPr>
          <w:rFonts w:ascii="Arial" w:cs="Arial" w:eastAsia="Arial" w:hAnsi="Arial"/>
          <w:sz w:val="22"/>
          <w:szCs w:val="22"/>
          <w:color w:val="auto"/>
        </w:rPr>
        <w:t>expressly permitted hereunder, in each case, constituting indemnification obligations or obligations in respect of purchase price (including earnouts and holdbacks) or other similar adjustments;</w:t>
      </w:r>
    </w:p>
    <w:p>
      <w:pPr>
        <w:spacing w:after="0" w:line="175" w:lineRule="exact"/>
        <w:rPr>
          <w:sz w:val="20"/>
          <w:szCs w:val="20"/>
          <w:color w:val="auto"/>
        </w:rPr>
      </w:pPr>
    </w:p>
    <w:p>
      <w:pPr>
        <w:jc w:val="both"/>
        <w:ind w:firstLine="872"/>
        <w:spacing w:after="0" w:line="297" w:lineRule="auto"/>
        <w:tabs>
          <w:tab w:leader="none" w:pos="2411" w:val="left"/>
        </w:tabs>
        <w:numPr>
          <w:ilvl w:val="1"/>
          <w:numId w:val="199"/>
        </w:numPr>
        <w:rPr>
          <w:rFonts w:ascii="Arial" w:cs="Arial" w:eastAsia="Arial" w:hAnsi="Arial"/>
          <w:sz w:val="19"/>
          <w:szCs w:val="19"/>
          <w:color w:val="auto"/>
        </w:rPr>
      </w:pPr>
      <w:r>
        <w:rPr>
          <w:rFonts w:ascii="Arial" w:cs="Arial" w:eastAsia="Arial" w:hAnsi="Arial"/>
          <w:sz w:val="19"/>
          <w:szCs w:val="19"/>
          <w:color w:val="auto"/>
        </w:rPr>
        <w:t>Indebtedness in respect of treasury, depository, credit card, debit card and cash management services or automated clearinghouse transfer of funds, overdraft or any similar services incurred in the ordinary course of business or any similar cash management services relating or secured pursuant to the ABL Facility and any hedges related to the ABL Facility;</w:t>
      </w:r>
    </w:p>
    <w:p>
      <w:pPr>
        <w:spacing w:after="0" w:line="133" w:lineRule="exact"/>
        <w:rPr>
          <w:rFonts w:ascii="Arial" w:cs="Arial" w:eastAsia="Arial" w:hAnsi="Arial"/>
          <w:sz w:val="19"/>
          <w:szCs w:val="19"/>
          <w:color w:val="auto"/>
        </w:rPr>
      </w:pPr>
    </w:p>
    <w:p>
      <w:pPr>
        <w:ind w:firstLine="872"/>
        <w:spacing w:after="0" w:line="274" w:lineRule="auto"/>
        <w:tabs>
          <w:tab w:leader="none" w:pos="2363" w:val="left"/>
        </w:tabs>
        <w:numPr>
          <w:ilvl w:val="1"/>
          <w:numId w:val="199"/>
        </w:numPr>
        <w:rPr>
          <w:rFonts w:ascii="Arial" w:cs="Arial" w:eastAsia="Arial" w:hAnsi="Arial"/>
          <w:sz w:val="21"/>
          <w:szCs w:val="21"/>
          <w:color w:val="auto"/>
        </w:rPr>
      </w:pPr>
      <w:r>
        <w:rPr>
          <w:rFonts w:ascii="Arial" w:cs="Arial" w:eastAsia="Arial" w:hAnsi="Arial"/>
          <w:sz w:val="21"/>
          <w:szCs w:val="21"/>
          <w:color w:val="auto"/>
        </w:rPr>
        <w:t>Indebtedness consisting of the financing of insurance premiums or take-or-pay obligations contained in supply arrangements that do not constitute Guarantees, in each case, in the ordinary course of business;</w:t>
      </w:r>
    </w:p>
    <w:p>
      <w:pPr>
        <w:spacing w:after="0" w:line="150" w:lineRule="exact"/>
        <w:rPr>
          <w:rFonts w:ascii="Arial" w:cs="Arial" w:eastAsia="Arial" w:hAnsi="Arial"/>
          <w:sz w:val="21"/>
          <w:szCs w:val="21"/>
          <w:color w:val="auto"/>
        </w:rPr>
      </w:pPr>
    </w:p>
    <w:p>
      <w:pPr>
        <w:jc w:val="both"/>
        <w:ind w:firstLine="872"/>
        <w:spacing w:after="0" w:line="282" w:lineRule="auto"/>
        <w:tabs>
          <w:tab w:leader="none" w:pos="2471" w:val="left"/>
        </w:tabs>
        <w:numPr>
          <w:ilvl w:val="1"/>
          <w:numId w:val="199"/>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Restricted Subsidiaries in respect of letters of credit, bank guarantees, bankers’ acceptances or similar instruments issued or created in the ordinary course of business and not in connection with the borrowing of money, including in respect of workers compensation claims, health, disability or other employee benefits or property, casualty or liability insurance or self-insurance or other Indebtedness incurred in the ordinary course of business with respect to reimbursement-type obligations regarding workers compensation claims;</w:t>
      </w:r>
    </w:p>
    <w:p>
      <w:pPr>
        <w:spacing w:after="0" w:line="147" w:lineRule="exact"/>
        <w:rPr>
          <w:rFonts w:ascii="Arial" w:cs="Arial" w:eastAsia="Arial" w:hAnsi="Arial"/>
          <w:sz w:val="19"/>
          <w:szCs w:val="19"/>
          <w:color w:val="auto"/>
        </w:rPr>
      </w:pPr>
    </w:p>
    <w:p>
      <w:pPr>
        <w:jc w:val="both"/>
        <w:ind w:firstLine="872"/>
        <w:spacing w:after="0" w:line="287" w:lineRule="auto"/>
        <w:tabs>
          <w:tab w:leader="none" w:pos="2411" w:val="left"/>
        </w:tabs>
        <w:numPr>
          <w:ilvl w:val="1"/>
          <w:numId w:val="199"/>
        </w:numPr>
        <w:rPr>
          <w:rFonts w:ascii="Arial" w:cs="Arial" w:eastAsia="Arial" w:hAnsi="Arial"/>
          <w:sz w:val="19"/>
          <w:szCs w:val="19"/>
          <w:color w:val="auto"/>
        </w:rPr>
      </w:pPr>
      <w:r>
        <w:rPr>
          <w:rFonts w:ascii="Arial" w:cs="Arial" w:eastAsia="Arial" w:hAnsi="Arial"/>
          <w:sz w:val="19"/>
          <w:szCs w:val="19"/>
          <w:color w:val="auto"/>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 and not in connection with the borrowing of money or Swap Contracts;</w:t>
      </w:r>
    </w:p>
    <w:p>
      <w:pPr>
        <w:spacing w:after="0" w:line="142" w:lineRule="exact"/>
        <w:rPr>
          <w:rFonts w:ascii="Arial" w:cs="Arial" w:eastAsia="Arial" w:hAnsi="Arial"/>
          <w:sz w:val="19"/>
          <w:szCs w:val="19"/>
          <w:color w:val="auto"/>
        </w:rPr>
      </w:pPr>
    </w:p>
    <w:p>
      <w:pPr>
        <w:jc w:val="both"/>
        <w:ind w:firstLine="872"/>
        <w:spacing w:after="0"/>
        <w:tabs>
          <w:tab w:leader="none" w:pos="2411" w:val="left"/>
        </w:tabs>
        <w:numPr>
          <w:ilvl w:val="1"/>
          <w:numId w:val="199"/>
        </w:numPr>
        <w:rPr>
          <w:rFonts w:ascii="Arial" w:cs="Arial" w:eastAsia="Arial" w:hAnsi="Arial"/>
          <w:sz w:val="22"/>
          <w:szCs w:val="22"/>
          <w:color w:val="auto"/>
        </w:rPr>
      </w:pPr>
      <w:r>
        <w:rPr>
          <w:rFonts w:ascii="Arial" w:cs="Arial" w:eastAsia="Arial" w:hAnsi="Arial"/>
          <w:sz w:val="22"/>
          <w:szCs w:val="22"/>
          <w:color w:val="auto"/>
        </w:rPr>
        <w:t xml:space="preserve">(i) ABL Facility Indebtedness and (ii) any Permitted Refinancing thereof, in each case, of the Loan Parties;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principal amount outstanding at any time of all such Indebtedness under clauses (i) and (ii) and </w:t>
      </w:r>
      <w:r>
        <w:rPr>
          <w:rFonts w:ascii="Arial" w:cs="Arial" w:eastAsia="Arial" w:hAnsi="Arial"/>
          <w:sz w:val="22"/>
          <w:szCs w:val="22"/>
          <w:u w:val="single" w:color="auto"/>
          <w:color w:val="auto"/>
        </w:rPr>
        <w:t>Section 7.03(z)</w:t>
      </w:r>
      <w:r>
        <w:rPr>
          <w:rFonts w:ascii="Arial" w:cs="Arial" w:eastAsia="Arial" w:hAnsi="Arial"/>
          <w:sz w:val="22"/>
          <w:szCs w:val="22"/>
          <w:color w:val="auto"/>
        </w:rPr>
        <w:t xml:space="preserve"> shall not exceed $</w:t>
      </w:r>
      <w:r>
        <w:rPr>
          <w:rFonts w:ascii="Arial" w:cs="Arial" w:eastAsia="Arial" w:hAnsi="Arial"/>
          <w:sz w:val="22"/>
          <w:szCs w:val="22"/>
          <w:color w:val="FF0000"/>
          <w:strike w:val="1"/>
        </w:rPr>
        <w:t>550,000,000</w:t>
      </w:r>
      <w:r>
        <w:rPr>
          <w:rFonts w:ascii="Arial" w:cs="Arial" w:eastAsia="Arial" w:hAnsi="Arial"/>
          <w:sz w:val="22"/>
          <w:szCs w:val="22"/>
          <w:b w:val="1"/>
          <w:bCs w:val="1"/>
          <w:u w:val="single" w:color="auto"/>
          <w:color w:val="0000FF"/>
        </w:rPr>
        <w:t>500,000,000</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420" w:hanging="1548"/>
        <w:spacing w:after="0"/>
        <w:tabs>
          <w:tab w:leader="none" w:pos="242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 Alternative Incremental Indebtedness and (ii) any Permitted Refinancing thereof;</w:t>
      </w:r>
    </w:p>
    <w:p>
      <w:pPr>
        <w:spacing w:after="0" w:line="206" w:lineRule="exact"/>
        <w:rPr>
          <w:rFonts w:ascii="Arial" w:cs="Arial" w:eastAsia="Arial" w:hAnsi="Arial"/>
          <w:sz w:val="22"/>
          <w:szCs w:val="22"/>
          <w:color w:val="auto"/>
        </w:rPr>
      </w:pPr>
    </w:p>
    <w:p>
      <w:pPr>
        <w:ind w:firstLine="872"/>
        <w:spacing w:after="0" w:line="274" w:lineRule="auto"/>
        <w:tabs>
          <w:tab w:leader="none" w:pos="2411" w:val="left"/>
        </w:tabs>
        <w:numPr>
          <w:ilvl w:val="1"/>
          <w:numId w:val="199"/>
        </w:numPr>
        <w:rPr>
          <w:rFonts w:ascii="Arial" w:cs="Arial" w:eastAsia="Arial" w:hAnsi="Arial"/>
          <w:sz w:val="21"/>
          <w:szCs w:val="21"/>
          <w:color w:val="auto"/>
        </w:rPr>
      </w:pPr>
      <w:r>
        <w:rPr>
          <w:rFonts w:ascii="Arial" w:cs="Arial" w:eastAsia="Arial" w:hAnsi="Arial"/>
          <w:sz w:val="21"/>
          <w:szCs w:val="21"/>
          <w:color w:val="auto"/>
        </w:rPr>
        <w:t>(i) Credit Agreement Refinancing Indebtedness (other than any Credit Agreement Refinancing Indebtedness incurred pursuant to a Refinancing Amendment) and (ii) any Permitted Refinancing thereof;</w:t>
      </w:r>
    </w:p>
    <w:p>
      <w:pPr>
        <w:spacing w:after="0" w:line="150" w:lineRule="exact"/>
        <w:rPr>
          <w:rFonts w:ascii="Arial" w:cs="Arial" w:eastAsia="Arial" w:hAnsi="Arial"/>
          <w:sz w:val="21"/>
          <w:szCs w:val="21"/>
          <w:color w:val="auto"/>
        </w:rPr>
      </w:pPr>
    </w:p>
    <w:p>
      <w:pPr>
        <w:ind w:left="2380" w:hanging="1508"/>
        <w:spacing w:after="0"/>
        <w:tabs>
          <w:tab w:leader="none" w:pos="238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400" w:hanging="1528"/>
        <w:spacing w:after="0"/>
        <w:tabs>
          <w:tab w:leader="none" w:pos="240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line="276" w:lineRule="auto"/>
        <w:tabs>
          <w:tab w:leader="none" w:pos="2363"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all premiums (if any), interest (including post-petition interest and interest paid in kind), fees, expenses, charges and additional or contingent interest on obligations described in clauses (a) through (q) above and (u) through</w:t>
      </w:r>
    </w:p>
    <w:p>
      <w:pPr>
        <w:spacing w:after="0" w:line="1" w:lineRule="exact"/>
        <w:rPr>
          <w:rFonts w:ascii="Arial" w:cs="Arial" w:eastAsia="Arial" w:hAnsi="Arial"/>
          <w:sz w:val="19"/>
          <w:szCs w:val="19"/>
          <w:color w:val="auto"/>
        </w:rPr>
      </w:pPr>
    </w:p>
    <w:p>
      <w:pPr>
        <w:ind w:left="340" w:hanging="332"/>
        <w:spacing w:after="0"/>
        <w:tabs>
          <w:tab w:leader="none" w:pos="34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below;</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2" w:name="page173"/>
    <w:bookmarkEnd w:id="172"/>
    <w:p>
      <w:pPr>
        <w:jc w:val="both"/>
        <w:ind w:firstLine="872"/>
        <w:spacing w:after="0" w:line="236" w:lineRule="auto"/>
        <w:tabs>
          <w:tab w:leader="none" w:pos="241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 Indebtedness in respect of the Specified Pension Fund Obligations and Guarantees thereof, to the extent existing on the Restatement Effective Date, in an aggregate principal amount at any time outstanding not to exceed the amount outstanding as of the Restatement Effective Date (and as adjusted from time to time pursuant to any audits), plus any interest paid in kind thereon and any accrued but unpaid interest thereon, and (ii) any Permitted Refinancing (disregarding clauses (b) and (c) of the definition of such term) thereof;</w:t>
      </w:r>
    </w:p>
    <w:p>
      <w:pPr>
        <w:spacing w:after="0" w:line="187" w:lineRule="exact"/>
        <w:rPr>
          <w:rFonts w:ascii="Arial" w:cs="Arial" w:eastAsia="Arial" w:hAnsi="Arial"/>
          <w:sz w:val="22"/>
          <w:szCs w:val="22"/>
          <w:color w:val="auto"/>
        </w:rPr>
      </w:pPr>
    </w:p>
    <w:p>
      <w:pPr>
        <w:ind w:left="2420" w:hanging="1548"/>
        <w:spacing w:after="0"/>
        <w:tabs>
          <w:tab w:leader="none" w:pos="24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460" w:hanging="1588"/>
        <w:spacing w:after="0"/>
        <w:tabs>
          <w:tab w:leader="none" w:pos="24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firstLine="872"/>
        <w:spacing w:after="0" w:line="250" w:lineRule="auto"/>
        <w:tabs>
          <w:tab w:leader="none" w:pos="241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Indebtedness in respect of taxes, assessments or governmental charges to the extent that payment thereof shall not at the time be required to be made hereunder;</w:t>
      </w:r>
    </w:p>
    <w:p>
      <w:pPr>
        <w:spacing w:after="0" w:line="174" w:lineRule="exact"/>
        <w:rPr>
          <w:rFonts w:ascii="Arial" w:cs="Arial" w:eastAsia="Arial" w:hAnsi="Arial"/>
          <w:sz w:val="22"/>
          <w:szCs w:val="22"/>
          <w:color w:val="auto"/>
        </w:rPr>
      </w:pPr>
    </w:p>
    <w:p>
      <w:pPr>
        <w:ind w:left="2420" w:hanging="1548"/>
        <w:spacing w:after="0"/>
        <w:tabs>
          <w:tab w:leader="none" w:pos="24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line="287" w:lineRule="auto"/>
        <w:tabs>
          <w:tab w:leader="none" w:pos="239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Indebtedness of (i) any Securitization Subsidiary arising under any Securitization Facility or (ii) the Borrower or any Restricted Subsidiary arising under any Receivables Facility or Qualified Securitization Financing;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principal amount of Indebtedness permitted under this </w:t>
      </w:r>
      <w:r>
        <w:rPr>
          <w:rFonts w:ascii="Arial" w:cs="Arial" w:eastAsia="Arial" w:hAnsi="Arial"/>
          <w:sz w:val="19"/>
          <w:szCs w:val="19"/>
          <w:u w:val="single" w:color="auto"/>
          <w:color w:val="auto"/>
        </w:rPr>
        <w:t>Section 7.03(z)</w:t>
      </w:r>
      <w:r>
        <w:rPr>
          <w:rFonts w:ascii="Arial" w:cs="Arial" w:eastAsia="Arial" w:hAnsi="Arial"/>
          <w:sz w:val="19"/>
          <w:szCs w:val="19"/>
          <w:color w:val="auto"/>
        </w:rPr>
        <w:t xml:space="preserve">, together with the aggregate principal amount of Indebtedness permitted under </w:t>
      </w:r>
      <w:r>
        <w:rPr>
          <w:rFonts w:ascii="Arial" w:cs="Arial" w:eastAsia="Arial" w:hAnsi="Arial"/>
          <w:sz w:val="19"/>
          <w:szCs w:val="19"/>
          <w:u w:val="single" w:color="auto"/>
          <w:color w:val="auto"/>
        </w:rPr>
        <w:t>Section 7.03(o)</w:t>
      </w:r>
      <w:r>
        <w:rPr>
          <w:rFonts w:ascii="Arial" w:cs="Arial" w:eastAsia="Arial" w:hAnsi="Arial"/>
          <w:sz w:val="19"/>
          <w:szCs w:val="19"/>
          <w:color w:val="auto"/>
        </w:rPr>
        <w:t>, shall not exceed $</w:t>
      </w:r>
      <w:r>
        <w:rPr>
          <w:rFonts w:ascii="Arial" w:cs="Arial" w:eastAsia="Arial" w:hAnsi="Arial"/>
          <w:sz w:val="19"/>
          <w:szCs w:val="19"/>
          <w:color w:val="FF0000"/>
          <w:strike w:val="1"/>
        </w:rPr>
        <w:t>550,000,000</w:t>
      </w:r>
      <w:r>
        <w:rPr>
          <w:rFonts w:ascii="Arial" w:cs="Arial" w:eastAsia="Arial" w:hAnsi="Arial"/>
          <w:sz w:val="19"/>
          <w:szCs w:val="19"/>
          <w:b w:val="1"/>
          <w:bCs w:val="1"/>
          <w:u w:val="single" w:color="auto"/>
          <w:color w:val="0000FF"/>
        </w:rPr>
        <w:t>500,000,000</w:t>
      </w:r>
      <w:r>
        <w:rPr>
          <w:rFonts w:ascii="Arial" w:cs="Arial" w:eastAsia="Arial" w:hAnsi="Arial"/>
          <w:sz w:val="19"/>
          <w:szCs w:val="19"/>
          <w:color w:val="auto"/>
        </w:rPr>
        <w:t xml:space="preserve"> at any one time outstanding;</w:t>
      </w:r>
    </w:p>
    <w:p>
      <w:pPr>
        <w:spacing w:after="0" w:line="143" w:lineRule="exact"/>
        <w:rPr>
          <w:sz w:val="20"/>
          <w:szCs w:val="20"/>
          <w:color w:val="auto"/>
        </w:rPr>
      </w:pPr>
    </w:p>
    <w:p>
      <w:pPr>
        <w:jc w:val="both"/>
        <w:ind w:firstLine="872"/>
        <w:spacing w:after="0" w:line="257" w:lineRule="auto"/>
        <w:tabs>
          <w:tab w:leader="none" w:pos="2495"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Indebtedness in respect of Sale and Leaseback Transactions in an amount not to exceed $50,000,000 at any time outstanding; </w:t>
      </w:r>
      <w:r>
        <w:rPr>
          <w:rFonts w:ascii="Arial" w:cs="Arial" w:eastAsia="Arial" w:hAnsi="Arial"/>
          <w:sz w:val="21"/>
          <w:szCs w:val="21"/>
          <w:b w:val="1"/>
          <w:bCs w:val="1"/>
          <w:i w:val="1"/>
          <w:iCs w:val="1"/>
          <w:u w:val="single" w:color="auto"/>
          <w:color w:val="0000FF"/>
        </w:rPr>
        <w:t>provided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that, during the Specified Amendment No. 1 Period, this clause (aa) shall be unavailable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for use under this Agreement and the dollar amount specified in this clause (aa) shall be $0;</w:t>
      </w:r>
    </w:p>
    <w:p>
      <w:pPr>
        <w:spacing w:after="0" w:line="169" w:lineRule="exact"/>
        <w:rPr>
          <w:rFonts w:ascii="Arial" w:cs="Arial" w:eastAsia="Arial" w:hAnsi="Arial"/>
          <w:sz w:val="21"/>
          <w:szCs w:val="21"/>
          <w:color w:val="auto"/>
        </w:rPr>
      </w:pPr>
    </w:p>
    <w:p>
      <w:pPr>
        <w:ind w:left="2520" w:hanging="1648"/>
        <w:spacing w:after="0"/>
        <w:tabs>
          <w:tab w:leader="none" w:pos="252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Indebtedness in respect of Investments not prohibited by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(other than clause (v)</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thereof);</w:t>
      </w:r>
    </w:p>
    <w:p>
      <w:pPr>
        <w:spacing w:after="0" w:line="188" w:lineRule="exact"/>
        <w:rPr>
          <w:rFonts w:ascii="Arial" w:cs="Arial" w:eastAsia="Arial" w:hAnsi="Arial"/>
          <w:sz w:val="21"/>
          <w:szCs w:val="21"/>
          <w:color w:val="auto"/>
        </w:rPr>
      </w:pPr>
    </w:p>
    <w:p>
      <w:pPr>
        <w:ind w:left="2500" w:hanging="1628"/>
        <w:spacing w:after="0"/>
        <w:tabs>
          <w:tab w:leader="none" w:pos="25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tabs>
          <w:tab w:leader="none" w:pos="251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Indebtedness incurred in respect of credit cards, credit card processing services, debit cards, stored value cards, purchase cards (including so-called "procurement cards" or "P-cards") or other similar cash management services, in each case, incurred in the ordinary course of business consistent with past practice;</w:t>
      </w:r>
    </w:p>
    <w:p>
      <w:pPr>
        <w:spacing w:after="0" w:line="186" w:lineRule="exact"/>
        <w:rPr>
          <w:rFonts w:ascii="Arial" w:cs="Arial" w:eastAsia="Arial" w:hAnsi="Arial"/>
          <w:sz w:val="22"/>
          <w:szCs w:val="22"/>
          <w:color w:val="auto"/>
        </w:rPr>
      </w:pPr>
    </w:p>
    <w:p>
      <w:pPr>
        <w:ind w:left="2500" w:hanging="1628"/>
        <w:spacing w:after="0"/>
        <w:tabs>
          <w:tab w:leader="none" w:pos="25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06" w:lineRule="exact"/>
        <w:rPr>
          <w:rFonts w:ascii="Arial" w:cs="Arial" w:eastAsia="Arial" w:hAnsi="Arial"/>
          <w:sz w:val="22"/>
          <w:szCs w:val="22"/>
          <w:color w:val="auto"/>
        </w:rPr>
      </w:pPr>
    </w:p>
    <w:p>
      <w:pPr>
        <w:jc w:val="both"/>
        <w:ind w:firstLine="872"/>
        <w:spacing w:after="0" w:line="238" w:lineRule="auto"/>
        <w:tabs>
          <w:tab w:leader="none" w:pos="244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other Indebtedness of the Borrower or any of its Restricted Subsidiaries, in an aggregate principal amount at any time outstanding not to exceed $30,000,000;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principal amount of Indebtedness of Restricted Subsidiaries that are not Guarantors permitted under this </w:t>
      </w:r>
      <w:r>
        <w:rPr>
          <w:rFonts w:ascii="Arial" w:cs="Arial" w:eastAsia="Arial" w:hAnsi="Arial"/>
          <w:sz w:val="22"/>
          <w:szCs w:val="22"/>
          <w:u w:val="single" w:color="auto"/>
          <w:color w:val="auto"/>
        </w:rPr>
        <w:t>Section 7.03(ff)</w:t>
      </w:r>
      <w:r>
        <w:rPr>
          <w:rFonts w:ascii="Arial" w:cs="Arial" w:eastAsia="Arial" w:hAnsi="Arial"/>
          <w:sz w:val="22"/>
          <w:szCs w:val="22"/>
          <w:color w:val="auto"/>
        </w:rPr>
        <w:t xml:space="preserve"> at any time outstanding shall not exceed $5,000,000.</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Fundamental Changes</w:t>
      </w:r>
    </w:p>
    <w:p>
      <w:pPr>
        <w:spacing w:after="0" w:line="206" w:lineRule="exact"/>
        <w:rPr>
          <w:sz w:val="20"/>
          <w:szCs w:val="20"/>
          <w:color w:val="auto"/>
        </w:rPr>
      </w:pPr>
    </w:p>
    <w:p>
      <w:pPr>
        <w:jc w:val="both"/>
        <w:ind w:firstLine="872"/>
        <w:spacing w:after="0"/>
        <w:tabs>
          <w:tab w:leader="none" w:pos="1093" w:val="left"/>
        </w:tabs>
        <w:numPr>
          <w:ilvl w:val="0"/>
          <w:numId w:val="203"/>
        </w:numPr>
        <w:rPr>
          <w:rFonts w:ascii="Arial" w:cs="Arial" w:eastAsia="Arial" w:hAnsi="Arial"/>
          <w:sz w:val="22"/>
          <w:szCs w:val="22"/>
          <w:i w:val="1"/>
          <w:iCs w:val="1"/>
          <w:color w:val="auto"/>
        </w:rPr>
      </w:pPr>
      <w:r>
        <w:rPr>
          <w:rFonts w:ascii="Arial" w:cs="Arial" w:eastAsia="Arial" w:hAnsi="Arial"/>
          <w:sz w:val="22"/>
          <w:szCs w:val="22"/>
          <w:color w:val="auto"/>
        </w:rPr>
        <w:t>The Borrower shall not, nor shall it permit any Restricted Subsidiary to, directly or indirectly, merge, dissolve, liquidate, consolidate with or into another Person, or Dispose of (whether in one transaction or in a series of related transactions) all</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or substantially all of its assets (whether now owned or hereafter acquired) to or in favor of any Person, except that:</w:t>
      </w:r>
    </w:p>
    <w:p>
      <w:pPr>
        <w:spacing w:after="0" w:line="206" w:lineRule="exact"/>
        <w:rPr>
          <w:sz w:val="20"/>
          <w:szCs w:val="20"/>
          <w:color w:val="auto"/>
        </w:rPr>
      </w:pPr>
    </w:p>
    <w:p>
      <w:pPr>
        <w:jc w:val="both"/>
        <w:ind w:firstLine="872"/>
        <w:spacing w:after="0" w:line="275" w:lineRule="auto"/>
        <w:tabs>
          <w:tab w:leader="none" w:pos="2399"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any Restricted Subsidiary may merge, amalgamate or consolidate with (i) the Borrower (including a merger, the purpose of which is to reorganize the Borrower into a new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 no Event of Default exists or would result therefrom, (x) the Borrower shall be the continuing or surviving Person, (y) such transaction does not result in the Borrower ceasing to be organized under the laws of the United States, any State thereof or the District of Columbia and (z) such transaction does not have an adverse effect in any material respect on the perfection or priority of the Liens granted under the Collateral Documents or (ii) one or more other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the case of this clause (ii), that when such transaction involves a Loan Party, a Loan Party shall be the continuing or surviving Person except to the extent otherwise constituting an Investment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872"/>
        <w:spacing w:after="0" w:line="275" w:lineRule="auto"/>
        <w:tabs>
          <w:tab w:leader="none" w:pos="241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(i) any Restricted Subsidiary that is not a Loan Party may merge, amalgamate or consolidate with or into any other Restricted Subsidiary that is not a Loan Party and (ii) any Restricted Subsidiary may liquidate or dissolve or change its legal form if the Borrower determines in good faith that such action is in the best interest of the Borrower and the Restricted Subsidiaries and is not disadvantageous to the Lenders in any material respect (it being understood that (other than a transaction constituting a permitted Investment under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or involving an Excluded Subsidiary) in the case of any liquidation or dissolution of a Guarantor, such Guarantor shall transfer its assets to a Loan Party, and in the case of any change in legal form, a Restricted Subsidiary that is a Guarantor will remain a Guarantor and such transaction shall not have an adverse effect on the perfection or priority of the Liens granted under the Collateral Documents);</w:t>
      </w:r>
    </w:p>
    <w:p>
      <w:pPr>
        <w:spacing w:after="0" w:line="157" w:lineRule="exact"/>
        <w:rPr>
          <w:rFonts w:ascii="Arial" w:cs="Arial" w:eastAsia="Arial" w:hAnsi="Arial"/>
          <w:sz w:val="19"/>
          <w:szCs w:val="19"/>
          <w:color w:val="auto"/>
        </w:rPr>
      </w:pPr>
    </w:p>
    <w:p>
      <w:pPr>
        <w:jc w:val="both"/>
        <w:ind w:firstLine="872"/>
        <w:spacing w:after="0" w:line="236" w:lineRule="auto"/>
        <w:tabs>
          <w:tab w:leader="none" w:pos="2399"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any Restricted Subsidiary may Dispose of all or substantially all of its assets (upon voluntary liquidation or otherwise) to the Borrower or to another Restricted Subsidiary;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transferor in such a transaction is a Guarantor, then (i) the transferee must be a Guarantor or the Borrower or (ii) to the extent constituting an Investment, such Investment must be a permitted Investment in or Indebtedness of a Restricted Subsidiary which is not a Loan Party in accordance with </w:t>
      </w:r>
      <w:r>
        <w:rPr>
          <w:rFonts w:ascii="Arial" w:cs="Arial" w:eastAsia="Arial" w:hAnsi="Arial"/>
          <w:sz w:val="22"/>
          <w:szCs w:val="22"/>
          <w:u w:val="single" w:color="auto"/>
          <w:color w:val="auto"/>
        </w:rPr>
        <w:t>Sections 7.02</w:t>
      </w:r>
      <w:r>
        <w:rPr>
          <w:rFonts w:ascii="Arial" w:cs="Arial" w:eastAsia="Arial" w:hAnsi="Arial"/>
          <w:sz w:val="22"/>
          <w:szCs w:val="22"/>
          <w:color w:val="auto"/>
        </w:rPr>
        <w:t xml:space="preserve"> and 7.03, respectively;</w:t>
      </w:r>
    </w:p>
    <w:p>
      <w:pPr>
        <w:spacing w:after="0" w:line="187" w:lineRule="exact"/>
        <w:rPr>
          <w:rFonts w:ascii="Arial" w:cs="Arial" w:eastAsia="Arial" w:hAnsi="Arial"/>
          <w:sz w:val="22"/>
          <w:szCs w:val="22"/>
          <w:color w:val="auto"/>
        </w:rPr>
      </w:pPr>
    </w:p>
    <w:p>
      <w:pPr>
        <w:jc w:val="both"/>
        <w:ind w:firstLine="872"/>
        <w:spacing w:after="0" w:line="272" w:lineRule="auto"/>
        <w:tabs>
          <w:tab w:leader="none" w:pos="241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so long as no Event of Default exists or would result therefrom, the Borrower may merge with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Borrower shall be the continuing or surviving corporation or (ii) if the Person formed by or surviving any such merger or consolidation is not the Borrower (any such Person, the “</w:t>
      </w:r>
      <w:r>
        <w:rPr>
          <w:rFonts w:ascii="Arial" w:cs="Arial" w:eastAsia="Arial" w:hAnsi="Arial"/>
          <w:sz w:val="19"/>
          <w:szCs w:val="19"/>
          <w:b w:val="1"/>
          <w:bCs w:val="1"/>
          <w:color w:val="auto"/>
        </w:rPr>
        <w:t>Successor Borrower</w:t>
      </w:r>
      <w:r>
        <w:rPr>
          <w:rFonts w:ascii="Arial" w:cs="Arial" w:eastAsia="Arial" w:hAnsi="Arial"/>
          <w:sz w:val="19"/>
          <w:szCs w:val="19"/>
          <w:color w:val="auto"/>
        </w:rPr>
        <w:t>”), (A) the Successor Borrower shall be an entity organized or existing under the Laws of the United States, any state thereof or the District of Columbia and such transaction shall not have an adverse effect in any material respect on the perfection or priority of the Liens granted under the Collateral Documents, (B) the Successor Borrower shall expressly assume all the obligations of the Borrower under this Agreement and the other Loan Documents to which the Borrower is a party pursuant to a supplement hereto or thereto in form reasonably satisfactory to the Administrative Agent and the Borrower, (C) each Guarantor, unless it is the other party to such merger or consolidation, shall have confirmed that its Guarantee shall apply to the Successor Borrower’s obligations under the Loan Documents, (D) each Guarantor, unless it is the other party to such merger or consolidation, shall have by a supplement to the Security Agreement and other applicable Collateral Documents confirmed that the collateral granted by it to secure its obligations thereunder shall apply to secure its and the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-2035175</wp:posOffset>
            </wp:positionV>
            <wp:extent cx="274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4" w:name="page175"/>
    <w:bookmarkEnd w:id="174"/>
    <w:p>
      <w:pPr>
        <w:jc w:val="both"/>
        <w:spacing w:after="0" w:line="273" w:lineRule="auto"/>
        <w:rPr>
          <w:sz w:val="20"/>
          <w:szCs w:val="20"/>
          <w:color w:val="auto"/>
        </w:rPr>
      </w:pPr>
      <w:r>
        <w:rPr>
          <w:rFonts w:ascii="Arial" w:cs="Arial" w:eastAsia="Arial" w:hAnsi="Arial"/>
          <w:sz w:val="19"/>
          <w:szCs w:val="19"/>
          <w:color w:val="auto"/>
        </w:rPr>
        <w:t xml:space="preserve">Borrower’s obligations under the Loan Documents, (E) if reasonably requested by the Collateral Agent, each mortgagor of a Mortgaged Property, unless it is the other party to such merger or consolidation, shall have by an amendment to or restatement of the applicable Mortgage (or other instrument reasonably satisfactory to the Collateral Agent) confirmed that the collateral granted by it to secure its obligations thereunder shall apply to secure its and the Successor Borrower’s obligations under the Loan Documents, and (F) the Borrower shall have delivered to the Administrative Agent an officer’s certificate and an opinion, each stating that such merger or consolidation and such supplement to this Agreement or any Collateral Document comply with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foregoing are satisfied (or waived), the Successor Borrower will succeed to, and be substituted for, the Borrower under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Borrower agrees to provide any documentation and other information about the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w:t>
      </w:r>
    </w:p>
    <w:p>
      <w:pPr>
        <w:spacing w:after="0" w:line="155" w:lineRule="exact"/>
        <w:rPr>
          <w:sz w:val="20"/>
          <w:szCs w:val="20"/>
          <w:color w:val="auto"/>
        </w:rPr>
      </w:pPr>
    </w:p>
    <w:p>
      <w:pPr>
        <w:jc w:val="both"/>
        <w:ind w:firstLine="872"/>
        <w:spacing w:after="0" w:line="236" w:lineRule="auto"/>
        <w:tabs>
          <w:tab w:leader="none" w:pos="239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any Restricted Subsidiary may merge, amalgamate or consolidate with any other Person (other than the Borrower) in order to effect an Investment permitted pursuant to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either (x) the continuing or surviving Person shall be a Restricted Subsidiary, which together with each of its Restricted Subsidiaries, shall have complied with the requirements of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to the extent required pursuant to the Collateral and Guarantee Requirement or (y) the transaction shall otherwise constitute a permitted Investment;</w:t>
      </w:r>
    </w:p>
    <w:p>
      <w:pPr>
        <w:spacing w:after="0" w:line="187" w:lineRule="exact"/>
        <w:rPr>
          <w:rFonts w:ascii="Arial" w:cs="Arial" w:eastAsia="Arial" w:hAnsi="Arial"/>
          <w:sz w:val="22"/>
          <w:szCs w:val="22"/>
          <w:color w:val="auto"/>
        </w:rPr>
      </w:pPr>
    </w:p>
    <w:p>
      <w:pPr>
        <w:ind w:firstLine="872"/>
        <w:spacing w:after="0" w:line="250" w:lineRule="auto"/>
        <w:tabs>
          <w:tab w:leader="none" w:pos="2375"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any Restricted Subsidiary may effect a merger, dissolution, liquidation or consolidation, the purpose of which is to effect a Disposition permitted pursuant to </w:t>
      </w:r>
      <w:r>
        <w:rPr>
          <w:rFonts w:ascii="Arial" w:cs="Arial" w:eastAsia="Arial" w:hAnsi="Arial"/>
          <w:sz w:val="22"/>
          <w:szCs w:val="22"/>
          <w:u w:val="single" w:color="auto"/>
          <w:color w:val="auto"/>
        </w:rPr>
        <w:t>Section 7.05</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jc w:val="both"/>
        <w:ind w:firstLine="872"/>
        <w:spacing w:after="0"/>
        <w:tabs>
          <w:tab w:leader="none" w:pos="2411"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any Restricted Subsidiary may Dispose of all or substantially all of its assets (upon voluntary liquidation or otherwise) to the extent that such Disposition (or series of related Dispositions) is not prohibited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7.05</w:t>
      </w:r>
      <w:r>
        <w:rPr>
          <w:rFonts w:ascii="Arial" w:cs="Arial" w:eastAsia="Arial" w:hAnsi="Arial"/>
          <w:sz w:val="22"/>
          <w:szCs w:val="22"/>
          <w:color w:val="auto"/>
        </w:rPr>
        <w: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Dispositions</w:t>
      </w:r>
    </w:p>
    <w:p>
      <w:pPr>
        <w:spacing w:after="0" w:line="206" w:lineRule="exact"/>
        <w:rPr>
          <w:sz w:val="20"/>
          <w:szCs w:val="20"/>
          <w:color w:val="auto"/>
        </w:rPr>
      </w:pPr>
    </w:p>
    <w:p>
      <w:pPr>
        <w:ind w:left="1040" w:hanging="168"/>
        <w:spacing w:after="0"/>
        <w:tabs>
          <w:tab w:leader="none" w:pos="1040" w:val="left"/>
        </w:tabs>
        <w:numPr>
          <w:ilvl w:val="0"/>
          <w:numId w:val="206"/>
        </w:numPr>
        <w:rPr>
          <w:rFonts w:ascii="Arial" w:cs="Arial" w:eastAsia="Arial" w:hAnsi="Arial"/>
          <w:sz w:val="19"/>
          <w:szCs w:val="19"/>
          <w:i w:val="1"/>
          <w:iCs w:val="1"/>
          <w:color w:val="auto"/>
        </w:rPr>
      </w:pPr>
      <w:r>
        <w:rPr>
          <w:rFonts w:ascii="Arial" w:cs="Arial" w:eastAsia="Arial" w:hAnsi="Arial"/>
          <w:sz w:val="19"/>
          <w:szCs w:val="19"/>
          <w:color w:val="auto"/>
        </w:rPr>
        <w:t>The Borrower shall not, nor shall it permit any Restricted Subsidiary to, directly or indirectly, make any Disposition,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except:</w:t>
      </w:r>
    </w:p>
    <w:p>
      <w:pPr>
        <w:spacing w:after="0" w:line="188" w:lineRule="exact"/>
        <w:rPr>
          <w:sz w:val="20"/>
          <w:szCs w:val="20"/>
          <w:color w:val="auto"/>
        </w:rPr>
      </w:pPr>
    </w:p>
    <w:p>
      <w:pPr>
        <w:jc w:val="both"/>
        <w:ind w:firstLine="872"/>
        <w:spacing w:after="0" w:line="271" w:lineRule="auto"/>
        <w:tabs>
          <w:tab w:leader="none" w:pos="2399" w:val="left"/>
        </w:tabs>
        <w:numPr>
          <w:ilvl w:val="1"/>
          <w:numId w:val="207"/>
        </w:numPr>
        <w:rPr>
          <w:rFonts w:ascii="Arial" w:cs="Arial" w:eastAsia="Arial" w:hAnsi="Arial"/>
          <w:sz w:val="19"/>
          <w:szCs w:val="19"/>
          <w:color w:val="auto"/>
        </w:rPr>
      </w:pPr>
      <w:r>
        <w:rPr>
          <w:rFonts w:ascii="Arial" w:cs="Arial" w:eastAsia="Arial" w:hAnsi="Arial"/>
          <w:sz w:val="19"/>
          <w:szCs w:val="19"/>
          <w:color w:val="auto"/>
        </w:rPr>
        <w:t>(i) Dispositions (including abandonment) of obsolete or worn out property, whether now owned or hereafter acquired, in the ordinary course of business, (ii) Dispositions (including abandonment) in the ordinary course of business of surplus property or property no longer used or useful in the conduct of the business of the Borrower or any of the Restricted Subsidiaries, (iii) Dispositions of immaterial assets (considered in the aggregate) in the ordinary course of business and</w:t>
      </w:r>
    </w:p>
    <w:p>
      <w:pPr>
        <w:spacing w:after="0" w:line="3" w:lineRule="exact"/>
        <w:rPr>
          <w:rFonts w:ascii="Arial" w:cs="Arial" w:eastAsia="Arial" w:hAnsi="Arial"/>
          <w:sz w:val="19"/>
          <w:szCs w:val="19"/>
          <w:color w:val="auto"/>
        </w:rPr>
      </w:pPr>
    </w:p>
    <w:p>
      <w:pPr>
        <w:ind w:firstLine="8"/>
        <w:spacing w:after="0" w:line="236" w:lineRule="auto"/>
        <w:tabs>
          <w:tab w:leader="none" w:pos="36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Dispositions to landlords of improvements made to leased real property pursuant to customary terms of leases entered into in the ordinary course of business;</w:t>
      </w:r>
    </w:p>
    <w:p>
      <w:pPr>
        <w:spacing w:after="0" w:line="186" w:lineRule="exact"/>
        <w:rPr>
          <w:rFonts w:ascii="Arial" w:cs="Arial" w:eastAsia="Arial" w:hAnsi="Arial"/>
          <w:sz w:val="22"/>
          <w:szCs w:val="22"/>
          <w:color w:val="auto"/>
        </w:rPr>
      </w:pPr>
    </w:p>
    <w:p>
      <w:pPr>
        <w:jc w:val="both"/>
        <w:ind w:firstLine="872"/>
        <w:spacing w:after="0" w:line="238" w:lineRule="auto"/>
        <w:tabs>
          <w:tab w:leader="none" w:pos="2411" w:val="left"/>
        </w:tabs>
        <w:numPr>
          <w:ilvl w:val="1"/>
          <w:numId w:val="208"/>
        </w:numPr>
        <w:rPr>
          <w:rFonts w:ascii="Arial" w:cs="Arial" w:eastAsia="Arial" w:hAnsi="Arial"/>
          <w:sz w:val="22"/>
          <w:szCs w:val="22"/>
          <w:color w:val="auto"/>
        </w:rPr>
      </w:pPr>
      <w:r>
        <w:rPr>
          <w:rFonts w:ascii="Arial" w:cs="Arial" w:eastAsia="Arial" w:hAnsi="Arial"/>
          <w:sz w:val="22"/>
          <w:szCs w:val="22"/>
          <w:color w:val="auto"/>
        </w:rPr>
        <w:t>Dispositions of property to the extent that (i) such property is exchanged for credit against the purchase price of similar replacement property, (ii) the proceeds of such Disposition are promptly applied to the purchase price of such replacement property, or (iii) such property is swapped in exchange for services or other assets of comparable or greater value or usefulness to</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5" w:name="page176"/>
    <w:bookmarkEnd w:id="175"/>
    <w:p>
      <w:pPr>
        <w:spacing w:after="0"/>
        <w:rPr>
          <w:sz w:val="20"/>
          <w:szCs w:val="20"/>
          <w:color w:val="auto"/>
        </w:rPr>
      </w:pPr>
      <w:r>
        <w:rPr>
          <w:rFonts w:ascii="Arial" w:cs="Arial" w:eastAsia="Arial" w:hAnsi="Arial"/>
          <w:sz w:val="19"/>
          <w:szCs w:val="19"/>
          <w:color w:val="auto"/>
        </w:rPr>
        <w:t>the business of the Borrower and the Subsidiaries as whole, as determined in good faith by the management of the Borrower;</w:t>
      </w:r>
    </w:p>
    <w:p>
      <w:pPr>
        <w:spacing w:after="0" w:line="241" w:lineRule="exact"/>
        <w:rPr>
          <w:sz w:val="20"/>
          <w:szCs w:val="20"/>
          <w:color w:val="auto"/>
        </w:rPr>
      </w:pPr>
    </w:p>
    <w:p>
      <w:pPr>
        <w:jc w:val="both"/>
        <w:ind w:firstLine="872"/>
        <w:spacing w:after="0" w:line="238" w:lineRule="auto"/>
        <w:tabs>
          <w:tab w:leader="none" w:pos="239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Dispositions of property to the Borrower or any Restricted Subsidiary;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transferor of such property is a Loan Party (i) the transferee thereof must be a Loan Party and if such property constitutes Collateral, it shall continue to constitute Collateral after such Disposition or (ii) if such transaction constitutes an Investment, such transaction is permitted under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2420" w:hanging="1548"/>
        <w:spacing w:after="0"/>
        <w:tabs>
          <w:tab w:leader="none" w:pos="24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Dispositions of cash and Cash Equivalents;</w:t>
      </w:r>
    </w:p>
    <w:p>
      <w:pPr>
        <w:spacing w:after="0" w:line="206" w:lineRule="exact"/>
        <w:rPr>
          <w:rFonts w:ascii="Arial" w:cs="Arial" w:eastAsia="Arial" w:hAnsi="Arial"/>
          <w:sz w:val="22"/>
          <w:szCs w:val="22"/>
          <w:color w:val="auto"/>
        </w:rPr>
      </w:pPr>
    </w:p>
    <w:p>
      <w:pPr>
        <w:jc w:val="both"/>
        <w:ind w:firstLine="872"/>
        <w:spacing w:after="0"/>
        <w:tabs>
          <w:tab w:leader="none" w:pos="239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leases, subleases, licenses, sublicenses (including the provision of software under an open source license) or any abandonment thereof, in each case (i) in the ordinary course of business and (ii) without interfering in any material respect with the business of the Borrower or any of its Restricted Subsidiaries;</w:t>
      </w:r>
    </w:p>
    <w:p>
      <w:pPr>
        <w:spacing w:after="0" w:line="186" w:lineRule="exact"/>
        <w:rPr>
          <w:rFonts w:ascii="Arial" w:cs="Arial" w:eastAsia="Arial" w:hAnsi="Arial"/>
          <w:sz w:val="22"/>
          <w:szCs w:val="22"/>
          <w:color w:val="auto"/>
        </w:rPr>
      </w:pPr>
    </w:p>
    <w:p>
      <w:pPr>
        <w:ind w:left="2380" w:hanging="1508"/>
        <w:spacing w:after="0"/>
        <w:tabs>
          <w:tab w:leader="none" w:pos="238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transfers of property subject to Casualty Events upon the receipt (where practical) of the Net Proceeds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such Casualty Event;</w:t>
      </w:r>
    </w:p>
    <w:p>
      <w:pPr>
        <w:spacing w:after="0" w:line="188" w:lineRule="exact"/>
        <w:rPr>
          <w:rFonts w:ascii="Arial" w:cs="Arial" w:eastAsia="Arial" w:hAnsi="Arial"/>
          <w:sz w:val="19"/>
          <w:szCs w:val="19"/>
          <w:color w:val="auto"/>
        </w:rPr>
      </w:pPr>
    </w:p>
    <w:p>
      <w:pPr>
        <w:jc w:val="both"/>
        <w:ind w:firstLine="872"/>
        <w:spacing w:after="0"/>
        <w:tabs>
          <w:tab w:leader="none" w:pos="241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Dispositions (including write-offs, discounts, and compromises in clause (b) above) or discounts without recourse of accounts receivable and related assets in connection with the compromise or collection thereof in the ordinary course of business;</w:t>
      </w:r>
    </w:p>
    <w:p>
      <w:pPr>
        <w:spacing w:after="0" w:line="186" w:lineRule="exact"/>
        <w:rPr>
          <w:rFonts w:ascii="Arial" w:cs="Arial" w:eastAsia="Arial" w:hAnsi="Arial"/>
          <w:sz w:val="22"/>
          <w:szCs w:val="22"/>
          <w:color w:val="auto"/>
        </w:rPr>
      </w:pPr>
    </w:p>
    <w:p>
      <w:pPr>
        <w:ind w:left="2420" w:hanging="1548"/>
        <w:spacing w:after="0"/>
        <w:tabs>
          <w:tab w:leader="none" w:pos="24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380" w:hanging="1508"/>
        <w:spacing w:after="0"/>
        <w:tabs>
          <w:tab w:leader="none" w:pos="23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tabs>
          <w:tab w:leader="none" w:pos="2363"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Dispositions of Investments in joint ventures or other non-wholly owned Subsidiaries to the extent required by, or made pursuant to, customary buy/sell arrangements between the joint venture parties set forth in joint venture arrangements and similar binding arrangements;</w:t>
      </w:r>
    </w:p>
    <w:p>
      <w:pPr>
        <w:spacing w:after="0" w:line="186" w:lineRule="exact"/>
        <w:rPr>
          <w:rFonts w:ascii="Arial" w:cs="Arial" w:eastAsia="Arial" w:hAnsi="Arial"/>
          <w:sz w:val="22"/>
          <w:szCs w:val="22"/>
          <w:color w:val="auto"/>
        </w:rPr>
      </w:pPr>
    </w:p>
    <w:p>
      <w:pPr>
        <w:ind w:left="2420" w:hanging="1548"/>
        <w:spacing w:after="0"/>
        <w:tabs>
          <w:tab w:leader="none" w:pos="24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unwinding of any Swap Contract or cash management agreement;</w:t>
      </w:r>
    </w:p>
    <w:p>
      <w:pPr>
        <w:spacing w:after="0" w:line="206" w:lineRule="exact"/>
        <w:rPr>
          <w:rFonts w:ascii="Arial" w:cs="Arial" w:eastAsia="Arial" w:hAnsi="Arial"/>
          <w:sz w:val="22"/>
          <w:szCs w:val="22"/>
          <w:color w:val="auto"/>
        </w:rPr>
      </w:pPr>
    </w:p>
    <w:p>
      <w:pPr>
        <w:jc w:val="both"/>
        <w:ind w:firstLine="872"/>
        <w:spacing w:after="0" w:line="273" w:lineRule="auto"/>
        <w:tabs>
          <w:tab w:leader="none" w:pos="236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Dispositions of property not otherwise permitted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at the time of such Disposition (other than any such Disposition made pursuant to a legally binding commitment entered into at a time when no Event of Default exists), no Event of Default shall exist or would result from such Disposition, (ii) any prepayment required to be made in connection with the receipt of Net Proceeds in respect of such Disposition pursuant to Section 2.13 shall be made in accordance therewith, (iii) the Borrower or any of the Restricted Subsidiaries shall receive not less than 75% of the consideration for such Disposition in the form of cash or Cash Equivalents (in each case, free and clear of all Liens at the time received, other than nonconsensual Liens permitted by Section 7.01 and Liens permitted by Section 7.01(a), (c), (d), (f), (i), (j), (k), (l), (o), (p), (v), (w), (z), (aa), (bb), (cc) and (ee), (iv) any portion of the consideration for such Disposition that is not in the form of cash or Cash Equivalents shall become Collateral </w:t>
      </w:r>
      <w:r>
        <w:rPr>
          <w:rFonts w:ascii="Arial" w:cs="Arial" w:eastAsia="Arial" w:hAnsi="Arial"/>
          <w:sz w:val="19"/>
          <w:szCs w:val="19"/>
          <w:color w:val="FF0000"/>
        </w:rPr>
        <w:t>and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(v) this Section 7.05(l) shall not permit the Disposition of all or substantially all of the assets of the Borrower and its Subsidiaries (taken as a whole)</w:t>
      </w:r>
      <w:r>
        <w:rPr>
          <w:rFonts w:ascii="Arial" w:cs="Arial" w:eastAsia="Arial" w:hAnsi="Arial"/>
          <w:sz w:val="19"/>
          <w:szCs w:val="19"/>
          <w:color w:val="FF0000"/>
          <w:strike w:val="1"/>
        </w:rPr>
        <w:t>.</w:t>
      </w:r>
      <w:r>
        <w:rPr>
          <w:rFonts w:ascii="Arial" w:cs="Arial" w:eastAsia="Arial" w:hAnsi="Arial"/>
          <w:sz w:val="19"/>
          <w:szCs w:val="19"/>
          <w:b w:val="1"/>
          <w:bCs w:val="1"/>
          <w:u w:val="single" w:color="auto"/>
          <w:color w:val="0000FF"/>
        </w:rPr>
        <w:t>, and (vi) during the Specified Amendment No. 1 Period, (A)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no Dispositions shall be permitted under this Section 7.05(l)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-410210</wp:posOffset>
            </wp:positionV>
            <wp:extent cx="2324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6" w:name="page177"/>
    <w:bookmarkEnd w:id="176"/>
    <w:p>
      <w:pPr>
        <w:jc w:val="both"/>
        <w:spacing w:after="0" w:line="274" w:lineRule="auto"/>
        <w:rPr>
          <w:sz w:val="20"/>
          <w:szCs w:val="20"/>
          <w:color w:val="auto"/>
        </w:rPr>
      </w:pPr>
      <w:r>
        <w:rPr>
          <w:rFonts w:ascii="Arial" w:cs="Arial" w:eastAsia="Arial" w:hAnsi="Arial"/>
          <w:sz w:val="19"/>
          <w:szCs w:val="19"/>
          <w:b w:val="1"/>
          <w:bCs w:val="1"/>
          <w:u w:val="single" w:color="auto"/>
          <w:color w:val="0000FF"/>
        </w:rPr>
        <w:t xml:space="preserve">except for (1) Dispositions of Real Property specified in Schedule A to Amendment No. 1 (such Real Property, “Scheduled Property”) to the extent (x) such Real Property is subject to a bone fide sale agreement with a third party purchaser entered into prior to March 23, 2020 and (y) the Disposition of such Real Property shall be made for gross consideration not less than the amount specified for such Scheduled Property identified to the Lenders as of the Amendment No. 1 Effective Date (subject to customary purchase price adjustments and working capital adjustments), (2) Dispositions of property (other than Real Property),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b w:val="1"/>
          <w:bCs w:val="1"/>
          <w:u w:val="single" w:color="auto"/>
          <w:color w:val="0000FF"/>
        </w:rPr>
        <w:t xml:space="preserve"> that the aggregate fair market value of property Disposed of pursuant to this clause (vi)(A)(2) shall not exceed $10,000,000 in the aggregate during the Specified Amendment No. 1 Period, and (3) Dispositions of Pension Real Property set forth on Schedule B to Amendment No. 1 and (B) the Net Proceeds of each Disposition permitted under the foregoing clause (vi)(A) shall be applied to the prepayment of the Term Loans in accordance with Section 2.13(a)(ii) without giving effect to any thresholds or reinvestment rights;</w:t>
      </w:r>
    </w:p>
    <w:p>
      <w:pPr>
        <w:spacing w:after="0" w:line="15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(m) (i) any Disposition of Securitization Assets or Receivables Assets, or participations therein, in connection with any Qualified Securitization Financing or Receivables Facility, in the case of this clause (i) to the extent permitted under </w:t>
      </w:r>
      <w:r>
        <w:rPr>
          <w:rFonts w:ascii="Arial" w:cs="Arial" w:eastAsia="Arial" w:hAnsi="Arial"/>
          <w:sz w:val="22"/>
          <w:szCs w:val="22"/>
          <w:u w:val="single" w:color="auto"/>
          <w:color w:val="auto"/>
        </w:rPr>
        <w:t>Section 7.03(z)</w:t>
      </w:r>
      <w:r>
        <w:rPr>
          <w:rFonts w:ascii="Arial" w:cs="Arial" w:eastAsia="Arial" w:hAnsi="Arial"/>
          <w:sz w:val="22"/>
          <w:szCs w:val="22"/>
          <w:color w:val="auto"/>
        </w:rPr>
        <w:t>, or (ii) the Disposition of an account receivable in connection with the collection or compromise thereof in the ordinary course of business or consistent with past practice;</w:t>
      </w:r>
    </w:p>
    <w:p>
      <w:pPr>
        <w:spacing w:after="0" w:line="185" w:lineRule="exact"/>
        <w:rPr>
          <w:sz w:val="20"/>
          <w:szCs w:val="20"/>
          <w:color w:val="auto"/>
        </w:rPr>
      </w:pPr>
    </w:p>
    <w:p>
      <w:pPr>
        <w:ind w:left="2420" w:hanging="1548"/>
        <w:spacing w:after="0"/>
        <w:tabs>
          <w:tab w:leader="none" w:pos="24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line="276" w:lineRule="auto"/>
        <w:tabs>
          <w:tab w:leader="none" w:pos="241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dispositions from and after the Restatement Effective Date of non-core or obsolete assets acquired in connection with any Permitted Acquisition or other permitted Investments;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that, during the Specified Amendment</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0000FF"/>
        </w:rPr>
        <w:t>No. 1 Period, no Dispositions shall be permitted under this clause (o);</w:t>
      </w:r>
    </w:p>
    <w:p>
      <w:pPr>
        <w:spacing w:after="0" w:line="188" w:lineRule="exact"/>
        <w:rPr>
          <w:rFonts w:ascii="Arial" w:cs="Arial" w:eastAsia="Arial" w:hAnsi="Arial"/>
          <w:sz w:val="19"/>
          <w:szCs w:val="19"/>
          <w:color w:val="auto"/>
        </w:rPr>
      </w:pPr>
    </w:p>
    <w:p>
      <w:pPr>
        <w:ind w:left="2420" w:hanging="1548"/>
        <w:spacing w:after="0"/>
        <w:tabs>
          <w:tab w:leader="none" w:pos="24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incurrence of Liens permitted hereunder;</w:t>
      </w:r>
    </w:p>
    <w:p>
      <w:pPr>
        <w:spacing w:after="0" w:line="206" w:lineRule="exact"/>
        <w:rPr>
          <w:rFonts w:ascii="Arial" w:cs="Arial" w:eastAsia="Arial" w:hAnsi="Arial"/>
          <w:sz w:val="22"/>
          <w:szCs w:val="22"/>
          <w:color w:val="auto"/>
        </w:rPr>
      </w:pPr>
    </w:p>
    <w:p>
      <w:pPr>
        <w:ind w:right="20" w:firstLine="872"/>
        <w:spacing w:after="0" w:line="250" w:lineRule="auto"/>
        <w:tabs>
          <w:tab w:leader="none" w:pos="2411" w:val="left"/>
        </w:tabs>
        <w:numPr>
          <w:ilvl w:val="0"/>
          <w:numId w:val="210"/>
        </w:numPr>
        <w:rPr>
          <w:rFonts w:ascii="Arial" w:cs="Arial" w:eastAsia="Arial" w:hAnsi="Arial"/>
          <w:sz w:val="22"/>
          <w:szCs w:val="22"/>
          <w:color w:val="auto"/>
        </w:rPr>
      </w:pPr>
      <w:r>
        <w:rPr>
          <w:rFonts w:ascii="Arial" w:cs="Arial" w:eastAsia="Arial" w:hAnsi="Arial"/>
          <w:sz w:val="22"/>
          <w:szCs w:val="22"/>
          <w:color w:val="auto"/>
        </w:rPr>
        <w:t>sales or dispositions of Equity Interests of any Subsidiary (other than the Borrower) in order to qualify members of the governing body of such Subsidiary if required by applicable law;</w:t>
      </w:r>
    </w:p>
    <w:p>
      <w:pPr>
        <w:spacing w:after="0" w:line="174" w:lineRule="exact"/>
        <w:rPr>
          <w:rFonts w:ascii="Arial" w:cs="Arial" w:eastAsia="Arial" w:hAnsi="Arial"/>
          <w:sz w:val="22"/>
          <w:szCs w:val="22"/>
          <w:color w:val="auto"/>
        </w:rPr>
      </w:pPr>
    </w:p>
    <w:p>
      <w:pPr>
        <w:ind w:left="2380" w:hanging="1508"/>
        <w:spacing w:after="0"/>
        <w:tabs>
          <w:tab w:leader="none" w:pos="23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400" w:hanging="1528"/>
        <w:spacing w:after="0"/>
        <w:tabs>
          <w:tab w:leader="none" w:pos="24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Restricted Payments made pursuant to </w:t>
      </w:r>
      <w:r>
        <w:rPr>
          <w:rFonts w:ascii="Arial" w:cs="Arial" w:eastAsia="Arial" w:hAnsi="Arial"/>
          <w:sz w:val="22"/>
          <w:szCs w:val="22"/>
          <w:u w:val="single" w:color="auto"/>
          <w:color w:val="auto"/>
        </w:rPr>
        <w:t>Section 7.06</w:t>
      </w: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jc w:val="both"/>
        <w:ind w:right="20" w:firstLine="872"/>
        <w:spacing w:after="0" w:line="257" w:lineRule="auto"/>
        <w:tabs>
          <w:tab w:leader="none" w:pos="2363"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Sale and Leaseback Transactions in an aggregate principal amount not to exceed $50,000,000 during the term of this Agreement; </w:t>
      </w:r>
      <w:r>
        <w:rPr>
          <w:rFonts w:ascii="Arial" w:cs="Arial" w:eastAsia="Arial" w:hAnsi="Arial"/>
          <w:sz w:val="21"/>
          <w:szCs w:val="21"/>
          <w:b w:val="1"/>
          <w:bCs w:val="1"/>
          <w:i w:val="1"/>
          <w:iCs w:val="1"/>
          <w:u w:val="single" w:color="auto"/>
          <w:color w:val="0000FF"/>
        </w:rPr>
        <w:t>provided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that, during the Specified Amendment No. 1 Period, this clause (t) shall be unavailable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for use under this Agreement and the dollar amount specified in the clause (t) shall be $0;</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any Disposition of any property pursuant to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7.05</w:t>
      </w:r>
      <w:r>
        <w:rPr>
          <w:rFonts w:ascii="Arial" w:cs="Arial" w:eastAsia="Arial" w:hAnsi="Arial"/>
          <w:sz w:val="22"/>
          <w:szCs w:val="22"/>
          <w:i w:val="1"/>
          <w:iCs w:val="1"/>
          <w:color w:val="auto"/>
        </w:rPr>
        <w:t xml:space="preserve"> </w:t>
      </w:r>
      <w:r>
        <w:rPr>
          <w:rFonts w:ascii="Arial" w:cs="Arial" w:eastAsia="Arial" w:hAnsi="Arial"/>
          <w:sz w:val="22"/>
          <w:szCs w:val="22"/>
          <w:color w:val="auto"/>
        </w:rPr>
        <w:t>(except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Sections 7.05(a), (c), (e), (f), (g),</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(i), (j), (k), (m), (n), (o), (p), (q), (r) and (s)</w:t>
      </w:r>
      <w:r>
        <w:rPr>
          <w:rFonts w:ascii="Arial" w:cs="Arial" w:eastAsia="Arial" w:hAnsi="Arial"/>
          <w:sz w:val="22"/>
          <w:szCs w:val="22"/>
          <w:color w:val="auto"/>
        </w:rPr>
        <w:t xml:space="preserve"> and except for Dispositions from a Loan Party to any other Loan Party) shall be for no less than the fair market value of such property at the time of such Disposition. To the extent any Collateral is Disposed of as expressly permitted by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to any Person other than a Loan Party, such Collateral shall be automatically sold free and clear of the Liens created by the Loan Documents, and, if</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7" w:name="page178"/>
    <w:bookmarkEnd w:id="177"/>
    <w:p>
      <w:pPr>
        <w:jc w:val="both"/>
        <w:spacing w:after="0" w:line="287" w:lineRule="auto"/>
        <w:rPr>
          <w:sz w:val="20"/>
          <w:szCs w:val="20"/>
          <w:color w:val="auto"/>
        </w:rPr>
      </w:pPr>
      <w:r>
        <w:rPr>
          <w:rFonts w:ascii="Arial" w:cs="Arial" w:eastAsia="Arial" w:hAnsi="Arial"/>
          <w:sz w:val="19"/>
          <w:szCs w:val="19"/>
          <w:color w:val="auto"/>
        </w:rPr>
        <w:t>requested by the Borrower, upon the certification delivered to the Administrative Agent by the Borrower that such Disposition is permitted by this Agreement, the Administrative Agent or the Collateral Agent, as applicable, shall be authorized to take, and shall take, any actions reasonably requested by the Borrower in order to effect the foregoing (at the Borrower’s expense) and/or to expressly subordinate any Lien in favor of the Collateral Agent on such Collateral that is disposed of.</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Notwithstanding anything herein to the contrary in this Agreement, during the Specified Amendment No. 1 Period, the Borrower shall not, nor shall it permit any Restricted Subsidiary to, directly or indirectly, make any Disposition of Real Property (other than (a) Dispositions of Scheduled Property pursuant to Section 7.05(l), (b) leases of Real Property entered into in the ordinary course of business (excluding Sale and Leaseback Transactions), (c) transfers of property subject to condemnation and Casualty Events) and (d) Dispositions of Pension Real Property set forth on Schedule B to Amendment No. 1 so long as the proceeds thereof are applied to repay CDA First Lien Obligations (or, if the CDA First Lien Obligations shall have been paid in full, to prepay the Term Loans in accordance with Section 2.13(a)(ii) without giving effect to any thresholds or reinvestment rights).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Restricted Payments</w:t>
      </w:r>
    </w:p>
    <w:p>
      <w:pPr>
        <w:spacing w:after="0" w:line="206" w:lineRule="exact"/>
        <w:rPr>
          <w:sz w:val="20"/>
          <w:szCs w:val="20"/>
          <w:color w:val="auto"/>
        </w:rPr>
      </w:pPr>
    </w:p>
    <w:p>
      <w:pPr>
        <w:ind w:firstLine="872"/>
        <w:spacing w:after="0" w:line="250" w:lineRule="auto"/>
        <w:tabs>
          <w:tab w:leader="none" w:pos="1093" w:val="left"/>
        </w:tabs>
        <w:numPr>
          <w:ilvl w:val="0"/>
          <w:numId w:val="211"/>
        </w:numPr>
        <w:rPr>
          <w:rFonts w:ascii="Arial" w:cs="Arial" w:eastAsia="Arial" w:hAnsi="Arial"/>
          <w:sz w:val="22"/>
          <w:szCs w:val="22"/>
          <w:i w:val="1"/>
          <w:iCs w:val="1"/>
          <w:color w:val="auto"/>
        </w:rPr>
      </w:pPr>
      <w:r>
        <w:rPr>
          <w:rFonts w:ascii="Arial" w:cs="Arial" w:eastAsia="Arial" w:hAnsi="Arial"/>
          <w:sz w:val="22"/>
          <w:szCs w:val="22"/>
          <w:color w:val="auto"/>
        </w:rPr>
        <w:t>The Borrower shall not, nor shall it permit any Restricted Subsidiary to, directly or indirectly, declare or make, directly or indirectly, any Restricted Payment, except:</w:t>
      </w:r>
    </w:p>
    <w:p>
      <w:pPr>
        <w:spacing w:after="0" w:line="175" w:lineRule="exact"/>
        <w:rPr>
          <w:sz w:val="20"/>
          <w:szCs w:val="20"/>
          <w:color w:val="auto"/>
        </w:rPr>
      </w:pPr>
    </w:p>
    <w:p>
      <w:pPr>
        <w:jc w:val="both"/>
        <w:ind w:firstLine="872"/>
        <w:spacing w:after="0" w:line="238" w:lineRule="auto"/>
        <w:tabs>
          <w:tab w:leader="none" w:pos="2399" w:val="left"/>
        </w:tabs>
        <w:numPr>
          <w:ilvl w:val="0"/>
          <w:numId w:val="212"/>
        </w:numPr>
        <w:rPr>
          <w:rFonts w:ascii="Arial" w:cs="Arial" w:eastAsia="Arial" w:hAnsi="Arial"/>
          <w:sz w:val="22"/>
          <w:szCs w:val="22"/>
          <w:color w:val="auto"/>
        </w:rPr>
      </w:pPr>
      <w:r>
        <w:rPr>
          <w:rFonts w:ascii="Arial" w:cs="Arial" w:eastAsia="Arial" w:hAnsi="Arial"/>
          <w:sz w:val="22"/>
          <w:szCs w:val="22"/>
          <w:color w:val="auto"/>
        </w:rPr>
        <w:t>each Restricted Subsidiary may make Restricted Payments to the Borrower or any other Restricted Subsidiary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spacing w:after="0" w:line="184" w:lineRule="exact"/>
        <w:rPr>
          <w:rFonts w:ascii="Arial" w:cs="Arial" w:eastAsia="Arial" w:hAnsi="Arial"/>
          <w:sz w:val="22"/>
          <w:szCs w:val="22"/>
          <w:color w:val="auto"/>
        </w:rPr>
      </w:pPr>
    </w:p>
    <w:p>
      <w:pPr>
        <w:jc w:val="both"/>
        <w:ind w:right="20" w:firstLine="872"/>
        <w:spacing w:after="0"/>
        <w:tabs>
          <w:tab w:leader="none" w:pos="241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the Borrower and each Restricted Subsidiary may declare and make dividend payments or other Restricted Payments payable solely in the Equity Interests (other than Disqualified Equity Interests unless such Disqualified Equity Interests would be permitted by </w:t>
      </w:r>
      <w:r>
        <w:rPr>
          <w:rFonts w:ascii="Arial" w:cs="Arial" w:eastAsia="Arial" w:hAnsi="Arial"/>
          <w:sz w:val="22"/>
          <w:szCs w:val="22"/>
          <w:u w:val="single" w:color="auto"/>
          <w:color w:val="auto"/>
        </w:rPr>
        <w:t>Section 7.03</w:t>
      </w:r>
      <w:r>
        <w:rPr>
          <w:rFonts w:ascii="Arial" w:cs="Arial" w:eastAsia="Arial" w:hAnsi="Arial"/>
          <w:sz w:val="22"/>
          <w:szCs w:val="22"/>
          <w:color w:val="auto"/>
        </w:rPr>
        <w:t>) of such Person;</w:t>
      </w:r>
    </w:p>
    <w:p>
      <w:pPr>
        <w:spacing w:after="0" w:line="186" w:lineRule="exact"/>
        <w:rPr>
          <w:rFonts w:ascii="Arial" w:cs="Arial" w:eastAsia="Arial" w:hAnsi="Arial"/>
          <w:sz w:val="22"/>
          <w:szCs w:val="22"/>
          <w:color w:val="auto"/>
        </w:rPr>
      </w:pPr>
    </w:p>
    <w:p>
      <w:pPr>
        <w:jc w:val="both"/>
        <w:ind w:firstLine="872"/>
        <w:spacing w:after="0" w:line="248" w:lineRule="auto"/>
        <w:tabs>
          <w:tab w:leader="none" w:pos="2399"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(i) repurchases of Equity Interests in the Borrower deemed to occur upon the exercise of stock options or warrants or the settlement or vesting of other equity awards if such Equity Interests represent a portion of the exercise price of such options or warrants, (ii) cash payments in lieu of the issuance of fractional shares in connection with the exercise of stock options, warrants or other securities convertible into or exchangeable for Equity Interests of the Borrower or (iii) Restricted Payments made in respect of any other transaction involving fractional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such cash payment shall not be for the purpose of evading the limitations of this Agreement;</w:t>
      </w:r>
    </w:p>
    <w:p>
      <w:pPr>
        <w:spacing w:after="0" w:line="176" w:lineRule="exact"/>
        <w:rPr>
          <w:rFonts w:ascii="Arial" w:cs="Arial" w:eastAsia="Arial" w:hAnsi="Arial"/>
          <w:sz w:val="21"/>
          <w:szCs w:val="21"/>
          <w:color w:val="auto"/>
        </w:rPr>
      </w:pPr>
    </w:p>
    <w:p>
      <w:pPr>
        <w:jc w:val="both"/>
        <w:ind w:firstLine="872"/>
        <w:spacing w:after="0" w:line="287" w:lineRule="auto"/>
        <w:tabs>
          <w:tab w:leader="none" w:pos="2411"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Borrower may pay for the repurchase, retirement or other acquisition or retirement for value of Equity Interests of the Borrower held by any present or former employee, officer, director or consultant of the Borrower or any Restricted Subsidiary or equity based awards held by such Persons, in each case, upon the death, disability, retirement or termination of employment of any such Person or pursuant to any employee or director equity plan, employee or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8" w:name="page179"/>
    <w:bookmarkEnd w:id="178"/>
    <w:p>
      <w:pPr>
        <w:jc w:val="both"/>
        <w:spacing w:after="0" w:line="245" w:lineRule="auto"/>
        <w:rPr>
          <w:sz w:val="20"/>
          <w:szCs w:val="20"/>
          <w:color w:val="auto"/>
        </w:rPr>
      </w:pPr>
      <w:r>
        <w:rPr>
          <w:rFonts w:ascii="Arial" w:cs="Arial" w:eastAsia="Arial" w:hAnsi="Arial"/>
          <w:sz w:val="21"/>
          <w:szCs w:val="21"/>
          <w:color w:val="auto"/>
        </w:rPr>
        <w:t xml:space="preserve">director stock option plan or any other employee or director benefit plan or any agreement (including any stock subscription or shareholder agreement) with any employee, director, officer or consultant of the Borrower or any Restricted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aggregate amount of Restricted Payments made pursuant to this clause (d) shall not exceed (i) $7,500,000 in any fiscal year plus (ii) the then applicable Cumulative Credit plus (iii) the proceeds of any key man insurance policies;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to the extent that the aggregate amount of Restricted Payments made by the Borrower and the Restricted Subsidiaries pursuant to this clause (d) in any fiscal year is less than the amount set forth above, 100% of the amount of such difference may be carried forward and used to make such Restricted Payments pursuant to this clause (d) in the next two succeeding fiscal years (</w:t>
      </w:r>
      <w:r>
        <w:rPr>
          <w:rFonts w:ascii="Arial" w:cs="Arial" w:eastAsia="Arial" w:hAnsi="Arial"/>
          <w:sz w:val="21"/>
          <w:szCs w:val="21"/>
          <w:i w:val="1"/>
          <w:iCs w:val="1"/>
          <w:color w:val="auto"/>
        </w:rPr>
        <w:t>provided</w:t>
      </w:r>
      <w:r>
        <w:rPr>
          <w:rFonts w:ascii="Arial" w:cs="Arial" w:eastAsia="Arial" w:hAnsi="Arial"/>
          <w:sz w:val="21"/>
          <w:szCs w:val="21"/>
          <w:color w:val="auto"/>
        </w:rPr>
        <w:t>, that any such amount carried forward shall be deemed to be used to make such Restricted Payments in any fiscal year after the amount set forth above for such fiscal year shall be deemed to be used to make such Restricted Payments for such fiscal year);</w:t>
      </w:r>
    </w:p>
    <w:p>
      <w:pPr>
        <w:spacing w:after="0" w:line="181" w:lineRule="exact"/>
        <w:rPr>
          <w:sz w:val="20"/>
          <w:szCs w:val="20"/>
          <w:color w:val="auto"/>
        </w:rPr>
      </w:pPr>
    </w:p>
    <w:p>
      <w:pPr>
        <w:ind w:left="2400" w:hanging="1528"/>
        <w:spacing w:after="0"/>
        <w:tabs>
          <w:tab w:leader="none" w:pos="240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the Borrower may make Restricted Payments in an aggregate amount not to exceed (x) together with</w:t>
      </w:r>
    </w:p>
    <w:p>
      <w:pPr>
        <w:spacing w:after="0" w:line="42" w:lineRule="exact"/>
        <w:rPr>
          <w:rFonts w:ascii="Arial" w:cs="Arial" w:eastAsia="Arial" w:hAnsi="Arial"/>
          <w:sz w:val="19"/>
          <w:szCs w:val="19"/>
          <w:color w:val="auto"/>
        </w:rPr>
      </w:pPr>
    </w:p>
    <w:p>
      <w:pPr>
        <w:jc w:val="both"/>
        <w:ind w:firstLine="8"/>
        <w:spacing w:after="0" w:line="272" w:lineRule="auto"/>
        <w:tabs>
          <w:tab w:leader="none" w:pos="323"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the aggregate amount of Investments made under sub-clause (x) of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and (II) the aggregate amount of prepayments, redemptions, purchases, defeasances and other payments made pursuant to sub-clause (x) of </w:t>
      </w:r>
      <w:r>
        <w:rPr>
          <w:rFonts w:ascii="Arial" w:cs="Arial" w:eastAsia="Arial" w:hAnsi="Arial"/>
          <w:sz w:val="19"/>
          <w:szCs w:val="19"/>
          <w:u w:val="single" w:color="auto"/>
          <w:color w:val="auto"/>
        </w:rPr>
        <w:t>Section 7.13(a)(vi)</w:t>
      </w:r>
      <w:r>
        <w:rPr>
          <w:rFonts w:ascii="Arial" w:cs="Arial" w:eastAsia="Arial" w:hAnsi="Arial"/>
          <w:sz w:val="19"/>
          <w:szCs w:val="19"/>
          <w:color w:val="auto"/>
        </w:rPr>
        <w:t xml:space="preserve">, $30,000,000, plus (y) the portion, if any, of the Cumulative Credit on such date that the Borrower elects to apply to this subclause (y); </w:t>
      </w:r>
      <w:r>
        <w:rPr>
          <w:rFonts w:ascii="Arial" w:cs="Arial" w:eastAsia="Arial" w:hAnsi="Arial"/>
          <w:sz w:val="19"/>
          <w:szCs w:val="19"/>
          <w:i w:val="1"/>
          <w:iCs w:val="1"/>
          <w:color w:val="auto"/>
        </w:rPr>
        <w:t>provided</w:t>
      </w:r>
      <w:r>
        <w:rPr>
          <w:rFonts w:ascii="Arial" w:cs="Arial" w:eastAsia="Arial" w:hAnsi="Arial"/>
          <w:sz w:val="19"/>
          <w:szCs w:val="19"/>
          <w:color w:val="FF0000"/>
          <w:strike w:val="1"/>
        </w:rPr>
        <w:t>,</w:t>
      </w:r>
      <w:r>
        <w:rPr>
          <w:rFonts w:ascii="Arial" w:cs="Arial" w:eastAsia="Arial" w:hAnsi="Arial"/>
          <w:sz w:val="19"/>
          <w:szCs w:val="19"/>
          <w:color w:val="auto"/>
        </w:rPr>
        <w:t xml:space="preserve"> that </w:t>
      </w:r>
      <w:r>
        <w:rPr>
          <w:rFonts w:ascii="Arial" w:cs="Arial" w:eastAsia="Arial" w:hAnsi="Arial"/>
          <w:sz w:val="19"/>
          <w:szCs w:val="19"/>
          <w:b w:val="1"/>
          <w:bCs w:val="1"/>
          <w:u w:val="single" w:color="auto"/>
          <w:color w:val="0000FF"/>
        </w:rPr>
        <w:t>(A)</w:t>
      </w:r>
      <w:r>
        <w:rPr>
          <w:rFonts w:ascii="Arial" w:cs="Arial" w:eastAsia="Arial" w:hAnsi="Arial"/>
          <w:sz w:val="19"/>
          <w:szCs w:val="19"/>
          <w:color w:val="auto"/>
        </w:rPr>
        <w:t xml:space="preserve"> with respect to any Restricted Payment made pursuant to this </w:t>
      </w:r>
      <w:r>
        <w:rPr>
          <w:rFonts w:ascii="Arial" w:cs="Arial" w:eastAsia="Arial" w:hAnsi="Arial"/>
          <w:sz w:val="19"/>
          <w:szCs w:val="19"/>
          <w:u w:val="single" w:color="auto"/>
          <w:color w:val="auto"/>
        </w:rPr>
        <w:t>Section 7.06(e)</w:t>
      </w:r>
      <w:r>
        <w:rPr>
          <w:rFonts w:ascii="Arial" w:cs="Arial" w:eastAsia="Arial" w:hAnsi="Arial"/>
          <w:sz w:val="19"/>
          <w:szCs w:val="19"/>
          <w:color w:val="auto"/>
        </w:rPr>
        <w:t>, (</w:t>
      </w:r>
      <w:r>
        <w:rPr>
          <w:rFonts w:ascii="Arial" w:cs="Arial" w:eastAsia="Arial" w:hAnsi="Arial"/>
          <w:sz w:val="19"/>
          <w:szCs w:val="19"/>
          <w:color w:val="FF0000"/>
          <w:strike w:val="1"/>
        </w:rPr>
        <w:t>A</w:t>
      </w:r>
      <w:r>
        <w:rPr>
          <w:rFonts w:ascii="Arial" w:cs="Arial" w:eastAsia="Arial" w:hAnsi="Arial"/>
          <w:sz w:val="19"/>
          <w:szCs w:val="19"/>
          <w:b w:val="1"/>
          <w:bCs w:val="1"/>
          <w:u w:val="single" w:color="auto"/>
          <w:color w:val="0000FF"/>
        </w:rPr>
        <w:t>1</w:t>
      </w:r>
      <w:r>
        <w:rPr>
          <w:rFonts w:ascii="Arial" w:cs="Arial" w:eastAsia="Arial" w:hAnsi="Arial"/>
          <w:sz w:val="19"/>
          <w:szCs w:val="19"/>
          <w:color w:val="auto"/>
        </w:rPr>
        <w:t>) no Event of Default has occurred and is continuing or would result therefrom and (</w:t>
      </w:r>
      <w:r>
        <w:rPr>
          <w:rFonts w:ascii="Arial" w:cs="Arial" w:eastAsia="Arial" w:hAnsi="Arial"/>
          <w:sz w:val="19"/>
          <w:szCs w:val="19"/>
          <w:color w:val="FF0000"/>
          <w:strike w:val="1"/>
        </w:rPr>
        <w:t>B</w:t>
      </w:r>
      <w:r>
        <w:rPr>
          <w:rFonts w:ascii="Arial" w:cs="Arial" w:eastAsia="Arial" w:hAnsi="Arial"/>
          <w:sz w:val="19"/>
          <w:szCs w:val="19"/>
          <w:b w:val="1"/>
          <w:bCs w:val="1"/>
          <w:u w:val="single" w:color="auto"/>
          <w:color w:val="0000FF"/>
        </w:rPr>
        <w:t>2</w:t>
      </w:r>
      <w:r>
        <w:rPr>
          <w:rFonts w:ascii="Arial" w:cs="Arial" w:eastAsia="Arial" w:hAnsi="Arial"/>
          <w:sz w:val="19"/>
          <w:szCs w:val="19"/>
          <w:color w:val="auto"/>
        </w:rPr>
        <w:t>) on a Pro Forma Basis after giving effect thereto the Total Leverage Ratio is equal to or less than 2.00:1.00</w:t>
      </w:r>
      <w:r>
        <w:rPr>
          <w:rFonts w:ascii="Arial" w:cs="Arial" w:eastAsia="Arial" w:hAnsi="Arial"/>
          <w:sz w:val="19"/>
          <w:szCs w:val="19"/>
          <w:color w:val="FF0000"/>
          <w:strike w:val="1"/>
        </w:rPr>
        <w:t>;</w:t>
      </w:r>
      <w:r>
        <w:rPr>
          <w:rFonts w:ascii="Arial" w:cs="Arial" w:eastAsia="Arial" w:hAnsi="Arial"/>
          <w:sz w:val="19"/>
          <w:szCs w:val="19"/>
          <w:b w:val="1"/>
          <w:bCs w:val="1"/>
          <w:u w:val="single" w:color="auto"/>
          <w:color w:val="0000FF"/>
        </w:rPr>
        <w:t>, and (B) no Restricted Payments shall be permitted under this clause (e)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until (1) the Specified Amendment No. 1 Period shall have ended and (2) the Borrower shall have repaid an aggregate principal amount of the Term Loans equal to the PIK Amount pursuant to the last sentence of Section 2.06(d);</w:t>
      </w:r>
    </w:p>
    <w:p>
      <w:pPr>
        <w:spacing w:after="0" w:line="161" w:lineRule="exact"/>
        <w:rPr>
          <w:rFonts w:ascii="Arial" w:cs="Arial" w:eastAsia="Arial" w:hAnsi="Arial"/>
          <w:sz w:val="19"/>
          <w:szCs w:val="19"/>
          <w:color w:val="auto"/>
        </w:rPr>
      </w:pPr>
    </w:p>
    <w:p>
      <w:pPr>
        <w:jc w:val="both"/>
        <w:ind w:firstLine="872"/>
        <w:spacing w:after="0" w:line="238" w:lineRule="auto"/>
        <w:tabs>
          <w:tab w:leader="none" w:pos="2375" w:val="left"/>
        </w:tabs>
        <w:numPr>
          <w:ilvl w:val="1"/>
          <w:numId w:val="214"/>
        </w:numPr>
        <w:rPr>
          <w:rFonts w:ascii="Arial" w:cs="Arial" w:eastAsia="Arial" w:hAnsi="Arial"/>
          <w:sz w:val="22"/>
          <w:szCs w:val="22"/>
          <w:color w:val="auto"/>
        </w:rPr>
      </w:pPr>
      <w:r>
        <w:rPr>
          <w:rFonts w:ascii="Arial" w:cs="Arial" w:eastAsia="Arial" w:hAnsi="Arial"/>
          <w:sz w:val="22"/>
          <w:szCs w:val="22"/>
          <w:color w:val="auto"/>
        </w:rPr>
        <w:t>distributions or payments of Securitization Fees, sales, contributions and other transfers of Securitization Assets or Receivables Assets and purchases of Securitization Assets or Receivables Assets pursuant to a Securitization Purchase Obligations, in each case in connection with a Qualified Securitization Financing or a Receivables Facility;</w:t>
      </w:r>
    </w:p>
    <w:p>
      <w:pPr>
        <w:spacing w:after="0" w:line="184" w:lineRule="exact"/>
        <w:rPr>
          <w:rFonts w:ascii="Arial" w:cs="Arial" w:eastAsia="Arial" w:hAnsi="Arial"/>
          <w:sz w:val="22"/>
          <w:szCs w:val="22"/>
          <w:color w:val="auto"/>
        </w:rPr>
      </w:pPr>
    </w:p>
    <w:p>
      <w:pPr>
        <w:ind w:left="2420" w:hanging="1548"/>
        <w:spacing w:after="0"/>
        <w:tabs>
          <w:tab w:leader="none" w:pos="242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872"/>
        <w:spacing w:after="0"/>
        <w:tabs>
          <w:tab w:leader="none" w:pos="2411" w:val="left"/>
        </w:tabs>
        <w:numPr>
          <w:ilvl w:val="1"/>
          <w:numId w:val="214"/>
        </w:numPr>
        <w:rPr>
          <w:rFonts w:ascii="Arial" w:cs="Arial" w:eastAsia="Arial" w:hAnsi="Arial"/>
          <w:sz w:val="22"/>
          <w:szCs w:val="22"/>
          <w:color w:val="auto"/>
        </w:rPr>
      </w:pPr>
      <w:r>
        <w:rPr>
          <w:rFonts w:ascii="Arial" w:cs="Arial" w:eastAsia="Arial" w:hAnsi="Arial"/>
          <w:sz w:val="22"/>
          <w:szCs w:val="22"/>
          <w:color w:val="auto"/>
        </w:rPr>
        <w:t xml:space="preserve">the Restricted Subsidiaries may make a Restricted Payment in connection with the acquisition of additional Equity Interests in any Restricted Subsidiary from minority shareholders (in accordance with </w:t>
      </w:r>
      <w:r>
        <w:rPr>
          <w:rFonts w:ascii="Arial" w:cs="Arial" w:eastAsia="Arial" w:hAnsi="Arial"/>
          <w:sz w:val="22"/>
          <w:szCs w:val="22"/>
          <w:u w:val="single" w:color="auto"/>
          <w:color w:val="auto"/>
        </w:rPr>
        <w:t>Section 7.08</w:t>
      </w:r>
      <w:r>
        <w:rPr>
          <w:rFonts w:ascii="Arial" w:cs="Arial" w:eastAsia="Arial" w:hAnsi="Arial"/>
          <w:sz w:val="22"/>
          <w:szCs w:val="22"/>
          <w:color w:val="auto"/>
        </w:rPr>
        <w:t>, if applicable);</w:t>
      </w:r>
    </w:p>
    <w:p>
      <w:pPr>
        <w:spacing w:after="0" w:line="186" w:lineRule="exact"/>
        <w:rPr>
          <w:rFonts w:ascii="Arial" w:cs="Arial" w:eastAsia="Arial" w:hAnsi="Arial"/>
          <w:sz w:val="22"/>
          <w:szCs w:val="22"/>
          <w:color w:val="auto"/>
        </w:rPr>
      </w:pPr>
    </w:p>
    <w:p>
      <w:pPr>
        <w:jc w:val="both"/>
        <w:ind w:firstLine="872"/>
        <w:spacing w:after="0" w:line="273" w:lineRule="auto"/>
        <w:tabs>
          <w:tab w:leader="none" w:pos="2363"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Restricted Payments made (i) in respect of working capital adjustments or purchase price adjustments pursuant to any Permitted Acquisition or other permitted Investments (other than pursuant to </w:t>
      </w:r>
      <w:r>
        <w:rPr>
          <w:rFonts w:ascii="Arial" w:cs="Arial" w:eastAsia="Arial" w:hAnsi="Arial"/>
          <w:sz w:val="19"/>
          <w:szCs w:val="19"/>
          <w:u w:val="single" w:color="auto"/>
          <w:color w:val="auto"/>
        </w:rPr>
        <w:t>Section 7.02(x))</w:t>
      </w:r>
      <w:r>
        <w:rPr>
          <w:rFonts w:ascii="Arial" w:cs="Arial" w:eastAsia="Arial" w:hAnsi="Arial"/>
          <w:sz w:val="19"/>
          <w:szCs w:val="19"/>
          <w:color w:val="auto"/>
        </w:rPr>
        <w:t xml:space="preserve"> and (ii) to satisfy indemnity and other similar obligations under the Permitted Acquisitions or other permitted Investments;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that no</w:t>
      </w:r>
    </w:p>
    <w:p>
      <w:pPr>
        <w:spacing w:after="0" w:line="1" w:lineRule="exact"/>
        <w:rPr>
          <w:rFonts w:ascii="Arial" w:cs="Arial" w:eastAsia="Arial" w:hAnsi="Arial"/>
          <w:sz w:val="19"/>
          <w:szCs w:val="19"/>
          <w:color w:val="auto"/>
        </w:rPr>
      </w:pPr>
    </w:p>
    <w:p>
      <w:pPr>
        <w:spacing w:after="0" w:line="308" w:lineRule="auto"/>
        <w:rPr>
          <w:rFonts w:ascii="Arial" w:cs="Arial" w:eastAsia="Arial" w:hAnsi="Arial"/>
          <w:sz w:val="19"/>
          <w:szCs w:val="19"/>
          <w:color w:val="auto"/>
        </w:rPr>
      </w:pPr>
      <w:r>
        <w:rPr>
          <w:rFonts w:ascii="Arial" w:cs="Arial" w:eastAsia="Arial" w:hAnsi="Arial"/>
          <w:sz w:val="19"/>
          <w:szCs w:val="19"/>
          <w:b w:val="1"/>
          <w:bCs w:val="1"/>
          <w:u w:val="single" w:color="auto"/>
          <w:color w:val="0000FF"/>
        </w:rPr>
        <w:t>Restricted Payments shall be permitted under this clause (i) during (x) the Specified Amendment No. 1 Period and (y) during the continuance of an Event of Default at any time after the end of the Specified Amendment No. 1 Period;</w:t>
      </w:r>
    </w:p>
    <w:p>
      <w:pPr>
        <w:spacing w:after="0" w:line="123" w:lineRule="exact"/>
        <w:rPr>
          <w:rFonts w:ascii="Arial" w:cs="Arial" w:eastAsia="Arial" w:hAnsi="Arial"/>
          <w:sz w:val="19"/>
          <w:szCs w:val="19"/>
          <w:color w:val="auto"/>
        </w:rPr>
      </w:pPr>
    </w:p>
    <w:p>
      <w:pPr>
        <w:ind w:left="2380" w:hanging="1508"/>
        <w:spacing w:after="0"/>
        <w:tabs>
          <w:tab w:leader="none" w:pos="238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9" w:name="page180"/>
    <w:bookmarkEnd w:id="179"/>
    <w:p>
      <w:pPr>
        <w:ind w:firstLine="872"/>
        <w:spacing w:after="0" w:line="250" w:lineRule="auto"/>
        <w:tabs>
          <w:tab w:leader="none" w:pos="2411"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Restricted Payments in respect of transactions related to (i) fundamental changes permitted under </w:t>
      </w:r>
      <w:r>
        <w:rPr>
          <w:rFonts w:ascii="Arial" w:cs="Arial" w:eastAsia="Arial" w:hAnsi="Arial"/>
          <w:sz w:val="22"/>
          <w:szCs w:val="22"/>
          <w:u w:val="single" w:color="auto"/>
          <w:color w:val="auto"/>
        </w:rPr>
        <w:t>Section 7.04</w:t>
      </w:r>
      <w:r>
        <w:rPr>
          <w:rFonts w:ascii="Arial" w:cs="Arial" w:eastAsia="Arial" w:hAnsi="Arial"/>
          <w:sz w:val="22"/>
          <w:szCs w:val="22"/>
          <w:color w:val="auto"/>
        </w:rPr>
        <w:t xml:space="preserve"> and (ii) Investments permitted under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(other than clause (v) thereof).</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Change in Nature of Business; Organization Documents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right="20" w:firstLine="872"/>
        <w:spacing w:after="0" w:line="238" w:lineRule="auto"/>
        <w:tabs>
          <w:tab w:leader="none" w:pos="239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Borrower shall not, nor shall the Borrower permit any of the Restricted Subsidiaries to, directly or indirectly, engage in any material line of business substantially different from those lines of business conducted by the Borrower and the Restricted Subsidiaries on the Restatement Effective Date or any business reasonably related, complementary, synergistic or ancillary thereto or reasonable extensions thereof.</w:t>
      </w:r>
    </w:p>
    <w:p>
      <w:pPr>
        <w:spacing w:after="0" w:line="184" w:lineRule="exact"/>
        <w:rPr>
          <w:rFonts w:ascii="Arial" w:cs="Arial" w:eastAsia="Arial" w:hAnsi="Arial"/>
          <w:sz w:val="22"/>
          <w:szCs w:val="22"/>
          <w:color w:val="auto"/>
        </w:rPr>
      </w:pPr>
    </w:p>
    <w:p>
      <w:pPr>
        <w:jc w:val="both"/>
        <w:ind w:firstLine="872"/>
        <w:spacing w:after="0" w:line="297" w:lineRule="auto"/>
        <w:tabs>
          <w:tab w:leader="none" w:pos="2411"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Borrower shall not, nor shall the Borrower permit any of the Restricted Subsidiaries to, amend, restate, supplement or otherwise modify to, or waive of any of its rights under, its Organization Documents to the extent any of the foregoing could reasonably be expected to be material and adverse to the Lenders (in their capacities as such).</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Transactions with Affiliates</w:t>
      </w:r>
    </w:p>
    <w:p>
      <w:pPr>
        <w:spacing w:after="0" w:line="206" w:lineRule="exact"/>
        <w:rPr>
          <w:sz w:val="20"/>
          <w:szCs w:val="20"/>
          <w:color w:val="auto"/>
        </w:rPr>
      </w:pPr>
    </w:p>
    <w:p>
      <w:pPr>
        <w:jc w:val="both"/>
        <w:ind w:firstLine="872"/>
        <w:spacing w:after="0" w:line="268" w:lineRule="auto"/>
        <w:tabs>
          <w:tab w:leader="none" w:pos="1107" w:val="left"/>
        </w:tabs>
        <w:numPr>
          <w:ilvl w:val="1"/>
          <w:numId w:val="217"/>
        </w:numPr>
        <w:rPr>
          <w:rFonts w:ascii="Arial" w:cs="Arial" w:eastAsia="Arial" w:hAnsi="Arial"/>
          <w:sz w:val="19"/>
          <w:szCs w:val="19"/>
          <w:i w:val="1"/>
          <w:iCs w:val="1"/>
          <w:color w:val="auto"/>
        </w:rPr>
      </w:pPr>
      <w:r>
        <w:rPr>
          <w:rFonts w:ascii="Arial" w:cs="Arial" w:eastAsia="Arial" w:hAnsi="Arial"/>
          <w:sz w:val="19"/>
          <w:szCs w:val="19"/>
          <w:color w:val="auto"/>
        </w:rPr>
        <w:t xml:space="preserve">The Borrower shall not, nor shall it permit any Restricted Subsidiary to, directly or indirectly, enter into any transaction of any kind with any of its Affiliates, whether or not in the ordinary course of business, other than (a) transactions between or among Loan Parties or any entity that becomes a Loan Party as a result of such transaction and transactions between or among Restricted Subsidiaries that are not Loan Parties, (b) on terms (taken as a whole) substantially not less favorable to the Borrower in any material respect or such Restricted Subsidiary as would be obtainable by the Borrower or such Restricted Subsidiary at the time in a comparable arm’s-length transaction with a Person other than an Affiliate, (c) the Transactions and the payment of fees and expenses (including Transaction Expenses) as part of or in connection with the Transactions, (d) the issuance of Equity Interests or equity based awards to any officer, director, employee or consultant of the Borrower or any of its Restricted Subsidiaries in the ordinary course of business, (e) Investments made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Indebtedness incurred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and Restricted Payments permitted under </w:t>
      </w:r>
      <w:r>
        <w:rPr>
          <w:rFonts w:ascii="Arial" w:cs="Arial" w:eastAsia="Arial" w:hAnsi="Arial"/>
          <w:sz w:val="19"/>
          <w:szCs w:val="19"/>
          <w:u w:val="single" w:color="auto"/>
          <w:color w:val="auto"/>
        </w:rPr>
        <w:t>Section 7.06</w:t>
      </w:r>
      <w:r>
        <w:rPr>
          <w:rFonts w:ascii="Arial" w:cs="Arial" w:eastAsia="Arial" w:hAnsi="Arial"/>
          <w:sz w:val="19"/>
          <w:szCs w:val="19"/>
          <w:color w:val="auto"/>
        </w:rPr>
        <w:t>, (f) customary employment, consulting and severance arrangements between the Borrower and the Restricted Subsidiaries and their respective officers and employees in the ordinary course of business and transactions pursuant to stock option plans and employee benefit plans and similar arrangements in the ordinary course of business, (h) the payment of customary fees and reasonable out of pocket costs to, and customary indemnities provided on behalf of, directors, officers, employees and consultants of the Borrower and the Restricted Subsidiaries in the ordinary course of business, (i) any customary transaction with a Receivables Facility or a Securitization Subsidiary effected as part of a Qualified Securitization Financing, (j) transactions pursuant to registration rights agreements and similar arrangements,</w:t>
      </w:r>
    </w:p>
    <w:p>
      <w:pPr>
        <w:spacing w:after="0" w:line="2" w:lineRule="exact"/>
        <w:rPr>
          <w:rFonts w:ascii="Arial" w:cs="Arial" w:eastAsia="Arial" w:hAnsi="Arial"/>
          <w:sz w:val="19"/>
          <w:szCs w:val="19"/>
          <w:i w:val="1"/>
          <w:iCs w:val="1"/>
          <w:color w:val="auto"/>
        </w:rPr>
      </w:pPr>
    </w:p>
    <w:p>
      <w:pPr>
        <w:jc w:val="both"/>
        <w:ind w:right="20" w:firstLine="8"/>
        <w:spacing w:after="0" w:line="266" w:lineRule="auto"/>
        <w:tabs>
          <w:tab w:leader="none" w:pos="30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transactions in which the Borrower or any Restricted Subsidiary, as the case may be, delivers to the Administrative Agent and the Required Lenders a letter from an independent financial advisor stating that such transaction is fair to the Borrower or such</w:t>
      </w:r>
    </w:p>
    <w:p>
      <w:pPr>
        <w:spacing w:after="0" w:line="232" w:lineRule="auto"/>
        <w:rPr>
          <w:sz w:val="20"/>
          <w:szCs w:val="20"/>
          <w:color w:val="auto"/>
        </w:rPr>
      </w:pPr>
      <w:r>
        <w:rPr>
          <w:rFonts w:ascii="Arial" w:cs="Arial" w:eastAsia="Arial" w:hAnsi="Arial"/>
          <w:sz w:val="22"/>
          <w:szCs w:val="22"/>
          <w:color w:val="auto"/>
        </w:rPr>
        <w:t xml:space="preserve">Restricted Subsidiary from a financial point of view or meets the requirements of clause (b) of this </w:t>
      </w:r>
      <w:r>
        <w:rPr>
          <w:rFonts w:ascii="Arial" w:cs="Arial" w:eastAsia="Arial" w:hAnsi="Arial"/>
          <w:sz w:val="22"/>
          <w:szCs w:val="22"/>
          <w:u w:val="single" w:color="auto"/>
          <w:color w:val="auto"/>
        </w:rPr>
        <w:t>Section 7.08</w:t>
      </w:r>
      <w:r>
        <w:rPr>
          <w:rFonts w:ascii="Arial" w:cs="Arial" w:eastAsia="Arial" w:hAnsi="Arial"/>
          <w:sz w:val="22"/>
          <w:szCs w:val="22"/>
          <w:color w:val="auto"/>
        </w:rPr>
        <w:t xml:space="preserve"> and</w:t>
      </w:r>
    </w:p>
    <w:p>
      <w:pPr>
        <w:ind w:right="20" w:firstLine="8"/>
        <w:spacing w:after="0" w:line="308" w:lineRule="auto"/>
        <w:tabs>
          <w:tab w:leader="none" w:pos="356"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transactions pursuant to agreements in existence on the Restatement Effective Date and set forth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or any amendment thereto to the extent such an amendment (taken as a whole) is not adverse to the Lenders in any material respect.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ind w:left="880"/>
        <w:spacing w:after="0"/>
        <w:rPr>
          <w:sz w:val="20"/>
          <w:szCs w:val="20"/>
          <w:color w:val="auto"/>
        </w:rPr>
      </w:pPr>
      <w:r>
        <w:rPr>
          <w:rFonts w:ascii="Arial" w:cs="Arial" w:eastAsia="Arial" w:hAnsi="Arial"/>
          <w:sz w:val="22"/>
          <w:szCs w:val="22"/>
          <w:i w:val="1"/>
          <w:iCs w:val="1"/>
          <w:color w:val="auto"/>
        </w:rPr>
        <w:t>Burdensome Agreements</w:t>
      </w:r>
    </w:p>
    <w:p>
      <w:pPr>
        <w:spacing w:after="0" w:line="206" w:lineRule="exact"/>
        <w:rPr>
          <w:sz w:val="20"/>
          <w:szCs w:val="20"/>
          <w:color w:val="auto"/>
        </w:rPr>
      </w:pPr>
    </w:p>
    <w:p>
      <w:pPr>
        <w:jc w:val="both"/>
        <w:ind w:firstLine="872"/>
        <w:spacing w:after="0" w:line="267" w:lineRule="auto"/>
        <w:tabs>
          <w:tab w:leader="none" w:pos="1039" w:val="left"/>
        </w:tabs>
        <w:numPr>
          <w:ilvl w:val="1"/>
          <w:numId w:val="219"/>
        </w:numPr>
        <w:rPr>
          <w:rFonts w:ascii="Arial" w:cs="Arial" w:eastAsia="Arial" w:hAnsi="Arial"/>
          <w:sz w:val="19"/>
          <w:szCs w:val="19"/>
          <w:i w:val="1"/>
          <w:iCs w:val="1"/>
          <w:color w:val="auto"/>
        </w:rPr>
      </w:pPr>
      <w:r>
        <w:rPr>
          <w:rFonts w:ascii="Arial" w:cs="Arial" w:eastAsia="Arial" w:hAnsi="Arial"/>
          <w:sz w:val="19"/>
          <w:szCs w:val="19"/>
          <w:color w:val="auto"/>
        </w:rPr>
        <w:t xml:space="preserve">The Borrower shall not, nor shall it permit any Restricted Subsidiary to, directly or indirectly, enter into or permit to exist any Contractual Obligation (other than (i) this Agreement or any other Loan Document, (ii) any ABL Facility Documentation or (iii) any documents governing Credit Agreement Refinancing Indebtedness, Alternative Incremental Indebtedness, or a Permitted Refinancing of (ii)-(iii)) that limits the ability of (a) any Restricted Subsidiary that is not a Guarantor to make Restricted Payments to the Borrower or any Guarantor or to make or repay loans or advances to or otherwise transfer assets to or make Investments in the Borrower or any Restricted Subsidiary that is a Guarantor or (b) any Loan Party to create, incur, assume or suffer to exist Liens on property of such Person to secure the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clauses (a) and (b) shall not apply to Contractual Obligations which (i) (x) exist on the Restatement Effective Date and (to the extent not otherwise permitted by this </w:t>
      </w:r>
      <w:r>
        <w:rPr>
          <w:rFonts w:ascii="Arial" w:cs="Arial" w:eastAsia="Arial" w:hAnsi="Arial"/>
          <w:sz w:val="19"/>
          <w:szCs w:val="19"/>
          <w:u w:val="single" w:color="auto"/>
          <w:color w:val="auto"/>
        </w:rPr>
        <w:t>Section 7.09</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Schedule 7.09</w:t>
      </w:r>
      <w:r>
        <w:rPr>
          <w:rFonts w:ascii="Arial" w:cs="Arial" w:eastAsia="Arial" w:hAnsi="Arial"/>
          <w:sz w:val="19"/>
          <w:szCs w:val="19"/>
          <w:color w:val="auto"/>
        </w:rPr>
        <w:t xml:space="preserve">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in any material respect (as determined in good faith by the Borrower), (ii) are binding on a Restricted Subsidiary at the time such Restricted Subsidiary first becomes a Restricted Subsidiary, so long as such Contractual Obligations were not entered into in contemplation of such Person becoming a Restricted Subsidiary, (iii) represent Indebtedness of a Restricted Subsidiary which is not a Loan Party which is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(iv) arise in connection with any Disposition permitted by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and relate solely to the assets or Person subject to such Disposition, (v) are customary provisions in joint venture agreements and other similar agreements applicable to joint ventures or other non-wholly owned Subsidiaries permitted under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applicable solely to such joint venture or other non-wholly owned Subsidiaries and are entered into in the ordinary course of business, (vi) are negative pledges and restrictions on Liens in favor of any holder of Indebtedness (other than any Junior Financing) permitted under </w:t>
      </w:r>
      <w:r>
        <w:rPr>
          <w:rFonts w:ascii="Arial" w:cs="Arial" w:eastAsia="Arial" w:hAnsi="Arial"/>
          <w:sz w:val="19"/>
          <w:szCs w:val="19"/>
          <w:u w:val="single" w:color="auto"/>
          <w:color w:val="auto"/>
        </w:rPr>
        <w:t>Section 7.03(e</w:t>
      </w:r>
      <w:r>
        <w:rPr>
          <w:rFonts w:ascii="Arial" w:cs="Arial" w:eastAsia="Arial" w:hAnsi="Arial"/>
          <w:sz w:val="19"/>
          <w:szCs w:val="19"/>
          <w:color w:val="auto"/>
        </w:rPr>
        <w:t>)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but solely to the extent any negative pledge relates to the property financed by such Indebtedness,</w:t>
      </w:r>
    </w:p>
    <w:p>
      <w:pPr>
        <w:spacing w:after="0" w:line="16" w:lineRule="exact"/>
        <w:rPr>
          <w:rFonts w:ascii="Arial" w:cs="Arial" w:eastAsia="Arial" w:hAnsi="Arial"/>
          <w:sz w:val="19"/>
          <w:szCs w:val="19"/>
          <w:i w:val="1"/>
          <w:iCs w:val="1"/>
          <w:color w:val="auto"/>
        </w:rPr>
      </w:pPr>
    </w:p>
    <w:p>
      <w:pPr>
        <w:jc w:val="both"/>
        <w:ind w:firstLine="8"/>
        <w:spacing w:after="0" w:line="270" w:lineRule="auto"/>
        <w:tabs>
          <w:tab w:leader="none" w:pos="433"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are customary restrictions in leases, subleases, licenses or asset sale agreements otherwise permitted hereby so long as such restrictions relate only to the assets subject thereto, (viii) comprise restrictions imposed by any agreement governing secured Indebtedness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to the extent that such restrictions apply only to the property or assets securing such Indebtedness, (ix) are customary provisions restricting subletting or assignment of any lease governing a leasehold interest of the Borrower or any Restricted Subsidiary entered into in the ordinary course of business, (x) are customary provisions restricting assignment of any agreement entered into in the ordinary course of business, (xi) are customary restrictions contained in the ABL Facility Documentation and any Qualified Securitization Financing, (xii) arise in connection with cash or other deposits permitted under </w:t>
      </w:r>
      <w:r>
        <w:rPr>
          <w:rFonts w:ascii="Arial" w:cs="Arial" w:eastAsia="Arial" w:hAnsi="Arial"/>
          <w:sz w:val="19"/>
          <w:szCs w:val="19"/>
          <w:u w:val="single" w:color="auto"/>
          <w:color w:val="auto"/>
        </w:rPr>
        <w:t>Sections 7.01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and limited to such cash or deposit or (xiii) comprise restrictions imposed by any agreement governing Indebtedness entered into on or after the Restatement Effective Date and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if the restrictions contained in any such agreement taken as a whole (a) are not materially less favorable to the Secured Parties than the encumbrances and restrictions contained in the Loan Documents (as determined by the Borrower) or (b) either (I) the Borrower determines at the time of entry into such agreement or instrument that such encumbrances or restrictions will not adversely affect, in any material respect, the Borrower’s ability to make principal or interest payments required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1" w:name="page182"/>
    <w:bookmarkEnd w:id="181"/>
    <w:p>
      <w:pPr>
        <w:ind w:right="20"/>
        <w:spacing w:after="0" w:line="250" w:lineRule="auto"/>
        <w:rPr>
          <w:sz w:val="20"/>
          <w:szCs w:val="20"/>
          <w:color w:val="auto"/>
        </w:rPr>
      </w:pPr>
      <w:r>
        <w:rPr>
          <w:rFonts w:ascii="Arial" w:cs="Arial" w:eastAsia="Arial" w:hAnsi="Arial"/>
          <w:sz w:val="22"/>
          <w:szCs w:val="22"/>
          <w:color w:val="auto"/>
        </w:rPr>
        <w:t>hereunder or (II) such encumbrance or restriction applies only during the continuance of a default relating to such agreement or instrument.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Financial Covenant</w:t>
      </w:r>
    </w:p>
    <w:p>
      <w:pPr>
        <w:spacing w:after="0" w:line="206" w:lineRule="exact"/>
        <w:rPr>
          <w:sz w:val="20"/>
          <w:szCs w:val="20"/>
          <w:color w:val="auto"/>
        </w:rPr>
      </w:pPr>
    </w:p>
    <w:p>
      <w:pPr>
        <w:jc w:val="both"/>
        <w:ind w:firstLine="872"/>
        <w:spacing w:after="0" w:line="238" w:lineRule="auto"/>
        <w:tabs>
          <w:tab w:leader="none" w:pos="1055"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Borrower shall not permit Consolidated EBITDA as of the last day of any Test Period ending as of the end of each of its fiscal quarters, commencing with the fiscal quarter ending September 30, 2019</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to be less than $200,000,000</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0000FF"/>
        </w:rPr>
        <w:t>provided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that this Section 7.10 shall not apply with respect to the fiscal quarters ending on March 31, 2020, June 30, 2020, September 30, 2020 and December 31, 2020</w:t>
      </w:r>
      <w:r>
        <w:rPr>
          <w:rFonts w:ascii="Arial" w:cs="Arial" w:eastAsia="Arial" w:hAnsi="Arial"/>
          <w:sz w:val="22"/>
          <w:szCs w:val="22"/>
          <w:color w:val="000000"/>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b w:val="1"/>
          <w:bCs w:val="1"/>
          <w:i w:val="1"/>
          <w:iCs w:val="1"/>
          <w:u w:val="single" w:color="auto"/>
          <w:color w:val="0000FF"/>
        </w:rPr>
        <w:t>Anti-Cash Hoarding</w:t>
      </w:r>
    </w:p>
    <w:p>
      <w:pPr>
        <w:spacing w:after="0" w:line="200" w:lineRule="exact"/>
        <w:rPr>
          <w:sz w:val="20"/>
          <w:szCs w:val="20"/>
          <w:color w:val="auto"/>
        </w:rPr>
      </w:pPr>
    </w:p>
    <w:p>
      <w:pPr>
        <w:ind w:right="120" w:firstLine="8"/>
        <w:spacing w:after="0" w:line="280" w:lineRule="auto"/>
        <w:tabs>
          <w:tab w:leader="none" w:pos="158" w:val="left"/>
        </w:tabs>
        <w:numPr>
          <w:ilvl w:val="0"/>
          <w:numId w:val="22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Borrower shall not, nor shall it permit any Restricted Subsidiary to, request a borrowing under the ABL Credit Agreement that would have the effect of causing the Availability (as defined in the ABL Facility as in effect on the date of</w:t>
      </w:r>
    </w:p>
    <w:p>
      <w:pPr>
        <w:ind w:right="40"/>
        <w:spacing w:after="0" w:line="266" w:lineRule="auto"/>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Amendment) under the ABL Facility on the date of such proposed borrowing to be less than $67,500,000, to the extent that (i) the Borrower and its Subsidiaries have cash and Cash Equivalents to make, apply to, or satisfy, the payments,</w:t>
      </w:r>
    </w:p>
    <w:p>
      <w:pPr>
        <w:spacing w:after="0" w:line="1" w:lineRule="exact"/>
        <w:rPr>
          <w:rFonts w:ascii="Arial" w:cs="Arial" w:eastAsia="Arial" w:hAnsi="Arial"/>
          <w:sz w:val="19"/>
          <w:szCs w:val="19"/>
          <w:b w:val="1"/>
          <w:bCs w:val="1"/>
          <w:u w:val="single" w:color="auto"/>
          <w:color w:val="0000FF"/>
        </w:rPr>
      </w:pPr>
    </w:p>
    <w:p>
      <w:pPr>
        <w:ind w:right="340"/>
        <w:spacing w:after="0" w:line="266" w:lineRule="auto"/>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expenses, obligations or other working capital requirements for which such borrowing is being requested and the application of such cash and Cash Equivalents to satisfy such payments, expenses, obligations or other working capital</w:t>
      </w:r>
    </w:p>
    <w:p>
      <w:pPr>
        <w:spacing w:after="0" w:line="1" w:lineRule="exact"/>
        <w:rPr>
          <w:rFonts w:ascii="Arial" w:cs="Arial" w:eastAsia="Arial" w:hAnsi="Arial"/>
          <w:sz w:val="19"/>
          <w:szCs w:val="19"/>
          <w:b w:val="1"/>
          <w:bCs w:val="1"/>
          <w:u w:val="single" w:color="auto"/>
          <w:color w:val="0000FF"/>
        </w:rPr>
      </w:pPr>
    </w:p>
    <w:p>
      <w:pPr>
        <w:ind w:right="140"/>
        <w:spacing w:after="0" w:line="266" w:lineRule="auto"/>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requirements is permitted under the ABL Credit Agreement (as in effect on the Amendment No. 1 Effective Date), (ii) such proposed borrowing under the ABL Facility (after applying the proceeds therefrom within two (2) Business Days of</w:t>
      </w:r>
    </w:p>
    <w:p>
      <w:pPr>
        <w:spacing w:after="0" w:line="1" w:lineRule="exact"/>
        <w:rPr>
          <w:rFonts w:ascii="Arial" w:cs="Arial" w:eastAsia="Arial" w:hAnsi="Arial"/>
          <w:sz w:val="19"/>
          <w:szCs w:val="19"/>
          <w:b w:val="1"/>
          <w:bCs w:val="1"/>
          <w:u w:val="single" w:color="auto"/>
          <w:color w:val="0000FF"/>
        </w:rPr>
      </w:pPr>
    </w:p>
    <w:p>
      <w:pPr>
        <w:ind w:right="180"/>
        <w:spacing w:after="0" w:line="266" w:lineRule="auto"/>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 xml:space="preserve">the date thereof) shall trigger a prepayment under the Anti-Cash Hoarding Sweep or (iii) the Borrower and its Subsidiaries have cash and Cash Equivalents greater than the Available Cash Threshold,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b w:val="1"/>
          <w:bCs w:val="1"/>
          <w:u w:val="single" w:color="auto"/>
          <w:color w:val="0000FF"/>
        </w:rPr>
        <w:t xml:space="preserve"> that, solely in the case</w:t>
      </w:r>
    </w:p>
    <w:p>
      <w:pPr>
        <w:spacing w:after="0" w:line="1" w:lineRule="exact"/>
        <w:rPr>
          <w:rFonts w:ascii="Arial" w:cs="Arial" w:eastAsia="Arial" w:hAnsi="Arial"/>
          <w:sz w:val="19"/>
          <w:szCs w:val="19"/>
          <w:b w:val="1"/>
          <w:bCs w:val="1"/>
          <w:u w:val="single" w:color="auto"/>
          <w:color w:val="0000FF"/>
        </w:rPr>
      </w:pPr>
    </w:p>
    <w:p>
      <w:pPr>
        <w:spacing w:after="0" w:line="266" w:lineRule="auto"/>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of any letters of credit requested under the ABL Credit Agreement, if the issuance of the letter of credit would have the effect of causing the Availability (as defined in the ABL Facility as in effect on the date of the Amendment) under the ABL</w:t>
      </w:r>
    </w:p>
    <w:p>
      <w:pPr>
        <w:spacing w:after="0" w:line="1" w:lineRule="exact"/>
        <w:rPr>
          <w:rFonts w:ascii="Arial" w:cs="Arial" w:eastAsia="Arial" w:hAnsi="Arial"/>
          <w:sz w:val="19"/>
          <w:szCs w:val="19"/>
          <w:b w:val="1"/>
          <w:bCs w:val="1"/>
          <w:u w:val="single" w:color="auto"/>
          <w:color w:val="0000FF"/>
        </w:rPr>
      </w:pPr>
    </w:p>
    <w:p>
      <w:pPr>
        <w:ind w:right="480"/>
        <w:spacing w:after="0" w:line="266" w:lineRule="auto"/>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Facility on the date of such proposed borrowing to be less than $67,500,000 and the Borrower, and its Restricted Subsidiaries have cash and Cash Equivalents to cash collateralize such letter of credit obligations, the Borrower shall</w:t>
      </w:r>
    </w:p>
    <w:p>
      <w:pPr>
        <w:spacing w:after="0" w:line="1" w:lineRule="exact"/>
        <w:rPr>
          <w:rFonts w:ascii="Arial" w:cs="Arial" w:eastAsia="Arial" w:hAnsi="Arial"/>
          <w:sz w:val="19"/>
          <w:szCs w:val="19"/>
          <w:b w:val="1"/>
          <w:bCs w:val="1"/>
          <w:u w:val="single" w:color="auto"/>
          <w:color w:val="0000FF"/>
        </w:rPr>
      </w:pPr>
    </w:p>
    <w:p>
      <w:pPr>
        <w:ind w:right="340"/>
        <w:spacing w:after="0" w:line="230" w:lineRule="auto"/>
        <w:rPr>
          <w:rFonts w:ascii="Arial" w:cs="Arial" w:eastAsia="Arial" w:hAnsi="Arial"/>
          <w:sz w:val="19"/>
          <w:szCs w:val="19"/>
          <w:b w:val="1"/>
          <w:bCs w:val="1"/>
          <w:u w:val="single" w:color="auto"/>
          <w:color w:val="0000FF"/>
        </w:rPr>
      </w:pPr>
      <w:r>
        <w:rPr>
          <w:rFonts w:ascii="Arial" w:cs="Arial" w:eastAsia="Arial" w:hAnsi="Arial"/>
          <w:sz w:val="22"/>
          <w:szCs w:val="22"/>
          <w:b w:val="1"/>
          <w:bCs w:val="1"/>
          <w:u w:val="single" w:color="auto"/>
          <w:color w:val="0000FF"/>
        </w:rPr>
        <w:t>apply such Cash and Cash Equivalents to cash collateralize such letter of credit to the extent permitted under the ABL Credit Agreement (as in effect on the Amendment No. 1 Effective Date).</w:t>
      </w:r>
    </w:p>
    <w:p>
      <w:pPr>
        <w:spacing w:after="0" w:line="1" w:lineRule="exact"/>
        <w:rPr>
          <w:rFonts w:ascii="Arial" w:cs="Arial" w:eastAsia="Arial" w:hAnsi="Arial"/>
          <w:sz w:val="19"/>
          <w:szCs w:val="19"/>
          <w:b w:val="1"/>
          <w:bCs w:val="1"/>
          <w:u w:val="single" w:color="auto"/>
          <w:color w:val="0000FF"/>
        </w:rPr>
      </w:pPr>
    </w:p>
    <w:p>
      <w:pPr>
        <w:spacing w:after="0" w:line="230" w:lineRule="auto"/>
        <w:rPr>
          <w:rFonts w:ascii="Arial" w:cs="Arial" w:eastAsia="Arial" w:hAnsi="Arial"/>
          <w:sz w:val="19"/>
          <w:szCs w:val="19"/>
          <w:b w:val="1"/>
          <w:bCs w:val="1"/>
          <w:u w:val="single" w:color="auto"/>
          <w:color w:val="0000FF"/>
        </w:rPr>
      </w:pPr>
      <w:r>
        <w:rPr>
          <w:rFonts w:ascii="Arial" w:cs="Arial" w:eastAsia="Arial" w:hAnsi="Arial"/>
          <w:sz w:val="22"/>
          <w:szCs w:val="22"/>
          <w:color w:val="FF0000"/>
          <w:strike w:val="1"/>
        </w:rPr>
        <w:t>Section 7.11.  [Reserved]</w:t>
      </w:r>
    </w:p>
    <w:p>
      <w:pPr>
        <w:spacing w:after="0"/>
        <w:tabs>
          <w:tab w:leader="none" w:pos="0" w:val="left"/>
        </w:tabs>
        <w:numPr>
          <w:ilvl w:val="0"/>
          <w:numId w:val="221"/>
        </w:numPr>
        <w:rPr>
          <w:rFonts w:ascii="Arial" w:cs="Arial" w:eastAsia="Arial" w:hAnsi="Arial"/>
          <w:sz w:val="22"/>
          <w:szCs w:val="22"/>
          <w:color w:val="FF0000"/>
          <w:strike w:val="1"/>
        </w:rPr>
      </w:pPr>
    </w:p>
    <w:p>
      <w:pPr>
        <w:ind w:left="880"/>
        <w:spacing w:after="0"/>
        <w:rPr>
          <w:rFonts w:ascii="Arial" w:cs="Arial" w:eastAsia="Arial" w:hAnsi="Arial"/>
          <w:sz w:val="22"/>
          <w:szCs w:val="22"/>
          <w:color w:val="FF0000"/>
          <w:strike w:val="1"/>
        </w:rPr>
      </w:pPr>
      <w:r>
        <w:rPr>
          <w:rFonts w:ascii="Arial" w:cs="Arial" w:eastAsia="Arial" w:hAnsi="Arial"/>
          <w:sz w:val="22"/>
          <w:szCs w:val="22"/>
          <w:color w:val="auto"/>
        </w:rPr>
        <w:t>Fiscal Year</w:t>
      </w:r>
    </w:p>
    <w:p>
      <w:pPr>
        <w:spacing w:after="0" w:line="188" w:lineRule="exact"/>
        <w:rPr>
          <w:sz w:val="20"/>
          <w:szCs w:val="20"/>
          <w:color w:val="auto"/>
        </w:rPr>
      </w:pPr>
    </w:p>
    <w:p>
      <w:pPr>
        <w:jc w:val="both"/>
        <w:ind w:firstLine="872"/>
        <w:spacing w:after="0" w:line="246" w:lineRule="auto"/>
        <w:tabs>
          <w:tab w:leader="none" w:pos="1039" w:val="left"/>
        </w:tabs>
        <w:numPr>
          <w:ilvl w:val="0"/>
          <w:numId w:val="222"/>
        </w:numPr>
        <w:rPr>
          <w:rFonts w:ascii="Arial" w:cs="Arial" w:eastAsia="Arial" w:hAnsi="Arial"/>
          <w:sz w:val="21"/>
          <w:szCs w:val="21"/>
          <w:i w:val="1"/>
          <w:iCs w:val="1"/>
          <w:color w:val="auto"/>
        </w:rPr>
      </w:pPr>
      <w:r>
        <w:rPr>
          <w:rFonts w:ascii="Arial" w:cs="Arial" w:eastAsia="Arial" w:hAnsi="Arial"/>
          <w:sz w:val="21"/>
          <w:szCs w:val="21"/>
          <w:color w:val="auto"/>
        </w:rPr>
        <w:t xml:space="preserve">The Borrower shall not make any change in its fiscal year or fiscal quarters (it being understood that the Borrower’s fiscal year ends on December 31 of each year, and that each of the first three fiscal quarters of each fiscal year of the Borrower ends on the March 31, June 30 and September 30, respectively);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Borrower may, upon written notice to the Administrative Agent and the Required Lenders, change its fiscal year and fiscal quarters to any other fiscal year (and any other fiscal quarters) reasonably acceptable to the Administrative Agent and the Required Lenders, in which case, the Borrower and the Administrative Agent will, and are hereby authorized by the Lenders to, make any adjustments to this Agreement that are necessary to reflect such changes.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Prepayments, Etc. of Indebtedness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tabs>
          <w:tab w:leader="none" w:pos="239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Borrower shall not, nor shall it permit any Restricted Subsidiary to, directly or indirectly, voluntarily prepay, redeem, purchase, defease or otherwise satisfy prior to the scheduled maturity thereof in any manner (it being understood that payments of regularly scheduled interest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jc w:val="both"/>
        <w:spacing w:after="0" w:line="269" w:lineRule="auto"/>
        <w:rPr>
          <w:sz w:val="20"/>
          <w:szCs w:val="20"/>
          <w:color w:val="auto"/>
        </w:rPr>
      </w:pPr>
      <w:r>
        <w:rPr>
          <w:rFonts w:ascii="Arial" w:cs="Arial" w:eastAsia="Arial" w:hAnsi="Arial"/>
          <w:sz w:val="19"/>
          <w:szCs w:val="19"/>
          <w:color w:val="auto"/>
        </w:rPr>
        <w:t xml:space="preserve">shall be permitted unless such payments violate any subordination terms of any Junior Financing Documentation) (x) any Permitted Additional Debt (or any Permitted Refinancing thereof) or (y) any Junior Financing that constitutes Subordinated Indebtedness (or any Permitted Refinancing thereof), or make any payment in violation of any subordination terms of any Junior Financing Documentation, if any, except (i) any Permitted Refinancing permitted in respect thereof (including any Permitted Refinancing set forth in </w:t>
      </w:r>
      <w:r>
        <w:rPr>
          <w:rFonts w:ascii="Arial" w:cs="Arial" w:eastAsia="Arial" w:hAnsi="Arial"/>
          <w:sz w:val="19"/>
          <w:szCs w:val="19"/>
          <w:u w:val="single" w:color="auto"/>
          <w:color w:val="auto"/>
        </w:rPr>
        <w:t>Section 7.03(u)</w:t>
      </w:r>
      <w:r>
        <w:rPr>
          <w:rFonts w:ascii="Arial" w:cs="Arial" w:eastAsia="Arial" w:hAnsi="Arial"/>
          <w:sz w:val="19"/>
          <w:szCs w:val="19"/>
          <w:color w:val="auto"/>
        </w:rPr>
        <w:t xml:space="preserve"> hereof), (ii) the conversion of any Permitted Additional Debt (or any Permitted Refinancing thereof) or Junior Financing that constitutes Subordinated Indebtedness (or any Permitted Refinancing thereof) to Equity Interests (other than Disqualified Equity Interests) of the Borrower, (iii) the prepayment of Indebtedness of the Borrower or any Restricted Subsidiary to the Borrower or any Restricted Subsidiary to the extent not prohibited by applicable subordination provisions, (iv) prepayments, redemptions, purchases, defeasances and other payments or satisfaction from the proceeds of equity issuances, (v) AHYDO “catch up” payments, </w:t>
      </w:r>
      <w:r>
        <w:rPr>
          <w:rFonts w:ascii="Arial" w:cs="Arial" w:eastAsia="Arial" w:hAnsi="Arial"/>
          <w:sz w:val="19"/>
          <w:szCs w:val="19"/>
          <w:b w:val="1"/>
          <w:bCs w:val="1"/>
          <w:u w:val="single" w:color="auto"/>
          <w:color w:val="0000FF"/>
        </w:rPr>
        <w:t>and</w:t>
      </w:r>
      <w:r>
        <w:rPr>
          <w:rFonts w:ascii="Arial" w:cs="Arial" w:eastAsia="Arial" w:hAnsi="Arial"/>
          <w:sz w:val="19"/>
          <w:szCs w:val="19"/>
          <w:color w:val="auto"/>
        </w:rPr>
        <w:t xml:space="preserve"> (vi) prepayments, redemptions, purchases, defeasances and other payments in respect of Permitted Additional Debt (or any Permitted Refinancing thereof) and Junior Financings that constitutes Subordinated Indebtedness (or any Permitted Refinancing thereof) prior to their scheduled maturity in an aggregate amount not to exceed (x) together with (I) the aggregate amount of Investments made under sub-clause (x) of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and (II) the aggregate amount of Restricted Payments made pursuant to sub-clause (x) of </w:t>
      </w:r>
      <w:r>
        <w:rPr>
          <w:rFonts w:ascii="Arial" w:cs="Arial" w:eastAsia="Arial" w:hAnsi="Arial"/>
          <w:sz w:val="19"/>
          <w:szCs w:val="19"/>
          <w:u w:val="single" w:color="auto"/>
          <w:color w:val="auto"/>
        </w:rPr>
        <w:t>Section 7.06(e)</w:t>
      </w:r>
      <w:r>
        <w:rPr>
          <w:rFonts w:ascii="Arial" w:cs="Arial" w:eastAsia="Arial" w:hAnsi="Arial"/>
          <w:sz w:val="19"/>
          <w:szCs w:val="19"/>
          <w:color w:val="auto"/>
        </w:rPr>
        <w:t xml:space="preserve">, $30,000,000, </w:t>
      </w:r>
      <w:r>
        <w:rPr>
          <w:rFonts w:ascii="Arial" w:cs="Arial" w:eastAsia="Arial" w:hAnsi="Arial"/>
          <w:sz w:val="19"/>
          <w:szCs w:val="19"/>
          <w:i w:val="1"/>
          <w:iCs w:val="1"/>
          <w:color w:val="auto"/>
        </w:rPr>
        <w:t>plus</w:t>
      </w:r>
      <w:r>
        <w:rPr>
          <w:rFonts w:ascii="Arial" w:cs="Arial" w:eastAsia="Arial" w:hAnsi="Arial"/>
          <w:sz w:val="19"/>
          <w:szCs w:val="19"/>
          <w:color w:val="auto"/>
        </w:rPr>
        <w:t xml:space="preserve"> (y) the portion, if any, of the Cumulative Credit on such date that the Borrower elects to apply to this subclause (y); </w:t>
      </w:r>
      <w:r>
        <w:rPr>
          <w:rFonts w:ascii="Arial" w:cs="Arial" w:eastAsia="Arial" w:hAnsi="Arial"/>
          <w:sz w:val="19"/>
          <w:szCs w:val="19"/>
          <w:i w:val="1"/>
          <w:iCs w:val="1"/>
          <w:color w:val="auto"/>
        </w:rPr>
        <w:t>provided</w:t>
      </w:r>
      <w:r>
        <w:rPr>
          <w:rFonts w:ascii="Arial" w:cs="Arial" w:eastAsia="Arial" w:hAnsi="Arial"/>
          <w:sz w:val="19"/>
          <w:szCs w:val="19"/>
          <w:color w:val="FF0000"/>
          <w:strike w:val="1"/>
        </w:rPr>
        <w:t>,</w:t>
      </w:r>
      <w:r>
        <w:rPr>
          <w:rFonts w:ascii="Arial" w:cs="Arial" w:eastAsia="Arial" w:hAnsi="Arial"/>
          <w:sz w:val="19"/>
          <w:szCs w:val="19"/>
          <w:color w:val="auto"/>
        </w:rPr>
        <w:t xml:space="preserve"> that </w:t>
      </w:r>
      <w:r>
        <w:rPr>
          <w:rFonts w:ascii="Arial" w:cs="Arial" w:eastAsia="Arial" w:hAnsi="Arial"/>
          <w:sz w:val="19"/>
          <w:szCs w:val="19"/>
          <w:b w:val="1"/>
          <w:bCs w:val="1"/>
          <w:u w:val="single" w:color="auto"/>
          <w:color w:val="0000FF"/>
        </w:rPr>
        <w:t>(A)</w:t>
      </w:r>
      <w:r>
        <w:rPr>
          <w:rFonts w:ascii="Arial" w:cs="Arial" w:eastAsia="Arial" w:hAnsi="Arial"/>
          <w:sz w:val="19"/>
          <w:szCs w:val="19"/>
          <w:color w:val="auto"/>
        </w:rPr>
        <w:t xml:space="preserve"> no prepayment, redemption, purchase, defeasance or other payment shall be made pursuant to this clause (vi) if an Event of Default has occurred and is continuing or would result therefrom </w:t>
      </w:r>
      <w:r>
        <w:rPr>
          <w:rFonts w:ascii="Arial" w:cs="Arial" w:eastAsia="Arial" w:hAnsi="Arial"/>
          <w:sz w:val="19"/>
          <w:szCs w:val="19"/>
          <w:b w:val="1"/>
          <w:bCs w:val="1"/>
          <w:color w:val="0000FF"/>
        </w:rPr>
        <w:t>and (B) no prepayments, redemptions, purchases, defeasances and other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payments in respect of Permitted Additional Debt shall be permitted under this clause (vi) until (1) the Specified Amendment No. 1 Period shall have ended and (2) the Borrower shall have repaid an aggregate principal amount of the Term Loans equal to the PIK Amount pursuant to the last sentence of Section 2.06(d)</w:t>
      </w:r>
      <w:r>
        <w:rPr>
          <w:rFonts w:ascii="Arial" w:cs="Arial" w:eastAsia="Arial" w:hAnsi="Arial"/>
          <w:sz w:val="19"/>
          <w:szCs w:val="19"/>
          <w:color w:val="000000"/>
        </w:rPr>
        <w:t>. For greater certainty, nothing in this</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Section 7.13(a)</w:t>
      </w:r>
      <w:r>
        <w:rPr>
          <w:rFonts w:ascii="Arial" w:cs="Arial" w:eastAsia="Arial" w:hAnsi="Arial"/>
          <w:sz w:val="19"/>
          <w:szCs w:val="19"/>
          <w:color w:val="000000"/>
        </w:rPr>
        <w:t xml:space="preserve"> or elsewhere in this Agreement shall limit or restrict the ability of the Borrower or any Restricted Subsidiary to prepay, redeem, purchase, defease or otherwise satisfy prior to the scheduled maturity thereof any ABL Facility Indebtedness or other obligations also secured pursuant to the ABL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-792480</wp:posOffset>
            </wp:positionV>
            <wp:extent cx="45434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4342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-775335</wp:posOffset>
            </wp:positionV>
            <wp:extent cx="45434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397" w:lineRule="exact"/>
        <w:rPr>
          <w:sz w:val="20"/>
          <w:szCs w:val="20"/>
          <w:color w:val="auto"/>
        </w:rPr>
      </w:pPr>
    </w:p>
    <w:p>
      <w:pPr>
        <w:jc w:val="both"/>
        <w:ind w:firstLine="872"/>
        <w:spacing w:after="0" w:line="277" w:lineRule="auto"/>
        <w:tabs>
          <w:tab w:leader="none" w:pos="2411"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The Borrower shall not, nor shall it permit any Restricted Subsidiary to, directly or indirectly, amend, modify, change, terminate or release in any manner materially adverse to the interests of the Lenders any term or condition of any Junior Financing Documentation or the documentation governing any Permitted Additional Debt (or any Permitted Refinancing thereof) if the effect thereof would be to cause such Junior Financing or Permitted Additional Debt to no longer constitute Junior Financing or Permitted Additional Debt, as the case may be, without the consent of the Required Lenders (which consent shall not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that the ABL Facility Indebtedness shall not be subject to this clause (b) unless expressly designated as Permitted Second Priority Additional Debt.</w:t>
      </w:r>
    </w:p>
    <w:p>
      <w:pPr>
        <w:spacing w:after="0" w:line="15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Section 7.14</w:t>
      </w:r>
      <w:r>
        <w:rPr>
          <w:rFonts w:ascii="Arial" w:cs="Arial" w:eastAsia="Arial" w:hAnsi="Arial"/>
          <w:sz w:val="22"/>
          <w:szCs w:val="22"/>
          <w:i w:val="1"/>
          <w:iCs w:val="1"/>
          <w:color w:val="auto"/>
        </w:rPr>
        <w:t>. Prepayments, Etc. of Single-Employer Plans</w:t>
      </w:r>
      <w:r>
        <w:rPr>
          <w:rFonts w:ascii="Arial" w:cs="Arial" w:eastAsia="Arial" w:hAnsi="Arial"/>
          <w:sz w:val="22"/>
          <w:szCs w:val="22"/>
          <w:color w:val="auto"/>
        </w:rPr>
        <w:t>. The Borrower shall not, except to the extent required by ERISA or other applicable Law, make any early lump sum payment to satisfy any liability under any Single-Employer Plan, in each case, directly from the cash or Cash Equivalents of the Borrower or the Restricted Subsidiaries (including, for the avoidance of doubt, the proceeds of any borrowing under the ABL Facility).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VENTS OF</w:t>
      </w:r>
      <w:r>
        <w:rPr>
          <w:rFonts w:ascii="Arial" w:cs="Arial" w:eastAsia="Arial" w:hAnsi="Arial"/>
          <w:sz w:val="22"/>
          <w:szCs w:val="22"/>
          <w:color w:val="auto"/>
        </w:rPr>
        <w:t xml:space="preserve"> D</w:t>
      </w:r>
      <w:r>
        <w:rPr>
          <w:rFonts w:ascii="Arial" w:cs="Arial" w:eastAsia="Arial" w:hAnsi="Arial"/>
          <w:sz w:val="14"/>
          <w:szCs w:val="14"/>
          <w:color w:val="auto"/>
        </w:rPr>
        <w:t>EFAULT AND</w:t>
      </w:r>
      <w:r>
        <w:rPr>
          <w:rFonts w:ascii="Arial" w:cs="Arial" w:eastAsia="Arial" w:hAnsi="Arial"/>
          <w:sz w:val="22"/>
          <w:szCs w:val="22"/>
          <w:color w:val="auto"/>
        </w:rPr>
        <w:t xml:space="preserve"> R</w:t>
      </w:r>
      <w:r>
        <w:rPr>
          <w:rFonts w:ascii="Arial" w:cs="Arial" w:eastAsia="Arial" w:hAnsi="Arial"/>
          <w:sz w:val="14"/>
          <w:szCs w:val="14"/>
          <w:color w:val="auto"/>
        </w:rPr>
        <w:t>EMEDIES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Events of Default</w:t>
      </w:r>
    </w:p>
    <w:p>
      <w:pPr>
        <w:spacing w:after="0" w:line="200" w:lineRule="exact"/>
        <w:rPr>
          <w:sz w:val="20"/>
          <w:szCs w:val="20"/>
          <w:color w:val="auto"/>
        </w:rPr>
      </w:pPr>
    </w:p>
    <w:p>
      <w:pPr>
        <w:ind w:left="1040" w:hanging="168"/>
        <w:spacing w:after="0"/>
        <w:tabs>
          <w:tab w:leader="none" w:pos="1040" w:val="left"/>
        </w:tabs>
        <w:numPr>
          <w:ilvl w:val="0"/>
          <w:numId w:val="225"/>
        </w:numPr>
        <w:rPr>
          <w:rFonts w:ascii="Arial" w:cs="Arial" w:eastAsia="Arial" w:hAnsi="Arial"/>
          <w:sz w:val="19"/>
          <w:szCs w:val="19"/>
          <w:i w:val="1"/>
          <w:iCs w:val="1"/>
          <w:color w:val="auto"/>
        </w:rPr>
      </w:pPr>
      <w:r>
        <w:rPr>
          <w:rFonts w:ascii="Arial" w:cs="Arial" w:eastAsia="Arial" w:hAnsi="Arial"/>
          <w:sz w:val="19"/>
          <w:szCs w:val="19"/>
          <w:color w:val="auto"/>
        </w:rPr>
        <w:t>Any of the following from and after the Restatement Effective Date shall constitute an event of default (an “</w:t>
      </w:r>
      <w:r>
        <w:rPr>
          <w:rFonts w:ascii="Arial" w:cs="Arial" w:eastAsia="Arial" w:hAnsi="Arial"/>
          <w:sz w:val="19"/>
          <w:szCs w:val="19"/>
          <w:b w:val="1"/>
          <w:bCs w:val="1"/>
          <w:color w:val="auto"/>
        </w:rPr>
        <w:t>Event of</w:t>
      </w:r>
    </w:p>
    <w:p>
      <w:pPr>
        <w:spacing w:after="0" w:line="48"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b w:val="1"/>
          <w:bCs w:val="1"/>
          <w:color w:val="auto"/>
        </w:rPr>
        <w:t>Default</w:t>
      </w:r>
      <w:r>
        <w:rPr>
          <w:rFonts w:ascii="Arial" w:cs="Arial" w:eastAsia="Arial" w:hAnsi="Arial"/>
          <w:sz w:val="22"/>
          <w:szCs w:val="22"/>
          <w:color w:val="auto"/>
        </w:rPr>
        <w:t>”):</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Non-Payment</w:t>
      </w:r>
      <w:r>
        <w:rPr>
          <w:rFonts w:ascii="Arial" w:cs="Arial" w:eastAsia="Arial" w:hAnsi="Arial"/>
          <w:sz w:val="22"/>
          <w:szCs w:val="22"/>
          <w:color w:val="auto"/>
        </w:rPr>
        <w:t>. Any Loan Party fails to pay (i) when and as required to be paid herein or in any other Loan Document, any amount of principal of any Loan, (ii) within five (5) Business Days after the same becomes due, any interest on any Loan, or (iii) within ten (10) days after the same becomes due, any other amount payable hereunder or with respect to any other Loan Document; or</w:t>
      </w:r>
    </w:p>
    <w:p>
      <w:pPr>
        <w:spacing w:after="0" w:line="17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Specific Covenants.</w:t>
      </w:r>
      <w:r>
        <w:rPr>
          <w:rFonts w:ascii="Arial" w:cs="Arial" w:eastAsia="Arial" w:hAnsi="Arial"/>
          <w:sz w:val="19"/>
          <w:szCs w:val="19"/>
          <w:color w:val="auto"/>
        </w:rPr>
        <w:t xml:space="preserve"> The Borrower fails to perform or observe </w:t>
      </w:r>
      <w:r>
        <w:rPr>
          <w:rFonts w:ascii="Arial" w:cs="Arial" w:eastAsia="Arial" w:hAnsi="Arial"/>
          <w:sz w:val="19"/>
          <w:szCs w:val="19"/>
          <w:b w:val="1"/>
          <w:bCs w:val="1"/>
          <w:u w:val="single" w:color="auto"/>
          <w:color w:val="0000FF"/>
        </w:rPr>
        <w:t>(i)</w:t>
      </w:r>
      <w:r>
        <w:rPr>
          <w:rFonts w:ascii="Arial" w:cs="Arial" w:eastAsia="Arial" w:hAnsi="Arial"/>
          <w:sz w:val="19"/>
          <w:szCs w:val="19"/>
          <w:color w:val="auto"/>
        </w:rPr>
        <w:t xml:space="preserve"> any term, covenant or agreement contained in any of </w:t>
      </w:r>
      <w:r>
        <w:rPr>
          <w:rFonts w:ascii="Arial" w:cs="Arial" w:eastAsia="Arial" w:hAnsi="Arial"/>
          <w:sz w:val="19"/>
          <w:szCs w:val="19"/>
          <w:u w:val="single" w:color="auto"/>
          <w:color w:val="auto"/>
        </w:rPr>
        <w:t>Sections 6.03(a)</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of a notice of Default or Event of Default at any time will cure an Event of Default under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arising from the failure of the Borrower to timely deliver such notice of Default or Event of Default), </w:t>
      </w:r>
      <w:r>
        <w:rPr>
          <w:rFonts w:ascii="Arial" w:cs="Arial" w:eastAsia="Arial" w:hAnsi="Arial"/>
          <w:sz w:val="19"/>
          <w:szCs w:val="19"/>
          <w:u w:val="single" w:color="auto"/>
          <w:color w:val="auto"/>
        </w:rPr>
        <w:t>6.05(a)</w:t>
      </w:r>
      <w:r>
        <w:rPr>
          <w:rFonts w:ascii="Arial" w:cs="Arial" w:eastAsia="Arial" w:hAnsi="Arial"/>
          <w:sz w:val="19"/>
          <w:szCs w:val="19"/>
          <w:color w:val="auto"/>
        </w:rPr>
        <w:t xml:space="preserve"> (solely with respect to the Borrower) or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w:t>
      </w:r>
      <w:r>
        <w:rPr>
          <w:rFonts w:ascii="Arial" w:cs="Arial" w:eastAsia="Arial" w:hAnsi="Arial"/>
          <w:sz w:val="19"/>
          <w:szCs w:val="19"/>
          <w:b w:val="1"/>
          <w:bCs w:val="1"/>
          <w:color w:val="0000FF"/>
        </w:rPr>
        <w:t>or Section 4(c) of Amendment No. 1 or (ii) within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-4445</wp:posOffset>
            </wp:positionV>
            <wp:extent cx="32918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firstLine="8"/>
        <w:spacing w:after="0" w:line="236" w:lineRule="auto"/>
        <w:tabs>
          <w:tab w:leader="none" w:pos="343" w:val="left"/>
        </w:tabs>
        <w:numPr>
          <w:ilvl w:val="0"/>
          <w:numId w:val="226"/>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Business Days after performance was required thereunder, any term, covenant or agreement contained in any of Section 4(a) or 4(b) of Amendment No. 1</w:t>
      </w:r>
      <w:r>
        <w:rPr>
          <w:rFonts w:ascii="Arial" w:cs="Arial" w:eastAsia="Arial" w:hAnsi="Arial"/>
          <w:sz w:val="22"/>
          <w:szCs w:val="22"/>
          <w:color w:val="000000"/>
        </w:rPr>
        <w:t>; or</w:t>
      </w:r>
    </w:p>
    <w:p>
      <w:pPr>
        <w:spacing w:after="0" w:line="186" w:lineRule="exact"/>
        <w:rPr>
          <w:rFonts w:ascii="Arial" w:cs="Arial" w:eastAsia="Arial" w:hAnsi="Arial"/>
          <w:sz w:val="22"/>
          <w:szCs w:val="22"/>
          <w:b w:val="1"/>
          <w:bCs w:val="1"/>
          <w:u w:val="single" w:color="auto"/>
          <w:color w:val="0000FF"/>
        </w:rPr>
      </w:pPr>
    </w:p>
    <w:p>
      <w:pPr>
        <w:jc w:val="both"/>
        <w:ind w:firstLine="872"/>
        <w:spacing w:after="0" w:line="238" w:lineRule="auto"/>
        <w:tabs>
          <w:tab w:leader="none" w:pos="2399" w:val="left"/>
        </w:tabs>
        <w:numPr>
          <w:ilvl w:val="1"/>
          <w:numId w:val="226"/>
        </w:numPr>
        <w:rPr>
          <w:rFonts w:ascii="Arial" w:cs="Arial" w:eastAsia="Arial" w:hAnsi="Arial"/>
          <w:sz w:val="22"/>
          <w:szCs w:val="22"/>
          <w:color w:val="auto"/>
        </w:rPr>
      </w:pPr>
      <w:r>
        <w:rPr>
          <w:rFonts w:ascii="Arial" w:cs="Arial" w:eastAsia="Arial" w:hAnsi="Arial"/>
          <w:sz w:val="22"/>
          <w:szCs w:val="22"/>
          <w:i w:val="1"/>
          <w:iCs w:val="1"/>
          <w:color w:val="auto"/>
        </w:rPr>
        <w:t xml:space="preserve">Other Defaults. </w:t>
      </w:r>
      <w:r>
        <w:rPr>
          <w:rFonts w:ascii="Arial" w:cs="Arial" w:eastAsia="Arial" w:hAnsi="Arial"/>
          <w:sz w:val="22"/>
          <w:szCs w:val="22"/>
          <w:color w:val="auto"/>
        </w:rPr>
        <w:t>Any Loan Party fails to perform or observe any other term, covenant or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(not specified in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above) contained in any Loan Document on its part to be performed or observed and such failure continues for thirty (30) days after receipt by the Borrower of written notice thereof from the Administrative Agent or the Required Lenders; or</w:t>
      </w:r>
    </w:p>
    <w:p>
      <w:pPr>
        <w:spacing w:after="0" w:line="184" w:lineRule="exact"/>
        <w:rPr>
          <w:rFonts w:ascii="Arial" w:cs="Arial" w:eastAsia="Arial" w:hAnsi="Arial"/>
          <w:sz w:val="22"/>
          <w:szCs w:val="22"/>
          <w:color w:val="auto"/>
        </w:rPr>
      </w:pPr>
    </w:p>
    <w:p>
      <w:pPr>
        <w:jc w:val="both"/>
        <w:ind w:firstLine="872"/>
        <w:spacing w:after="0" w:line="238" w:lineRule="auto"/>
        <w:tabs>
          <w:tab w:leader="none" w:pos="2411" w:val="left"/>
        </w:tabs>
        <w:numPr>
          <w:ilvl w:val="1"/>
          <w:numId w:val="226"/>
        </w:numPr>
        <w:rPr>
          <w:rFonts w:ascii="Arial" w:cs="Arial" w:eastAsia="Arial" w:hAnsi="Arial"/>
          <w:sz w:val="22"/>
          <w:szCs w:val="22"/>
          <w:color w:val="auto"/>
        </w:rPr>
      </w:pPr>
      <w:r>
        <w:rPr>
          <w:rFonts w:ascii="Arial" w:cs="Arial" w:eastAsia="Arial" w:hAnsi="Arial"/>
          <w:sz w:val="22"/>
          <w:szCs w:val="22"/>
          <w:i w:val="1"/>
          <w:iCs w:val="1"/>
          <w:color w:val="auto"/>
        </w:rPr>
        <w:t xml:space="preserve">Representations and Warranties. </w:t>
      </w:r>
      <w:r>
        <w:rPr>
          <w:rFonts w:ascii="Arial" w:cs="Arial" w:eastAsia="Arial" w:hAnsi="Arial"/>
          <w:sz w:val="22"/>
          <w:szCs w:val="22"/>
          <w:color w:val="auto"/>
        </w:rPr>
        <w:t>Any representation, warranty, certification or statement of fact</w:t>
      </w:r>
      <w:r>
        <w:rPr>
          <w:rFonts w:ascii="Arial" w:cs="Arial" w:eastAsia="Arial" w:hAnsi="Arial"/>
          <w:sz w:val="22"/>
          <w:szCs w:val="22"/>
          <w:i w:val="1"/>
          <w:iCs w:val="1"/>
          <w:color w:val="auto"/>
        </w:rPr>
        <w:t xml:space="preserve"> </w:t>
      </w:r>
      <w:r>
        <w:rPr>
          <w:rFonts w:ascii="Arial" w:cs="Arial" w:eastAsia="Arial" w:hAnsi="Arial"/>
          <w:sz w:val="22"/>
          <w:szCs w:val="22"/>
          <w:color w:val="auto"/>
        </w:rPr>
        <w:t>made or deemed made by or on behalf of the Borrower or any other Loan Party herein, in any other Loan Document, or in any Compliance Certificate or other document required to be delivered in connection herewith or therewith shall be incorrect or misleading in any material respect when made or deemed made; or</w:t>
      </w:r>
    </w:p>
    <w:p>
      <w:pPr>
        <w:spacing w:after="0" w:line="184" w:lineRule="exact"/>
        <w:rPr>
          <w:rFonts w:ascii="Arial" w:cs="Arial" w:eastAsia="Arial" w:hAnsi="Arial"/>
          <w:sz w:val="22"/>
          <w:szCs w:val="22"/>
          <w:color w:val="auto"/>
        </w:rPr>
      </w:pPr>
    </w:p>
    <w:p>
      <w:pPr>
        <w:jc w:val="both"/>
        <w:ind w:firstLine="872"/>
        <w:spacing w:after="0" w:line="273" w:lineRule="auto"/>
        <w:tabs>
          <w:tab w:leader="none" w:pos="2399" w:val="left"/>
        </w:tabs>
        <w:numPr>
          <w:ilvl w:val="1"/>
          <w:numId w:val="226"/>
        </w:numPr>
        <w:rPr>
          <w:rFonts w:ascii="Arial" w:cs="Arial" w:eastAsia="Arial" w:hAnsi="Arial"/>
          <w:sz w:val="19"/>
          <w:szCs w:val="19"/>
          <w:color w:val="auto"/>
        </w:rPr>
      </w:pPr>
      <w:r>
        <w:rPr>
          <w:rFonts w:ascii="Arial" w:cs="Arial" w:eastAsia="Arial" w:hAnsi="Arial"/>
          <w:sz w:val="19"/>
          <w:szCs w:val="19"/>
          <w:i w:val="1"/>
          <w:iCs w:val="1"/>
          <w:color w:val="auto"/>
        </w:rPr>
        <w:t>Cross-Default</w:t>
      </w:r>
      <w:r>
        <w:rPr>
          <w:rFonts w:ascii="Arial" w:cs="Arial" w:eastAsia="Arial" w:hAnsi="Arial"/>
          <w:sz w:val="19"/>
          <w:szCs w:val="19"/>
          <w:color w:val="auto"/>
        </w:rPr>
        <w:t>. Any Loan Party or any Restricted Subsidiary (i) fails to make any payment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grace period with respect thereto, if any, (whether by scheduled maturity, required prepayment, acceleration, demand, or otherwise) in respect of any other Indebtedness (other than Indebtedness hereunder ) having an outstanding aggregate principal amount of not less than the Threshold Amount or (ii) fails to observe or perform any other agreement or condition relating to any such Indebtedness, or any other event occurs (other than, with respect to Indebtedness consisting of Swap Contracts, termination events or equivalent events pursuant to the terms of such Swap Contracts and not as a result of any other default thereunder by any Loan Party), after all grace periods having expired and all required notices having been given, the effect of which default or other event is to cause, or to permit the holder or holders of such Indebtedness (or a trustee or agent on behalf of such holder or holders or beneficiary or beneficiaries) to cause, after all grace periods having expired and all required notices having been given, such Indebtedness to become due or to be repurchased, prepaid, defeased or redeemed (automatically or otherwise), or an offer to repurchase, prepay, defease or redeem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-3667760</wp:posOffset>
            </wp:positionV>
            <wp:extent cx="32918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4" w:name="page185"/>
    <w:bookmarkEnd w:id="184"/>
    <w:p>
      <w:pPr>
        <w:jc w:val="both"/>
        <w:spacing w:after="0" w:line="273" w:lineRule="auto"/>
        <w:rPr>
          <w:sz w:val="20"/>
          <w:szCs w:val="20"/>
          <w:color w:val="auto"/>
        </w:rPr>
      </w:pPr>
      <w:r>
        <w:rPr>
          <w:rFonts w:ascii="Arial" w:cs="Arial" w:eastAsia="Arial" w:hAnsi="Arial"/>
          <w:sz w:val="19"/>
          <w:szCs w:val="19"/>
          <w:color w:val="auto"/>
        </w:rPr>
        <w:t xml:space="preserve">Indebtedness to be made, prior to its stated maturity;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failure or the occurrence of any such other event referred to in subclause (ii) relating to Indebtedness under the ABL Credit Agreement or any Permitted Refinancing thereof shall not constitute an Event of Default under this </w:t>
      </w:r>
      <w:r>
        <w:rPr>
          <w:rFonts w:ascii="Arial" w:cs="Arial" w:eastAsia="Arial" w:hAnsi="Arial"/>
          <w:sz w:val="19"/>
          <w:szCs w:val="19"/>
          <w:u w:val="single" w:color="auto"/>
          <w:color w:val="auto"/>
        </w:rPr>
        <w:t>Section 8.01(e)</w:t>
      </w:r>
      <w:r>
        <w:rPr>
          <w:rFonts w:ascii="Arial" w:cs="Arial" w:eastAsia="Arial" w:hAnsi="Arial"/>
          <w:sz w:val="19"/>
          <w:szCs w:val="19"/>
          <w:color w:val="auto"/>
        </w:rPr>
        <w:t xml:space="preserve"> until the earlier of (x) thirty days after the expiration of all grace periods relating to such failure or occurrence under the ABL Credit Agreement and (y) any acceleration of the ABL Obligations (as defined in the ABL Intercreditor Agreement) outstanding under the ABL Credit Agreement, whether automatic or otherwise;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further that this clause (e)(ii) shall not apply to (I) secured Indebtedness that becomes due as a result of the voluntary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sale or transfer of the property or assets securing such Indebtedness, (II) Indebtedness which is convertible into Equity Interest and converts to Equity Interests in accordance with its terms or (III) any breach or default that (X) is remedied by the Borrower or the applicable Restricted Subsidiary or (Y) waived (including in the form of amendment) by the requisite holders of the applicable item of Indebtedness, in either case, prior to the acceleration of all the Loans pursuant to this </w:t>
      </w:r>
      <w:r>
        <w:rPr>
          <w:rFonts w:ascii="Arial" w:cs="Arial" w:eastAsia="Arial" w:hAnsi="Arial"/>
          <w:sz w:val="19"/>
          <w:szCs w:val="19"/>
          <w:u w:val="single" w:color="auto"/>
          <w:color w:val="auto"/>
        </w:rPr>
        <w:t>Section 8.01</w:t>
      </w:r>
      <w:r>
        <w:rPr>
          <w:rFonts w:ascii="Arial" w:cs="Arial" w:eastAsia="Arial" w:hAnsi="Arial"/>
          <w:sz w:val="19"/>
          <w:szCs w:val="19"/>
          <w:color w:val="auto"/>
        </w:rPr>
        <w:t>; or</w:t>
      </w:r>
    </w:p>
    <w:p>
      <w:pPr>
        <w:spacing w:after="0" w:line="16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i w:val="1"/>
          <w:iCs w:val="1"/>
          <w:color w:val="auto"/>
        </w:rPr>
        <w:t>Insolvency Proceedings, Etc.</w:t>
      </w:r>
      <w:r>
        <w:rPr>
          <w:rFonts w:ascii="Arial" w:cs="Arial" w:eastAsia="Arial" w:hAnsi="Arial"/>
          <w:sz w:val="19"/>
          <w:szCs w:val="19"/>
          <w:color w:val="auto"/>
        </w:rPr>
        <w:t xml:space="preserve"> Any Loan Party or any Restricted Subsidiary institutes or consents to the institution of any voluntary or involuntary proceeding under any Debtor Relief Law, or makes a general assignment for the benefit of creditors; or applies for or consents to the appointment of any receiver, trustee, custodian, conservator, liquidator, rehabilitator, administrator, administrative receiver or similar officer for it or for all or substantially all of its property; or any receiver, trustee, custodian, conservator, liquidator, rehabilitator, administrator, administrative receiver or similar officer is appointed without the application or consent of such Person and the appointment continues undischarged or unstayed for sixty</w:t>
      </w:r>
    </w:p>
    <w:p>
      <w:pPr>
        <w:spacing w:after="0" w:line="1" w:lineRule="exact"/>
        <w:rPr>
          <w:sz w:val="20"/>
          <w:szCs w:val="20"/>
          <w:color w:val="auto"/>
        </w:rPr>
      </w:pPr>
    </w:p>
    <w:p>
      <w:pPr>
        <w:jc w:val="both"/>
        <w:ind w:firstLine="8"/>
        <w:spacing w:after="0" w:line="266" w:lineRule="auto"/>
        <w:tabs>
          <w:tab w:leader="none" w:pos="461" w:val="left"/>
        </w:tabs>
        <w:numPr>
          <w:ilvl w:val="0"/>
          <w:numId w:val="227"/>
        </w:numPr>
        <w:rPr>
          <w:rFonts w:ascii="Arial" w:cs="Arial" w:eastAsia="Arial" w:hAnsi="Arial"/>
          <w:sz w:val="19"/>
          <w:szCs w:val="19"/>
          <w:color w:val="auto"/>
        </w:rPr>
      </w:pPr>
      <w:r>
        <w:rPr>
          <w:rFonts w:ascii="Arial" w:cs="Arial" w:eastAsia="Arial" w:hAnsi="Arial"/>
          <w:sz w:val="19"/>
          <w:szCs w:val="19"/>
          <w:color w:val="auto"/>
        </w:rPr>
        <w:t>consecutive calendar days; or any proceeding under any Debtor Relief Law relating to any such Person or to all or substantially all of its property is instituted without the consent of such Person and continues undismissed or unstayed for sixty</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consecutive calendar days, or an order for relief is entered in any such proceeding; or</w:t>
      </w:r>
    </w:p>
    <w:p>
      <w:pPr>
        <w:spacing w:after="0" w:line="188" w:lineRule="exact"/>
        <w:rPr>
          <w:rFonts w:ascii="Arial" w:cs="Arial" w:eastAsia="Arial" w:hAnsi="Arial"/>
          <w:sz w:val="22"/>
          <w:szCs w:val="22"/>
          <w:color w:val="auto"/>
        </w:rPr>
      </w:pPr>
    </w:p>
    <w:p>
      <w:pPr>
        <w:jc w:val="both"/>
        <w:ind w:firstLine="872"/>
        <w:spacing w:after="0" w:line="236" w:lineRule="auto"/>
        <w:tabs>
          <w:tab w:leader="none" w:pos="2411" w:val="left"/>
        </w:tabs>
        <w:numPr>
          <w:ilvl w:val="1"/>
          <w:numId w:val="228"/>
        </w:numPr>
        <w:rPr>
          <w:rFonts w:ascii="Arial" w:cs="Arial" w:eastAsia="Arial" w:hAnsi="Arial"/>
          <w:sz w:val="22"/>
          <w:szCs w:val="22"/>
          <w:color w:val="auto"/>
        </w:rPr>
      </w:pPr>
      <w:r>
        <w:rPr>
          <w:rFonts w:ascii="Arial" w:cs="Arial" w:eastAsia="Arial" w:hAnsi="Arial"/>
          <w:sz w:val="22"/>
          <w:szCs w:val="22"/>
          <w:i w:val="1"/>
          <w:iCs w:val="1"/>
          <w:color w:val="auto"/>
        </w:rPr>
        <w:t>Inability to Pay Debts; Attachment</w:t>
      </w:r>
      <w:r>
        <w:rPr>
          <w:rFonts w:ascii="Arial" w:cs="Arial" w:eastAsia="Arial" w:hAnsi="Arial"/>
          <w:sz w:val="22"/>
          <w:szCs w:val="22"/>
          <w:color w:val="auto"/>
        </w:rPr>
        <w:t>. Any Loan Party or any Restricted Subsidiary becomes generally</w:t>
      </w:r>
      <w:r>
        <w:rPr>
          <w:rFonts w:ascii="Arial" w:cs="Arial" w:eastAsia="Arial" w:hAnsi="Arial"/>
          <w:sz w:val="22"/>
          <w:szCs w:val="22"/>
          <w:i w:val="1"/>
          <w:iCs w:val="1"/>
          <w:color w:val="auto"/>
        </w:rPr>
        <w:t xml:space="preserve"> </w:t>
      </w:r>
      <w:r>
        <w:rPr>
          <w:rFonts w:ascii="Arial" w:cs="Arial" w:eastAsia="Arial" w:hAnsi="Arial"/>
          <w:sz w:val="22"/>
          <w:szCs w:val="22"/>
          <w:color w:val="auto"/>
        </w:rPr>
        <w:t>unable or admits in writing its general inability or fails generally to pay its debts as they become due, or any writ or warrant of attachment or execution or similar process is issued or levied against all or substantially all of the property of the Borrower and the Restricted Subsidiaries, taken as a whole, and is not released, vacated or fully bonded within sixty (60) consecutive days after its issue or levy; or</w:t>
      </w:r>
    </w:p>
    <w:p>
      <w:pPr>
        <w:spacing w:after="0" w:line="187" w:lineRule="exact"/>
        <w:rPr>
          <w:rFonts w:ascii="Arial" w:cs="Arial" w:eastAsia="Arial" w:hAnsi="Arial"/>
          <w:sz w:val="22"/>
          <w:szCs w:val="22"/>
          <w:color w:val="auto"/>
        </w:rPr>
      </w:pPr>
    </w:p>
    <w:p>
      <w:pPr>
        <w:jc w:val="both"/>
        <w:ind w:firstLine="872"/>
        <w:spacing w:after="0" w:line="249" w:lineRule="auto"/>
        <w:tabs>
          <w:tab w:leader="none" w:pos="2411" w:val="left"/>
        </w:tabs>
        <w:numPr>
          <w:ilvl w:val="1"/>
          <w:numId w:val="228"/>
        </w:numPr>
        <w:rPr>
          <w:rFonts w:ascii="Arial" w:cs="Arial" w:eastAsia="Arial" w:hAnsi="Arial"/>
          <w:sz w:val="21"/>
          <w:szCs w:val="21"/>
          <w:color w:val="auto"/>
        </w:rPr>
      </w:pPr>
      <w:r>
        <w:rPr>
          <w:rFonts w:ascii="Arial" w:cs="Arial" w:eastAsia="Arial" w:hAnsi="Arial"/>
          <w:sz w:val="21"/>
          <w:szCs w:val="21"/>
          <w:i w:val="1"/>
          <w:iCs w:val="1"/>
          <w:color w:val="auto"/>
        </w:rPr>
        <w:t>Judgments</w:t>
      </w:r>
      <w:r>
        <w:rPr>
          <w:rFonts w:ascii="Arial" w:cs="Arial" w:eastAsia="Arial" w:hAnsi="Arial"/>
          <w:sz w:val="21"/>
          <w:szCs w:val="21"/>
          <w:color w:val="auto"/>
        </w:rPr>
        <w:t>. There is entered against any Loan Party or any Restricted Subsidiary a final judgment or</w:t>
      </w:r>
      <w:r>
        <w:rPr>
          <w:rFonts w:ascii="Arial" w:cs="Arial" w:eastAsia="Arial" w:hAnsi="Arial"/>
          <w:sz w:val="21"/>
          <w:szCs w:val="21"/>
          <w:i w:val="1"/>
          <w:iCs w:val="1"/>
          <w:color w:val="auto"/>
        </w:rPr>
        <w:t xml:space="preserve"> </w:t>
      </w:r>
      <w:r>
        <w:rPr>
          <w:rFonts w:ascii="Arial" w:cs="Arial" w:eastAsia="Arial" w:hAnsi="Arial"/>
          <w:sz w:val="21"/>
          <w:szCs w:val="21"/>
          <w:color w:val="auto"/>
        </w:rPr>
        <w:t>order for the payment of money in an aggregate amount exceeding the Threshold Amount (to the extent not covered by independent third-party insurance or indemnity as to which the insurer or third party indemnitor has been notified of such judgment or order and has not denied coverage) and such judgment or order shall not have been satisfied, vacated, discharged or stayed or bonded pending an appeal for a period of sixty (60) consecutive days; or</w:t>
      </w:r>
    </w:p>
    <w:p>
      <w:pPr>
        <w:spacing w:after="0" w:line="178" w:lineRule="exact"/>
        <w:rPr>
          <w:rFonts w:ascii="Arial" w:cs="Arial" w:eastAsia="Arial" w:hAnsi="Arial"/>
          <w:sz w:val="21"/>
          <w:szCs w:val="21"/>
          <w:color w:val="auto"/>
        </w:rPr>
      </w:pPr>
    </w:p>
    <w:p>
      <w:pPr>
        <w:jc w:val="both"/>
        <w:ind w:firstLine="872"/>
        <w:spacing w:after="0" w:line="252" w:lineRule="auto"/>
        <w:tabs>
          <w:tab w:leader="none" w:pos="2363" w:val="left"/>
        </w:tabs>
        <w:numPr>
          <w:ilvl w:val="1"/>
          <w:numId w:val="228"/>
        </w:numPr>
        <w:rPr>
          <w:rFonts w:ascii="Arial" w:cs="Arial" w:eastAsia="Arial" w:hAnsi="Arial"/>
          <w:sz w:val="21"/>
          <w:szCs w:val="21"/>
          <w:color w:val="auto"/>
        </w:rPr>
      </w:pPr>
      <w:r>
        <w:rPr>
          <w:rFonts w:ascii="Arial" w:cs="Arial" w:eastAsia="Arial" w:hAnsi="Arial"/>
          <w:sz w:val="21"/>
          <w:szCs w:val="21"/>
          <w:i w:val="1"/>
          <w:iCs w:val="1"/>
          <w:color w:val="auto"/>
        </w:rPr>
        <w:t>Invalidity of Loan Documents</w:t>
      </w:r>
      <w:r>
        <w:rPr>
          <w:rFonts w:ascii="Arial" w:cs="Arial" w:eastAsia="Arial" w:hAnsi="Arial"/>
          <w:sz w:val="21"/>
          <w:szCs w:val="21"/>
          <w:color w:val="auto"/>
        </w:rPr>
        <w:t>. Any material provision of the Loan Documents, at any time after their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execution and delivery and for any reason other than as expressly permitted hereunder or thereunder (including as a result of a transaction permitted under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7.05</w:t>
      </w:r>
      <w:r>
        <w:rPr>
          <w:rFonts w:ascii="Arial" w:cs="Arial" w:eastAsia="Arial" w:hAnsi="Arial"/>
          <w:sz w:val="21"/>
          <w:szCs w:val="21"/>
          <w:color w:val="auto"/>
        </w:rPr>
        <w:t>) or as a result of acts or omissions by the Administrative Agent or Collateral Agent or any Lender or the satisfaction in full of all the Obligations (other than other than contingent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5" w:name="page186"/>
    <w:bookmarkEnd w:id="185"/>
    <w:p>
      <w:pPr>
        <w:jc w:val="both"/>
        <w:spacing w:after="0" w:line="238" w:lineRule="auto"/>
        <w:rPr>
          <w:sz w:val="20"/>
          <w:szCs w:val="20"/>
          <w:color w:val="auto"/>
        </w:rPr>
      </w:pPr>
      <w:r>
        <w:rPr>
          <w:rFonts w:ascii="Arial" w:cs="Arial" w:eastAsia="Arial" w:hAnsi="Arial"/>
          <w:sz w:val="22"/>
          <w:szCs w:val="22"/>
          <w:color w:val="auto"/>
        </w:rPr>
        <w:t>obligations), ceases to be in full force and effect; or any Loan Party contests in writing the validity or enforceability of any provision of any Loan Document; or any Loan Party denies in writing that it has any or further liability or obligation under any Loan Document (other than as a result of repayment in full of the Obligations), or purports in writing to revoke or rescind any Loan Document; or</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(j)</w:t>
            </w:r>
          </w:p>
        </w:tc>
        <w:tc>
          <w:tcPr>
            <w:tcW w:w="9500" w:type="dxa"/>
            <w:vAlign w:val="bottom"/>
            <w:gridSpan w:val="3"/>
          </w:tcPr>
          <w:p>
            <w:pPr>
              <w:ind w:left="640"/>
              <w:spacing w:after="0"/>
              <w:rPr>
                <w:sz w:val="20"/>
                <w:szCs w:val="20"/>
                <w:color w:val="auto"/>
              </w:rPr>
            </w:pPr>
            <w:r>
              <w:rPr>
                <w:rFonts w:ascii="Arial" w:cs="Arial" w:eastAsia="Arial" w:hAnsi="Arial"/>
                <w:sz w:val="22"/>
                <w:szCs w:val="22"/>
                <w:i w:val="1"/>
                <w:iCs w:val="1"/>
                <w:color w:val="auto"/>
              </w:rPr>
              <w:t>Change of Control</w:t>
            </w:r>
            <w:r>
              <w:rPr>
                <w:rFonts w:ascii="Arial" w:cs="Arial" w:eastAsia="Arial" w:hAnsi="Arial"/>
                <w:sz w:val="22"/>
                <w:szCs w:val="22"/>
                <w:color w:val="auto"/>
              </w:rPr>
              <w:t>. There occurs any Change of Control; or</w:t>
            </w:r>
          </w:p>
        </w:tc>
      </w:tr>
      <w:tr>
        <w:trPr>
          <w:trHeight w:val="408"/>
        </w:trPr>
        <w:tc>
          <w:tcPr>
            <w:tcW w:w="860" w:type="dxa"/>
            <w:vAlign w:val="bottom"/>
          </w:tcPr>
          <w:p>
            <w:pPr>
              <w:spacing w:after="0"/>
              <w:rPr>
                <w:sz w:val="20"/>
                <w:szCs w:val="20"/>
                <w:color w:val="auto"/>
              </w:rPr>
            </w:pPr>
            <w:r>
              <w:rPr>
                <w:rFonts w:ascii="Arial" w:cs="Arial" w:eastAsia="Arial" w:hAnsi="Arial"/>
                <w:sz w:val="22"/>
                <w:szCs w:val="22"/>
                <w:color w:val="auto"/>
              </w:rPr>
              <w:t>(k)</w:t>
            </w:r>
          </w:p>
        </w:tc>
        <w:tc>
          <w:tcPr>
            <w:tcW w:w="9500" w:type="dxa"/>
            <w:vAlign w:val="bottom"/>
            <w:gridSpan w:val="3"/>
          </w:tcPr>
          <w:p>
            <w:pPr>
              <w:ind w:left="680"/>
              <w:spacing w:after="0"/>
              <w:rPr>
                <w:sz w:val="20"/>
                <w:szCs w:val="20"/>
                <w:color w:val="auto"/>
              </w:rPr>
            </w:pPr>
            <w:r>
              <w:rPr>
                <w:rFonts w:ascii="Arial" w:cs="Arial" w:eastAsia="Arial" w:hAnsi="Arial"/>
                <w:sz w:val="22"/>
                <w:szCs w:val="22"/>
                <w:i w:val="1"/>
                <w:iCs w:val="1"/>
                <w:color w:val="auto"/>
                <w:w w:val="92"/>
              </w:rPr>
              <w:t>Collateral Documents</w:t>
            </w:r>
            <w:r>
              <w:rPr>
                <w:rFonts w:ascii="Arial" w:cs="Arial" w:eastAsia="Arial" w:hAnsi="Arial"/>
                <w:sz w:val="22"/>
                <w:szCs w:val="22"/>
                <w:color w:val="auto"/>
                <w:w w:val="92"/>
              </w:rPr>
              <w:t>.  The Collateral Documents after delivery thereof pursuant to Sections 4.02,</w:t>
            </w:r>
          </w:p>
        </w:tc>
      </w:tr>
      <w:tr>
        <w:trPr>
          <w:trHeight w:val="20"/>
        </w:trPr>
        <w:tc>
          <w:tcPr>
            <w:tcW w:w="8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shall for any reason (other than pursuant to the terms hereof or thereof including as a result of a transaction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cease to create, or shall be asserted by any Loan Party not to create, a valid and perfected Lien, with the priority required by the Collateral Documents on and security interest in Collateral purported to be covered thereby with an aggregate value equal to or greater than $25,000,000, subject to Liens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(i) except to the extent that any such perfection or priority is not required pursuant to the Collateral and Guarantee Requirement or results from the failure of the Administrative Agent or the Collateral Agent to maintain possession or control of certificates representing securities, other collateral requiring possession or control, or motor vehicle certificates of title (or notation thereon) pledged under the Collateral Documents, in each case actually delivered to it, or to file Uniform Commercial Code financing statements or continuation statements or any Collateral Documents and (ii) except as to Collateral consisting of Real Property to the extent that such losses are covered by a lender’s title insurance policy and such insurer has not denied coverage; or</w:t>
      </w:r>
    </w:p>
    <w:p>
      <w:pPr>
        <w:spacing w:after="0" w:line="161"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9"/>
          <w:szCs w:val="19"/>
          <w:color w:val="auto"/>
        </w:rPr>
        <w:t xml:space="preserve">(l) </w:t>
      </w:r>
      <w:r>
        <w:rPr>
          <w:rFonts w:ascii="Arial" w:cs="Arial" w:eastAsia="Arial" w:hAnsi="Arial"/>
          <w:sz w:val="19"/>
          <w:szCs w:val="19"/>
          <w:i w:val="1"/>
          <w:iCs w:val="1"/>
          <w:color w:val="auto"/>
        </w:rPr>
        <w:t>ERISA.</w:t>
      </w:r>
      <w:r>
        <w:rPr>
          <w:rFonts w:ascii="Arial" w:cs="Arial" w:eastAsia="Arial" w:hAnsi="Arial"/>
          <w:sz w:val="19"/>
          <w:szCs w:val="19"/>
          <w:color w:val="auto"/>
        </w:rPr>
        <w:t xml:space="preserve"> (i) An ERISA Event that occurs after the Restatement Effective Date and that, alone or together with any other ERISA Events that have occurred after the Restatement Effective Date, has resulted or could reasonably be expected to result in liability of a Loan Party, any Restricted Subsidiary or any of their respective ERISA Affiliates in an aggregate amount at any particular time that would reasonably be expected to have a Material Adverse Effect, or (ii) a Loan Party, any Restricted Subsidiary or any of their respective ERISA Affiliates fails to pay when due, after the expiration of any applicable grace period, any installment payment with respect to its Withdrawal Liability under Section 4201 of ERISA under a Multiemployer Plan in an aggregate amount, that, alone or together with any other such failures to pay, has resulted or would reasonably be expected to result in a Material Adverse Effect; or (iii) as of any date, a Loan Party, any Restricted Subsidiary or any of their respective ERISA Affiliates (x) shall have made contributions to any Multiemployer Plan during the immediately preceding twelve month period ending on such date that exceed in value in the aggregate among all such Persons the Pension Contribution Cap for such period or (y) is projected or reasonably expected (in each case by the Borrower in good faith) to make contributions to any Multiemployer Plan in the next twelve month period that exceed in the aggregate among all such Persons the Pension Contribution Cap for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Pension Contribution Cap may be exceeded solely to facilitate a compromise, settlement, rearrangement or other restructuring of liabilities under such Multiemployer Plan with the consent of the Required Lenders (such consent not to be unreasonably withheld, delayed or conditioned or denied));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w:t>
      </w:r>
    </w:p>
    <w:p>
      <w:pPr>
        <w:spacing w:after="0" w:line="3" w:lineRule="exact"/>
        <w:rPr>
          <w:sz w:val="20"/>
          <w:szCs w:val="20"/>
          <w:color w:val="auto"/>
        </w:rPr>
      </w:pPr>
    </w:p>
    <w:p>
      <w:pPr>
        <w:ind w:firstLine="8"/>
        <w:spacing w:after="0" w:line="236" w:lineRule="auto"/>
        <w:tabs>
          <w:tab w:leader="none" w:pos="383" w:val="left"/>
        </w:tabs>
        <w:numPr>
          <w:ilvl w:val="0"/>
          <w:numId w:val="229"/>
        </w:numPr>
        <w:rPr>
          <w:rFonts w:ascii="Arial" w:cs="Arial" w:eastAsia="Arial" w:hAnsi="Arial"/>
          <w:sz w:val="22"/>
          <w:szCs w:val="22"/>
          <w:color w:val="auto"/>
        </w:rPr>
      </w:pPr>
      <w:r>
        <w:rPr>
          <w:rFonts w:ascii="Arial" w:cs="Arial" w:eastAsia="Arial" w:hAnsi="Arial"/>
          <w:sz w:val="22"/>
          <w:szCs w:val="22"/>
          <w:color w:val="auto"/>
        </w:rPr>
        <w:t>shall not apply if on the applicable date of determination Consolidated EBITDA for the most recent Test Period ending prior to such date of determination as set forth in the most recent Compliance Certificate received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color w:val="auto"/>
        </w:rPr>
        <w:t xml:space="preserve">by the Administrative Agent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on or prior to such date of determination exceeds $400,000,000; or</w:t>
      </w:r>
    </w:p>
    <w:p>
      <w:pPr>
        <w:spacing w:after="0" w:line="24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(m) </w:t>
      </w:r>
      <w:r>
        <w:rPr>
          <w:rFonts w:ascii="Arial" w:cs="Arial" w:eastAsia="Arial" w:hAnsi="Arial"/>
          <w:sz w:val="19"/>
          <w:szCs w:val="19"/>
          <w:i w:val="1"/>
          <w:iCs w:val="1"/>
          <w:color w:val="auto"/>
        </w:rPr>
        <w:t>Junior Financing Documentation</w:t>
      </w:r>
      <w:r>
        <w:rPr>
          <w:rFonts w:ascii="Arial" w:cs="Arial" w:eastAsia="Arial" w:hAnsi="Arial"/>
          <w:sz w:val="19"/>
          <w:szCs w:val="19"/>
          <w:color w:val="auto"/>
        </w:rPr>
        <w:t>. (i) Any of the Obligations of the Loan Parties under the Loan Documents for any reason shall cease to be, or shall be asserted by any Loan Party not to be, “Senior Indebtedness” (or any comparable term) or “Senior Secured Financing” (or any comparable term) under, and as defined in, any Junior Financing Documentation in respect of any Junior Financing that is, or is required by this Agreement to be, Subordinated Indebtedness or</w:t>
      </w:r>
    </w:p>
    <w:p>
      <w:pPr>
        <w:spacing w:after="0" w:line="3" w:lineRule="exact"/>
        <w:rPr>
          <w:sz w:val="20"/>
          <w:szCs w:val="20"/>
          <w:color w:val="auto"/>
        </w:rPr>
      </w:pPr>
    </w:p>
    <w:p>
      <w:pPr>
        <w:jc w:val="both"/>
        <w:ind w:firstLine="8"/>
        <w:spacing w:after="0" w:line="233" w:lineRule="auto"/>
        <w:tabs>
          <w:tab w:leader="none" w:pos="32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subordination provisions set forth in any Junior Financing Documentation in respect of any Junior Financing that is, or is required by this Agreement to be, Subordinated Indebtedness shall, in whole or in part, cease to be, or shall be asserted by any Loan Party not to be, effective or legally valid, binding and enforceable against the holders of any such Junior Financing, if applicable (other than as a result of acts or omissions by the Administrative Agent or Collateral Agent or the satisfaction in full of all the Obligations (other than contingent obligations)); or</w:t>
      </w:r>
    </w:p>
    <w:p>
      <w:pPr>
        <w:spacing w:after="0" w:line="185" w:lineRule="exact"/>
        <w:rPr>
          <w:rFonts w:ascii="Arial" w:cs="Arial" w:eastAsia="Arial" w:hAnsi="Arial"/>
          <w:sz w:val="22"/>
          <w:szCs w:val="22"/>
          <w:color w:val="auto"/>
        </w:rPr>
      </w:pPr>
    </w:p>
    <w:p>
      <w:pPr>
        <w:ind w:firstLine="872"/>
        <w:spacing w:after="0" w:line="250" w:lineRule="auto"/>
        <w:tabs>
          <w:tab w:leader="none" w:pos="2411" w:val="left"/>
        </w:tabs>
        <w:numPr>
          <w:ilvl w:val="1"/>
          <w:numId w:val="230"/>
        </w:numPr>
        <w:rPr>
          <w:rFonts w:ascii="Arial" w:cs="Arial" w:eastAsia="Arial" w:hAnsi="Arial"/>
          <w:sz w:val="22"/>
          <w:szCs w:val="22"/>
          <w:color w:val="auto"/>
        </w:rPr>
      </w:pPr>
      <w:r>
        <w:rPr>
          <w:rFonts w:ascii="Arial" w:cs="Arial" w:eastAsia="Arial" w:hAnsi="Arial"/>
          <w:sz w:val="22"/>
          <w:szCs w:val="22"/>
          <w:i w:val="1"/>
          <w:iCs w:val="1"/>
          <w:color w:val="auto"/>
        </w:rPr>
        <w:t>IBT Agreement</w:t>
      </w:r>
      <w:r>
        <w:rPr>
          <w:rFonts w:ascii="Arial" w:cs="Arial" w:eastAsia="Arial" w:hAnsi="Arial"/>
          <w:sz w:val="22"/>
          <w:szCs w:val="22"/>
          <w:color w:val="auto"/>
        </w:rPr>
        <w:t>. The IBT Agreement shall be declared invalid or illegal, shall be terminated, or shall</w:t>
      </w:r>
      <w:r>
        <w:rPr>
          <w:rFonts w:ascii="Arial" w:cs="Arial" w:eastAsia="Arial" w:hAnsi="Arial"/>
          <w:sz w:val="22"/>
          <w:szCs w:val="22"/>
          <w:i w:val="1"/>
          <w:iCs w:val="1"/>
          <w:color w:val="auto"/>
        </w:rPr>
        <w:t xml:space="preserve"> </w:t>
      </w:r>
      <w:r>
        <w:rPr>
          <w:rFonts w:ascii="Arial" w:cs="Arial" w:eastAsia="Arial" w:hAnsi="Arial"/>
          <w:sz w:val="22"/>
          <w:szCs w:val="22"/>
          <w:color w:val="auto"/>
        </w:rPr>
        <w:t>no longer be in full force and effect.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Remedies Upon Event of Default</w:t>
      </w:r>
    </w:p>
    <w:p>
      <w:pPr>
        <w:spacing w:after="0" w:line="206" w:lineRule="exact"/>
        <w:rPr>
          <w:sz w:val="20"/>
          <w:szCs w:val="20"/>
          <w:color w:val="auto"/>
        </w:rPr>
      </w:pPr>
    </w:p>
    <w:p>
      <w:pPr>
        <w:ind w:firstLine="872"/>
        <w:spacing w:after="0" w:line="250" w:lineRule="auto"/>
        <w:tabs>
          <w:tab w:leader="none" w:pos="1053" w:val="left"/>
        </w:tabs>
        <w:numPr>
          <w:ilvl w:val="0"/>
          <w:numId w:val="231"/>
        </w:numPr>
        <w:rPr>
          <w:rFonts w:ascii="Arial" w:cs="Arial" w:eastAsia="Arial" w:hAnsi="Arial"/>
          <w:sz w:val="22"/>
          <w:szCs w:val="22"/>
          <w:i w:val="1"/>
          <w:iCs w:val="1"/>
          <w:color w:val="auto"/>
        </w:rPr>
      </w:pPr>
      <w:r>
        <w:rPr>
          <w:rFonts w:ascii="Arial" w:cs="Arial" w:eastAsia="Arial" w:hAnsi="Arial"/>
          <w:sz w:val="22"/>
          <w:szCs w:val="22"/>
          <w:color w:val="auto"/>
        </w:rPr>
        <w:t>If any Event of Default occurs and is continuing the Administrative Agent may, and at the request of the Required Lenders shall, take any or all of the following actions:</w:t>
      </w:r>
    </w:p>
    <w:p>
      <w:pPr>
        <w:spacing w:after="0" w:line="175"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(i)declare the commitment of each Lender to make Loans to be terminated, whereupon such commitments shall be terminated;</w:t>
      </w:r>
    </w:p>
    <w:p>
      <w:pPr>
        <w:spacing w:after="0" w:line="175" w:lineRule="exact"/>
        <w:rPr>
          <w:sz w:val="20"/>
          <w:szCs w:val="20"/>
          <w:color w:val="auto"/>
        </w:rPr>
      </w:pPr>
    </w:p>
    <w:p>
      <w:pPr>
        <w:jc w:val="both"/>
        <w:ind w:left="880" w:firstLine="797"/>
        <w:spacing w:after="0" w:line="236" w:lineRule="auto"/>
        <w:rPr>
          <w:sz w:val="20"/>
          <w:szCs w:val="20"/>
          <w:color w:val="auto"/>
        </w:rPr>
      </w:pPr>
      <w:r>
        <w:rPr>
          <w:rFonts w:ascii="Arial" w:cs="Arial" w:eastAsia="Arial" w:hAnsi="Arial"/>
          <w:sz w:val="22"/>
          <w:szCs w:val="22"/>
          <w:color w:val="auto"/>
        </w:rPr>
        <w:t>(ii)declare the unpaid principal amount of all outstanding Loans, all interest accrued and unpaid thereon, premium (including the Prepayment Premium) and all other amounts owing or payable or accrued hereunder or under any other Loan Document to be immediately due and payable, without presentment, demand, protest or other notice of any kind, all of which are hereby expressly waived (to the extent permitted by applicable law) by the Borrower and each other Loan Party; and</w:t>
      </w:r>
    </w:p>
    <w:p>
      <w:pPr>
        <w:spacing w:after="0" w:line="187" w:lineRule="exact"/>
        <w:rPr>
          <w:sz w:val="20"/>
          <w:szCs w:val="20"/>
          <w:color w:val="auto"/>
        </w:rPr>
      </w:pPr>
    </w:p>
    <w:p>
      <w:pPr>
        <w:jc w:val="both"/>
        <w:ind w:left="880" w:firstLine="797"/>
        <w:spacing w:after="0" w:line="328" w:lineRule="auto"/>
        <w:rPr>
          <w:sz w:val="20"/>
          <w:szCs w:val="20"/>
          <w:color w:val="auto"/>
        </w:rPr>
      </w:pPr>
      <w:r>
        <w:rPr>
          <w:rFonts w:ascii="Arial" w:cs="Arial" w:eastAsia="Arial" w:hAnsi="Arial"/>
          <w:sz w:val="19"/>
          <w:szCs w:val="19"/>
          <w:color w:val="auto"/>
        </w:rPr>
        <w:t>(iii)subject to the terms, conditions and provisions of any Intercreditor Agreement, exercise on behalf of itself and the Lenders all rights and remedies available to it and the Lenders under the Loan Documents or applicable Law;</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upon the occurrence of an actual or deemed entry of an order for relief with respect to the Borrower under the</w:t>
      </w:r>
      <w:r>
        <w:rPr>
          <w:rFonts w:ascii="Arial" w:cs="Arial" w:eastAsia="Arial" w:hAnsi="Arial"/>
          <w:sz w:val="21"/>
          <w:szCs w:val="21"/>
          <w:i w:val="1"/>
          <w:iCs w:val="1"/>
          <w:color w:val="auto"/>
        </w:rPr>
        <w:t xml:space="preserve"> </w:t>
      </w:r>
      <w:r>
        <w:rPr>
          <w:rFonts w:ascii="Arial" w:cs="Arial" w:eastAsia="Arial" w:hAnsi="Arial"/>
          <w:sz w:val="21"/>
          <w:szCs w:val="21"/>
          <w:color w:val="auto"/>
        </w:rPr>
        <w:t>Bankruptcy Code of the United States, the obligation of each Lender to make Loans shall automatically terminate, the unpaid principal amount of all outstanding Loans and all interest, premium (including the Prepayment Premium) and other amounts as aforesaid shall automatically become due and payable, in each case without further act of the Administrative Agent or any Lender, and without presentment, demand, protest or other notice of any kind, all of which are hereby expressly waived (to the extent permitted by applicable law) by the Borrower and each other Loan Party.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Exclusion of Immaterial Subsidiaries</w:t>
      </w:r>
    </w:p>
    <w:p>
      <w:pPr>
        <w:spacing w:after="0" w:line="206" w:lineRule="exact"/>
        <w:rPr>
          <w:sz w:val="20"/>
          <w:szCs w:val="20"/>
          <w:color w:val="auto"/>
        </w:rPr>
      </w:pPr>
    </w:p>
    <w:p>
      <w:pPr>
        <w:ind w:right="20" w:firstLine="872"/>
        <w:spacing w:after="0" w:line="328" w:lineRule="auto"/>
        <w:tabs>
          <w:tab w:leader="none" w:pos="1026" w:val="left"/>
        </w:tabs>
        <w:numPr>
          <w:ilvl w:val="0"/>
          <w:numId w:val="232"/>
        </w:numPr>
        <w:rPr>
          <w:rFonts w:ascii="Arial" w:cs="Arial" w:eastAsia="Arial" w:hAnsi="Arial"/>
          <w:sz w:val="19"/>
          <w:szCs w:val="19"/>
          <w:i w:val="1"/>
          <w:iCs w:val="1"/>
          <w:color w:val="auto"/>
        </w:rPr>
      </w:pPr>
      <w:r>
        <w:rPr>
          <w:rFonts w:ascii="Arial" w:cs="Arial" w:eastAsia="Arial" w:hAnsi="Arial"/>
          <w:sz w:val="19"/>
          <w:szCs w:val="19"/>
          <w:color w:val="auto"/>
        </w:rPr>
        <w:t xml:space="preserve">Solely for the purpose of determining whether a Default or an Event of Default has occurred under clause (f) or (g) of </w:t>
      </w:r>
      <w:r>
        <w:rPr>
          <w:rFonts w:ascii="Arial" w:cs="Arial" w:eastAsia="Arial" w:hAnsi="Arial"/>
          <w:sz w:val="19"/>
          <w:szCs w:val="19"/>
          <w:u w:val="single" w:color="auto"/>
          <w:color w:val="auto"/>
        </w:rPr>
        <w:t>Section 8.01</w:t>
      </w:r>
      <w:r>
        <w:rPr>
          <w:rFonts w:ascii="Arial" w:cs="Arial" w:eastAsia="Arial" w:hAnsi="Arial"/>
          <w:sz w:val="19"/>
          <w:szCs w:val="19"/>
          <w:color w:val="auto"/>
        </w:rPr>
        <w:t>, any reference in any such clause to any Restricted Subsidiary or Loan Party shall be deemed not to</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7" w:name="page188"/>
    <w:bookmarkEnd w:id="187"/>
    <w:p>
      <w:pPr>
        <w:spacing w:after="0" w:line="250" w:lineRule="auto"/>
        <w:rPr>
          <w:sz w:val="20"/>
          <w:szCs w:val="20"/>
          <w:color w:val="auto"/>
        </w:rPr>
      </w:pPr>
      <w:r>
        <w:rPr>
          <w:rFonts w:ascii="Arial" w:cs="Arial" w:eastAsia="Arial" w:hAnsi="Arial"/>
          <w:sz w:val="22"/>
          <w:szCs w:val="22"/>
          <w:color w:val="auto"/>
        </w:rPr>
        <w:t>include any Restricted Subsidiary affected by any event or circumstances referred to in any such clause that was, as of the last day of the most recent completed fiscal quarter of the Borrower, an Immaterial Subsidiary.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Application of Funds</w:t>
      </w:r>
    </w:p>
    <w:p>
      <w:pPr>
        <w:spacing w:after="0" w:line="206" w:lineRule="exact"/>
        <w:rPr>
          <w:sz w:val="20"/>
          <w:szCs w:val="20"/>
          <w:color w:val="auto"/>
        </w:rPr>
      </w:pPr>
    </w:p>
    <w:p>
      <w:pPr>
        <w:jc w:val="both"/>
        <w:ind w:firstLine="872"/>
        <w:spacing w:after="0" w:line="252" w:lineRule="auto"/>
        <w:tabs>
          <w:tab w:leader="none" w:pos="1105" w:val="left"/>
        </w:tabs>
        <w:numPr>
          <w:ilvl w:val="0"/>
          <w:numId w:val="233"/>
        </w:numPr>
        <w:rPr>
          <w:rFonts w:ascii="Arial" w:cs="Arial" w:eastAsia="Arial" w:hAnsi="Arial"/>
          <w:sz w:val="21"/>
          <w:szCs w:val="21"/>
          <w:color w:val="auto"/>
        </w:rPr>
      </w:pPr>
      <w:r>
        <w:rPr>
          <w:rFonts w:ascii="Arial" w:cs="Arial" w:eastAsia="Arial" w:hAnsi="Arial"/>
          <w:sz w:val="21"/>
          <w:szCs w:val="21"/>
          <w:color w:val="auto"/>
        </w:rPr>
        <w:t xml:space="preserve">Subject to the terms, conditions and provisions of each Intercreditor Agreement, after the exercise of remedies provided for in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(or after the Loans have automatically become immediately due and payable as set forth in the proviso to </w:t>
      </w:r>
      <w:r>
        <w:rPr>
          <w:rFonts w:ascii="Arial" w:cs="Arial" w:eastAsia="Arial" w:hAnsi="Arial"/>
          <w:sz w:val="21"/>
          <w:szCs w:val="21"/>
          <w:u w:val="single" w:color="auto"/>
          <w:color w:val="auto"/>
        </w:rPr>
        <w:t>Section 8.02</w:t>
      </w:r>
      <w:r>
        <w:rPr>
          <w:rFonts w:ascii="Arial" w:cs="Arial" w:eastAsia="Arial" w:hAnsi="Arial"/>
          <w:sz w:val="21"/>
          <w:szCs w:val="21"/>
          <w:color w:val="auto"/>
        </w:rPr>
        <w:t>), any amounts received on account of the Obligations shall be applied by the Administrative Agent in the following order (to the fullest extent permitted by mandatory provisions of applicable Law):</w:t>
      </w:r>
    </w:p>
    <w:p>
      <w:pPr>
        <w:spacing w:after="0" w:line="174"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payment of that portion of the Obligations constituting fees, indemnities, expenses and other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amounts (other than principal and interest, but including Attorney Costs payable under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and amounts payable under </w:t>
      </w:r>
      <w:r>
        <w:rPr>
          <w:rFonts w:ascii="Arial" w:cs="Arial" w:eastAsia="Arial" w:hAnsi="Arial"/>
          <w:sz w:val="21"/>
          <w:szCs w:val="21"/>
          <w:u w:val="single" w:color="auto"/>
          <w:color w:val="auto"/>
        </w:rPr>
        <w:t>Article 3</w:t>
      </w:r>
      <w:r>
        <w:rPr>
          <w:rFonts w:ascii="Arial" w:cs="Arial" w:eastAsia="Arial" w:hAnsi="Arial"/>
          <w:sz w:val="21"/>
          <w:szCs w:val="21"/>
          <w:color w:val="auto"/>
        </w:rPr>
        <w:t>) payable to the Administrative Agent or the Collateral Agent in its capacity as such;</w:t>
      </w:r>
    </w:p>
    <w:p>
      <w:pPr>
        <w:spacing w:after="0" w:line="169"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payment of that portion of the Obligations constituting fees, indemnities, premium (including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Prepayment Premium) and other amounts (other than principal and interest) payable to the Lenders (including Attorney Costs payable under </w:t>
      </w:r>
      <w:r>
        <w:rPr>
          <w:rFonts w:ascii="Arial" w:cs="Arial" w:eastAsia="Arial" w:hAnsi="Arial"/>
          <w:sz w:val="22"/>
          <w:szCs w:val="22"/>
          <w:u w:val="single" w:color="auto"/>
          <w:color w:val="auto"/>
        </w:rPr>
        <w:t>Section 10.05</w:t>
      </w:r>
      <w:r>
        <w:rPr>
          <w:rFonts w:ascii="Arial" w:cs="Arial" w:eastAsia="Arial" w:hAnsi="Arial"/>
          <w:sz w:val="22"/>
          <w:szCs w:val="22"/>
          <w:color w:val="auto"/>
        </w:rPr>
        <w:t xml:space="preserve"> and amounts payable under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ratably among them in proportion to the amounts described in this clause </w:t>
      </w:r>
      <w:r>
        <w:rPr>
          <w:rFonts w:ascii="Arial" w:cs="Arial" w:eastAsia="Arial" w:hAnsi="Arial"/>
          <w:sz w:val="22"/>
          <w:szCs w:val="22"/>
          <w:i w:val="1"/>
          <w:iCs w:val="1"/>
          <w:color w:val="auto"/>
        </w:rPr>
        <w:t>Second</w:t>
      </w:r>
      <w:r>
        <w:rPr>
          <w:rFonts w:ascii="Arial" w:cs="Arial" w:eastAsia="Arial" w:hAnsi="Arial"/>
          <w:sz w:val="22"/>
          <w:szCs w:val="22"/>
          <w:color w:val="auto"/>
        </w:rPr>
        <w:t xml:space="preserve"> payable to them;</w:t>
      </w:r>
    </w:p>
    <w:p>
      <w:pPr>
        <w:spacing w:after="0" w:line="185" w:lineRule="exact"/>
        <w:rPr>
          <w:sz w:val="20"/>
          <w:szCs w:val="20"/>
          <w:color w:val="auto"/>
        </w:rPr>
      </w:pPr>
    </w:p>
    <w:p>
      <w:pPr>
        <w:jc w:val="both"/>
        <w:ind w:right="20" w:firstLine="1727"/>
        <w:spacing w:after="0" w:line="328" w:lineRule="auto"/>
        <w:rPr>
          <w:sz w:val="20"/>
          <w:szCs w:val="20"/>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to payment of that portion of the Obligations constituting accrued and unpaid interest on the Loans,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ratably among the Secured Parties in proportion to the respective amounts described in this clause </w:t>
      </w:r>
      <w:r>
        <w:rPr>
          <w:rFonts w:ascii="Arial" w:cs="Arial" w:eastAsia="Arial" w:hAnsi="Arial"/>
          <w:sz w:val="19"/>
          <w:szCs w:val="19"/>
          <w:i w:val="1"/>
          <w:iCs w:val="1"/>
          <w:color w:val="auto"/>
        </w:rPr>
        <w:t>Third</w:t>
      </w:r>
      <w:r>
        <w:rPr>
          <w:rFonts w:ascii="Arial" w:cs="Arial" w:eastAsia="Arial" w:hAnsi="Arial"/>
          <w:sz w:val="19"/>
          <w:szCs w:val="19"/>
          <w:color w:val="auto"/>
        </w:rPr>
        <w:t xml:space="preserve"> payable to them;</w:t>
      </w:r>
    </w:p>
    <w:p>
      <w:pPr>
        <w:spacing w:after="0" w:line="105"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i w:val="1"/>
          <w:iCs w:val="1"/>
          <w:color w:val="auto"/>
        </w:rPr>
        <w:t>Fourth</w:t>
      </w:r>
      <w:r>
        <w:rPr>
          <w:rFonts w:ascii="Arial" w:cs="Arial" w:eastAsia="Arial" w:hAnsi="Arial"/>
          <w:sz w:val="21"/>
          <w:szCs w:val="21"/>
          <w:color w:val="auto"/>
        </w:rPr>
        <w:t>, to payment of that portion of the Obligations constituting unpaid principal of the Loans, ratably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among the Secured Parties in proportion to the respective amounts described in this clause </w:t>
      </w:r>
      <w:r>
        <w:rPr>
          <w:rFonts w:ascii="Arial" w:cs="Arial" w:eastAsia="Arial" w:hAnsi="Arial"/>
          <w:sz w:val="21"/>
          <w:szCs w:val="21"/>
          <w:i w:val="1"/>
          <w:iCs w:val="1"/>
          <w:color w:val="auto"/>
        </w:rPr>
        <w:t>Fourth</w:t>
      </w:r>
      <w:r>
        <w:rPr>
          <w:rFonts w:ascii="Arial" w:cs="Arial" w:eastAsia="Arial" w:hAnsi="Arial"/>
          <w:sz w:val="21"/>
          <w:szCs w:val="21"/>
          <w:color w:val="auto"/>
        </w:rPr>
        <w:t xml:space="preserve"> held by them;</w:t>
      </w:r>
    </w:p>
    <w:p>
      <w:pPr>
        <w:spacing w:after="0" w:line="151" w:lineRule="exact"/>
        <w:rPr>
          <w:sz w:val="20"/>
          <w:szCs w:val="20"/>
          <w:color w:val="auto"/>
        </w:rPr>
      </w:pPr>
    </w:p>
    <w:p>
      <w:pPr>
        <w:jc w:val="both"/>
        <w:ind w:firstLine="1727"/>
        <w:spacing w:after="0"/>
        <w:rPr>
          <w:sz w:val="20"/>
          <w:szCs w:val="20"/>
          <w:color w:val="auto"/>
        </w:rPr>
      </w:pPr>
      <w:r>
        <w:rPr>
          <w:rFonts w:ascii="Arial" w:cs="Arial" w:eastAsia="Arial" w:hAnsi="Arial"/>
          <w:sz w:val="22"/>
          <w:szCs w:val="22"/>
          <w:i w:val="1"/>
          <w:iCs w:val="1"/>
          <w:color w:val="auto"/>
        </w:rPr>
        <w:t>Fifth</w:t>
      </w:r>
      <w:r>
        <w:rPr>
          <w:rFonts w:ascii="Arial" w:cs="Arial" w:eastAsia="Arial" w:hAnsi="Arial"/>
          <w:sz w:val="22"/>
          <w:szCs w:val="22"/>
          <w:color w:val="auto"/>
        </w:rPr>
        <w:t>, to the payment of all other Obligations of the Borrower that are due and payable to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Agent and the other Secured Parties on such date, ratably based upon the respective aggregate amounts of all such Obligations owing to the Administrative Agent and the other Secured Parties on such date; and</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i w:val="1"/>
          <w:iCs w:val="1"/>
          <w:color w:val="auto"/>
        </w:rPr>
        <w:t>Last</w:t>
      </w:r>
      <w:r>
        <w:rPr>
          <w:rFonts w:ascii="Arial" w:cs="Arial" w:eastAsia="Arial" w:hAnsi="Arial"/>
          <w:sz w:val="22"/>
          <w:szCs w:val="22"/>
          <w:color w:val="auto"/>
        </w:rPr>
        <w:t>, the balance, if any, after all of the Obligations (other than contingent obligations) have been paid in full,</w:t>
      </w:r>
      <w:r>
        <w:rPr>
          <w:rFonts w:ascii="Arial" w:cs="Arial" w:eastAsia="Arial" w:hAnsi="Arial"/>
          <w:sz w:val="22"/>
          <w:szCs w:val="22"/>
          <w:i w:val="1"/>
          <w:iCs w:val="1"/>
          <w:color w:val="auto"/>
        </w:rPr>
        <w:t xml:space="preserve"> </w:t>
      </w:r>
      <w:r>
        <w:rPr>
          <w:rFonts w:ascii="Arial" w:cs="Arial" w:eastAsia="Arial" w:hAnsi="Arial"/>
          <w:sz w:val="22"/>
          <w:szCs w:val="22"/>
          <w:color w:val="auto"/>
        </w:rPr>
        <w:t>to the Borrower or as otherwise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HE</w:t>
      </w:r>
      <w:r>
        <w:rPr>
          <w:rFonts w:ascii="Arial" w:cs="Arial" w:eastAsia="Arial" w:hAnsi="Arial"/>
          <w:sz w:val="22"/>
          <w:szCs w:val="22"/>
          <w:color w:val="auto"/>
        </w:rPr>
        <w:t xml:space="preserve"> A</w:t>
      </w:r>
      <w:r>
        <w:rPr>
          <w:rFonts w:ascii="Arial" w:cs="Arial" w:eastAsia="Arial" w:hAnsi="Arial"/>
          <w:sz w:val="14"/>
          <w:szCs w:val="14"/>
          <w:color w:val="auto"/>
        </w:rPr>
        <w:t>DMINISTRATIVE</w:t>
      </w:r>
      <w:r>
        <w:rPr>
          <w:rFonts w:ascii="Arial" w:cs="Arial" w:eastAsia="Arial" w:hAnsi="Arial"/>
          <w:sz w:val="22"/>
          <w:szCs w:val="22"/>
          <w:color w:val="auto"/>
        </w:rPr>
        <w:t xml:space="preserve"> A</w:t>
      </w:r>
      <w:r>
        <w:rPr>
          <w:rFonts w:ascii="Arial" w:cs="Arial" w:eastAsia="Arial" w:hAnsi="Arial"/>
          <w:sz w:val="14"/>
          <w:szCs w:val="14"/>
          <w:color w:val="auto"/>
        </w:rPr>
        <w:t>GENT AND THE</w:t>
      </w:r>
      <w:r>
        <w:rPr>
          <w:rFonts w:ascii="Arial" w:cs="Arial" w:eastAsia="Arial" w:hAnsi="Arial"/>
          <w:sz w:val="22"/>
          <w:szCs w:val="22"/>
          <w:color w:val="auto"/>
        </w:rPr>
        <w:t xml:space="preserve"> C</w:t>
      </w:r>
      <w:r>
        <w:rPr>
          <w:rFonts w:ascii="Arial" w:cs="Arial" w:eastAsia="Arial" w:hAnsi="Arial"/>
          <w:sz w:val="14"/>
          <w:szCs w:val="14"/>
          <w:color w:val="auto"/>
        </w:rPr>
        <w:t>OLLATERAL</w:t>
      </w:r>
      <w:r>
        <w:rPr>
          <w:rFonts w:ascii="Arial" w:cs="Arial" w:eastAsia="Arial" w:hAnsi="Arial"/>
          <w:sz w:val="22"/>
          <w:szCs w:val="22"/>
          <w:color w:val="auto"/>
        </w:rPr>
        <w:t xml:space="preserve"> A</w:t>
      </w:r>
      <w:r>
        <w:rPr>
          <w:rFonts w:ascii="Arial" w:cs="Arial" w:eastAsia="Arial" w:hAnsi="Arial"/>
          <w:sz w:val="14"/>
          <w:szCs w:val="14"/>
          <w:color w:val="auto"/>
        </w:rPr>
        <w:t>GENT</w:t>
      </w:r>
    </w:p>
    <w:p>
      <w:pPr>
        <w:spacing w:after="0" w:line="18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Each Lender hereby irrevocably appoints the Administrative Agent and the Collateral Agent (for purposes of this Article 9, the Administrative Agent and the Collateral Agent are referred to collectively as the “</w:t>
      </w:r>
      <w:r>
        <w:rPr>
          <w:rFonts w:ascii="Arial" w:cs="Arial" w:eastAsia="Arial" w:hAnsi="Arial"/>
          <w:sz w:val="22"/>
          <w:szCs w:val="22"/>
          <w:b w:val="1"/>
          <w:bCs w:val="1"/>
          <w:color w:val="auto"/>
        </w:rPr>
        <w:t>Agents</w:t>
      </w:r>
      <w:r>
        <w:rPr>
          <w:rFonts w:ascii="Arial" w:cs="Arial" w:eastAsia="Arial" w:hAnsi="Arial"/>
          <w:sz w:val="22"/>
          <w:szCs w:val="22"/>
          <w:color w:val="auto"/>
        </w:rPr>
        <w:t>”) its agent and authorizes the Agents to take such actions on its behalf and to exercise such powers as are delegated to such Agent by the terms of the Loan Documents, together with such actions and powers as are reasonably incidental or related thereto. Without limiting the generality of the foregoing, the Agents are hereby expressly authorized to (i) execute any and all documents (including releases) with respect to the Collateral and the rights of</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8" w:name="page189"/>
    <w:bookmarkEnd w:id="188"/>
    <w:p>
      <w:pPr>
        <w:jc w:val="both"/>
        <w:spacing w:after="0" w:line="235" w:lineRule="auto"/>
        <w:rPr>
          <w:sz w:val="20"/>
          <w:szCs w:val="20"/>
          <w:color w:val="auto"/>
        </w:rPr>
      </w:pPr>
      <w:r>
        <w:rPr>
          <w:rFonts w:ascii="Arial" w:cs="Arial" w:eastAsia="Arial" w:hAnsi="Arial"/>
          <w:sz w:val="22"/>
          <w:szCs w:val="22"/>
          <w:color w:val="auto"/>
        </w:rPr>
        <w:t>the Secured Parties with respect thereto, as contemplated by and in accordance with the provisions of this Agreement and the Collateral Documents (including, for the avoidance of doubt, (x) the ABL Intercreditor Agreement, including any amendment or supplement expressly contemplated thereby and (y) upon the incurrence of any Permitted Second Priority Additional Debt, the Second Lien Intercreditor Agreement) and (ii) negotiate, enforce or settle any claim, action or proceeding affecting the Lenders in their capacity as such, at the direction of the Required Lenders, which negotiation, enforcement or settlement will be binding upon each Lender.</w:t>
      </w:r>
    </w:p>
    <w:p>
      <w:pPr>
        <w:spacing w:after="0" w:line="18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The institution serving as the Administrative Agent and/or the Collateral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Borrower or any Subsidiary or other Affiliate thereof as if it were not an Agent hereunder. The Agents shall not, except as expressly set forth herein and in the other Loan Documents, have any duty to disclose, and shall not be liable for the failure to disclose, any information relating to the Borrower or any Loan Party that is communicated or obtained by the Person serving as Administrative Agent or Collateral Agent, as applicable, or any of their Affiliates in any capacity.</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and (c) except as expressly set forth in the Loan Documents, neither Agent shall have any duty to disclose, nor shall it be liable for the failure to disclose, any information relating to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in the absence of its own gross negligence or willful misconduct as determined by the final non-appealable judgment of a court of competent jurisdiction. Notwithstanding the foregoing, no action nor any omission to act, taken by either Agent at the direction of the Required Lenders (or such other number of percentage of Lenders as shall be expressly provided for herein or in the other Loan Documents) shall constitute gross negligence or willful misconduct. Neither Agent shall be deemed to have knowledge of any Default unless and until written notice thereof, conspicuously labeled as a “notice of default” and specifically describing such Default, is given to such Agent by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or elsewhere in any Loan Document, other than to confirm receipt of items expressly required to be delivered to such Agent.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9" w:name="page190"/>
    <w:bookmarkEnd w:id="189"/>
    <w:p>
      <w:pPr>
        <w:jc w:val="both"/>
        <w:ind w:firstLine="864"/>
        <w:spacing w:after="0" w:line="234" w:lineRule="auto"/>
        <w:rPr>
          <w:sz w:val="20"/>
          <w:szCs w:val="20"/>
          <w:color w:val="auto"/>
        </w:rPr>
      </w:pPr>
      <w:r>
        <w:rPr>
          <w:rFonts w:ascii="Arial" w:cs="Arial" w:eastAsia="Arial" w:hAnsi="Arial"/>
          <w:sz w:val="22"/>
          <w:szCs w:val="22"/>
          <w:color w:val="auto"/>
        </w:rPr>
        <w:t>Each Agent shall be entitled to rely upon, and shall not incur any liability for relying upon, any notice, request, certificate,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(other than Disqualified Lenders). The exculpatory provisions of the preceding paragraphs shall apply to any such sub-agent and to the Related Parties (other than Disqualified Lenders) of each Agent and any such sub-agent, and shall apply to their respective activities in connection with the arrangement of the Facilities as well as activities as Agent.</w:t>
      </w:r>
    </w:p>
    <w:p>
      <w:pPr>
        <w:spacing w:after="0" w:line="18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Either Agent may resign at any time by notifying the Lenders and the Borrower in writing, and either Agent may be removed at any time with or without cause by an instrument or concurrent instruments in writing delivered to the Borrower and such Agent and signed by the Required Lenders. Upon any such resignation or removal, the Required Lenders shall have the right, with the consent of the Borrower (which consent shall not be required during the continuance of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to appoint a successor. If no successor shall have been so appointed by the Required Lenders (with the consent of the Borrower (which consent shall not be required during the continuance of an Event of Default under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 and shall have accepted such appointment within 30 days after (i) the retiring Agent gives notice of its resignation or (ii) the Required Lenders delivers removal instructions, then the retiring or removed Agent may, on behalf of the Lenders (with the consent of the Borrower (which consent shall not be required during the continuance of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appoint a successor Agent which shall be a bank with an office in New York, New York, or an Affiliate of any such bank. If no successor Agent has been appointed pursuant to the immediately preceding, such Agent’s resignation or removal shall become effective and the Required Lenders shall thereafter perform all the duties of such Agent hereunder and/or under any other Loan Document until such time, if any, as the Required Lenders (with the consent of the Borrower (which consent shall not be required during the continuance of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appoint a successor Administrative Agent and/or Collateral Agent, as the case may be. Upon the acceptance of its appointment as Agent hereunder by a successor, such successor shall succeed to and become vested with all the rights, powers, privileges and duties of its predecessor Agent, and its predecessor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shall continue in effect for the benefit of such retiring Agent, its sub-agents and their respective Related Parties (other than Disqualified Lenders) in respect of any actions taken or omitted to be taken by any of them while acting as Agent.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0" w:name="page191"/>
    <w:bookmarkEnd w:id="190"/>
    <w:p>
      <w:pPr>
        <w:jc w:val="both"/>
        <w:ind w:firstLine="864"/>
        <w:spacing w:after="0" w:line="248" w:lineRule="auto"/>
        <w:rPr>
          <w:sz w:val="20"/>
          <w:szCs w:val="20"/>
          <w:color w:val="auto"/>
        </w:rPr>
      </w:pPr>
      <w:r>
        <w:rPr>
          <w:rFonts w:ascii="Arial" w:cs="Arial" w:eastAsia="Arial" w:hAnsi="Arial"/>
          <w:sz w:val="21"/>
          <w:szCs w:val="21"/>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177"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Each Lender acknowledges and agrees that Cortland Products Corp. or one or more of its Affiliates may (but is not obligated to) act as collateral agent or representative for the holders of ABL Facility Indebtedness, Permitted Second Priority Additional Debt, any Extended Term Loan or any Permitted Refinancing thereof under the collateral agreements with respect thereto and/or under the ABL Intercreditor Agreement or the Second Lien Intercreditor Agreement. Each Lender waives any conflict of interest, now contemplated or arising hereafter, in connection therewith and agrees not to assert against Cortland Products Corp. or any of its Affiliates any claims, causes of action, damages or liabilities of whatever kind or nature relating thereto.</w:t>
      </w:r>
    </w:p>
    <w:p>
      <w:pPr>
        <w:spacing w:after="0" w:line="19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 xml:space="preserve">In case of the pendency of any case or proceeding under any insolvency or other similar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the Agents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Agents any amount due for the reasonable compensation, expenses, disbursements and advances of the Administrative Agent and its agents and counsel, and any other amounts due to the Agents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10.05</w:t>
      </w:r>
      <w:r>
        <w:rPr>
          <w:rFonts w:ascii="Arial" w:cs="Arial" w:eastAsia="Arial" w:hAnsi="Arial"/>
          <w:sz w:val="19"/>
          <w:szCs w:val="19"/>
          <w:color w:val="auto"/>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Lenders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1" w:name="page192"/>
    <w:bookmarkEnd w:id="191"/>
    <w:p>
      <w:pPr>
        <w:jc w:val="both"/>
        <w:spacing w:after="0" w:line="269" w:lineRule="auto"/>
        <w:rPr>
          <w:sz w:val="20"/>
          <w:szCs w:val="20"/>
          <w:color w:val="auto"/>
        </w:rPr>
      </w:pPr>
      <w:r>
        <w:rPr>
          <w:rFonts w:ascii="Arial" w:cs="Arial" w:eastAsia="Arial" w:hAnsi="Arial"/>
          <w:sz w:val="19"/>
          <w:szCs w:val="19"/>
          <w:color w:val="auto"/>
        </w:rPr>
        <w:t>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amounts owed to the Agents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stock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stock thereof shall be governed, directly or indirectly, by the vote of the Required Lenders, irrespective of the termination of this Agreement, (iii) the Administrative Agent shall be authorized to assign the relevant Obligations to any such acquisition vehicle pro rata by the Lenders, as a result of which each of the Lenders shall be deemed to have received a pro rata portion of any stock and/or debt instruments issued by such an acquisition vehicle on account of the assignment of the Obligations to be credit bid, all without the need for the Administrative Agent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each Lenders pro rata and the stock and/or debt instruments issued by any acquisition vehicle on account of the Obligations that had been assigned to the acquisition vehicle shall automatically be cancelled, without the need for the Administrative Agent or any acquisition vehicle to take any further 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ISCELLANEOUS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Notices; Electronic Communications</w:t>
      </w:r>
    </w:p>
    <w:p>
      <w:pPr>
        <w:spacing w:after="0" w:line="206" w:lineRule="exact"/>
        <w:rPr>
          <w:sz w:val="20"/>
          <w:szCs w:val="20"/>
          <w:color w:val="auto"/>
        </w:rPr>
      </w:pPr>
    </w:p>
    <w:p>
      <w:pPr>
        <w:ind w:firstLine="872"/>
        <w:spacing w:after="0" w:line="250" w:lineRule="auto"/>
        <w:tabs>
          <w:tab w:leader="none" w:pos="1026" w:val="left"/>
        </w:tabs>
        <w:numPr>
          <w:ilvl w:val="0"/>
          <w:numId w:val="234"/>
        </w:numPr>
        <w:rPr>
          <w:rFonts w:ascii="Arial" w:cs="Arial" w:eastAsia="Arial" w:hAnsi="Arial"/>
          <w:sz w:val="22"/>
          <w:szCs w:val="22"/>
          <w:i w:val="1"/>
          <w:iCs w:val="1"/>
          <w:color w:val="auto"/>
        </w:rPr>
      </w:pPr>
      <w:r>
        <w:rPr>
          <w:rFonts w:ascii="Arial" w:cs="Arial" w:eastAsia="Arial" w:hAnsi="Arial"/>
          <w:sz w:val="22"/>
          <w:szCs w:val="22"/>
          <w:color w:val="auto"/>
        </w:rPr>
        <w:t>Notices and other communications provided for herein shall be in writing and shall be delivered by hand or overnight courier service, mailed by certified or registered mail or sent by email or fax, as follows:</w:t>
      </w:r>
    </w:p>
    <w:p>
      <w:pPr>
        <w:spacing w:after="0" w:line="175" w:lineRule="exact"/>
        <w:rPr>
          <w:sz w:val="20"/>
          <w:szCs w:val="20"/>
          <w:color w:val="auto"/>
        </w:rPr>
      </w:pPr>
    </w:p>
    <w:p>
      <w:pPr>
        <w:ind w:left="860"/>
        <w:spacing w:after="0"/>
        <w:tabs>
          <w:tab w:leader="none" w:pos="3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if to the Borrower or any other Loan Party, to it at: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YRC Worldwide Inc.</w:t>
      </w:r>
    </w:p>
    <w:p>
      <w:pPr>
        <w:ind w:left="1740"/>
        <w:spacing w:after="0" w:line="238" w:lineRule="auto"/>
        <w:rPr>
          <w:sz w:val="20"/>
          <w:szCs w:val="20"/>
          <w:color w:val="auto"/>
        </w:rPr>
      </w:pPr>
      <w:r>
        <w:rPr>
          <w:rFonts w:ascii="Arial" w:cs="Arial" w:eastAsia="Arial" w:hAnsi="Arial"/>
          <w:sz w:val="22"/>
          <w:szCs w:val="22"/>
          <w:color w:val="auto"/>
        </w:rPr>
        <w:t>Attention of Chief Financial Officer and General Counsel</w:t>
      </w:r>
    </w:p>
    <w:p>
      <w:pPr>
        <w:ind w:left="1740"/>
        <w:spacing w:after="0" w:line="230" w:lineRule="auto"/>
        <w:rPr>
          <w:sz w:val="20"/>
          <w:szCs w:val="20"/>
          <w:color w:val="auto"/>
        </w:rPr>
      </w:pPr>
      <w:r>
        <w:rPr>
          <w:rFonts w:ascii="Arial" w:cs="Arial" w:eastAsia="Arial" w:hAnsi="Arial"/>
          <w:sz w:val="22"/>
          <w:szCs w:val="22"/>
          <w:color w:val="auto"/>
        </w:rPr>
        <w:t>10990 Roe Avenue</w:t>
      </w:r>
    </w:p>
    <w:p>
      <w:pPr>
        <w:ind w:left="1740"/>
        <w:spacing w:after="0" w:line="231" w:lineRule="auto"/>
        <w:rPr>
          <w:sz w:val="20"/>
          <w:szCs w:val="20"/>
          <w:color w:val="auto"/>
        </w:rPr>
      </w:pPr>
      <w:r>
        <w:rPr>
          <w:rFonts w:ascii="Arial" w:cs="Arial" w:eastAsia="Arial" w:hAnsi="Arial"/>
          <w:sz w:val="22"/>
          <w:szCs w:val="22"/>
          <w:color w:val="auto"/>
        </w:rPr>
        <w:t>Overland Park, Kansas 66211</w:t>
      </w:r>
    </w:p>
    <w:p>
      <w:pPr>
        <w:ind w:left="1740"/>
        <w:spacing w:after="0" w:line="230" w:lineRule="auto"/>
        <w:rPr>
          <w:sz w:val="20"/>
          <w:szCs w:val="20"/>
          <w:color w:val="auto"/>
        </w:rPr>
      </w:pPr>
      <w:r>
        <w:rPr>
          <w:rFonts w:ascii="Arial" w:cs="Arial" w:eastAsia="Arial" w:hAnsi="Arial"/>
          <w:sz w:val="22"/>
          <w:szCs w:val="22"/>
          <w:color w:val="auto"/>
        </w:rPr>
        <w:t>Fax No. 913-696-6116</w:t>
      </w:r>
    </w:p>
    <w:p>
      <w:pPr>
        <w:ind w:left="1740"/>
        <w:spacing w:after="0" w:line="231" w:lineRule="auto"/>
        <w:rPr>
          <w:sz w:val="20"/>
          <w:szCs w:val="20"/>
          <w:color w:val="auto"/>
        </w:rPr>
      </w:pPr>
      <w:r>
        <w:rPr>
          <w:rFonts w:ascii="Arial" w:cs="Arial" w:eastAsia="Arial" w:hAnsi="Arial"/>
          <w:sz w:val="22"/>
          <w:szCs w:val="22"/>
          <w:color w:val="auto"/>
        </w:rPr>
        <w:t>Tel. No. 913-696-6529 or 913-696-6132</w:t>
      </w:r>
    </w:p>
    <w:p>
      <w:pPr>
        <w:ind w:left="1740"/>
        <w:spacing w:after="0"/>
        <w:rPr>
          <w:sz w:val="20"/>
          <w:szCs w:val="20"/>
          <w:color w:val="auto"/>
        </w:rPr>
      </w:pPr>
      <w:r>
        <w:rPr>
          <w:rFonts w:ascii="Arial" w:cs="Arial" w:eastAsia="Arial" w:hAnsi="Arial"/>
          <w:sz w:val="22"/>
          <w:szCs w:val="22"/>
          <w:color w:val="auto"/>
        </w:rPr>
        <w:t>Email: stephanie.fisher@yrcw.com and jim.fry@yrcw.com</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With copy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Kirkland &amp; Ellis LLP</w:t>
      </w:r>
    </w:p>
    <w:p>
      <w:pPr>
        <w:ind w:left="1740"/>
        <w:spacing w:after="0" w:line="238" w:lineRule="auto"/>
        <w:rPr>
          <w:sz w:val="20"/>
          <w:szCs w:val="20"/>
          <w:color w:val="auto"/>
        </w:rPr>
      </w:pPr>
      <w:r>
        <w:rPr>
          <w:rFonts w:ascii="Arial" w:cs="Arial" w:eastAsia="Arial" w:hAnsi="Arial"/>
          <w:sz w:val="22"/>
          <w:szCs w:val="22"/>
          <w:color w:val="auto"/>
        </w:rPr>
        <w:t>Attention of Michelle Kilkenney, Esq.</w:t>
      </w:r>
    </w:p>
    <w:p>
      <w:pPr>
        <w:ind w:left="1740"/>
        <w:spacing w:after="0" w:line="230" w:lineRule="auto"/>
        <w:rPr>
          <w:sz w:val="20"/>
          <w:szCs w:val="20"/>
          <w:color w:val="auto"/>
        </w:rPr>
      </w:pPr>
      <w:r>
        <w:rPr>
          <w:rFonts w:ascii="Arial" w:cs="Arial" w:eastAsia="Arial" w:hAnsi="Arial"/>
          <w:sz w:val="22"/>
          <w:szCs w:val="22"/>
          <w:color w:val="auto"/>
        </w:rPr>
        <w:t>300 North LaSalle</w:t>
      </w:r>
    </w:p>
    <w:p>
      <w:pPr>
        <w:ind w:left="1740"/>
        <w:spacing w:after="0" w:line="231" w:lineRule="auto"/>
        <w:rPr>
          <w:sz w:val="20"/>
          <w:szCs w:val="20"/>
          <w:color w:val="auto"/>
        </w:rPr>
      </w:pPr>
      <w:r>
        <w:rPr>
          <w:rFonts w:ascii="Arial" w:cs="Arial" w:eastAsia="Arial" w:hAnsi="Arial"/>
          <w:sz w:val="22"/>
          <w:szCs w:val="22"/>
          <w:color w:val="auto"/>
        </w:rPr>
        <w:t>Chicago, Illinois 60654</w:t>
      </w:r>
    </w:p>
    <w:p>
      <w:pPr>
        <w:ind w:left="1740"/>
        <w:spacing w:after="0" w:line="230" w:lineRule="auto"/>
        <w:rPr>
          <w:sz w:val="20"/>
          <w:szCs w:val="20"/>
          <w:color w:val="auto"/>
        </w:rPr>
      </w:pPr>
      <w:r>
        <w:rPr>
          <w:rFonts w:ascii="Arial" w:cs="Arial" w:eastAsia="Arial" w:hAnsi="Arial"/>
          <w:sz w:val="22"/>
          <w:szCs w:val="22"/>
          <w:color w:val="auto"/>
        </w:rPr>
        <w:t>Fax No. 312-862-2200</w:t>
      </w:r>
    </w:p>
    <w:p>
      <w:pPr>
        <w:ind w:left="1740"/>
        <w:spacing w:after="0" w:line="231" w:lineRule="auto"/>
        <w:rPr>
          <w:sz w:val="20"/>
          <w:szCs w:val="20"/>
          <w:color w:val="auto"/>
        </w:rPr>
      </w:pPr>
      <w:r>
        <w:rPr>
          <w:rFonts w:ascii="Arial" w:cs="Arial" w:eastAsia="Arial" w:hAnsi="Arial"/>
          <w:sz w:val="22"/>
          <w:szCs w:val="22"/>
          <w:color w:val="auto"/>
        </w:rPr>
        <w:t>Tel. No. 312-862-2487</w:t>
      </w:r>
    </w:p>
    <w:p>
      <w:pPr>
        <w:ind w:left="1740"/>
        <w:spacing w:after="0"/>
        <w:rPr>
          <w:sz w:val="20"/>
          <w:szCs w:val="20"/>
          <w:color w:val="auto"/>
        </w:rPr>
      </w:pPr>
      <w:r>
        <w:rPr>
          <w:rFonts w:ascii="Arial" w:cs="Arial" w:eastAsia="Arial" w:hAnsi="Arial"/>
          <w:sz w:val="22"/>
          <w:szCs w:val="22"/>
          <w:color w:val="auto"/>
        </w:rPr>
        <w:t>Email: michelle.kilkenney@kirkland.com</w:t>
      </w:r>
    </w:p>
    <w:p>
      <w:pPr>
        <w:spacing w:after="0" w:line="188" w:lineRule="exact"/>
        <w:rPr>
          <w:sz w:val="20"/>
          <w:szCs w:val="20"/>
          <w:color w:val="auto"/>
        </w:rPr>
      </w:pPr>
    </w:p>
    <w:p>
      <w:pPr>
        <w:ind w:left="860"/>
        <w:spacing w:after="0"/>
        <w:tabs>
          <w:tab w:leader="none" w:pos="31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if to the Administrative Agent,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Cortland Products Corp.</w:t>
      </w:r>
    </w:p>
    <w:p>
      <w:pPr>
        <w:ind w:left="1740"/>
        <w:spacing w:after="0" w:line="238" w:lineRule="auto"/>
        <w:rPr>
          <w:sz w:val="20"/>
          <w:szCs w:val="20"/>
          <w:color w:val="auto"/>
        </w:rPr>
      </w:pPr>
      <w:r>
        <w:rPr>
          <w:rFonts w:ascii="Arial" w:cs="Arial" w:eastAsia="Arial" w:hAnsi="Arial"/>
          <w:sz w:val="22"/>
          <w:szCs w:val="22"/>
          <w:color w:val="auto"/>
        </w:rPr>
        <w:t>225 W. Washington Street, 9</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1740"/>
        <w:spacing w:after="0" w:line="230" w:lineRule="auto"/>
        <w:rPr>
          <w:sz w:val="20"/>
          <w:szCs w:val="20"/>
          <w:color w:val="auto"/>
        </w:rPr>
      </w:pPr>
      <w:r>
        <w:rPr>
          <w:rFonts w:ascii="Arial" w:cs="Arial" w:eastAsia="Arial" w:hAnsi="Arial"/>
          <w:sz w:val="22"/>
          <w:szCs w:val="22"/>
          <w:color w:val="auto"/>
        </w:rPr>
        <w:t>Chicago, Illinois 60606</w:t>
      </w:r>
    </w:p>
    <w:p>
      <w:pPr>
        <w:ind w:left="1740"/>
        <w:spacing w:after="0" w:line="231" w:lineRule="auto"/>
        <w:rPr>
          <w:sz w:val="20"/>
          <w:szCs w:val="20"/>
          <w:color w:val="auto"/>
        </w:rPr>
      </w:pPr>
      <w:r>
        <w:rPr>
          <w:rFonts w:ascii="Arial" w:cs="Arial" w:eastAsia="Arial" w:hAnsi="Arial"/>
          <w:sz w:val="22"/>
          <w:szCs w:val="22"/>
          <w:color w:val="auto"/>
        </w:rPr>
        <w:t>Attention: Legal Department and Lisa Schutz</w:t>
      </w:r>
    </w:p>
    <w:p>
      <w:pPr>
        <w:ind w:left="1740"/>
        <w:spacing w:after="0" w:line="230" w:lineRule="auto"/>
        <w:rPr>
          <w:sz w:val="20"/>
          <w:szCs w:val="20"/>
          <w:color w:val="auto"/>
        </w:rPr>
      </w:pPr>
      <w:r>
        <w:rPr>
          <w:rFonts w:ascii="Arial" w:cs="Arial" w:eastAsia="Arial" w:hAnsi="Arial"/>
          <w:sz w:val="22"/>
          <w:szCs w:val="22"/>
          <w:color w:val="auto"/>
        </w:rPr>
        <w:t>Fax No.: 312-376-0751</w:t>
      </w:r>
    </w:p>
    <w:p>
      <w:pPr>
        <w:ind w:left="1740"/>
        <w:spacing w:after="0" w:line="231" w:lineRule="auto"/>
        <w:rPr>
          <w:sz w:val="20"/>
          <w:szCs w:val="20"/>
          <w:color w:val="auto"/>
        </w:rPr>
      </w:pPr>
      <w:r>
        <w:rPr>
          <w:rFonts w:ascii="Arial" w:cs="Arial" w:eastAsia="Arial" w:hAnsi="Arial"/>
          <w:sz w:val="22"/>
          <w:szCs w:val="22"/>
          <w:color w:val="auto"/>
        </w:rPr>
        <w:t>Tel. No.: 312-564-5100</w:t>
      </w:r>
    </w:p>
    <w:p>
      <w:pPr>
        <w:ind w:left="1740"/>
        <w:spacing w:after="0"/>
        <w:rPr>
          <w:sz w:val="20"/>
          <w:szCs w:val="20"/>
          <w:color w:val="auto"/>
        </w:rPr>
      </w:pPr>
      <w:r>
        <w:rPr>
          <w:rFonts w:ascii="Arial" w:cs="Arial" w:eastAsia="Arial" w:hAnsi="Arial"/>
          <w:sz w:val="22"/>
          <w:szCs w:val="22"/>
          <w:color w:val="auto"/>
        </w:rPr>
        <w:t>Email: legal@cortlandglobal.com and lisa.schutz@cortlandglobal.com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ind w:left="1520"/>
        <w:spacing w:after="0" w:line="238" w:lineRule="auto"/>
        <w:rPr>
          <w:sz w:val="20"/>
          <w:szCs w:val="20"/>
          <w:color w:val="auto"/>
        </w:rPr>
      </w:pPr>
      <w:r>
        <w:rPr>
          <w:rFonts w:ascii="Arial" w:cs="Arial" w:eastAsia="Arial" w:hAnsi="Arial"/>
          <w:sz w:val="22"/>
          <w:szCs w:val="22"/>
          <w:color w:val="auto"/>
        </w:rPr>
        <w:t>Holland &amp; Knight LLP</w:t>
      </w:r>
    </w:p>
    <w:p>
      <w:pPr>
        <w:ind w:left="1520"/>
        <w:spacing w:after="0" w:line="230" w:lineRule="auto"/>
        <w:rPr>
          <w:sz w:val="20"/>
          <w:szCs w:val="20"/>
          <w:color w:val="auto"/>
        </w:rPr>
      </w:pPr>
      <w:r>
        <w:rPr>
          <w:rFonts w:ascii="Arial" w:cs="Arial" w:eastAsia="Arial" w:hAnsi="Arial"/>
          <w:sz w:val="22"/>
          <w:szCs w:val="22"/>
          <w:color w:val="auto"/>
        </w:rPr>
        <w:t>150 N. Riverside Plaza, Suite 2700</w:t>
      </w:r>
    </w:p>
    <w:p>
      <w:pPr>
        <w:ind w:left="1520"/>
        <w:spacing w:after="0" w:line="231" w:lineRule="auto"/>
        <w:rPr>
          <w:sz w:val="20"/>
          <w:szCs w:val="20"/>
          <w:color w:val="auto"/>
        </w:rPr>
      </w:pPr>
      <w:r>
        <w:rPr>
          <w:rFonts w:ascii="Arial" w:cs="Arial" w:eastAsia="Arial" w:hAnsi="Arial"/>
          <w:sz w:val="22"/>
          <w:szCs w:val="22"/>
          <w:color w:val="auto"/>
        </w:rPr>
        <w:t>Chicago, Illinois 60606</w:t>
      </w:r>
    </w:p>
    <w:p>
      <w:pPr>
        <w:ind w:left="1520"/>
        <w:spacing w:after="0" w:line="230" w:lineRule="auto"/>
        <w:rPr>
          <w:sz w:val="20"/>
          <w:szCs w:val="20"/>
          <w:color w:val="auto"/>
        </w:rPr>
      </w:pPr>
      <w:r>
        <w:rPr>
          <w:rFonts w:ascii="Arial" w:cs="Arial" w:eastAsia="Arial" w:hAnsi="Arial"/>
          <w:sz w:val="22"/>
          <w:szCs w:val="22"/>
          <w:color w:val="auto"/>
        </w:rPr>
        <w:t>Fax No.: 312-578-6666</w:t>
      </w:r>
    </w:p>
    <w:p>
      <w:pPr>
        <w:ind w:left="1520"/>
        <w:spacing w:after="0" w:line="231" w:lineRule="auto"/>
        <w:rPr>
          <w:sz w:val="20"/>
          <w:szCs w:val="20"/>
          <w:color w:val="auto"/>
        </w:rPr>
      </w:pPr>
      <w:r>
        <w:rPr>
          <w:rFonts w:ascii="Arial" w:cs="Arial" w:eastAsia="Arial" w:hAnsi="Arial"/>
          <w:sz w:val="22"/>
          <w:szCs w:val="22"/>
          <w:color w:val="auto"/>
        </w:rPr>
        <w:t>Tel. No.: 312-263-3600</w:t>
      </w:r>
    </w:p>
    <w:p>
      <w:pPr>
        <w:ind w:left="1520"/>
        <w:spacing w:after="0" w:line="230" w:lineRule="auto"/>
        <w:rPr>
          <w:sz w:val="20"/>
          <w:szCs w:val="20"/>
          <w:color w:val="auto"/>
        </w:rPr>
      </w:pPr>
      <w:r>
        <w:rPr>
          <w:rFonts w:ascii="Arial" w:cs="Arial" w:eastAsia="Arial" w:hAnsi="Arial"/>
          <w:sz w:val="22"/>
          <w:szCs w:val="22"/>
          <w:color w:val="auto"/>
        </w:rPr>
        <w:t>Attention: Joshua M. Spencer</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Email: joshua.spencer@hklaw.com</w:t>
      </w:r>
    </w:p>
    <w:p>
      <w:pPr>
        <w:spacing w:after="0" w:line="188" w:lineRule="exact"/>
        <w:rPr>
          <w:sz w:val="20"/>
          <w:szCs w:val="20"/>
          <w:color w:val="auto"/>
        </w:rPr>
      </w:pPr>
    </w:p>
    <w:p>
      <w:pPr>
        <w:ind w:firstLine="872"/>
        <w:spacing w:after="0" w:line="328" w:lineRule="auto"/>
        <w:tabs>
          <w:tab w:leader="none" w:pos="2399"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if to a Lender, to it at its address (email address or fax number) set forth on Schedule 2.01 or in the Assignment and Acceptance or Refinancing Amendment pursuant to which such Lender shall have become a party hereto.</w:t>
      </w:r>
    </w:p>
    <w:p>
      <w:pPr>
        <w:spacing w:after="0" w:line="10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All notices and other communications given to any party hereto in accordance with the provisions of this Agreement shall be deemed to have been given on the date of receipt if delivered by hand or overnight courier service or sent by fax or on the date three Business Days after dispatch by certified or registered mail if mailed, in each case delivered, sent or mailed (properly addressed) to such party as provided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or in accordance with the latest unrevoked direction from such party given in accordance with this </w:t>
      </w:r>
      <w:r>
        <w:rPr>
          <w:rFonts w:ascii="Arial" w:cs="Arial" w:eastAsia="Arial" w:hAnsi="Arial"/>
          <w:sz w:val="19"/>
          <w:szCs w:val="19"/>
          <w:u w:val="single" w:color="auto"/>
          <w:color w:val="auto"/>
        </w:rPr>
        <w:t>Section 10.01</w:t>
      </w:r>
      <w:r>
        <w:rPr>
          <w:rFonts w:ascii="Arial" w:cs="Arial" w:eastAsia="Arial" w:hAnsi="Arial"/>
          <w:sz w:val="19"/>
          <w:szCs w:val="19"/>
          <w:color w:val="auto"/>
        </w:rPr>
        <w:t>. As agreed to among the Borrower, the Administrative Agent and the applicable Lenders from time to time, notices and other communications may also be delivered by e-mail to the e-mail address of a representative of the applicable Person provided from time to time by such Person.</w:t>
      </w:r>
    </w:p>
    <w:p>
      <w:pPr>
        <w:spacing w:after="0" w:line="15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Borrower hereby agrees, unless directed otherwise by the Required Lenders or Administrative Agent or unless the electronic mail address referred to below has not been provided by the Administrative Agent to the Borrower, that it will, or will cause its Restricted Subsidiaries to, provide to the Administrative Agent and/or the Required Lenders all information, documents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3" w:name="page194"/>
    <w:bookmarkEnd w:id="193"/>
    <w:p>
      <w:pPr>
        <w:jc w:val="both"/>
        <w:spacing w:after="0" w:line="273" w:lineRule="auto"/>
        <w:rPr>
          <w:sz w:val="20"/>
          <w:szCs w:val="20"/>
          <w:color w:val="auto"/>
        </w:rPr>
      </w:pPr>
      <w:r>
        <w:rPr>
          <w:rFonts w:ascii="Arial" w:cs="Arial" w:eastAsia="Arial" w:hAnsi="Arial"/>
          <w:sz w:val="19"/>
          <w:szCs w:val="19"/>
          <w:color w:val="auto"/>
        </w:rPr>
        <w:t xml:space="preserve">and other materials that it is obligated to furnish to the Administrative Agent and/or the Required Lenders pursuant to the Loan Documents or to the Lenders under Article 6, including all notices, requests, financial statements, financial and other reports, certificates and other information materials, but excluding any such communication that (i) is or relates to a Request for Credit Extension or a notice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(ii) relates to the payment of any principal or other amount due under this Agreement prior to the scheduled date therefor, or (iii) provides notice of any Default or Event of Default under this Agreement or any other Loan Document, (all such non-excluded communications being referred to herein collectively as “</w:t>
      </w:r>
      <w:r>
        <w:rPr>
          <w:rFonts w:ascii="Arial" w:cs="Arial" w:eastAsia="Arial" w:hAnsi="Arial"/>
          <w:sz w:val="19"/>
          <w:szCs w:val="19"/>
          <w:b w:val="1"/>
          <w:bCs w:val="1"/>
          <w:color w:val="auto"/>
        </w:rPr>
        <w:t>Communications</w:t>
      </w:r>
      <w:r>
        <w:rPr>
          <w:rFonts w:ascii="Arial" w:cs="Arial" w:eastAsia="Arial" w:hAnsi="Arial"/>
          <w:sz w:val="19"/>
          <w:szCs w:val="19"/>
          <w:color w:val="auto"/>
        </w:rPr>
        <w:t>”), by transmitting the Communications in an electronic/soft medium that is properly identified in a format reasonably acceptable to the Administrative Agent and/or the Required Lenders to an electronic mail address as directed by the Administrative Agent and/or the Required Lenders. In addition, the Borrower agrees, and agrees to cause its Restricted Subsidiaries, to continue to provide the Communications to the Administrative Agent, the Required Lenders or the Lenders, as the case may be, in the manner specified in the Loan Documents but only to the extent requested by the Administrative Agent.</w:t>
      </w:r>
    </w:p>
    <w:p>
      <w:pPr>
        <w:spacing w:after="0" w:line="15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The Borrower hereby acknowledges that (a) the Administrative Agent will make available to the Lenders materials and/or information provided by or on behalf of the Borrower hereunder (collectively, the “</w:t>
      </w:r>
      <w:r>
        <w:rPr>
          <w:rFonts w:ascii="Arial" w:cs="Arial" w:eastAsia="Arial" w:hAnsi="Arial"/>
          <w:sz w:val="19"/>
          <w:szCs w:val="19"/>
          <w:b w:val="1"/>
          <w:bCs w:val="1"/>
          <w:color w:val="auto"/>
        </w:rPr>
        <w:t>Borrower 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b w:val="1"/>
          <w:bCs w:val="1"/>
          <w:color w:val="auto"/>
        </w:rPr>
        <w:t>Platform</w:t>
      </w:r>
      <w:r>
        <w:rPr>
          <w:rFonts w:ascii="Arial" w:cs="Arial" w:eastAsia="Arial" w:hAnsi="Arial"/>
          <w:sz w:val="19"/>
          <w:szCs w:val="19"/>
          <w:color w:val="auto"/>
        </w:rPr>
        <w:t>”) and (b) certain of the Lenders may be “public</w:t>
      </w:r>
      <w:r>
        <w:rPr>
          <w:rFonts w:ascii="Arial" w:cs="Arial" w:eastAsia="Arial" w:hAnsi="Arial"/>
          <w:sz w:val="19"/>
          <w:szCs w:val="19"/>
          <w:b w:val="1"/>
          <w:bCs w:val="1"/>
          <w:color w:val="auto"/>
        </w:rPr>
        <w:t>-</w:t>
      </w:r>
      <w:r>
        <w:rPr>
          <w:rFonts w:ascii="Arial" w:cs="Arial" w:eastAsia="Arial" w:hAnsi="Arial"/>
          <w:sz w:val="19"/>
          <w:szCs w:val="19"/>
          <w:color w:val="auto"/>
        </w:rPr>
        <w:t>side” Lenders (i.e., Lenders that do not wish to receive material non-public information with respect to the Borrower, its Restricted Subsidiaries or any of their respective securities) (each, a “</w:t>
      </w:r>
      <w:r>
        <w:rPr>
          <w:rFonts w:ascii="Arial" w:cs="Arial" w:eastAsia="Arial" w:hAnsi="Arial"/>
          <w:sz w:val="19"/>
          <w:szCs w:val="19"/>
          <w:b w:val="1"/>
          <w:bCs w:val="1"/>
          <w:color w:val="auto"/>
        </w:rPr>
        <w:t>Public Lender</w:t>
      </w:r>
      <w:r>
        <w:rPr>
          <w:rFonts w:ascii="Arial" w:cs="Arial" w:eastAsia="Arial" w:hAnsi="Arial"/>
          <w:sz w:val="19"/>
          <w:szCs w:val="19"/>
          <w:color w:val="auto"/>
        </w:rPr>
        <w:t xml:space="preserve">”). The Borrower hereby agrees (w) to use commercially reasonable effort to make all Borrower Materials that are to be made available to Public Lenders clearly and conspicuously “PUBLIC” which, at a minimum, shall mean that the word “PUBLIC” shall appear prominently on the first page thereof; (x) by marking Borrower Materials “PUBLIC,” the Borrower shall be deemed to have authorized the Administrative Agent and the Lenders to treat such Borrower Materials as not containing any material non-public information with respect to the Borrower or any of its securities for purposes of United States federal and state securities laws (provided, however, that to the extent such Borrower Materials constitute Information, they shall be treated as set forth in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(y) all Borrower Materials marked “PUBLIC” are permitted to be made available through a portion of the Platform designated as “Public Investor;” and (z) the Administrative Agent shall be entitled to treat any Borrower Materials that are not marked “PUBLIC” as being suitable only for posting on a portion of the Platform not marked as “Public Investor.” Notwithstanding the foregoing, the following Borrower Materials shall be marked “PUBLIC”, unless the Borrower notifies the Administrative Agent promptly that any such document contains material non-public information: (1) the Loan Documents, (2) financial statements and related documentation, in each case, provided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and (3) notification of changes in the terms of the Facilities.</w:t>
      </w:r>
    </w:p>
    <w:p>
      <w:pPr>
        <w:spacing w:after="0" w:line="200" w:lineRule="exact"/>
        <w:rPr>
          <w:sz w:val="20"/>
          <w:szCs w:val="20"/>
          <w:color w:val="auto"/>
        </w:rPr>
      </w:pPr>
    </w:p>
    <w:p>
      <w:pPr>
        <w:spacing w:after="0" w:line="211"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4" w:name="page195"/>
    <w:bookmarkEnd w:id="194"/>
    <w:p>
      <w:pPr>
        <w:jc w:val="both"/>
        <w:spacing w:after="0" w:line="250" w:lineRule="auto"/>
        <w:rPr>
          <w:sz w:val="20"/>
          <w:szCs w:val="20"/>
          <w:color w:val="auto"/>
        </w:rPr>
      </w:pPr>
      <w:r>
        <w:rPr>
          <w:rFonts w:ascii="Arial" w:cs="Arial" w:eastAsia="Arial" w:hAnsi="Arial"/>
          <w:sz w:val="22"/>
          <w:szCs w:val="22"/>
          <w:color w:val="auto"/>
        </w:rPr>
        <w:t>material non-public information with respect to the Borrower, its Restricted Subsidiaries or any of their respective securities for purposes of United States Federal or state securities laws.</w:t>
      </w:r>
    </w:p>
    <w:p>
      <w:pPr>
        <w:spacing w:after="0" w:line="17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THE PLATFORM IS PROVIDED “AS IS” AND “AS AVAILABLE”. NEITHER THE ADMINISTRATIVE AGENT NOR ANY OF ITS RELATED PARTIES WARRANTS THE ACCURACY OR COMPLETENESS OF THE COMMUNICATIONS OR THE ADEQUACY OF THE PLATFORM AND EACH EXPRESSLY DISCLAIMS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NON-APPEALABLE RULING BY A COURT OF COMPETENT JURISDICTION TO HAVE RESULTED FROM SUCH PERSON’S OR ITS RELATED PARTIES’ GROSS NEGLIGENCE, WILLFUL MISCONDUCT OR BAD FAITH, IN EACH CASE, AS DETERMINED BY THE FINAL NON-APPEALABLE JUDGMENT OF A COURT OF COMPETENT JURISDICTION.</w:t>
      </w:r>
    </w:p>
    <w:p>
      <w:pPr>
        <w:spacing w:after="0" w:line="19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receipt of notice to it (as provided in the next sentence) specifying that the Communications have been posted to the Platform shall constitute effective delivery of the Communications to such Lender for purposes of the Loan Documents. Each Lender agrees to notify the Administrative Agent in writing (including by electronic communication) from time to time of such Lender’s e-mail address to which the foregoing notice may be sent by electronic transmission and that the foregoing notice may be sent to such e-mail address.</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Nothing herein shall prejudice the right of the Administrative Agent or any Lender to give any notice or other communication pursuant to any Loan Document in any other manner specified in such Loan Document.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Survival of Agreement</w:t>
      </w:r>
    </w:p>
    <w:p>
      <w:pPr>
        <w:spacing w:after="0" w:line="206" w:lineRule="exact"/>
        <w:rPr>
          <w:sz w:val="20"/>
          <w:szCs w:val="20"/>
          <w:color w:val="auto"/>
        </w:rPr>
      </w:pPr>
    </w:p>
    <w:p>
      <w:pPr>
        <w:jc w:val="both"/>
        <w:ind w:firstLine="872"/>
        <w:spacing w:after="0" w:line="282" w:lineRule="auto"/>
        <w:tabs>
          <w:tab w:leader="none" w:pos="1080" w:val="left"/>
        </w:tabs>
        <w:numPr>
          <w:ilvl w:val="0"/>
          <w:numId w:val="236"/>
        </w:numPr>
        <w:rPr>
          <w:rFonts w:ascii="Arial" w:cs="Arial" w:eastAsia="Arial" w:hAnsi="Arial"/>
          <w:sz w:val="19"/>
          <w:szCs w:val="19"/>
          <w:i w:val="1"/>
          <w:iCs w:val="1"/>
          <w:color w:val="auto"/>
        </w:rPr>
      </w:pPr>
      <w:r>
        <w:rPr>
          <w:rFonts w:ascii="Arial" w:cs="Arial" w:eastAsia="Arial" w:hAnsi="Arial"/>
          <w:sz w:val="19"/>
          <w:szCs w:val="19"/>
          <w:color w:val="auto"/>
        </w:rPr>
        <w:t>All covenants, agreements, representations and warranties made by the Borrower herein and in the certificates or other instruments prepared or delivered in connection with or pursuant to this Agreement or any other Loan Document shall be considered to have been relied upon by the Lenders and shall survive the making by the Lenders of the Loans, regardless of any investigation made by the Lenders or on their behalf or that any Agent or Lender may have had notice of any Default or Event of Default at the time of any Credit Extension, and shall continue in full force and effect as long as the principal of or any accrued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5" w:name="page196"/>
    <w:bookmarkEnd w:id="195"/>
    <w:p>
      <w:pPr>
        <w:jc w:val="both"/>
        <w:spacing w:after="0" w:line="279" w:lineRule="auto"/>
        <w:rPr>
          <w:sz w:val="20"/>
          <w:szCs w:val="20"/>
          <w:color w:val="auto"/>
        </w:rPr>
      </w:pPr>
      <w:r>
        <w:rPr>
          <w:rFonts w:ascii="Arial" w:cs="Arial" w:eastAsia="Arial" w:hAnsi="Arial"/>
          <w:sz w:val="19"/>
          <w:szCs w:val="19"/>
          <w:color w:val="auto"/>
        </w:rPr>
        <w:t xml:space="preserve">interest on any Loan or any Fee or any other amount payable under this Agreement or any other Loan Document is outstanding and unpaid and so long as the Commitments have not been terminated. The provisions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Binding Effect</w:t>
      </w:r>
    </w:p>
    <w:p>
      <w:pPr>
        <w:spacing w:after="0" w:line="206" w:lineRule="exact"/>
        <w:rPr>
          <w:sz w:val="20"/>
          <w:szCs w:val="20"/>
          <w:color w:val="auto"/>
        </w:rPr>
      </w:pPr>
    </w:p>
    <w:p>
      <w:pPr>
        <w:jc w:val="both"/>
        <w:ind w:firstLine="872"/>
        <w:spacing w:after="0" w:line="297" w:lineRule="auto"/>
        <w:tabs>
          <w:tab w:leader="none" w:pos="1039" w:val="left"/>
        </w:tabs>
        <w:numPr>
          <w:ilvl w:val="0"/>
          <w:numId w:val="237"/>
        </w:numPr>
        <w:rPr>
          <w:rFonts w:ascii="Arial" w:cs="Arial" w:eastAsia="Arial" w:hAnsi="Arial"/>
          <w:sz w:val="19"/>
          <w:szCs w:val="19"/>
          <w:i w:val="1"/>
          <w:iCs w:val="1"/>
          <w:color w:val="auto"/>
        </w:rPr>
      </w:pPr>
      <w:r>
        <w:rPr>
          <w:rFonts w:ascii="Arial" w:cs="Arial" w:eastAsia="Arial" w:hAnsi="Arial"/>
          <w:sz w:val="19"/>
          <w:szCs w:val="19"/>
          <w:color w:val="auto"/>
        </w:rPr>
        <w:t>This Agreement shall become effective when it shall have been executed and delivered by the Borrower, each other Loan Party party hereto on the Restatement Effective Date and the Administrative Agent and when the Administrative Agent shall have received counterparts hereof which, when taken together, bear the signatures of each of the other parties hereto.</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Successors and Assigns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52" w:lineRule="auto"/>
        <w:tabs>
          <w:tab w:leader="none" w:pos="2399" w:val="left"/>
        </w:tabs>
        <w:numPr>
          <w:ilvl w:val="0"/>
          <w:numId w:val="238"/>
        </w:numPr>
        <w:rPr>
          <w:rFonts w:ascii="Arial" w:cs="Arial" w:eastAsia="Arial" w:hAnsi="Arial"/>
          <w:sz w:val="21"/>
          <w:szCs w:val="21"/>
          <w:color w:val="auto"/>
        </w:rPr>
      </w:pPr>
      <w:r>
        <w:rPr>
          <w:rFonts w:ascii="Arial" w:cs="Arial" w:eastAsia="Arial" w:hAnsi="Arial"/>
          <w:sz w:val="21"/>
          <w:szCs w:val="21"/>
          <w:color w:val="auto"/>
        </w:rPr>
        <w:t>Whenever in this Agreement any of the parties hereto is referred to, such reference shall be deemed to include the permitted successors and assigns of such party; and all covenants, promises and agreements by or on behalf of the Borrower, the Administrative Agent, the Collateral Agent or the Lenders that are contained in this Agreement shall bind and inure to the benefit of their respective permitted successors and assigns.</w:t>
      </w:r>
    </w:p>
    <w:p>
      <w:pPr>
        <w:spacing w:after="0" w:line="173" w:lineRule="exact"/>
        <w:rPr>
          <w:rFonts w:ascii="Arial" w:cs="Arial" w:eastAsia="Arial" w:hAnsi="Arial"/>
          <w:sz w:val="21"/>
          <w:szCs w:val="21"/>
          <w:color w:val="auto"/>
        </w:rPr>
      </w:pPr>
    </w:p>
    <w:p>
      <w:pPr>
        <w:jc w:val="both"/>
        <w:ind w:firstLine="872"/>
        <w:spacing w:after="0" w:line="270" w:lineRule="auto"/>
        <w:tabs>
          <w:tab w:leader="none" w:pos="2411"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Each Lender may assign to one or more Eligible Assignees all or a portion of its interests, rights and obligations under this Agreement (including all or a portion of the Loans at the time owing to it), with the prior written consent of the Administrative Agent (not to be unreasonably withheld, conditioned or delayed);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if the approval of the Borrower is required for any such assignment pursuant to the definition of “Eligible Assignee”, then the Borrower must also give its prior written consent to such assignment (which consent shall not be unreasonably withheld, conditioned or delayed), and the Borrower shall be deemed to have consented to any such assignment unless it shall have objected thereto by written notice to the Administrative Agent within </w:t>
      </w:r>
      <w:r>
        <w:rPr>
          <w:rFonts w:ascii="Arial" w:cs="Arial" w:eastAsia="Arial" w:hAnsi="Arial"/>
          <w:sz w:val="19"/>
          <w:szCs w:val="19"/>
          <w:color w:val="FF0000"/>
          <w:strike w:val="1"/>
        </w:rPr>
        <w:t>ten</w:t>
      </w:r>
      <w:r>
        <w:rPr>
          <w:rFonts w:ascii="Arial" w:cs="Arial" w:eastAsia="Arial" w:hAnsi="Arial"/>
          <w:sz w:val="19"/>
          <w:szCs w:val="19"/>
          <w:b w:val="1"/>
          <w:bCs w:val="1"/>
          <w:u w:val="single" w:color="auto"/>
          <w:color w:val="0000FF"/>
        </w:rPr>
        <w:t>three</w:t>
      </w:r>
      <w:r>
        <w:rPr>
          <w:rFonts w:ascii="Arial" w:cs="Arial" w:eastAsia="Arial" w:hAnsi="Arial"/>
          <w:sz w:val="19"/>
          <w:szCs w:val="19"/>
          <w:color w:val="auto"/>
        </w:rPr>
        <w:t xml:space="preserve"> (</w:t>
      </w:r>
      <w:r>
        <w:rPr>
          <w:rFonts w:ascii="Arial" w:cs="Arial" w:eastAsia="Arial" w:hAnsi="Arial"/>
          <w:sz w:val="19"/>
          <w:szCs w:val="19"/>
          <w:color w:val="FF0000"/>
          <w:strike w:val="1"/>
        </w:rPr>
        <w:t>10</w:t>
      </w:r>
      <w:r>
        <w:rPr>
          <w:rFonts w:ascii="Arial" w:cs="Arial" w:eastAsia="Arial" w:hAnsi="Arial"/>
          <w:sz w:val="19"/>
          <w:szCs w:val="19"/>
          <w:b w:val="1"/>
          <w:bCs w:val="1"/>
          <w:u w:val="single" w:color="auto"/>
          <w:color w:val="0000FF"/>
        </w:rPr>
        <w:t>3</w:t>
      </w:r>
      <w:r>
        <w:rPr>
          <w:rFonts w:ascii="Arial" w:cs="Arial" w:eastAsia="Arial" w:hAnsi="Arial"/>
          <w:sz w:val="19"/>
          <w:szCs w:val="19"/>
          <w:color w:val="auto"/>
        </w:rPr>
        <w:t xml:space="preserve">) </w:t>
      </w:r>
      <w:r>
        <w:rPr>
          <w:rFonts w:ascii="Arial" w:cs="Arial" w:eastAsia="Arial" w:hAnsi="Arial"/>
          <w:sz w:val="19"/>
          <w:szCs w:val="19"/>
          <w:color w:val="FF0000"/>
          <w:strike w:val="1"/>
        </w:rPr>
        <w:t>days</w:t>
      </w:r>
      <w:r>
        <w:rPr>
          <w:rFonts w:ascii="Arial" w:cs="Arial" w:eastAsia="Arial" w:hAnsi="Arial"/>
          <w:sz w:val="19"/>
          <w:szCs w:val="19"/>
          <w:b w:val="1"/>
          <w:bCs w:val="1"/>
          <w:u w:val="single" w:color="auto"/>
          <w:color w:val="0000FF"/>
        </w:rPr>
        <w:t>Business Days</w:t>
      </w:r>
      <w:r>
        <w:rPr>
          <w:rFonts w:ascii="Arial" w:cs="Arial" w:eastAsia="Arial" w:hAnsi="Arial"/>
          <w:sz w:val="19"/>
          <w:szCs w:val="19"/>
          <w:color w:val="auto"/>
        </w:rPr>
        <w:t xml:space="preserve"> after the Borrower having received written notice thereof, (ii) the amount of the Commitment or Loans of the assigning Lender subject to each such assignment (determined as of the date the Assignment and Acceptance with respect to such assignment is delivered to the Administrative Agent) shall be in an integral multiple of, and not less than, $1,000,000 (or, if less, the entire remaining amount of such Lender’s Commitment or Loans of the relevant Class) unless the Administrative Agent otherwise agrees;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simultaneous assignments by two or more Related Funds shall be combined for purposes of determining whether the minimum assignment requirement is met, (iii) the parties to each assignment shall (A) execute and deliver to the Administrative Agent an Assignment and Acceptance via an electronic settlement system acceptable to the Administrative Agent or (B) if previously agreed with the Administrative Agent, manually execute and deliver to the Administrative Agent an Assignment and Acceptance, and, in each case, shall pay to the Administrative Agent a processing and recordation fee of $3,500;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simultaneous assignments by two or more Related Funds shall require the payment of a single processing and recordation fee of $3,500 and (y) such processing and recordation fee may be waived or reduced in the sole discretion of the Administrative Agent and (iv) the assignee, if it shall not be a Lender,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6" w:name="page197"/>
    <w:bookmarkEnd w:id="196"/>
    <w:p>
      <w:pPr>
        <w:jc w:val="both"/>
        <w:spacing w:after="0" w:line="271" w:lineRule="auto"/>
        <w:rPr>
          <w:sz w:val="20"/>
          <w:szCs w:val="20"/>
          <w:color w:val="auto"/>
        </w:rPr>
      </w:pPr>
      <w:r>
        <w:rPr>
          <w:rFonts w:ascii="Arial" w:cs="Arial" w:eastAsia="Arial" w:hAnsi="Arial"/>
          <w:sz w:val="19"/>
          <w:szCs w:val="19"/>
          <w:color w:val="auto"/>
        </w:rPr>
        <w:t xml:space="preserve">shall deliver to the Administrative Agent an Administrative Questionnaire (in which the assignee shall designate one or more credit contacts to whom all Lender-level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all documentation and other information reasonably determined by the Administrative Agent to be required by applicable regulatory authorities under applicable “know your customer” and anti-money laundering rules and regulations, including the USA PATRIOT Act, and all applicable tax forms (including such documentation required under Section 3.01(d)). Upon acceptance and recording pursuant to paragraph (e) of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from and after the effective date specified in each Assignment and Acceptance,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10.05</w:t>
      </w:r>
      <w:r>
        <w:rPr>
          <w:rFonts w:ascii="Arial" w:cs="Arial" w:eastAsia="Arial" w:hAnsi="Arial"/>
          <w:sz w:val="19"/>
          <w:szCs w:val="19"/>
          <w:color w:val="auto"/>
        </w:rPr>
        <w:t>). Upon request and the surrender by the assigning Lender of its Term Note (if any), the Borrower (at its expense) shall execute and deliver a Term Note to the assignee Lender.</w:t>
      </w:r>
    </w:p>
    <w:p>
      <w:pPr>
        <w:spacing w:after="0" w:line="160" w:lineRule="exact"/>
        <w:rPr>
          <w:sz w:val="20"/>
          <w:szCs w:val="20"/>
          <w:color w:val="auto"/>
        </w:rPr>
      </w:pPr>
    </w:p>
    <w:p>
      <w:pPr>
        <w:jc w:val="both"/>
        <w:ind w:firstLine="872"/>
        <w:spacing w:after="0" w:line="270" w:lineRule="auto"/>
        <w:tabs>
          <w:tab w:leader="none" w:pos="2399"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and the outstanding balances of its Term Loans without giving effect to assignments thereof which have not become effective, are as set forth in such Assignment and Acceptance;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Subsidiary or the performance or observance by the Borrower or any Subsidiary of any of its obligations under this Agreement, any other Loan Document or any other instrument or document furnished pursuant hereto; (iii) such assignee represents and warrants that it is an Eligible Assignee legally authorized to enter into such Assignment and Acceptance; (iv) such assignee confirms that it has received a copy of this Agreement and the other Loan Documents, together with copies of the most recent financial statements referred to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or delivered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such other documents and information as it has deemed appropriate to make its own credit analysis and decision to enter into such Assignment and Acceptance; (v) such assignee will independently and without reliance upon the Administrative Agent, the Collateral Agent, such assigning Lender or any other Lender and based on such documents and information as it shall deem appropriate at the time, continue to make its own credit decisions in taking or not taking action under this Agreement; (vi) such assignee appoints and authorizes the Administrative Agent and the Collateral Agent to take such action as agent on its behalf and to exercise such powers under this Agreement and the other Loan Documents as are delegated to the Administrative Agent and the Collateral Agent, respectively, by the terms hereof or thereof, together with such powers as are reasonably incidental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7" w:name="page198"/>
    <w:bookmarkEnd w:id="197"/>
    <w:p>
      <w:pPr>
        <w:spacing w:after="0" w:line="250" w:lineRule="auto"/>
        <w:rPr>
          <w:sz w:val="20"/>
          <w:szCs w:val="20"/>
          <w:color w:val="auto"/>
        </w:rPr>
      </w:pPr>
      <w:r>
        <w:rPr>
          <w:rFonts w:ascii="Arial" w:cs="Arial" w:eastAsia="Arial" w:hAnsi="Arial"/>
          <w:sz w:val="22"/>
          <w:szCs w:val="22"/>
          <w:color w:val="auto"/>
        </w:rPr>
        <w:t>or related thereto; and (vii) such assignee agrees that it will perform in accordance with their terms all the obligations which by the terms of this Agreement are required to be performed by it as a Lender.</w:t>
      </w:r>
    </w:p>
    <w:p>
      <w:pPr>
        <w:spacing w:after="0" w:line="175" w:lineRule="exact"/>
        <w:rPr>
          <w:sz w:val="20"/>
          <w:szCs w:val="20"/>
          <w:color w:val="auto"/>
        </w:rPr>
      </w:pPr>
    </w:p>
    <w:p>
      <w:pPr>
        <w:jc w:val="both"/>
        <w:ind w:firstLine="872"/>
        <w:spacing w:after="0" w:line="272" w:lineRule="auto"/>
        <w:tabs>
          <w:tab w:leader="none" w:pos="2411"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 shall maintain at one of its offices a copy of each Assignment and Acceptance delivered to it and a register for the recordation of the names and addresses of the Lenders, and the Commitment of, and principal amount of and the interest on the Loans owing to, each Lender 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xml:space="preserve">”).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and, as to entries pertaining to it, any Lender, at any reasonable time and from time to time upon reasonable prior written notice. Upon reasonable request by a Lender, the Administrative Agent shall make available to such Lender a schedule of Disqualified Lenders, to the extent the Borrower has provided such a schedule to the Administrative Agent.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10.04(d)</w:t>
      </w:r>
      <w:r>
        <w:rPr>
          <w:rFonts w:ascii="Arial" w:cs="Arial" w:eastAsia="Arial" w:hAnsi="Arial"/>
          <w:sz w:val="19"/>
          <w:szCs w:val="19"/>
          <w:color w:val="auto"/>
        </w:rPr>
        <w:t xml:space="preserve"> shall be construed so that all Loans are at all times maintained in “registered form” within the meaning of Section 163(f), 871(h)(2) and 881(c)(2) of the Code and any related Treasury regulations (or any other relevant or successor provisions of the Code or of such Treasury regulations).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872"/>
        <w:spacing w:after="0" w:line="246" w:lineRule="auto"/>
        <w:tabs>
          <w:tab w:leader="none" w:pos="2399"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Upon its receipt of, and consent to,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and, if required, the Borrower, to such assignment, and “know your customer” information requested by the Administrative Agent, and any applicable tax forms (including such documentation required under </w:t>
      </w:r>
      <w:r>
        <w:rPr>
          <w:rFonts w:ascii="Arial" w:cs="Arial" w:eastAsia="Arial" w:hAnsi="Arial"/>
          <w:sz w:val="21"/>
          <w:szCs w:val="21"/>
          <w:u w:val="single" w:color="auto"/>
          <w:color w:val="auto"/>
        </w:rPr>
        <w:t>Section 3.01(d)</w:t>
      </w:r>
      <w:r>
        <w:rPr>
          <w:rFonts w:ascii="Arial" w:cs="Arial" w:eastAsia="Arial" w:hAnsi="Arial"/>
          <w:sz w:val="21"/>
          <w:szCs w:val="21"/>
          <w:color w:val="auto"/>
        </w:rPr>
        <w:t>), the Administrative Agent shall promptly (i) accept such Assignment and Acceptance and (ii) record the information contained therein in the Register. No assignment shall be effective unless it has been recorded in the Register as provided in this paragraph (e).</w:t>
      </w:r>
    </w:p>
    <w:p>
      <w:pPr>
        <w:spacing w:after="0" w:line="179" w:lineRule="exact"/>
        <w:rPr>
          <w:rFonts w:ascii="Arial" w:cs="Arial" w:eastAsia="Arial" w:hAnsi="Arial"/>
          <w:sz w:val="21"/>
          <w:szCs w:val="21"/>
          <w:color w:val="auto"/>
        </w:rPr>
      </w:pPr>
    </w:p>
    <w:p>
      <w:pPr>
        <w:jc w:val="both"/>
        <w:ind w:firstLine="872"/>
        <w:spacing w:after="0" w:line="272" w:lineRule="auto"/>
        <w:tabs>
          <w:tab w:leader="none" w:pos="2375"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Each Lender may without the consent of the Borrower or the Administrative Agent sell participations to one or more banks or other Persons (other than Disqualified Lenders) in all or a portion of its rights and obligations under this Agreement (including all or a portion of its Commitment and the Loans owing to it);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(iii) the participating banks or other Persons shall be entitled to the benefit of the cost protection provisions contained in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 3.01(d</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3.01(d)</w:t>
      </w:r>
      <w:r>
        <w:rPr>
          <w:rFonts w:ascii="Arial" w:cs="Arial" w:eastAsia="Arial" w:hAnsi="Arial"/>
          <w:sz w:val="19"/>
          <w:szCs w:val="19"/>
          <w:color w:val="auto"/>
        </w:rPr>
        <w:t xml:space="preserve"> shall be delivered to the participating Lender)) to the same extent as if they were Lenders (but with respect to any particular participant, to no greater extent than the Lender that sold the participation to such participant and only if such participant has complied with the requirements of such provisions as if it were a Lender) and (iv) the Borrower, the Administrative Agent and the Lenders shall continue to deal solely and directly with such Lender in connection with such Lender’s rights and obligations under this Agreement, and such Lender shall retain the sole right to enforce the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8" w:name="page199"/>
    <w:bookmarkEnd w:id="198"/>
    <w:p>
      <w:pPr>
        <w:jc w:val="both"/>
        <w:spacing w:after="0" w:line="269" w:lineRule="auto"/>
        <w:rPr>
          <w:sz w:val="20"/>
          <w:szCs w:val="20"/>
          <w:color w:val="auto"/>
        </w:rPr>
      </w:pPr>
      <w:r>
        <w:rPr>
          <w:rFonts w:ascii="Arial" w:cs="Arial" w:eastAsia="Arial" w:hAnsi="Arial"/>
          <w:sz w:val="19"/>
          <w:szCs w:val="19"/>
          <w:color w:val="auto"/>
        </w:rPr>
        <w:t>obligations of the Borrower relating to the Loans and to approve any amendment, modification or waiver of (or consent under) any provision of this Agreement or any other Loan Document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agreement or instrument pursuant to which such Lender has sold a participation may provide that such Lender shall not agree to the following amendments without the consent of such participating bank or Person hereunder: amendments, modifications or waivers decreasing any fees payable to such participating bank or Person hereunder or the amount of principal of or the rate at which interest is payable on the Loans in which such participating bank has an interest; extending any scheduled principal payment date or scheduled date fixed for the payment of interest on the Loans in which such participating bank or Person has an interest; increasing or extending the Commitments in which such participating bank or Person has an interest; releasing all or substantially all of the Guarantors (other than in connection with the sale of any such Guarantor in a transaction permitted by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releasing all or substantially all of the Collateral or the Term Priority Collateral or reductions in the voting thresholds; or modifying the pro rata requirements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in each case, which directly and adversely affects such participants;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notwithstanding the foregoing, only the consent of the Required Lenders shall be required in respect of any amendment, modification or waiver of (i) the payment of default interest, (ii) the occurrence of a default or an Event of Default, (iii) the mandatory prepayment requirements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(iv) the payment or receipt of the fee or premium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2.12(d</w:t>
      </w:r>
      <w:r>
        <w:rPr>
          <w:rFonts w:ascii="Arial" w:cs="Arial" w:eastAsia="Arial" w:hAnsi="Arial"/>
          <w:sz w:val="19"/>
          <w:szCs w:val="19"/>
          <w:color w:val="auto"/>
        </w:rPr>
        <w:t xml:space="preserve">)). To the extent permitted by law, each participating bank or other Person also shall be entitled to the benefits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w:t>
      </w:r>
      <w:r>
        <w:rPr>
          <w:rFonts w:ascii="Arial" w:cs="Arial" w:eastAsia="Arial" w:hAnsi="Arial"/>
          <w:sz w:val="19"/>
          <w:szCs w:val="19"/>
          <w:color w:val="auto"/>
        </w:rPr>
        <w:t xml:space="preserve"> as though it were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participating bank or other Person agrees to be subject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as though it were a Lender. Each Lender that sells a participation or exercises its option under section 10.04(i) with respect to an SPV shall, acting solely for this purpose as a non-fiduciary agent of the Borrower, maintain a register on which it enters the name and address of each participant and SPV (other than any SPV that is treated as a disregarded entity of the Granting Lender for U.S. federal income tax purposes) and the principal amounts (and interest thereon) of each participant’s interest in the Loans or other Obligations under this Agreement (the “</w:t>
      </w:r>
      <w:r>
        <w:rPr>
          <w:rFonts w:ascii="Arial" w:cs="Arial" w:eastAsia="Arial" w:hAnsi="Arial"/>
          <w:sz w:val="19"/>
          <w:szCs w:val="19"/>
          <w:b w:val="1"/>
          <w:b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SPV or any information relating to a Participant’s or a SPV’s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United States Treasury Regulations Section 5f.103-1(c) and proposed United States Treasury Regulations Section 1.163-5(b) (or any amended or successor version). The entries in the Participant Register shall be conclusive absent manifest error, and the Borrower, the Lenders and each Agent shall treat each Person whose name is recorded in the Participant Register as the owner of such participation for all purposes of this Agreement, notwithstanding notice to the contrary.</w:t>
      </w:r>
    </w:p>
    <w:p>
      <w:pPr>
        <w:spacing w:after="0" w:line="200" w:lineRule="exact"/>
        <w:rPr>
          <w:sz w:val="20"/>
          <w:szCs w:val="20"/>
          <w:color w:val="auto"/>
        </w:rPr>
      </w:pPr>
    </w:p>
    <w:p>
      <w:pPr>
        <w:spacing w:after="0" w:line="206" w:lineRule="exact"/>
        <w:rPr>
          <w:sz w:val="20"/>
          <w:szCs w:val="20"/>
          <w:color w:val="auto"/>
        </w:rPr>
      </w:pPr>
    </w:p>
    <w:p>
      <w:pPr>
        <w:jc w:val="both"/>
        <w:ind w:firstLine="872"/>
        <w:spacing w:after="0" w:line="246" w:lineRule="auto"/>
        <w:tabs>
          <w:tab w:leader="none" w:pos="2411"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Any Lender or participant may, in connection with any assignment or participation or proposed assignment or participation pursuant to this </w:t>
      </w:r>
      <w:r>
        <w:rPr>
          <w:rFonts w:ascii="Arial" w:cs="Arial" w:eastAsia="Arial" w:hAnsi="Arial"/>
          <w:sz w:val="21"/>
          <w:szCs w:val="21"/>
          <w:u w:val="single" w:color="auto"/>
          <w:color w:val="auto"/>
        </w:rPr>
        <w:t>Section 10.04</w:t>
      </w:r>
      <w:r>
        <w:rPr>
          <w:rFonts w:ascii="Arial" w:cs="Arial" w:eastAsia="Arial" w:hAnsi="Arial"/>
          <w:sz w:val="21"/>
          <w:szCs w:val="21"/>
          <w:color w:val="auto"/>
        </w:rPr>
        <w:t xml:space="preserve">, disclose to the assignee or participant or proposed assignee or participant any information relating to the Borrower furnished to such Lender by or on behalf of the Borrower;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(except during the arrangement by the Required Lenders when customary confidentiality arrangements shall apply), prior to any such disclosure of Information, each such assignee or participant or proposed assignee or participant shall execute an agreement whereby such assignee or participant shall agree to preserve the confidentiality of such confidential information on terms no less restrictive in any material respect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than those applicable to the Lenders pursuant to </w:t>
      </w:r>
      <w:r>
        <w:rPr>
          <w:rFonts w:ascii="Arial" w:cs="Arial" w:eastAsia="Arial" w:hAnsi="Arial"/>
          <w:sz w:val="22"/>
          <w:szCs w:val="22"/>
          <w:u w:val="single" w:color="auto"/>
          <w:color w:val="auto"/>
        </w:rPr>
        <w:t>Section 10.16</w:t>
      </w:r>
      <w:r>
        <w:rPr>
          <w:rFonts w:ascii="Arial" w:cs="Arial" w:eastAsia="Arial" w:hAnsi="Arial"/>
          <w:sz w:val="22"/>
          <w:szCs w:val="22"/>
          <w:color w:val="auto"/>
        </w:rPr>
        <w:t xml:space="preserve"> for the benefit of (and enforceable by) the Borrower.</w:t>
      </w:r>
    </w:p>
    <w:p>
      <w:pPr>
        <w:spacing w:after="0" w:line="206" w:lineRule="exact"/>
        <w:rPr>
          <w:sz w:val="20"/>
          <w:szCs w:val="20"/>
          <w:color w:val="auto"/>
        </w:rPr>
      </w:pPr>
    </w:p>
    <w:p>
      <w:pPr>
        <w:jc w:val="both"/>
        <w:ind w:firstLine="872"/>
        <w:spacing w:after="0" w:line="297" w:lineRule="auto"/>
        <w:tabs>
          <w:tab w:leader="none" w:pos="2411"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Any Lender may at any time assign all or any portion of its rights under this Agreement to secure extensions of credit to such Lender or in support of obligations owed by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assignment shall release a Lender from any of its obligations hereunder or substitute any such assignee for such Lender as a party hereto.</w:t>
      </w:r>
    </w:p>
    <w:p>
      <w:pPr>
        <w:spacing w:after="0" w:line="127" w:lineRule="exact"/>
        <w:rPr>
          <w:rFonts w:ascii="Arial" w:cs="Arial" w:eastAsia="Arial" w:hAnsi="Arial"/>
          <w:sz w:val="19"/>
          <w:szCs w:val="19"/>
          <w:color w:val="auto"/>
        </w:rPr>
      </w:pPr>
    </w:p>
    <w:p>
      <w:pPr>
        <w:jc w:val="both"/>
        <w:ind w:firstLine="872"/>
        <w:spacing w:after="0" w:line="271" w:lineRule="auto"/>
        <w:tabs>
          <w:tab w:leader="none" w:pos="2363" w:val="left"/>
        </w:tabs>
        <w:numPr>
          <w:ilvl w:val="1"/>
          <w:numId w:val="24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b w:val="1"/>
          <w:bCs w:val="1"/>
          <w:color w:val="auto"/>
        </w:rPr>
        <w:t>Granting Lender</w:t>
      </w:r>
      <w:r>
        <w:rPr>
          <w:rFonts w:ascii="Arial" w:cs="Arial" w:eastAsia="Arial" w:hAnsi="Arial"/>
          <w:sz w:val="19"/>
          <w:szCs w:val="19"/>
          <w:color w:val="auto"/>
        </w:rPr>
        <w:t>”) may grant to a special purpose funding vehicle (an “</w:t>
      </w:r>
      <w:r>
        <w:rPr>
          <w:rFonts w:ascii="Arial" w:cs="Arial" w:eastAsia="Arial" w:hAnsi="Arial"/>
          <w:sz w:val="19"/>
          <w:szCs w:val="19"/>
          <w:b w:val="1"/>
          <w:bCs w:val="1"/>
          <w:color w:val="auto"/>
        </w:rPr>
        <w:t>SPV</w:t>
      </w:r>
      <w:r>
        <w:rPr>
          <w:rFonts w:ascii="Arial" w:cs="Arial" w:eastAsia="Arial" w:hAnsi="Arial"/>
          <w:sz w:val="19"/>
          <w:szCs w:val="19"/>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nothing herein shall constitute a commitment by any SPV to make any Loan, (ii) if an SPV elects not to exercise such option or otherwise fails to provide all or any part of such Loan, the Granting Lender shall be obligated to make such Loan pursuant to the terms hereof, and</w:t>
      </w:r>
    </w:p>
    <w:p>
      <w:pPr>
        <w:spacing w:after="0" w:line="1" w:lineRule="exact"/>
        <w:rPr>
          <w:rFonts w:ascii="Arial" w:cs="Arial" w:eastAsia="Arial" w:hAnsi="Arial"/>
          <w:sz w:val="19"/>
          <w:szCs w:val="19"/>
          <w:color w:val="auto"/>
        </w:rPr>
      </w:pPr>
    </w:p>
    <w:p>
      <w:pPr>
        <w:jc w:val="both"/>
        <w:ind w:firstLine="8"/>
        <w:spacing w:after="0" w:line="270" w:lineRule="auto"/>
        <w:tabs>
          <w:tab w:leader="none" w:pos="39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the Granting Lender shall for all purposes remain the Lender hereunder.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9"/>
          <w:szCs w:val="19"/>
          <w:u w:val="single" w:color="auto"/>
          <w:color w:val="auto"/>
        </w:rPr>
        <w:t>Section 10.04</w:t>
      </w:r>
      <w:r>
        <w:rPr>
          <w:rFonts w:ascii="Arial" w:cs="Arial" w:eastAsia="Arial" w:hAnsi="Arial"/>
          <w:sz w:val="19"/>
          <w:szCs w:val="19"/>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72"/>
        <w:spacing w:after="0"/>
        <w:tabs>
          <w:tab w:leader="none" w:pos="2363" w:val="left"/>
        </w:tabs>
        <w:numPr>
          <w:ilvl w:val="1"/>
          <w:numId w:val="243"/>
        </w:numPr>
        <w:rPr>
          <w:rFonts w:ascii="Arial" w:cs="Arial" w:eastAsia="Arial" w:hAnsi="Arial"/>
          <w:sz w:val="22"/>
          <w:szCs w:val="22"/>
          <w:color w:val="auto"/>
        </w:rPr>
      </w:pPr>
      <w:r>
        <w:rPr>
          <w:rFonts w:ascii="Arial" w:cs="Arial" w:eastAsia="Arial" w:hAnsi="Arial"/>
          <w:sz w:val="22"/>
          <w:szCs w:val="22"/>
          <w:color w:val="auto"/>
        </w:rPr>
        <w:t xml:space="preserve">The Borrower (except as expressly permitted by clause (ii) of </w:t>
      </w:r>
      <w:r>
        <w:rPr>
          <w:rFonts w:ascii="Arial" w:cs="Arial" w:eastAsia="Arial" w:hAnsi="Arial"/>
          <w:sz w:val="22"/>
          <w:szCs w:val="22"/>
          <w:u w:val="single" w:color="auto"/>
          <w:color w:val="auto"/>
        </w:rPr>
        <w:t>Section 7.04(d)</w:t>
      </w:r>
      <w:r>
        <w:rPr>
          <w:rFonts w:ascii="Arial" w:cs="Arial" w:eastAsia="Arial" w:hAnsi="Arial"/>
          <w:sz w:val="22"/>
          <w:szCs w:val="22"/>
          <w:color w:val="auto"/>
        </w:rPr>
        <w:t>) shall not assign or delegate any of its rights or duties hereunder without the prior written consent of the Administrative Agent and each Lender, and any attempted assignment without such consent shall be null and void.</w:t>
      </w:r>
    </w:p>
    <w:p>
      <w:pPr>
        <w:spacing w:after="0" w:line="186" w:lineRule="exact"/>
        <w:rPr>
          <w:rFonts w:ascii="Arial" w:cs="Arial" w:eastAsia="Arial" w:hAnsi="Arial"/>
          <w:sz w:val="22"/>
          <w:szCs w:val="22"/>
          <w:color w:val="auto"/>
        </w:rPr>
      </w:pPr>
    </w:p>
    <w:p>
      <w:pPr>
        <w:jc w:val="both"/>
        <w:ind w:firstLine="872"/>
        <w:spacing w:after="0"/>
        <w:tabs>
          <w:tab w:leader="none" w:pos="2411" w:val="left"/>
        </w:tabs>
        <w:numPr>
          <w:ilvl w:val="1"/>
          <w:numId w:val="243"/>
        </w:numPr>
        <w:rPr>
          <w:rFonts w:ascii="Arial" w:cs="Arial" w:eastAsia="Arial" w:hAnsi="Arial"/>
          <w:sz w:val="22"/>
          <w:szCs w:val="22"/>
          <w:color w:val="auto"/>
        </w:rPr>
      </w:pPr>
      <w:r>
        <w:rPr>
          <w:rFonts w:ascii="Arial" w:cs="Arial" w:eastAsia="Arial" w:hAnsi="Arial"/>
          <w:sz w:val="22"/>
          <w:szCs w:val="22"/>
          <w:color w:val="auto"/>
        </w:rPr>
        <w:t>So long as no Event of Default has occurred or is continuing or would result therefrom, any Lender may, at any time, assign all or a portion of its rights and obligations under this Agreement in respect of its Term Loans to the Borrower or any of its Subsidiaries, subject to the following limitations and other provisions:</w:t>
      </w:r>
    </w:p>
    <w:p>
      <w:pPr>
        <w:spacing w:after="0" w:line="186" w:lineRule="exact"/>
        <w:rPr>
          <w:sz w:val="20"/>
          <w:szCs w:val="20"/>
          <w:color w:val="auto"/>
        </w:rPr>
      </w:pPr>
    </w:p>
    <w:p>
      <w:pPr>
        <w:ind w:left="880" w:firstLine="797"/>
        <w:spacing w:after="0" w:line="250" w:lineRule="auto"/>
        <w:rPr>
          <w:sz w:val="20"/>
          <w:szCs w:val="20"/>
          <w:color w:val="auto"/>
        </w:rPr>
      </w:pPr>
      <w:r>
        <w:rPr>
          <w:rFonts w:ascii="Arial" w:cs="Arial" w:eastAsia="Arial" w:hAnsi="Arial"/>
          <w:sz w:val="22"/>
          <w:szCs w:val="22"/>
          <w:color w:val="auto"/>
        </w:rPr>
        <w:t>(i)such assignment shall be made pursuant to (A) an open-market transaction on a non-pro rata basis or (B) a Dutch Auction open to all Lenders of the applicable Class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0" w:name="page201"/>
    <w:bookmarkEnd w:id="200"/>
    <w:p>
      <w:pPr>
        <w:jc w:val="both"/>
        <w:ind w:left="880"/>
        <w:spacing w:after="0" w:line="236" w:lineRule="auto"/>
        <w:rPr>
          <w:sz w:val="20"/>
          <w:szCs w:val="20"/>
          <w:color w:val="auto"/>
        </w:rPr>
      </w:pPr>
      <w:r>
        <w:rPr>
          <w:rFonts w:ascii="Arial" w:cs="Arial" w:eastAsia="Arial" w:hAnsi="Arial"/>
          <w:sz w:val="22"/>
          <w:szCs w:val="22"/>
          <w:color w:val="auto"/>
        </w:rPr>
        <w:t>of Term Loans on a pro rata basis in accordance with the Auction Procedures (it being agreed that none of the Borrower or any other Restricted Subsidiary shall have any obligation to make any representation as to the absence of MNPI in connection therewith and such assignment shall be made pursuant to the form of Assignment and Acceptance, which shall contain customary “big boy” assurance by the assignor Lender to the effect that it is a sophisticated investor and is willing to proceed with the assignment);</w:t>
      </w:r>
    </w:p>
    <w:p>
      <w:pPr>
        <w:spacing w:after="0" w:line="187" w:lineRule="exact"/>
        <w:rPr>
          <w:sz w:val="20"/>
          <w:szCs w:val="20"/>
          <w:color w:val="auto"/>
        </w:rPr>
      </w:pPr>
    </w:p>
    <w:p>
      <w:pPr>
        <w:jc w:val="both"/>
        <w:ind w:left="880" w:firstLine="797"/>
        <w:spacing w:after="0" w:line="297" w:lineRule="auto"/>
        <w:rPr>
          <w:sz w:val="20"/>
          <w:szCs w:val="20"/>
          <w:color w:val="auto"/>
        </w:rPr>
      </w:pPr>
      <w:r>
        <w:rPr>
          <w:rFonts w:ascii="Arial" w:cs="Arial" w:eastAsia="Arial" w:hAnsi="Arial"/>
          <w:sz w:val="19"/>
          <w:szCs w:val="19"/>
          <w:color w:val="auto"/>
        </w:rPr>
        <w:t>(ii)the Borrower will not be entitled to receive, and will not receive, information provided solely to Lenders by the Administrative Agent or any Lender and will not be permitted to attend or participate in, and will not attend or participate in, meetings or conference calls attended solely by the Lenders and the Administrative Agent;</w:t>
      </w:r>
    </w:p>
    <w:p>
      <w:pPr>
        <w:spacing w:after="0" w:line="134"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(iii)[reserved];</w:t>
      </w:r>
    </w:p>
    <w:p>
      <w:pPr>
        <w:spacing w:after="0" w:line="206" w:lineRule="exact"/>
        <w:rPr>
          <w:sz w:val="20"/>
          <w:szCs w:val="20"/>
          <w:color w:val="auto"/>
        </w:rPr>
      </w:pPr>
    </w:p>
    <w:p>
      <w:pPr>
        <w:jc w:val="both"/>
        <w:ind w:left="880" w:firstLine="797"/>
        <w:spacing w:after="0" w:line="297" w:lineRule="auto"/>
        <w:rPr>
          <w:sz w:val="20"/>
          <w:szCs w:val="20"/>
          <w:color w:val="auto"/>
        </w:rPr>
      </w:pPr>
      <w:r>
        <w:rPr>
          <w:rFonts w:ascii="Arial" w:cs="Arial" w:eastAsia="Arial" w:hAnsi="Arial"/>
          <w:sz w:val="19"/>
          <w:szCs w:val="19"/>
          <w:color w:val="auto"/>
        </w:rPr>
        <w:t>(iv)the aggregate principal amount of Term Loans purchased by the Borrower may not exceed 20% of the aggregate principal amount of all Tranche B-2 Term Loans as of the Restatement Effective Date plus the aggregate amount of all Credit Agreement Refinancing Indebtedness incurred after the Restatement Effective Date;</w:t>
      </w:r>
    </w:p>
    <w:p>
      <w:pPr>
        <w:spacing w:after="0" w:line="134"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2"/>
          <w:szCs w:val="22"/>
          <w:color w:val="auto"/>
        </w:rPr>
        <w:t>(v)any Term Loans purchased by the Borrower shall be automatically and permanently cancelled immediately upon acquisition by the Borrower;</w:t>
      </w:r>
    </w:p>
    <w:p>
      <w:pPr>
        <w:spacing w:after="0" w:line="175" w:lineRule="exact"/>
        <w:rPr>
          <w:sz w:val="20"/>
          <w:szCs w:val="20"/>
          <w:color w:val="auto"/>
        </w:rPr>
      </w:pPr>
    </w:p>
    <w:p>
      <w:pPr>
        <w:ind w:left="880" w:right="260" w:firstLine="797"/>
        <w:spacing w:after="0" w:line="238" w:lineRule="auto"/>
        <w:rPr>
          <w:sz w:val="20"/>
          <w:szCs w:val="20"/>
          <w:color w:val="auto"/>
        </w:rPr>
      </w:pPr>
      <w:r>
        <w:rPr>
          <w:rFonts w:ascii="Arial" w:cs="Arial" w:eastAsia="Arial" w:hAnsi="Arial"/>
          <w:sz w:val="22"/>
          <w:szCs w:val="22"/>
          <w:color w:val="auto"/>
        </w:rPr>
        <w:t>(vi)notwithstanding anything to the contrary contained herein (including in the definitions of “Consolidated Net Income” and “Consolidated EBITDA”) any non-cash gains in respect of “cancellation of indebtedness” resulting from the cancellation of any Term Loans purchased by the Borrower shall be excluded from the determination of Consolidated Net Income and Consolidated EBITDA; and</w:t>
      </w:r>
    </w:p>
    <w:p>
      <w:pPr>
        <w:spacing w:after="0" w:line="185" w:lineRule="exact"/>
        <w:rPr>
          <w:sz w:val="20"/>
          <w:szCs w:val="20"/>
          <w:color w:val="auto"/>
        </w:rPr>
      </w:pPr>
    </w:p>
    <w:p>
      <w:pPr>
        <w:ind w:left="880" w:right="620" w:firstLine="797"/>
        <w:spacing w:after="0" w:line="250" w:lineRule="auto"/>
        <w:rPr>
          <w:sz w:val="20"/>
          <w:szCs w:val="20"/>
          <w:color w:val="auto"/>
        </w:rPr>
      </w:pPr>
      <w:r>
        <w:rPr>
          <w:rFonts w:ascii="Arial" w:cs="Arial" w:eastAsia="Arial" w:hAnsi="Arial"/>
          <w:sz w:val="22"/>
          <w:szCs w:val="22"/>
          <w:color w:val="auto"/>
        </w:rPr>
        <w:t xml:space="preserve">(vii)the purchase and cancellation of Term Loans pursuant to this </w:t>
      </w:r>
      <w:r>
        <w:rPr>
          <w:rFonts w:ascii="Arial" w:cs="Arial" w:eastAsia="Arial" w:hAnsi="Arial"/>
          <w:sz w:val="22"/>
          <w:szCs w:val="22"/>
          <w:u w:val="single" w:color="auto"/>
          <w:color w:val="auto"/>
        </w:rPr>
        <w:t>Section 10.04(k)</w:t>
      </w:r>
      <w:r>
        <w:rPr>
          <w:rFonts w:ascii="Arial" w:cs="Arial" w:eastAsia="Arial" w:hAnsi="Arial"/>
          <w:sz w:val="22"/>
          <w:szCs w:val="22"/>
          <w:color w:val="auto"/>
        </w:rPr>
        <w:t xml:space="preserve"> shall not constitute a voluntary or mandatory prepayment for purposes of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2.13</w:t>
      </w:r>
      <w:r>
        <w:rPr>
          <w:rFonts w:ascii="Arial" w:cs="Arial" w:eastAsia="Arial" w:hAnsi="Arial"/>
          <w:sz w:val="22"/>
          <w:szCs w:val="22"/>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Expenses; Indemnity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3" w:lineRule="auto"/>
        <w:tabs>
          <w:tab w:leader="none" w:pos="239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Borrower agrees (i) promptly following (and in any event within thirty (30) days of) written demand (including documentation reasonably supporting such request) therefor, to pay or reimburse the Administrative Agent, the Collateral Agent and Apollo for all reasonable and documented out-of-pocket costs and expenses incurred in connection with the preparation, negotiation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Attorney Costs which shall be limited to Attorney Costs of one counsel to the Agents, and one counsel to the Lenders (and one local counsel in each applicable jurisdiction for each group and, in the event of any actual or reasonably perceived conflict of interest, one additional counsel of each type to similarly situated parties)) and (ii) from and after the Restatement Effective Date, promptly following (and in any event within thirty (30) days of) written demand (including documentation reasonably supporting such request) therefor, to pay or reimburse the Administrative Agent, the Collateral Agent, Apollo</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1" w:name="page202"/>
    <w:bookmarkEnd w:id="201"/>
    <w:p>
      <w:pPr>
        <w:jc w:val="both"/>
        <w:spacing w:after="0" w:line="273" w:lineRule="auto"/>
        <w:rPr>
          <w:sz w:val="20"/>
          <w:szCs w:val="20"/>
          <w:color w:val="auto"/>
        </w:rPr>
      </w:pPr>
      <w:r>
        <w:rPr>
          <w:rFonts w:ascii="Arial" w:cs="Arial" w:eastAsia="Arial" w:hAnsi="Arial"/>
          <w:sz w:val="19"/>
          <w:szCs w:val="19"/>
          <w:color w:val="auto"/>
        </w:rPr>
        <w:t>and each Lender promptly following written demand for all reasonable and documented out-of-pocket costs and expenses incurred in connection with the enforcement (whether through negotiations, legal proceedings or otherwise) of any rights or remedies under this Agreement or the other Loan Documents (including all such out-of-pocket costs and expenses incurred during any legal proceeding, including any proceeding under any Debtor Relief Law, and including all respective Attorney Costs which shall be limited to Attorney Costs of one counsel to the Agents and one counsel to the Lenders (and one local counsel in each applicable jurisdiction for each group and, in the event of any actual or reasonably perceived conflict of interest, one additional counsel of each type to similarly situated parties)). To the extent otherwise reimbursable by the foregoing sentence of this section, the foregoing costs and expenses shall include all reasonable search, filing, recording, title insurance, survey, environmental, property condition report and zoning report charges and fees related thereto, and other reasonable and documented out of pocket expenses incurred by any Agent. The foregoing costs and expenses shall also include all mortgage recording, recording and filing fees charged by governmental authorities to record and/or file Collateral Documents.</w:t>
      </w:r>
    </w:p>
    <w:p>
      <w:pPr>
        <w:spacing w:after="0" w:line="155" w:lineRule="exact"/>
        <w:rPr>
          <w:sz w:val="20"/>
          <w:szCs w:val="20"/>
          <w:color w:val="auto"/>
        </w:rPr>
      </w:pPr>
    </w:p>
    <w:p>
      <w:pPr>
        <w:jc w:val="both"/>
        <w:ind w:firstLine="872"/>
        <w:spacing w:after="0" w:line="269" w:lineRule="auto"/>
        <w:tabs>
          <w:tab w:leader="none" w:pos="2411" w:val="left"/>
        </w:tabs>
        <w:numPr>
          <w:ilvl w:val="0"/>
          <w:numId w:val="245"/>
        </w:numPr>
        <w:rPr>
          <w:rFonts w:ascii="Arial" w:cs="Arial" w:eastAsia="Arial" w:hAnsi="Arial"/>
          <w:sz w:val="19"/>
          <w:szCs w:val="19"/>
          <w:color w:val="auto"/>
        </w:rPr>
      </w:pPr>
      <w:r>
        <w:rPr>
          <w:rFonts w:ascii="Arial" w:cs="Arial" w:eastAsia="Arial" w:hAnsi="Arial"/>
          <w:sz w:val="19"/>
          <w:szCs w:val="19"/>
          <w:color w:val="auto"/>
        </w:rPr>
        <w:t>Whether or not the transactions contemplated hereby are consummated, the Loan Parties shall, jointly and severally, indemnify and hold harmless the Administrative Agent, the Collateral Agent and their respective Affiliates, successors and permitted assigns (or the directors, officers, employees, agents, advisors and members of each of the foregoing) (each an “</w:t>
      </w:r>
      <w:r>
        <w:rPr>
          <w:rFonts w:ascii="Arial" w:cs="Arial" w:eastAsia="Arial" w:hAnsi="Arial"/>
          <w:sz w:val="19"/>
          <w:szCs w:val="19"/>
          <w:b w:val="1"/>
          <w:bCs w:val="1"/>
          <w:color w:val="auto"/>
        </w:rPr>
        <w:t>Agent Indemnitee</w:t>
      </w:r>
      <w:r>
        <w:rPr>
          <w:rFonts w:ascii="Arial" w:cs="Arial" w:eastAsia="Arial" w:hAnsi="Arial"/>
          <w:sz w:val="19"/>
          <w:szCs w:val="19"/>
          <w:color w:val="auto"/>
        </w:rPr>
        <w:t>” and collectively, the “</w:t>
      </w:r>
      <w:r>
        <w:rPr>
          <w:rFonts w:ascii="Arial" w:cs="Arial" w:eastAsia="Arial" w:hAnsi="Arial"/>
          <w:sz w:val="19"/>
          <w:szCs w:val="19"/>
          <w:b w:val="1"/>
          <w:bCs w:val="1"/>
          <w:color w:val="auto"/>
        </w:rPr>
        <w:t>Agent Indemnitees</w:t>
      </w:r>
      <w:r>
        <w:rPr>
          <w:rFonts w:ascii="Arial" w:cs="Arial" w:eastAsia="Arial" w:hAnsi="Arial"/>
          <w:sz w:val="19"/>
          <w:szCs w:val="19"/>
          <w:color w:val="auto"/>
        </w:rPr>
        <w:t>”) and each Lender and their respective Affiliates, successors and permitted assigns (or the directors, officers, employees, agents, advisors and members of each of the foregoing) (each a “</w:t>
      </w:r>
      <w:r>
        <w:rPr>
          <w:rFonts w:ascii="Arial" w:cs="Arial" w:eastAsia="Arial" w:hAnsi="Arial"/>
          <w:sz w:val="19"/>
          <w:szCs w:val="19"/>
          <w:b w:val="1"/>
          <w:bCs w:val="1"/>
          <w:color w:val="auto"/>
        </w:rPr>
        <w:t>Lender Indemnitee</w:t>
      </w:r>
      <w:r>
        <w:rPr>
          <w:rFonts w:ascii="Arial" w:cs="Arial" w:eastAsia="Arial" w:hAnsi="Arial"/>
          <w:sz w:val="19"/>
          <w:szCs w:val="19"/>
          <w:color w:val="auto"/>
        </w:rPr>
        <w:t>” and collectively, the “</w:t>
      </w:r>
      <w:r>
        <w:rPr>
          <w:rFonts w:ascii="Arial" w:cs="Arial" w:eastAsia="Arial" w:hAnsi="Arial"/>
          <w:sz w:val="19"/>
          <w:szCs w:val="19"/>
          <w:b w:val="1"/>
          <w:bCs w:val="1"/>
          <w:color w:val="auto"/>
        </w:rPr>
        <w:t>Lender Indemnitees</w:t>
      </w:r>
      <w:r>
        <w:rPr>
          <w:rFonts w:ascii="Arial" w:cs="Arial" w:eastAsia="Arial" w:hAnsi="Arial"/>
          <w:sz w:val="19"/>
          <w:szCs w:val="19"/>
          <w:color w:val="auto"/>
        </w:rPr>
        <w:t>”; together with, the Agent Indemnitees, collectively the “</w:t>
      </w:r>
      <w:r>
        <w:rPr>
          <w:rFonts w:ascii="Arial" w:cs="Arial" w:eastAsia="Arial" w:hAnsi="Arial"/>
          <w:sz w:val="19"/>
          <w:szCs w:val="19"/>
          <w:b w:val="1"/>
          <w:bCs w:val="1"/>
          <w:color w:val="auto"/>
        </w:rPr>
        <w:t>Indemnitees</w:t>
      </w:r>
      <w:r>
        <w:rPr>
          <w:rFonts w:ascii="Arial" w:cs="Arial" w:eastAsia="Arial" w:hAnsi="Arial"/>
          <w:sz w:val="19"/>
          <w:szCs w:val="19"/>
          <w:color w:val="auto"/>
        </w:rPr>
        <w:t xml:space="preserve">”) from and against any and all actual losses, damages, claims, liabilities and reasonable documented out-of-pocket costs and expenses (including Attorney Costs which shall be limited to Attorney Costs of one outside counsel for the Agent Indemnitees and Attorney Costs of one outside counsel for the Lender Indemnitees (and, if necessary, one local counsel in each applicable jurisdiction and, in the event of any actual or reasonably perceived conflict of interest, one additional counsel for each type of similarly situated affected Indemnitees)) of any kind or nature whatsoever which may at any time be imposed on, incurred by or asserted against any Agent Indemnitee or Lender Indemnitee in any way relating to or arising out of or in connection with (i) the execution, delivery, enforcement, performance or administration of any Loan Document or any other agreement, letter or instrument delivered in connection with the transactions contemplated thereby or the consummation of the Transactions or the other transactions contemplated thereby, (ii) any Commitment or Loan or the use or proposed use of the proceeds therefrom, (iii) any actual or alleged presence or Release of Hazardous Materials at, on, under or from any property, vehicle or facility currently or formerly owned, leased or operated by the Loan Parties or any Subsidiary, or any other Environmental Liability related in any way to any Loan Parties or any Subsidiary,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Agent Indemnitee or Lender Indemnitee is a party thereto and regardless of whether such matter is initiated by a third party or by the Borrower or any of its Affiliates or equityholders in all cases, whether or not caused by or arising, in whole or in part, out of the negligence of any such Agent Indemnitee or Lender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such indemnity shall not, as to any Indemnitee, be available to the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2" w:name="page203"/>
    <w:bookmarkEnd w:id="202"/>
    <w:p>
      <w:pPr>
        <w:jc w:val="both"/>
        <w:spacing w:after="0" w:line="269" w:lineRule="auto"/>
        <w:rPr>
          <w:sz w:val="20"/>
          <w:szCs w:val="20"/>
          <w:color w:val="auto"/>
        </w:rPr>
      </w:pPr>
      <w:r>
        <w:rPr>
          <w:rFonts w:ascii="Arial" w:cs="Arial" w:eastAsia="Arial" w:hAnsi="Arial"/>
          <w:sz w:val="19"/>
          <w:szCs w:val="19"/>
          <w:color w:val="auto"/>
        </w:rPr>
        <w:t xml:space="preserve">extent that such losses, damages, claims, liabilities and expenses resulted from (x) the gross negligence, bad faith or willful misconduct of such Indemnitee or of any affiliate, director, officer, employee, counsel, agent or attorney-in-fact of such Indemnitee, as determined by the final non-appealable judgment of a court of competent jurisdiction, (y) any dispute solely among the Indemnitees other than (1) any claim against an Indemnitee in its capacity or in fulfilling its role as Administrative Agent, Collateral Agent or similar role and (2) any claim arising out of any act or omission of the Borrower or any of its Affiliates or (z) the material breach by such Indemnitee of its obligations under the Loan Documents (or any related party), as determined by the final non-appealable judgment of a court of competent jurisdiction. No Indemnitee or any other party hereto shall be liable for any damages arising from the use by others of any information or other materials obtained through IntraLinks or other similar information transmission systems in connection with this Agreement except to the extent that such damages resulted from the (A) gross negligence, bad faith or willful misconduct of such Indemnitee or of any affiliate, director, officer, employee, counsel, agent or attorney-in-fact of such Indemnitee, as determined by the final non-appealable judgment of a court of competent jurisdiction or (B) the material breach by such Indemnitee of its or of any affiliate, director, officer, employee, counsel, agent or attorney-in-fact of such Indemnitee’s obligations under the Loan Documents, as determined by the final non-appealable judgment of a court of competent jurisdiction. In the case of a claim, investigation, litigation or other proceeding to which the indemnity in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applies, such indemnity shall be effective whether or not such claim, investigation, litigation or proceeding is brought by any Loan Party, any Subsidiary of any Loan Party, any Loan Party’s directors, stockholders or creditors or other Affiliates or an Indemnitee or any other Person, whether or not any Indemnitee is otherwise a party thereto and whether or not any of the transactions contemplated hereunder or under any of the other Loan Documents are consummated. For the avoidance of doubt, this paragraph shall not apply with respect to Taxes other than any Taxes that represent losses, claims, damages, etc. arising from any non-Tax claim. To the extent that any Loan Party fails to pay any amount required to be paid by them to the Administrative Agent or the Collateral Agent under paragraph (a) or (b) of this Section within the timeframe specified therein, each Lender severally agrees to indemnify and reimburse, and pay to the Administrative Agent or the Collateral Agent such Lender’s pro rata share (determined as of the time that the applicable unreimbursed expense or indemnity payment is sought) of such unpaid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the Collateral Agent in its capacity as such. For purposes hereof, if the Term Loans have been paid in full prior to such determination pursuant to the immediately preceding sentence, then each such Lender’s “pro rata share” shall be determined as of the last date the Term Loans were in effect immediately prior to such payment in full.</w:t>
      </w:r>
    </w:p>
    <w:p>
      <w:pPr>
        <w:spacing w:after="0" w:line="200" w:lineRule="exact"/>
        <w:rPr>
          <w:sz w:val="20"/>
          <w:szCs w:val="20"/>
          <w:color w:val="auto"/>
        </w:rPr>
      </w:pPr>
    </w:p>
    <w:p>
      <w:pPr>
        <w:spacing w:after="0" w:line="208" w:lineRule="exact"/>
        <w:rPr>
          <w:sz w:val="20"/>
          <w:szCs w:val="20"/>
          <w:color w:val="auto"/>
        </w:rPr>
      </w:pPr>
    </w:p>
    <w:p>
      <w:pPr>
        <w:jc w:val="both"/>
        <w:ind w:firstLine="872"/>
        <w:spacing w:after="0" w:line="234" w:lineRule="auto"/>
        <w:tabs>
          <w:tab w:leader="none" w:pos="2399" w:val="left"/>
        </w:tabs>
        <w:numPr>
          <w:ilvl w:val="0"/>
          <w:numId w:val="246"/>
        </w:numPr>
        <w:rPr>
          <w:rFonts w:ascii="Arial" w:cs="Arial" w:eastAsia="Arial" w:hAnsi="Arial"/>
          <w:sz w:val="22"/>
          <w:szCs w:val="22"/>
          <w:color w:val="auto"/>
        </w:rPr>
      </w:pPr>
      <w:r>
        <w:rPr>
          <w:rFonts w:ascii="Arial" w:cs="Arial" w:eastAsia="Arial" w:hAnsi="Arial"/>
          <w:sz w:val="22"/>
          <w:szCs w:val="22"/>
          <w:color w:val="auto"/>
        </w:rPr>
        <w:t xml:space="preserve">To the extent permitted by applicable Law, (i) no Loan Party shall assert, and each hereby waives, any claim against any Indemnitee and (ii) no Indemnitee shall assert, and each hereby waives, any claim against any Loan Party,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the use of the proceeds thereof (whether before or after the Restatement Effective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foregoing shall in no event limit the Borrower’s indemnification obligations under clause (b) above.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3" w:name="page204"/>
    <w:bookmarkEnd w:id="203"/>
    <w:p>
      <w:pPr>
        <w:jc w:val="both"/>
        <w:ind w:firstLine="872"/>
        <w:spacing w:after="0" w:line="248" w:lineRule="auto"/>
        <w:tabs>
          <w:tab w:leader="none" w:pos="2411" w:val="left"/>
        </w:tabs>
        <w:numPr>
          <w:ilvl w:val="0"/>
          <w:numId w:val="247"/>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 All amounts due under this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shall be payable within 30 days after written demand therefor (including documentation reasonably supporting such request).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Right of Setoff</w:t>
      </w:r>
    </w:p>
    <w:p>
      <w:pPr>
        <w:spacing w:after="0" w:line="206" w:lineRule="exact"/>
        <w:rPr>
          <w:sz w:val="20"/>
          <w:szCs w:val="20"/>
          <w:color w:val="auto"/>
        </w:rPr>
      </w:pPr>
    </w:p>
    <w:p>
      <w:pPr>
        <w:jc w:val="both"/>
        <w:ind w:firstLine="872"/>
        <w:spacing w:after="0" w:line="271" w:lineRule="auto"/>
        <w:tabs>
          <w:tab w:leader="none" w:pos="1120" w:val="left"/>
        </w:tabs>
        <w:numPr>
          <w:ilvl w:val="0"/>
          <w:numId w:val="248"/>
        </w:numPr>
        <w:rPr>
          <w:rFonts w:ascii="Arial" w:cs="Arial" w:eastAsia="Arial" w:hAnsi="Arial"/>
          <w:sz w:val="19"/>
          <w:szCs w:val="19"/>
          <w:i w:val="1"/>
          <w:iCs w:val="1"/>
          <w:color w:val="auto"/>
        </w:rPr>
      </w:pPr>
      <w:r>
        <w:rPr>
          <w:rFonts w:ascii="Arial" w:cs="Arial" w:eastAsia="Arial" w:hAnsi="Arial"/>
          <w:sz w:val="19"/>
          <w:szCs w:val="19"/>
          <w:color w:val="auto"/>
        </w:rPr>
        <w:t xml:space="preserve">In addition to any rights and remedies of the Lenders provided by Law, upon the occurrence and during the continuance of any Event of Default, each Lender and its Affiliates (and the Agents, in respect of any unpaid fees, costs and expenses payable hereunder) is authorized at any time and from time to time (with the prior consent of the Administrative Agent), without prior notice to any Loan Party, any such notice being waived by each Loan Party (on its own behalf and on behalf of each of its Subsidiaries), to the fullest extent permitted by applicable Law, to set off and apply any and all deposits (general or special, time or demand, provisional or final) (other than payroll accounts, trust accounts, escrow accounts, employee benefits accounts or petty cash accounts) at any time held by, and other indebtedness at any time owing by, such Lender and its Affiliates or the Collateral Agent to or for the credit or the account of the respective Loan Parties against any and all matured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denominated in a currency different from that of the applicable deposit or Indebtedness. Each Lender agrees promptly to notify the Borrower and the Administrative Agent after any such set off and application made by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 The rights of the Administrative Agent, the Collateral Agent and each Lender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w:t>
      </w:r>
      <w:r>
        <w:rPr>
          <w:rFonts w:ascii="Arial" w:cs="Arial" w:eastAsia="Arial" w:hAnsi="Arial"/>
          <w:sz w:val="19"/>
          <w:szCs w:val="19"/>
          <w:color w:val="auto"/>
        </w:rPr>
        <w:t xml:space="preserve"> are in addition to other rights and remedies (including other rights of setoff) that the Administrative Agent, the Collateral Agent and such Lender may have at Law.</w:t>
      </w: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Applicable Law</w:t>
      </w:r>
    </w:p>
    <w:p>
      <w:pPr>
        <w:spacing w:after="0" w:line="206" w:lineRule="exact"/>
        <w:rPr>
          <w:sz w:val="20"/>
          <w:szCs w:val="20"/>
          <w:color w:val="auto"/>
        </w:rPr>
      </w:pPr>
    </w:p>
    <w:p>
      <w:pPr>
        <w:jc w:val="both"/>
        <w:ind w:firstLine="872"/>
        <w:spacing w:after="0"/>
        <w:tabs>
          <w:tab w:leader="none" w:pos="1053" w:val="left"/>
        </w:tabs>
        <w:numPr>
          <w:ilvl w:val="0"/>
          <w:numId w:val="249"/>
        </w:numPr>
        <w:rPr>
          <w:rFonts w:ascii="Arial" w:cs="Arial" w:eastAsia="Arial" w:hAnsi="Arial"/>
          <w:sz w:val="22"/>
          <w:szCs w:val="22"/>
          <w:i w:val="1"/>
          <w:iCs w:val="1"/>
          <w:color w:val="auto"/>
        </w:rPr>
      </w:pPr>
      <w:r>
        <w:rPr>
          <w:rFonts w:ascii="Arial" w:cs="Arial" w:eastAsia="Arial" w:hAnsi="Arial"/>
          <w:sz w:val="22"/>
          <w:szCs w:val="22"/>
          <w:color w:val="auto"/>
        </w:rPr>
        <w:t>THIS AGREEMENT AND THE OTHER LOAN DOCUMENTS (OTHER THAN AS EXPRESSLY SET FORTH IN OTHER LOAN DOCUMENTS) SHALL BE CONSTRUED IN ACCORDANCE WITH AND GOVERNED BY THE LAWS OF THE STATE OF NEW YORK.</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Waivers; Amendment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7" w:lineRule="auto"/>
        <w:tabs>
          <w:tab w:leader="none" w:pos="239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No failure or delay of the Administrative Agent, the Collateral Agent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4" w:name="page205"/>
    <w:bookmarkEnd w:id="204"/>
    <w:p>
      <w:pPr>
        <w:jc w:val="both"/>
        <w:spacing w:after="0"/>
        <w:rPr>
          <w:sz w:val="20"/>
          <w:szCs w:val="20"/>
          <w:color w:val="auto"/>
        </w:rPr>
      </w:pPr>
      <w:r>
        <w:rPr>
          <w:rFonts w:ascii="Arial" w:cs="Arial" w:eastAsia="Arial" w:hAnsi="Arial"/>
          <w:sz w:val="22"/>
          <w:szCs w:val="22"/>
          <w:color w:val="auto"/>
        </w:rPr>
        <w:t>effective unless the same shall be permitted by paragraph (b) below, and then such waiver or consent shall be effective only in the specific instance and for the purpose for which given. No notice or demand on the Borrower in any case shall entitle the Borrower to any other or further notice or demand in similar or other circumstances.</w:t>
      </w:r>
    </w:p>
    <w:p>
      <w:pPr>
        <w:spacing w:after="0" w:line="186" w:lineRule="exact"/>
        <w:rPr>
          <w:sz w:val="20"/>
          <w:szCs w:val="20"/>
          <w:color w:val="auto"/>
        </w:rPr>
      </w:pPr>
    </w:p>
    <w:p>
      <w:pPr>
        <w:jc w:val="both"/>
        <w:ind w:firstLine="764"/>
        <w:spacing w:after="0" w:line="268" w:lineRule="auto"/>
        <w:tabs>
          <w:tab w:leader="none" w:pos="2304"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with respect to any Refinancing Amendment, in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with respect to an Extension Offer or as otherwise provided herein or in a Loan Document, neither this Agreement nor any other Loan Document nor any provision hereof or thereof may be waived, amended or modified except (x) in the case of this Agreement, pursuant to an agreement or agreements in writing entered into by the Borrower and the Required Lenders and (y) in the case of any other Loan Document, pursuant to an agreement or agreements in writing entered into by each party thereto with the consent of the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amendments to the ABL Intercreditor Agreement or the Second Lien Intercreditor Agreement shall require the agreement of the Loan Parties (or any of them) only to the extent required pursuant to the terms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such agreement shall (i) decrease the principal amount of, or extend the maturity of or any scheduled principal payment date or date for the payment of any fee or any interest on any Loan, or waive or excuse any such payment or any part thereof (other than with respect to any default interest), or decrease the amount of any fee or the rate of interest on any Loan (other than with respect to any default interest), without the prior written consent of each Lender directly and adversely affected thereby (it being understood that (x) the waiver of (or amendment to the terms of) any mandatory prepayment of the Loans shall not constitute a postponement of any date scheduled for the payment of principal or interest, (y) any change to the definition of “Consolidated EBITDA” or in the component definitions thereof shall not constitute a reduction or forgiveness in any rate of interest pursuant to this clause (i), (ii) increase or extend the Commitment of any Lender without the prior written consent of such Lender (it being understood that a waiver of any condition precedent or of any Default or Event of Default, mandatory prepayment or mandatory reduction of the Commitments shall not constitute an extension or increase of any Commitment of any Lender), (iii) amend or modify the pro rata requirements of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 10.04(j)</w:t>
      </w:r>
      <w:r>
        <w:rPr>
          <w:rFonts w:ascii="Arial" w:cs="Arial" w:eastAsia="Arial" w:hAnsi="Arial"/>
          <w:sz w:val="19"/>
          <w:szCs w:val="19"/>
          <w:color w:val="auto"/>
        </w:rPr>
        <w:t xml:space="preserve"> or the provisions of this Section or release all or substantially all of the Guarantors (other than in connection with the sale of such Guarantors in a transaction permitted by </w:t>
      </w:r>
      <w:r>
        <w:rPr>
          <w:rFonts w:ascii="Arial" w:cs="Arial" w:eastAsia="Arial" w:hAnsi="Arial"/>
          <w:sz w:val="19"/>
          <w:szCs w:val="19"/>
          <w:u w:val="single" w:color="auto"/>
          <w:color w:val="auto"/>
        </w:rPr>
        <w:t>Sections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or all or substantially all of the Collateral (other than as permitted hereby), without the prior written consent of each Lender directly and adversely affected thereby (or, in the case of </w:t>
      </w:r>
      <w:r>
        <w:rPr>
          <w:rFonts w:ascii="Arial" w:cs="Arial" w:eastAsia="Arial" w:hAnsi="Arial"/>
          <w:sz w:val="19"/>
          <w:szCs w:val="19"/>
          <w:u w:val="single" w:color="auto"/>
          <w:color w:val="auto"/>
        </w:rPr>
        <w:t>Section 10.04(j)</w:t>
      </w:r>
      <w:r>
        <w:rPr>
          <w:rFonts w:ascii="Arial" w:cs="Arial" w:eastAsia="Arial" w:hAnsi="Arial"/>
          <w:sz w:val="19"/>
          <w:szCs w:val="19"/>
          <w:color w:val="auto"/>
        </w:rPr>
        <w:t xml:space="preserve">, each Lender), (iv) change the provisions of any Loan Document in a manner that by its terms materially and adversely affects the rights of Lenders holding Loans of one Class differently from the rights of Lenders holding Loans of any other Class without the prior written consent of the Required Class Lenders with respect to each materially and adversely affected Class, (v) modify the protections afforded to an SPV pursuant to the provisions of </w:t>
      </w:r>
      <w:r>
        <w:rPr>
          <w:rFonts w:ascii="Arial" w:cs="Arial" w:eastAsia="Arial" w:hAnsi="Arial"/>
          <w:sz w:val="19"/>
          <w:szCs w:val="19"/>
          <w:u w:val="single" w:color="auto"/>
          <w:color w:val="auto"/>
        </w:rPr>
        <w:t>Section 10.04(i)</w:t>
      </w:r>
      <w:r>
        <w:rPr>
          <w:rFonts w:ascii="Arial" w:cs="Arial" w:eastAsia="Arial" w:hAnsi="Arial"/>
          <w:sz w:val="19"/>
          <w:szCs w:val="19"/>
          <w:color w:val="auto"/>
        </w:rPr>
        <w:t xml:space="preserve"> without the written consent of such SPV (vi) reduce the percentage contained in the definition of the term “Required Lenders” without the prior written consent of each Lender (it being understood that, with the consent of the Required Lenders (if such consent is otherwise required), additional extensions of credit pursuant to this Agreement may be included in the determination of the Required Lenders on substantially the same basis as the Term Loan Commitments on the Restatement Effective Date) or (vii) modify the definition of “Required Class Lenders” without the consent of the Required Class Lenders with respect to each Class of Loans or Commitments;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(w) no Lender consent is required to effect a Refinancing Amendment or an Extension (except as expressly provided in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2.19</w:t>
      </w:r>
      <w:r>
        <w:rPr>
          <w:rFonts w:ascii="Arial" w:cs="Arial" w:eastAsia="Arial" w:hAnsi="Arial"/>
          <w:sz w:val="19"/>
          <w:szCs w:val="19"/>
          <w:color w:val="auto"/>
        </w:rPr>
        <w:t>, as applicable) or to effect any amendment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5" w:name="page206"/>
    <w:bookmarkEnd w:id="205"/>
    <w:p>
      <w:pPr>
        <w:jc w:val="both"/>
        <w:spacing w:after="0" w:line="271" w:lineRule="auto"/>
        <w:rPr>
          <w:sz w:val="20"/>
          <w:szCs w:val="20"/>
          <w:color w:val="auto"/>
        </w:rPr>
      </w:pPr>
      <w:r>
        <w:rPr>
          <w:rFonts w:ascii="Arial" w:cs="Arial" w:eastAsia="Arial" w:hAnsi="Arial"/>
          <w:sz w:val="19"/>
          <w:szCs w:val="19"/>
          <w:color w:val="auto"/>
        </w:rPr>
        <w:t xml:space="preserve">expressly contemplated by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(x) [reserved], (y) modifications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any other provision requiring pro rata payments or sharing of payments in connection with (I) any buy back of Term Loans by the Borrower pursuant to </w:t>
      </w:r>
      <w:r>
        <w:rPr>
          <w:rFonts w:ascii="Arial" w:cs="Arial" w:eastAsia="Arial" w:hAnsi="Arial"/>
          <w:sz w:val="19"/>
          <w:szCs w:val="19"/>
          <w:u w:val="single" w:color="auto"/>
          <w:color w:val="auto"/>
        </w:rPr>
        <w:t>Section 10.04(k)</w:t>
      </w:r>
      <w:r>
        <w:rPr>
          <w:rFonts w:ascii="Arial" w:cs="Arial" w:eastAsia="Arial" w:hAnsi="Arial"/>
          <w:sz w:val="19"/>
          <w:szCs w:val="19"/>
          <w:color w:val="auto"/>
        </w:rPr>
        <w:t xml:space="preserve"> or pursuant to any similar program that may in the future be permitted hereunder, (II) [reserved] or (III) any Extension, shall only require approval (to the extent any such approval is otherwise required) of the Lenders participating and (z) no Lender consent other than the consent of the Required Lenders is required to effect any amendment or supplement to the ABL Intercreditor Agreement or the Second Lien Intercreditor Agreement (I) that the Administrative Agent is otherwise authorized to enter into with only the consent of the Required Lenders by </w:t>
      </w:r>
      <w:r>
        <w:rPr>
          <w:rFonts w:ascii="Arial" w:cs="Arial" w:eastAsia="Arial" w:hAnsi="Arial"/>
          <w:sz w:val="19"/>
          <w:szCs w:val="19"/>
          <w:u w:val="single" w:color="auto"/>
          <w:color w:val="auto"/>
        </w:rPr>
        <w:t>Section 10.23</w:t>
      </w:r>
      <w:r>
        <w:rPr>
          <w:rFonts w:ascii="Arial" w:cs="Arial" w:eastAsia="Arial" w:hAnsi="Arial"/>
          <w:sz w:val="19"/>
          <w:szCs w:val="19"/>
          <w:color w:val="auto"/>
        </w:rPr>
        <w:t xml:space="preserve">, (II) that is for the purpose of adding the holders of Permitted Second Priority Additional Debt, (or a Senior Representative with respect thereto) as parties thereto, as expressly contemplated by the Second Lien Intercreditor Agreement (it being understood that any such amendment or supplement may make such other changes to the applicable intercreditor agreement as, in the good faith determination of the Administrative Agent, are required to effectuate the foregoing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other changes are not adverse, in any material respect, to the interests of the Lenders) or (III) that is expressly contemplated by </w:t>
      </w:r>
      <w:r>
        <w:rPr>
          <w:rFonts w:ascii="Arial" w:cs="Arial" w:eastAsia="Arial" w:hAnsi="Arial"/>
          <w:sz w:val="19"/>
          <w:szCs w:val="19"/>
          <w:u w:val="single" w:color="auto"/>
          <w:color w:val="auto"/>
        </w:rPr>
        <w:t>Section 5.2(c)</w:t>
      </w:r>
      <w:r>
        <w:rPr>
          <w:rFonts w:ascii="Arial" w:cs="Arial" w:eastAsia="Arial" w:hAnsi="Arial"/>
          <w:sz w:val="19"/>
          <w:szCs w:val="19"/>
          <w:color w:val="auto"/>
        </w:rPr>
        <w:t xml:space="preserve"> or the second paragraph of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of the ABL Intercreditor Agreement (or the comparable provisions, if any, of the Second Lien Intercreditor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no such agreement shall amend, modify or otherwise adversely affect the rights or duties of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or the Collateral Agent hereunder or under any other Loan Document without the prior written consent of the Required Lenders, Administrative Agent or the Collateral Agent, as applicable.</w:t>
      </w:r>
    </w:p>
    <w:p>
      <w:pPr>
        <w:spacing w:after="0" w:line="157"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22"/>
          <w:szCs w:val="22"/>
          <w:color w:val="auto"/>
        </w:rPr>
        <w:t>Notwithstanding any other language to the contrary contained herein, with respect to any amendment, waiver or modification to which the Administrative Agent’s consent is not required, the parties agree to deliver to the Administrative Agent a copy of each such amendment, waiver or modification; provided that, (i) no party shall be liable for its failure to comply with this sentence and (ii) the Administrative Agent shall not be bound by any such amendment unless and until it has received a copy thereof.</w:t>
      </w:r>
    </w:p>
    <w:p>
      <w:pPr>
        <w:spacing w:after="0" w:line="187" w:lineRule="exact"/>
        <w:rPr>
          <w:sz w:val="20"/>
          <w:szCs w:val="20"/>
          <w:color w:val="auto"/>
        </w:rPr>
      </w:pPr>
    </w:p>
    <w:p>
      <w:pPr>
        <w:jc w:val="both"/>
        <w:ind w:firstLine="872"/>
        <w:spacing w:after="0" w:line="273" w:lineRule="auto"/>
        <w:tabs>
          <w:tab w:leader="none" w:pos="2399" w:val="left"/>
        </w:tabs>
        <w:numPr>
          <w:ilvl w:val="1"/>
          <w:numId w:val="252"/>
        </w:numPr>
        <w:rPr>
          <w:rFonts w:ascii="Arial" w:cs="Arial" w:eastAsia="Arial" w:hAnsi="Arial"/>
          <w:sz w:val="19"/>
          <w:szCs w:val="19"/>
          <w:color w:val="auto"/>
        </w:rPr>
      </w:pPr>
      <w:r>
        <w:rPr>
          <w:rFonts w:ascii="Arial" w:cs="Arial" w:eastAsia="Arial" w:hAnsi="Arial"/>
          <w:sz w:val="19"/>
          <w:szCs w:val="19"/>
          <w:color w:val="auto"/>
        </w:rPr>
        <w:t>Notwithstanding the foregoing, this Agreement and any other Loan Document may be amended solely with the consent of the Administrative Agent, the Required Lenders and the Borrower without the need to obtain the consent of any other Lender if such amendment is delivered in order to if such amendment is delivered in order to correct or cure</w:t>
      </w:r>
    </w:p>
    <w:p>
      <w:pPr>
        <w:spacing w:after="0" w:line="1" w:lineRule="exact"/>
        <w:rPr>
          <w:rFonts w:ascii="Arial" w:cs="Arial" w:eastAsia="Arial" w:hAnsi="Arial"/>
          <w:sz w:val="19"/>
          <w:szCs w:val="19"/>
          <w:color w:val="auto"/>
        </w:rPr>
      </w:pPr>
    </w:p>
    <w:p>
      <w:pPr>
        <w:jc w:val="both"/>
        <w:ind w:firstLine="8"/>
        <w:spacing w:after="0" w:line="266" w:lineRule="auto"/>
        <w:tabs>
          <w:tab w:leader="none" w:pos="31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ambiguities, errors, omissions, defects, (y) to effect administrative changes of a technical or immaterial nature or (z) incorrect cross references or similar inaccuracies in this Agreement or the applicable Loan Document. This Agreement, guarantees, collateral documents, security documents, intercreditor agreements, and related documents executed in connection with this Agreement may be in a form reasonably determined by the Administrative Agent or Collateral Agent, as applicable, and may be amended, modified, terminated or waived, and consent to any departure therefrom may be given, without the consent of any Lender if such amendment, modification, waiver or consent is given in order to (x) comply with local law or advice of counsel or</w:t>
      </w:r>
    </w:p>
    <w:p>
      <w:pPr>
        <w:spacing w:after="0" w:line="5" w:lineRule="exact"/>
        <w:rPr>
          <w:rFonts w:ascii="Arial" w:cs="Arial" w:eastAsia="Arial" w:hAnsi="Arial"/>
          <w:sz w:val="19"/>
          <w:szCs w:val="19"/>
          <w:color w:val="auto"/>
        </w:rPr>
      </w:pPr>
    </w:p>
    <w:p>
      <w:pPr>
        <w:jc w:val="both"/>
        <w:ind w:firstLine="8"/>
        <w:spacing w:after="0" w:line="277" w:lineRule="auto"/>
        <w:tabs>
          <w:tab w:leader="none" w:pos="319"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cause such guarantee, collateral document, security document or related document to be consistent with this Agreement and the other Loan Documents. The Borrower, the Required Lenders and the Administrative Agent may, without the consent of any other Lender, effect amendments to this Agreement and the other Loan Documents as may be necessary in the reasonable opinion of the Borrower, the Required Lenders and the Administrative Agent to effect the provisions of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7,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2.19</w:t>
      </w:r>
      <w:r>
        <w:rPr>
          <w:rFonts w:ascii="Arial" w:cs="Arial" w:eastAsia="Arial" w:hAnsi="Arial"/>
          <w:sz w:val="19"/>
          <w:szCs w:val="19"/>
          <w:color w:val="auto"/>
        </w:rPr>
        <w:t>. Notwithstanding anything to the contrary contained herein,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such amendment shall become effective without any further consent of any other party to such Loan Document.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Interest Rate Limitation</w:t>
      </w:r>
    </w:p>
    <w:p>
      <w:pPr>
        <w:spacing w:after="0" w:line="206" w:lineRule="exact"/>
        <w:rPr>
          <w:sz w:val="20"/>
          <w:szCs w:val="20"/>
          <w:color w:val="auto"/>
        </w:rPr>
      </w:pPr>
    </w:p>
    <w:p>
      <w:pPr>
        <w:jc w:val="both"/>
        <w:ind w:firstLine="872"/>
        <w:spacing w:after="0" w:line="274" w:lineRule="auto"/>
        <w:tabs>
          <w:tab w:leader="none" w:pos="1039" w:val="left"/>
        </w:tabs>
        <w:numPr>
          <w:ilvl w:val="0"/>
          <w:numId w:val="254"/>
        </w:numPr>
        <w:rPr>
          <w:rFonts w:ascii="Arial" w:cs="Arial" w:eastAsia="Arial" w:hAnsi="Arial"/>
          <w:sz w:val="19"/>
          <w:szCs w:val="19"/>
          <w:i w:val="1"/>
          <w:iCs w:val="1"/>
          <w:color w:val="auto"/>
        </w:rPr>
      </w:pPr>
      <w:r>
        <w:rPr>
          <w:rFonts w:ascii="Arial" w:cs="Arial" w:eastAsia="Arial" w:hAnsi="Arial"/>
          <w:sz w:val="19"/>
          <w:szCs w:val="19"/>
          <w:color w:val="auto"/>
        </w:rPr>
        <w:t>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b w:val="1"/>
          <w:bCs w:val="1"/>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b w:val="1"/>
          <w:bCs w:val="1"/>
          <w:color w:val="auto"/>
        </w:rPr>
        <w:t>Maximum Rate</w:t>
      </w:r>
      <w:r>
        <w:rPr>
          <w:rFonts w:ascii="Arial" w:cs="Arial" w:eastAsia="Arial" w:hAnsi="Arial"/>
          <w:sz w:val="19"/>
          <w:szCs w:val="19"/>
          <w:color w:val="auto"/>
        </w:rPr>
        <w:t xml:space="preserve">”) which may be contracted for, charged, taken, received or reserved by the Lender holding such Loan or participation in accordance with applicable Law, the rate of interest payable in respect of such Loan or participation hereunder, together with all Charges payable in respect thereof, shall be limited to the Maximum Rate and, to the extent lawful, the interest and Charges that would have been payable in respect of such Loan or participation but were not payable as a result of the operation of this </w:t>
      </w:r>
      <w:r>
        <w:rPr>
          <w:rFonts w:ascii="Arial" w:cs="Arial" w:eastAsia="Arial" w:hAnsi="Arial"/>
          <w:sz w:val="19"/>
          <w:szCs w:val="19"/>
          <w:u w:val="single" w:color="auto"/>
          <w:color w:val="auto"/>
        </w:rPr>
        <w:t>Section 10.09</w:t>
      </w:r>
      <w:r>
        <w:rPr>
          <w:rFonts w:ascii="Arial" w:cs="Arial" w:eastAsia="Arial" w:hAnsi="Arial"/>
          <w:sz w:val="19"/>
          <w:szCs w:val="19"/>
          <w:color w:val="auto"/>
        </w:rPr>
        <w:t xml:space="preserve"> shall be cumulated and the interest and Charges payable to such Lender in respect of other Loans or participations or periods shall be increased (but not above the Maximum Rate therefor) until such cumulated amount, together with interest thereon at the Federal Funds Effective Rate to the date of repayment, shall have been received by such Lender.</w:t>
      </w: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Entire Agreement</w:t>
      </w:r>
    </w:p>
    <w:p>
      <w:pPr>
        <w:spacing w:after="0" w:line="206" w:lineRule="exact"/>
        <w:rPr>
          <w:sz w:val="20"/>
          <w:szCs w:val="20"/>
          <w:color w:val="auto"/>
        </w:rPr>
      </w:pPr>
    </w:p>
    <w:p>
      <w:pPr>
        <w:jc w:val="both"/>
        <w:ind w:firstLine="872"/>
        <w:spacing w:after="0" w:line="246" w:lineRule="auto"/>
        <w:tabs>
          <w:tab w:leader="none" w:pos="1080" w:val="left"/>
        </w:tabs>
        <w:numPr>
          <w:ilvl w:val="0"/>
          <w:numId w:val="255"/>
        </w:numPr>
        <w:rPr>
          <w:rFonts w:ascii="Arial" w:cs="Arial" w:eastAsia="Arial" w:hAnsi="Arial"/>
          <w:sz w:val="21"/>
          <w:szCs w:val="21"/>
          <w:i w:val="1"/>
          <w:iCs w:val="1"/>
          <w:color w:val="auto"/>
        </w:rPr>
      </w:pPr>
      <w:r>
        <w:rPr>
          <w:rFonts w:ascii="Arial" w:cs="Arial" w:eastAsia="Arial" w:hAnsi="Arial"/>
          <w:sz w:val="21"/>
          <w:szCs w:val="21"/>
          <w:color w:val="auto"/>
        </w:rPr>
        <w:t>This Agreement, the Fee Letter and the other Loan Documents constitute the entire contract between the parties relative to the subject matter hereof. Any other previous agreement among the parties with respect to the subject matter hereof is superseded by this Agreement and the other Loan Documents. Nothing in this Agreement or in the other Loan Documents, expressed or implied, is intended to confer upon any Person (other than the parties hereto and thereto, their respective successors and assigns permitted hereunder and, to the extent expressly contemplated hereby, the Related Parties of each of the Required Lenders, Administrative Agent, the Collateral Agent and the Lenders) any rights, remedies, obligations or liabilities under or by reason of this Agreement or the other Loan Documents.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WAIVER OF JURY TRIAL</w:t>
      </w:r>
    </w:p>
    <w:p>
      <w:pPr>
        <w:spacing w:after="0" w:line="206" w:lineRule="exact"/>
        <w:rPr>
          <w:sz w:val="20"/>
          <w:szCs w:val="20"/>
          <w:color w:val="auto"/>
        </w:rPr>
      </w:pPr>
    </w:p>
    <w:p>
      <w:pPr>
        <w:jc w:val="both"/>
        <w:ind w:firstLine="872"/>
        <w:spacing w:after="0" w:line="245" w:lineRule="auto"/>
        <w:tabs>
          <w:tab w:leader="none" w:pos="1093" w:val="left"/>
        </w:tabs>
        <w:numPr>
          <w:ilvl w:val="0"/>
          <w:numId w:val="256"/>
        </w:numPr>
        <w:rPr>
          <w:rFonts w:ascii="Arial" w:cs="Arial" w:eastAsia="Arial" w:hAnsi="Arial"/>
          <w:sz w:val="21"/>
          <w:szCs w:val="21"/>
          <w:i w:val="1"/>
          <w:iCs w:val="1"/>
          <w:color w:val="auto"/>
        </w:rPr>
      </w:pPr>
      <w:r>
        <w:rPr>
          <w:rFonts w:ascii="Arial" w:cs="Arial" w:eastAsia="Arial" w:hAnsi="Arial"/>
          <w:sz w:val="21"/>
          <w:szCs w:val="21"/>
          <w:color w:val="auto"/>
        </w:rPr>
        <w:t xml:space="preserve">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Arial" w:cs="Arial" w:eastAsia="Arial" w:hAnsi="Arial"/>
          <w:sz w:val="21"/>
          <w:szCs w:val="21"/>
          <w:u w:val="single" w:color="auto"/>
          <w:color w:val="auto"/>
        </w:rPr>
        <w:t>SECTION 10.11</w:t>
      </w:r>
      <w:r>
        <w:rPr>
          <w:rFonts w:ascii="Arial" w:cs="Arial" w:eastAsia="Arial" w:hAnsi="Arial"/>
          <w:sz w:val="21"/>
          <w:szCs w:val="21"/>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Severability</w:t>
      </w:r>
    </w:p>
    <w:p>
      <w:pPr>
        <w:spacing w:after="0" w:line="206" w:lineRule="exact"/>
        <w:rPr>
          <w:sz w:val="20"/>
          <w:szCs w:val="20"/>
          <w:color w:val="auto"/>
        </w:rPr>
      </w:pPr>
    </w:p>
    <w:p>
      <w:pPr>
        <w:jc w:val="both"/>
        <w:ind w:firstLine="872"/>
        <w:spacing w:after="0" w:line="235" w:lineRule="auto"/>
        <w:tabs>
          <w:tab w:leader="none" w:pos="1026" w:val="left"/>
        </w:tabs>
        <w:numPr>
          <w:ilvl w:val="0"/>
          <w:numId w:val="257"/>
        </w:numPr>
        <w:rPr>
          <w:rFonts w:ascii="Arial" w:cs="Arial" w:eastAsia="Arial" w:hAnsi="Arial"/>
          <w:sz w:val="22"/>
          <w:szCs w:val="22"/>
          <w:i w:val="1"/>
          <w:iCs w:val="1"/>
          <w:color w:val="auto"/>
        </w:rPr>
      </w:pPr>
      <w:r>
        <w:rPr>
          <w:rFonts w:ascii="Arial" w:cs="Arial" w:eastAsia="Arial" w:hAnsi="Arial"/>
          <w:sz w:val="22"/>
          <w:szCs w:val="22"/>
          <w:color w:val="auto"/>
        </w:rPr>
        <w:t>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economic effect of which comes as close as possible to that of the invalid, illegal or unenforceable provisions.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Counterparts</w:t>
      </w:r>
    </w:p>
    <w:p>
      <w:pPr>
        <w:spacing w:after="0" w:line="206" w:lineRule="exact"/>
        <w:rPr>
          <w:sz w:val="20"/>
          <w:szCs w:val="20"/>
          <w:color w:val="auto"/>
        </w:rPr>
      </w:pPr>
    </w:p>
    <w:p>
      <w:pPr>
        <w:jc w:val="both"/>
        <w:ind w:firstLine="872"/>
        <w:spacing w:after="0" w:line="287" w:lineRule="auto"/>
        <w:tabs>
          <w:tab w:leader="none" w:pos="1039" w:val="left"/>
        </w:tabs>
        <w:numPr>
          <w:ilvl w:val="0"/>
          <w:numId w:val="258"/>
        </w:numPr>
        <w:rPr>
          <w:rFonts w:ascii="Arial" w:cs="Arial" w:eastAsia="Arial" w:hAnsi="Arial"/>
          <w:sz w:val="19"/>
          <w:szCs w:val="19"/>
          <w:i w:val="1"/>
          <w:iCs w:val="1"/>
          <w:color w:val="auto"/>
        </w:rPr>
      </w:pPr>
      <w:r>
        <w:rPr>
          <w:rFonts w:ascii="Arial" w:cs="Arial" w:eastAsia="Arial" w:hAnsi="Arial"/>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and shall become effective as provided in </w:t>
      </w:r>
      <w:r>
        <w:rPr>
          <w:rFonts w:ascii="Arial" w:cs="Arial" w:eastAsia="Arial" w:hAnsi="Arial"/>
          <w:sz w:val="19"/>
          <w:szCs w:val="19"/>
          <w:u w:val="single" w:color="auto"/>
          <w:color w:val="auto"/>
        </w:rPr>
        <w:t>Section 10.03</w:t>
      </w:r>
      <w:r>
        <w:rPr>
          <w:rFonts w:ascii="Arial" w:cs="Arial" w:eastAsia="Arial" w:hAnsi="Arial"/>
          <w:sz w:val="19"/>
          <w:szCs w:val="19"/>
          <w:color w:val="auto"/>
        </w:rPr>
        <w:t>. Delivery of an executed signature page to this Agreement by facsimile or other electronic imaging transmission shall be as effective as delivery of a manually signed counterpart of this Agreement.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Headings</w:t>
      </w:r>
    </w:p>
    <w:p>
      <w:pPr>
        <w:spacing w:after="0" w:line="206" w:lineRule="exact"/>
        <w:rPr>
          <w:sz w:val="20"/>
          <w:szCs w:val="20"/>
          <w:color w:val="auto"/>
        </w:rPr>
      </w:pPr>
    </w:p>
    <w:p>
      <w:pPr>
        <w:ind w:right="20" w:firstLine="872"/>
        <w:spacing w:after="0" w:line="328" w:lineRule="auto"/>
        <w:tabs>
          <w:tab w:leader="none" w:pos="1026" w:val="left"/>
        </w:tabs>
        <w:numPr>
          <w:ilvl w:val="0"/>
          <w:numId w:val="259"/>
        </w:numPr>
        <w:rPr>
          <w:rFonts w:ascii="Arial" w:cs="Arial" w:eastAsia="Arial" w:hAnsi="Arial"/>
          <w:sz w:val="19"/>
          <w:szCs w:val="19"/>
          <w:i w:val="1"/>
          <w:iCs w:val="1"/>
          <w:color w:val="auto"/>
        </w:rPr>
      </w:pPr>
      <w:r>
        <w:rPr>
          <w:rFonts w:ascii="Arial" w:cs="Arial" w:eastAsia="Arial" w:hAnsi="Arial"/>
          <w:sz w:val="19"/>
          <w:szCs w:val="19"/>
          <w:color w:val="auto"/>
        </w:rPr>
        <w:t>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Jurisdiction; Consent to Service of Process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6" w:lineRule="auto"/>
        <w:tabs>
          <w:tab w:leader="none" w:pos="2399" w:val="left"/>
        </w:tabs>
        <w:numPr>
          <w:ilvl w:val="0"/>
          <w:numId w:val="260"/>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submits, for itself and its property, to the exclusive jurisdiction of any New York State court or Federal court of the United States of America sitting in the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79" w:lineRule="exact"/>
        <w:rPr>
          <w:rFonts w:ascii="Arial" w:cs="Arial" w:eastAsia="Arial" w:hAnsi="Arial"/>
          <w:sz w:val="21"/>
          <w:szCs w:val="21"/>
          <w:color w:val="auto"/>
        </w:rPr>
      </w:pPr>
    </w:p>
    <w:p>
      <w:pPr>
        <w:jc w:val="both"/>
        <w:ind w:firstLine="872"/>
        <w:spacing w:after="0" w:line="249" w:lineRule="auto"/>
        <w:tabs>
          <w:tab w:leader="none" w:pos="2411" w:val="left"/>
        </w:tabs>
        <w:numPr>
          <w:ilvl w:val="0"/>
          <w:numId w:val="260"/>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78" w:lineRule="exact"/>
        <w:rPr>
          <w:rFonts w:ascii="Arial" w:cs="Arial" w:eastAsia="Arial" w:hAnsi="Arial"/>
          <w:sz w:val="21"/>
          <w:szCs w:val="21"/>
          <w:color w:val="auto"/>
        </w:rPr>
      </w:pPr>
    </w:p>
    <w:p>
      <w:pPr>
        <w:jc w:val="both"/>
        <w:ind w:firstLine="872"/>
        <w:spacing w:after="0"/>
        <w:tabs>
          <w:tab w:leader="none" w:pos="2399"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10.01</w:t>
      </w:r>
      <w:r>
        <w:rPr>
          <w:rFonts w:ascii="Arial" w:cs="Arial" w:eastAsia="Arial" w:hAnsi="Arial"/>
          <w:sz w:val="22"/>
          <w:szCs w:val="22"/>
          <w:color w:val="auto"/>
        </w:rPr>
        <w:t>. Nothing in this Agreement will affect the right of any party to this Agreement to serve process in any other manner permitted by law.</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Confidentiality</w:t>
      </w:r>
    </w:p>
    <w:p>
      <w:pPr>
        <w:spacing w:after="0" w:line="206" w:lineRule="exact"/>
        <w:rPr>
          <w:sz w:val="20"/>
          <w:szCs w:val="20"/>
          <w:color w:val="auto"/>
        </w:rPr>
      </w:pPr>
    </w:p>
    <w:p>
      <w:pPr>
        <w:jc w:val="both"/>
        <w:ind w:firstLine="872"/>
        <w:spacing w:after="0" w:line="246" w:lineRule="auto"/>
        <w:tabs>
          <w:tab w:leader="none" w:pos="1039" w:val="left"/>
        </w:tabs>
        <w:numPr>
          <w:ilvl w:val="0"/>
          <w:numId w:val="261"/>
        </w:numPr>
        <w:rPr>
          <w:rFonts w:ascii="Arial" w:cs="Arial" w:eastAsia="Arial" w:hAnsi="Arial"/>
          <w:sz w:val="21"/>
          <w:szCs w:val="21"/>
          <w:i w:val="1"/>
          <w:iCs w:val="1"/>
          <w:color w:val="auto"/>
        </w:rPr>
      </w:pPr>
      <w:r>
        <w:rPr>
          <w:rFonts w:ascii="Arial" w:cs="Arial" w:eastAsia="Arial" w:hAnsi="Arial"/>
          <w:sz w:val="21"/>
          <w:szCs w:val="21"/>
          <w:color w:val="auto"/>
        </w:rPr>
        <w:t>Each of the Administrative Agent, the Collateral Agent and the Lenders agrees to maintain the confidentiality of the Information (as defined below), except that Information may be disclosed (a) to its and its Affiliates’ officers, directors, employees and agents, including accountants, financing sources, legal counsel and other advisors involved in the Transaction on a “need to know” basis (it being understood that the Persons to whom such disclosure is made will be informed of the confidential nature of such Information and instructed to keep such Information confidential), (b) to the extent requested by any regulatory authority or quasi-regulatory authority (such as the National Association of Insurance Commissioners), (c) to the extent required by applicable Laws or regulations or by any subpoena or similar legal process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8" w:name="page209"/>
    <w:bookmarkEnd w:id="208"/>
    <w:p>
      <w:pPr>
        <w:jc w:val="both"/>
        <w:spacing w:after="0" w:line="270" w:lineRule="auto"/>
        <w:rPr>
          <w:sz w:val="20"/>
          <w:szCs w:val="20"/>
          <w:color w:val="auto"/>
        </w:rPr>
      </w:pPr>
      <w:r>
        <w:rPr>
          <w:rFonts w:ascii="Arial" w:cs="Arial" w:eastAsia="Arial" w:hAnsi="Arial"/>
          <w:sz w:val="19"/>
          <w:szCs w:val="19"/>
          <w:color w:val="auto"/>
        </w:rPr>
        <w:t xml:space="preserve">(and in such case, such Person shall promptly notify the Borrower of such disclosure), (d) in connection with the exercise of any remedies hereunder or under the other Loan Documents or any suit, action or proceeding relating to the enforcement of its rights hereunder or thereunder, (e) subject to an agreement containing provisions substantially the same as those of this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to (i) any actual or prospective assignee of or participant in any of its rights or obligations under this Agreement and the other Loan Documents or (ii) any actual or prospective counterparty (or its advisors) to any swap or derivative transaction relating to the Borrower or any Subsidiary or any of their respective obligations, (f) with the prior written consent of the Borrower, (g) on a confidential basis to (x) any rating agency in connection with rating the Borrower or its Subsidiaries or the Facility or (y) the CUSIP Service Bureau or any similar agency in connection with the issuance and monitoring of CUSIP numbers with respect to the Facility, or (h) to the extent such Information becomes publicly available other than as a result of a breach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10.16</w:t>
      </w:r>
      <w:r>
        <w:rPr>
          <w:rFonts w:ascii="Arial" w:cs="Arial" w:eastAsia="Arial" w:hAnsi="Arial"/>
          <w:sz w:val="19"/>
          <w:szCs w:val="19"/>
          <w:color w:val="auto"/>
        </w:rPr>
        <w:t xml:space="preserve"> or other confidentiality obligation owed to the Borrower or any of its Subsidiaries. For the purposes of this Article,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shall mean all information received from the Borrower and related to the Borrower, its business, other than any such information that was available to the Administrative Agent, the Collateral Agent or any Lender on a nonconfidential basis prior to its disclosure by the Borrower not in violation of any confidentiality or obligation owed to the Borrower and the Subsidiaries.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Loan Documents. Any Person required to maintain the confidentiality of Information as provided in this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shall be considered to have complied with its obligation to do so if such Person has exercised the same degree of care to maintain the confidentiality of such Information as such Person would accord its own confidential information.</w:t>
      </w:r>
    </w:p>
    <w:p>
      <w:pPr>
        <w:spacing w:after="0" w:line="200" w:lineRule="exact"/>
        <w:rPr>
          <w:sz w:val="20"/>
          <w:szCs w:val="20"/>
          <w:color w:val="auto"/>
        </w:rPr>
      </w:pPr>
    </w:p>
    <w:p>
      <w:pPr>
        <w:spacing w:after="0" w:line="20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Lender Action</w:t>
      </w:r>
    </w:p>
    <w:p>
      <w:pPr>
        <w:spacing w:after="0" w:line="206" w:lineRule="exact"/>
        <w:rPr>
          <w:sz w:val="20"/>
          <w:szCs w:val="20"/>
          <w:color w:val="auto"/>
        </w:rPr>
      </w:pPr>
    </w:p>
    <w:p>
      <w:pPr>
        <w:jc w:val="both"/>
        <w:ind w:firstLine="872"/>
        <w:spacing w:after="0" w:line="248" w:lineRule="auto"/>
        <w:tabs>
          <w:tab w:leader="none" w:pos="1026" w:val="left"/>
        </w:tabs>
        <w:numPr>
          <w:ilvl w:val="0"/>
          <w:numId w:val="262"/>
        </w:numPr>
        <w:rPr>
          <w:rFonts w:ascii="Arial" w:cs="Arial" w:eastAsia="Arial" w:hAnsi="Arial"/>
          <w:sz w:val="21"/>
          <w:szCs w:val="21"/>
          <w:i w:val="1"/>
          <w:iCs w:val="1"/>
          <w:color w:val="auto"/>
        </w:rPr>
      </w:pPr>
      <w:r>
        <w:rPr>
          <w:rFonts w:ascii="Arial" w:cs="Arial" w:eastAsia="Arial" w:hAnsi="Arial"/>
          <w:sz w:val="21"/>
          <w:szCs w:val="21"/>
          <w:color w:val="auto"/>
        </w:rPr>
        <w:t>Each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(which shall be given at the direction of the Required Lender).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USA PATRIOT Act Notice</w:t>
      </w:r>
    </w:p>
    <w:p>
      <w:pPr>
        <w:spacing w:after="0" w:line="206" w:lineRule="exact"/>
        <w:rPr>
          <w:sz w:val="20"/>
          <w:szCs w:val="20"/>
          <w:color w:val="auto"/>
        </w:rPr>
      </w:pPr>
    </w:p>
    <w:p>
      <w:pPr>
        <w:jc w:val="both"/>
        <w:ind w:firstLine="872"/>
        <w:spacing w:after="0" w:line="287" w:lineRule="auto"/>
        <w:tabs>
          <w:tab w:leader="none" w:pos="1039" w:val="left"/>
        </w:tabs>
        <w:numPr>
          <w:ilvl w:val="0"/>
          <w:numId w:val="263"/>
        </w:numPr>
        <w:rPr>
          <w:rFonts w:ascii="Arial" w:cs="Arial" w:eastAsia="Arial" w:hAnsi="Arial"/>
          <w:sz w:val="19"/>
          <w:szCs w:val="19"/>
          <w:i w:val="1"/>
          <w:iCs w:val="1"/>
          <w:color w:val="auto"/>
        </w:rPr>
      </w:pPr>
      <w:r>
        <w:rPr>
          <w:rFonts w:ascii="Arial" w:cs="Arial" w:eastAsia="Arial" w:hAnsi="Arial"/>
          <w:sz w:val="19"/>
          <w:szCs w:val="19"/>
          <w:color w:val="auto"/>
        </w:rPr>
        <w:t>Each Lender and the Administrative Agent (for itself and not on behalf of any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Collateral And Guaranty Matters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The Lenders irrevocably agree:</w:t>
      </w:r>
    </w:p>
    <w:p>
      <w:pPr>
        <w:spacing w:after="0" w:line="206" w:lineRule="exact"/>
        <w:rPr>
          <w:sz w:val="20"/>
          <w:szCs w:val="20"/>
          <w:color w:val="auto"/>
        </w:rPr>
      </w:pPr>
    </w:p>
    <w:p>
      <w:pPr>
        <w:jc w:val="both"/>
        <w:ind w:firstLine="872"/>
        <w:spacing w:after="0"/>
        <w:tabs>
          <w:tab w:leader="none" w:pos="2399"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that any Lien on any property granted to or held by the Administrative Agent or the Collateral Agent under any Loan Document shall be automatically released (i) upon termination of all Commitments hereunder and payment in full of all Obligations (other than contingent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9" w:name="page210"/>
    <w:bookmarkEnd w:id="209"/>
    <w:p>
      <w:pPr>
        <w:jc w:val="both"/>
        <w:spacing w:after="0" w:line="269" w:lineRule="auto"/>
        <w:rPr>
          <w:sz w:val="20"/>
          <w:szCs w:val="20"/>
          <w:color w:val="auto"/>
        </w:rPr>
      </w:pPr>
      <w:r>
        <w:rPr>
          <w:rFonts w:ascii="Arial" w:cs="Arial" w:eastAsia="Arial" w:hAnsi="Arial"/>
          <w:sz w:val="19"/>
          <w:szCs w:val="19"/>
          <w:color w:val="auto"/>
        </w:rPr>
        <w:t>obligations not yet accrued or payable), (ii) at the time the property subject to such Lien is disposed as part of or in connection with any disposition permitted hereunder or under any other Loan Document to any Person other than a Person required to grant a Lien to the Administrative Agent or the Collateral Agent under the Loan Documents (or, if such transferee is a Person required to grant a Lien to the Administrative Agent or the Collateral Agent on such asset, at the option of the applicable Loan Party, such Lien on such asset may still be released in connection with the transfer so long as (x) the transferee grants a new Lien to the Administrative Agent or Collateral Agent on such asset substantially concurrently with the transfer of such asset, (y) the transfer is between parties organized under the laws of different jurisdictions and at least one of such parties is a Foreign Subsidiary and</w:t>
      </w:r>
    </w:p>
    <w:p>
      <w:pPr>
        <w:spacing w:after="0" w:line="5" w:lineRule="exact"/>
        <w:rPr>
          <w:sz w:val="20"/>
          <w:szCs w:val="20"/>
          <w:color w:val="auto"/>
        </w:rPr>
      </w:pPr>
    </w:p>
    <w:p>
      <w:pPr>
        <w:jc w:val="both"/>
        <w:ind w:firstLine="8"/>
        <w:spacing w:after="0" w:line="246" w:lineRule="auto"/>
        <w:tabs>
          <w:tab w:leader="none" w:pos="294"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the priority of the new Lien is the same as that of the original Lien), (iii) subject to </w:t>
      </w:r>
      <w:r>
        <w:rPr>
          <w:rFonts w:ascii="Arial" w:cs="Arial" w:eastAsia="Arial" w:hAnsi="Arial"/>
          <w:sz w:val="21"/>
          <w:szCs w:val="21"/>
          <w:u w:val="single" w:color="auto"/>
          <w:color w:val="auto"/>
        </w:rPr>
        <w:t>Section 10.08</w:t>
      </w:r>
      <w:r>
        <w:rPr>
          <w:rFonts w:ascii="Arial" w:cs="Arial" w:eastAsia="Arial" w:hAnsi="Arial"/>
          <w:sz w:val="21"/>
          <w:szCs w:val="21"/>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Arial" w:cs="Arial" w:eastAsia="Arial" w:hAnsi="Arial"/>
          <w:sz w:val="21"/>
          <w:szCs w:val="21"/>
          <w:u w:val="single" w:color="auto"/>
          <w:color w:val="auto"/>
        </w:rPr>
        <w:t>Section 11.10,</w:t>
      </w:r>
      <w:r>
        <w:rPr>
          <w:rFonts w:ascii="Arial" w:cs="Arial" w:eastAsia="Arial" w:hAnsi="Arial"/>
          <w:sz w:val="21"/>
          <w:szCs w:val="21"/>
          <w:color w:val="auto"/>
        </w:rPr>
        <w:t xml:space="preserve"> (v) any such property constitutes Excluded Property or (vi) in accordance with any Intercreditor Agreement;</w:t>
      </w:r>
    </w:p>
    <w:p>
      <w:pPr>
        <w:spacing w:after="0" w:line="179" w:lineRule="exact"/>
        <w:rPr>
          <w:rFonts w:ascii="Arial" w:cs="Arial" w:eastAsia="Arial" w:hAnsi="Arial"/>
          <w:sz w:val="21"/>
          <w:szCs w:val="21"/>
          <w:color w:val="auto"/>
        </w:rPr>
      </w:pPr>
    </w:p>
    <w:p>
      <w:pPr>
        <w:jc w:val="both"/>
        <w:ind w:firstLine="872"/>
        <w:spacing w:after="0" w:line="238" w:lineRule="auto"/>
        <w:tabs>
          <w:tab w:leader="none" w:pos="2411" w:val="left"/>
        </w:tabs>
        <w:numPr>
          <w:ilvl w:val="1"/>
          <w:numId w:val="265"/>
        </w:numPr>
        <w:rPr>
          <w:rFonts w:ascii="Arial" w:cs="Arial" w:eastAsia="Arial" w:hAnsi="Arial"/>
          <w:sz w:val="22"/>
          <w:szCs w:val="22"/>
          <w:color w:val="auto"/>
        </w:rPr>
      </w:pPr>
      <w:r>
        <w:rPr>
          <w:rFonts w:ascii="Arial" w:cs="Arial" w:eastAsia="Arial" w:hAnsi="Arial"/>
          <w:sz w:val="22"/>
          <w:szCs w:val="22"/>
          <w:color w:val="auto"/>
        </w:rPr>
        <w:t xml:space="preserve">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22"/>
          <w:szCs w:val="22"/>
          <w:u w:val="single" w:color="auto"/>
          <w:color w:val="auto"/>
        </w:rPr>
        <w:t>Sections 7.01(b)</w:t>
      </w:r>
      <w:r>
        <w:rPr>
          <w:rFonts w:ascii="Arial" w:cs="Arial" w:eastAsia="Arial" w:hAnsi="Arial"/>
          <w:sz w:val="22"/>
          <w:szCs w:val="22"/>
          <w:color w:val="auto"/>
        </w:rPr>
        <w:t xml:space="preserve">, </w:t>
      </w:r>
      <w:r>
        <w:rPr>
          <w:rFonts w:ascii="Arial" w:cs="Arial" w:eastAsia="Arial" w:hAnsi="Arial"/>
          <w:sz w:val="22"/>
          <w:szCs w:val="22"/>
          <w:u w:val="single" w:color="auto"/>
          <w:color w:val="auto"/>
        </w:rPr>
        <w:t>7.01(g)</w:t>
      </w:r>
      <w:r>
        <w:rPr>
          <w:rFonts w:ascii="Arial" w:cs="Arial" w:eastAsia="Arial" w:hAnsi="Arial"/>
          <w:sz w:val="22"/>
          <w:szCs w:val="22"/>
          <w:color w:val="auto"/>
        </w:rPr>
        <w:t xml:space="preserve">, </w:t>
      </w:r>
      <w:r>
        <w:rPr>
          <w:rFonts w:ascii="Arial" w:cs="Arial" w:eastAsia="Arial" w:hAnsi="Arial"/>
          <w:sz w:val="22"/>
          <w:szCs w:val="22"/>
          <w:u w:val="single" w:color="auto"/>
          <w:color w:val="auto"/>
        </w:rPr>
        <w:t>7.01(q)</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7.01(s)</w:t>
      </w:r>
      <w:r>
        <w:rPr>
          <w:rFonts w:ascii="Arial" w:cs="Arial" w:eastAsia="Arial" w:hAnsi="Arial"/>
          <w:sz w:val="22"/>
          <w:szCs w:val="22"/>
          <w:color w:val="auto"/>
        </w:rPr>
        <w:t xml:space="preserve"> (in the case of </w:t>
      </w:r>
      <w:r>
        <w:rPr>
          <w:rFonts w:ascii="Arial" w:cs="Arial" w:eastAsia="Arial" w:hAnsi="Arial"/>
          <w:sz w:val="22"/>
          <w:szCs w:val="22"/>
          <w:u w:val="single" w:color="auto"/>
          <w:color w:val="auto"/>
        </w:rPr>
        <w:t>Section 7.01(s)</w:t>
      </w:r>
      <w:r>
        <w:rPr>
          <w:rFonts w:ascii="Arial" w:cs="Arial" w:eastAsia="Arial" w:hAnsi="Arial"/>
          <w:sz w:val="22"/>
          <w:szCs w:val="22"/>
          <w:color w:val="auto"/>
        </w:rPr>
        <w:t>, to the extent required by the terms of the obligations secured by such Liens); and</w:t>
      </w:r>
    </w:p>
    <w:p>
      <w:pPr>
        <w:spacing w:after="0" w:line="184" w:lineRule="exact"/>
        <w:rPr>
          <w:rFonts w:ascii="Arial" w:cs="Arial" w:eastAsia="Arial" w:hAnsi="Arial"/>
          <w:sz w:val="22"/>
          <w:szCs w:val="22"/>
          <w:color w:val="auto"/>
        </w:rPr>
      </w:pPr>
    </w:p>
    <w:p>
      <w:pPr>
        <w:ind w:left="2400" w:hanging="1528"/>
        <w:spacing w:after="0"/>
        <w:tabs>
          <w:tab w:leader="none" w:pos="2400" w:val="left"/>
        </w:tabs>
        <w:numPr>
          <w:ilvl w:val="1"/>
          <w:numId w:val="265"/>
        </w:numPr>
        <w:rPr>
          <w:rFonts w:ascii="Arial" w:cs="Arial" w:eastAsia="Arial" w:hAnsi="Arial"/>
          <w:sz w:val="21"/>
          <w:szCs w:val="21"/>
          <w:color w:val="auto"/>
        </w:rPr>
      </w:pPr>
      <w:r>
        <w:rPr>
          <w:rFonts w:ascii="Arial" w:cs="Arial" w:eastAsia="Arial" w:hAnsi="Arial"/>
          <w:sz w:val="21"/>
          <w:szCs w:val="21"/>
          <w:color w:val="auto"/>
        </w:rPr>
        <w:t>that any Guarantor shall be automatically released from its obligations under the Guaranty as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xml:space="preserve">provided in </w:t>
      </w:r>
      <w:r>
        <w:rPr>
          <w:rFonts w:ascii="Arial" w:cs="Arial" w:eastAsia="Arial" w:hAnsi="Arial"/>
          <w:sz w:val="22"/>
          <w:szCs w:val="22"/>
          <w:u w:val="single" w:color="auto"/>
          <w:color w:val="auto"/>
        </w:rPr>
        <w:t>Section 11.10</w:t>
      </w:r>
      <w:r>
        <w:rPr>
          <w:rFonts w:ascii="Arial" w:cs="Arial" w:eastAsia="Arial" w:hAnsi="Arial"/>
          <w:sz w:val="22"/>
          <w:szCs w:val="22"/>
          <w:color w:val="auto"/>
        </w:rPr>
        <w:t>.</w:t>
      </w:r>
    </w:p>
    <w:p>
      <w:pPr>
        <w:spacing w:after="0" w:line="188"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Upon request by the Administrative Agent or the Collateral Agent at any time, the Required Lenders will confirm in writing the Administrative Agent’s or the Collateral Agent’s authority to release or subordinate its interest in particular types or items of property, or to release any Guarantor from its obligations under the Guaranty pursuant to this </w:t>
      </w:r>
      <w:r>
        <w:rPr>
          <w:rFonts w:ascii="Arial" w:cs="Arial" w:eastAsia="Arial" w:hAnsi="Arial"/>
          <w:sz w:val="21"/>
          <w:szCs w:val="21"/>
          <w:u w:val="single" w:color="auto"/>
          <w:color w:val="auto"/>
        </w:rPr>
        <w:t>Section 10.19</w:t>
      </w:r>
      <w:r>
        <w:rPr>
          <w:rFonts w:ascii="Arial" w:cs="Arial" w:eastAsia="Arial" w:hAnsi="Arial"/>
          <w:sz w:val="21"/>
          <w:szCs w:val="21"/>
          <w:color w:val="auto"/>
        </w:rPr>
        <w:t xml:space="preserve">. In each case as specified in this </w:t>
      </w:r>
      <w:r>
        <w:rPr>
          <w:rFonts w:ascii="Arial" w:cs="Arial" w:eastAsia="Arial" w:hAnsi="Arial"/>
          <w:sz w:val="21"/>
          <w:szCs w:val="21"/>
          <w:u w:val="single" w:color="auto"/>
          <w:color w:val="auto"/>
        </w:rPr>
        <w:t>Section 10.19</w:t>
      </w:r>
      <w:r>
        <w:rPr>
          <w:rFonts w:ascii="Arial" w:cs="Arial" w:eastAsia="Arial" w:hAnsi="Arial"/>
          <w:sz w:val="21"/>
          <w:szCs w:val="21"/>
          <w:color w:val="auto"/>
        </w:rPr>
        <w:t xml:space="preserve">, the Administrative Agent or the Collateral Agent will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21"/>
          <w:szCs w:val="21"/>
          <w:u w:val="single" w:color="auto"/>
          <w:color w:val="auto"/>
        </w:rPr>
        <w:t>Section 10.19</w:t>
      </w:r>
      <w:r>
        <w:rPr>
          <w:rFonts w:ascii="Arial" w:cs="Arial" w:eastAsia="Arial" w:hAnsi="Arial"/>
          <w:sz w:val="21"/>
          <w:szCs w:val="21"/>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FF0000"/>
          <w:strike w:val="1"/>
        </w:rPr>
        <w:t xml:space="preserve">Section 10.20.  </w:t>
      </w:r>
      <w:r>
        <w:rPr>
          <w:rFonts w:ascii="Arial" w:cs="Arial" w:eastAsia="Arial" w:hAnsi="Arial"/>
          <w:sz w:val="22"/>
          <w:szCs w:val="22"/>
          <w:i w:val="1"/>
          <w:iCs w:val="1"/>
          <w:color w:val="FF0000"/>
          <w:strike w:val="1"/>
        </w:rPr>
        <w:t>[Reserved]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FF0000"/>
          <w:strike w:val="1"/>
        </w:rPr>
        <w: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0000FF"/>
        </w:rPr>
        <w:t>Limitation on Liability</w:t>
      </w:r>
    </w:p>
    <w:p>
      <w:pPr>
        <w:spacing w:after="0" w:line="206" w:lineRule="exact"/>
        <w:rPr>
          <w:sz w:val="20"/>
          <w:szCs w:val="20"/>
          <w:color w:val="auto"/>
        </w:rPr>
      </w:pPr>
    </w:p>
    <w:p>
      <w:pPr>
        <w:ind w:right="80" w:firstLine="864"/>
        <w:spacing w:after="0" w:line="235" w:lineRule="auto"/>
        <w:rPr>
          <w:sz w:val="20"/>
          <w:szCs w:val="20"/>
          <w:color w:val="auto"/>
        </w:rPr>
      </w:pPr>
      <w:r>
        <w:rPr>
          <w:rFonts w:ascii="Arial" w:cs="Arial" w:eastAsia="Arial" w:hAnsi="Arial"/>
          <w:sz w:val="22"/>
          <w:szCs w:val="22"/>
          <w:color w:val="auto"/>
        </w:rPr>
        <w:t xml:space="preserve">Section 10.21. </w:t>
      </w:r>
      <w:r>
        <w:rPr>
          <w:rFonts w:ascii="Arial" w:cs="Arial" w:eastAsia="Arial" w:hAnsi="Arial"/>
          <w:sz w:val="22"/>
          <w:szCs w:val="22"/>
          <w:b w:val="1"/>
          <w:bCs w:val="1"/>
          <w:u w:val="single" w:color="auto"/>
          <w:color w:val="0000FF"/>
        </w:rPr>
        <w:t>. TO THE EXTENT PERMITTED BY APPLICABLE LAW, AND NOTWITHSTANDING ANY</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OTHER PROVISION OF THIS AGREEMENT OR THE OTHER LOAN DOCUMENTS: (A) NO INDEMNITEE SHALL BE LIABLE TO ANY PARTY FOR ANY INDIRECT, SPECIAL, PUNITIVE OR CONSEQUENTIAL DAMAGES IN CONNECTION WITH THEIR RESPECTIVE ACTIVITIES RELATED TO THIS AGREEMENT, THE OTHER LOAN DOCUMENTS, THE TRANSACTIONS CONTEMPLATED THEREBY, THE TERM LOANS, OR OTHERWISE IN CONNECTION WITH THE FOREGOING; (B) WITHOUT LIMITING THE FOREGOING, NO INDEMNITEE SHALL BE SUBJECT TO ANY EQUITABLE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0" w:name="page211"/>
    <w:bookmarkEnd w:id="210"/>
    <w:p>
      <w:pPr>
        <w:ind w:right="80"/>
        <w:spacing w:after="0" w:line="245" w:lineRule="auto"/>
        <w:rPr>
          <w:sz w:val="20"/>
          <w:szCs w:val="20"/>
          <w:color w:val="auto"/>
        </w:rPr>
      </w:pPr>
      <w:r>
        <w:rPr>
          <w:rFonts w:ascii="Arial" w:cs="Arial" w:eastAsia="Arial" w:hAnsi="Arial"/>
          <w:sz w:val="21"/>
          <w:szCs w:val="21"/>
          <w:b w:val="1"/>
          <w:bCs w:val="1"/>
          <w:u w:val="single" w:color="auto"/>
          <w:color w:val="0000FF"/>
        </w:rPr>
        <w:t xml:space="preserve">REMEDY OR RELIEF, INCLUDING SPECIFIC PERFORMANCE OR INJUNCTION ARISING OUT OF OR RELATING TO THIS AGREEMENT, THE OTHER LOAN DOCUMENTS, OR THE TRANSACTIONS CONTEMPLATED THEREBY; (C) NO INDEMNITEE SHALL HAVE ANY LIABILITY TO THE LOAN PARTIES, FOR DAMAGES OR OTHERWISE, ARISING OUT OF OR RELATING TO THIS AGREEMENT, THE OTHER LOAN DOCUMENTS, OR THE TRANSACTIONS CONTEMPLATED THEREBY UNTIL THE AMENDMENT NO. 1 EFFECTIVE DATE HAS OCCURRED; AND (D) IN NO EVENT SHALL ANY INDEMNITEE’S LIABILITY TO THE LOAN PARTIES ARISING OUT OF OR RELATING TO THIS AGREEMENT, THE OTHER LOAN DOCUMENTS, OR THE TRANSACTIONS CONTEMPLATED THEREBY EXCEED ACTUAL DIRECT DAMAGES INCURRED BY THE LOAN PARTIES OF UP TO $10,000,000 IN THE AGGREGATE; </w:t>
      </w:r>
      <w:r>
        <w:rPr>
          <w:rFonts w:ascii="Arial" w:cs="Arial" w:eastAsia="Arial" w:hAnsi="Arial"/>
          <w:sz w:val="21"/>
          <w:szCs w:val="21"/>
          <w:b w:val="1"/>
          <w:bCs w:val="1"/>
          <w:i w:val="1"/>
          <w:iCs w:val="1"/>
          <w:u w:val="single" w:color="auto"/>
          <w:color w:val="0000FF"/>
        </w:rPr>
        <w:t>PROVIDED</w:t>
      </w:r>
      <w:r>
        <w:rPr>
          <w:rFonts w:ascii="Arial" w:cs="Arial" w:eastAsia="Arial" w:hAnsi="Arial"/>
          <w:sz w:val="21"/>
          <w:szCs w:val="21"/>
          <w:b w:val="1"/>
          <w:bCs w:val="1"/>
          <w:u w:val="single" w:color="auto"/>
          <w:color w:val="0000FF"/>
        </w:rPr>
        <w:t xml:space="preserve"> THAT THE FOREGOING SHALL IN NO EVENT LIMIT THE LENDERS’ INDEMNIFICATION OBLIGATIONS TO THE AGENT INDEMNITEES UNDER SECTION 10.05 OF THIS AGREEMENT; </w:t>
      </w:r>
      <w:r>
        <w:rPr>
          <w:rFonts w:ascii="Arial" w:cs="Arial" w:eastAsia="Arial" w:hAnsi="Arial"/>
          <w:sz w:val="21"/>
          <w:szCs w:val="21"/>
          <w:b w:val="1"/>
          <w:bCs w:val="1"/>
          <w:i w:val="1"/>
          <w:iCs w:val="1"/>
          <w:u w:val="single" w:color="auto"/>
          <w:color w:val="0000FF"/>
        </w:rPr>
        <w:t>PROVIDED FURTHER</w:t>
      </w:r>
      <w:r>
        <w:rPr>
          <w:rFonts w:ascii="Arial" w:cs="Arial" w:eastAsia="Arial" w:hAnsi="Arial"/>
          <w:sz w:val="21"/>
          <w:szCs w:val="21"/>
          <w:b w:val="1"/>
          <w:bCs w:val="1"/>
          <w:u w:val="single" w:color="auto"/>
          <w:color w:val="0000FF"/>
        </w:rPr>
        <w:t xml:space="preserve"> THAT SUCH LIMITATION OF LIABILITY SHALL NOT APPLY TO LIABILITY RESULTING FROM FRAUD BY THE INDEMNITEES.</w:t>
      </w:r>
    </w:p>
    <w:p>
      <w:pPr>
        <w:spacing w:after="0" w:line="174" w:lineRule="exact"/>
        <w:rPr>
          <w:sz w:val="20"/>
          <w:szCs w:val="20"/>
          <w:color w:val="auto"/>
        </w:rPr>
      </w:pPr>
    </w:p>
    <w:p>
      <w:pPr>
        <w:ind w:left="880"/>
        <w:spacing w:after="0"/>
        <w:tabs>
          <w:tab w:leader="none" w:pos="2760" w:val="left"/>
        </w:tabs>
        <w:rPr>
          <w:sz w:val="20"/>
          <w:szCs w:val="20"/>
          <w:color w:val="auto"/>
        </w:rPr>
      </w:pPr>
      <w:r>
        <w:rPr>
          <w:rFonts w:ascii="Arial" w:cs="Arial" w:eastAsia="Arial" w:hAnsi="Arial"/>
          <w:sz w:val="22"/>
          <w:szCs w:val="22"/>
          <w:b w:val="1"/>
          <w:bCs w:val="1"/>
          <w:u w:val="single" w:color="auto"/>
          <w:color w:val="0000FF"/>
        </w:rPr>
        <w:t>Section 10.21.</w:t>
      </w:r>
      <w:r>
        <w:rPr>
          <w:sz w:val="20"/>
          <w:szCs w:val="20"/>
          <w:color w:val="auto"/>
        </w:rPr>
        <w:tab/>
      </w:r>
      <w:r>
        <w:rPr>
          <w:rFonts w:ascii="Arial" w:cs="Arial" w:eastAsia="Arial" w:hAnsi="Arial"/>
          <w:sz w:val="18"/>
          <w:szCs w:val="18"/>
          <w:b w:val="1"/>
          <w:bCs w:val="1"/>
          <w:i w:val="1"/>
          <w:iCs w:val="1"/>
          <w:u w:val="single" w:color="auto"/>
          <w:color w:val="0000FF"/>
        </w:rPr>
        <w:t>Payments Set Aside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 xml:space="preserve">Section 10.21.  </w:t>
      </w:r>
      <w:r>
        <w:rPr>
          <w:rFonts w:ascii="Arial" w:cs="Arial" w:eastAsia="Arial" w:hAnsi="Arial"/>
          <w:sz w:val="22"/>
          <w:szCs w:val="22"/>
          <w:i w:val="1"/>
          <w:iCs w:val="1"/>
          <w:color w:val="FF0000"/>
          <w:strike w:val="1"/>
        </w:rPr>
        <w:t>Payments Set Aside</w:t>
      </w:r>
    </w:p>
    <w:p>
      <w:pPr>
        <w:spacing w:after="0" w:line="206" w:lineRule="exact"/>
        <w:rPr>
          <w:sz w:val="20"/>
          <w:szCs w:val="20"/>
          <w:color w:val="auto"/>
        </w:rPr>
      </w:pPr>
    </w:p>
    <w:p>
      <w:pPr>
        <w:jc w:val="both"/>
        <w:ind w:firstLine="8"/>
        <w:spacing w:after="0" w:line="273" w:lineRule="auto"/>
        <w:tabs>
          <w:tab w:leader="none" w:pos="162" w:val="left"/>
        </w:tabs>
        <w:numPr>
          <w:ilvl w:val="0"/>
          <w:numId w:val="266"/>
        </w:numPr>
        <w:rPr>
          <w:rFonts w:ascii="Arial" w:cs="Arial" w:eastAsia="Arial" w:hAnsi="Arial"/>
          <w:sz w:val="19"/>
          <w:szCs w:val="19"/>
          <w:i w:val="1"/>
          <w:iCs w:val="1"/>
          <w:color w:val="auto"/>
        </w:rPr>
      </w:pPr>
      <w:r>
        <w:rPr>
          <w:rFonts w:ascii="Arial" w:cs="Arial" w:eastAsia="Arial" w:hAnsi="Arial"/>
          <w:sz w:val="19"/>
          <w:szCs w:val="19"/>
          <w:color w:val="auto"/>
        </w:rPr>
        <w:t>To the extent that any payment by or on behalf of the Borrower or any other Loan Party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Federal Funds Effective Rate from time to time in effect.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 Advisory or Fiduciary Responsibility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5" w:lineRule="auto"/>
        <w:tabs>
          <w:tab w:leader="none" w:pos="2399" w:val="left"/>
        </w:tabs>
        <w:numPr>
          <w:ilvl w:val="0"/>
          <w:numId w:val="267"/>
        </w:numPr>
        <w:rPr>
          <w:rFonts w:ascii="Arial" w:cs="Arial" w:eastAsia="Arial" w:hAnsi="Arial"/>
          <w:sz w:val="21"/>
          <w:szCs w:val="21"/>
          <w:color w:val="auto"/>
        </w:rPr>
      </w:pPr>
      <w:r>
        <w:rPr>
          <w:rFonts w:ascii="Arial" w:cs="Arial" w:eastAsia="Arial" w:hAnsi="Arial"/>
          <w:sz w:val="21"/>
          <w:szCs w:val="21"/>
          <w:color w:val="auto"/>
        </w:rPr>
        <w:t>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Subsidiaries, on the one hand, and the Agents and the Lenders, on the other hand, and the Borrower and its Subsidiaries are capable of evaluating and understanding and understands and accepts the terms, risks and conditions of the transactions contemplated hereby and by the other Loan Documents (including any amendment, waiver or other modification hereof or thereof), (ii) the Agents, the Lenders and their respective Affiliates may be engaged in a broad range of transactions that involve interests that differ from, and may conflict with, those of the Borrower</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1" w:name="page212"/>
    <w:bookmarkEnd w:id="211"/>
    <w:p>
      <w:pPr>
        <w:jc w:val="both"/>
        <w:spacing w:after="0" w:line="249" w:lineRule="auto"/>
        <w:rPr>
          <w:sz w:val="20"/>
          <w:szCs w:val="20"/>
          <w:color w:val="auto"/>
        </w:rPr>
      </w:pPr>
      <w:r>
        <w:rPr>
          <w:rFonts w:ascii="Arial" w:cs="Arial" w:eastAsia="Arial" w:hAnsi="Arial"/>
          <w:sz w:val="21"/>
          <w:szCs w:val="21"/>
          <w:color w:val="auto"/>
        </w:rPr>
        <w:t>and its Affiliates, and none of the Agents or the Lenders has any obligation to disclose any of such interests by virtue of any advisory, agency or fiduciary relationship, and (iii) the Agents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178" w:lineRule="exact"/>
        <w:rPr>
          <w:sz w:val="20"/>
          <w:szCs w:val="20"/>
          <w:color w:val="auto"/>
        </w:rPr>
      </w:pPr>
    </w:p>
    <w:p>
      <w:pPr>
        <w:jc w:val="both"/>
        <w:ind w:firstLine="872"/>
        <w:spacing w:after="0" w:line="234" w:lineRule="auto"/>
        <w:tabs>
          <w:tab w:leader="none" w:pos="241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Each Loan Party acknowledges and agrees that each Lender and any of its affiliates may lend money to, invest in, and generally engage in any kind of business with, the Borrower, any of its Affiliates or any other person or entity that may do business with or own securities of any of the foregoing, all as if such Lender or Affiliate thereof were not a Lender (or an agent or any other person with any similar role under the Facilities) and without any duty to account therefor to any other Lender, the Borrower or any Affiliate of the foregoing. Each Lender and any of its Affiliates may accept fees and other consideration from the Borrower or any of its Affiliates for services in connection with this Agreement, the Facilities, the commitment letter or otherwise without having to account for the same to any other Lender, the Borrower or any Affiliate of the foregoing.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Intercreditor Agreements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3" w:lineRule="auto"/>
        <w:tabs>
          <w:tab w:leader="none" w:pos="2399" w:val="left"/>
        </w:tabs>
        <w:numPr>
          <w:ilvl w:val="0"/>
          <w:numId w:val="269"/>
        </w:numPr>
        <w:rPr>
          <w:rFonts w:ascii="Arial" w:cs="Arial" w:eastAsia="Arial" w:hAnsi="Arial"/>
          <w:sz w:val="19"/>
          <w:szCs w:val="19"/>
          <w:color w:val="auto"/>
        </w:rPr>
      </w:pPr>
      <w:r>
        <w:rPr>
          <w:rFonts w:ascii="Arial" w:cs="Arial" w:eastAsia="Arial" w:hAnsi="Arial"/>
          <w:sz w:val="19"/>
          <w:szCs w:val="19"/>
          <w:color w:val="auto"/>
        </w:rPr>
        <w:t>The Administrative Agent is authorized to become a party to the ABL Intercreditor Agreement pursuant to the ABL Intercreditor Amendment (and enter into the ABL Intercreditor Agreement in respect of any Permitted Refinancing of ABL Facility Indebtedness), and each of the parties hereto acknowledges that it has received a copy of the ABL Intercreditor Agreement and that the ABL Intercreditor Agreement is binding upon it. Each Lender (a) hereby consents to the subordination of the Liens on the ABL Priority Collateral securing the Obligations on the terms set forth in the ABL Intercreditor Agreement, (b) hereby agrees that it will be bound by and will take no actions contrary to the provisions of the ABL Intercreditor Agreement and (c) hereby authorizes and instructs the Administrative Agent to enter into the ABL Intercreditor Agreement and any amendments or supplements expressly contemplated thereby, and to subject the Liens on the ABL Priority Collateral securing the Obligations to the provisions of the ABL Intercreditor Agreement. The foregoing provisions are intended as an inducement to the ABL Secured Parties to extend credit to the borrowers under the ABL Credit Agreement and such ABL Secured Parties are intended third-party beneficiaries of such provisions and the provisions of the ABL Intercreditor Agreement.</w:t>
      </w:r>
    </w:p>
    <w:p>
      <w:pPr>
        <w:spacing w:after="0" w:line="155" w:lineRule="exact"/>
        <w:rPr>
          <w:rFonts w:ascii="Arial" w:cs="Arial" w:eastAsia="Arial" w:hAnsi="Arial"/>
          <w:sz w:val="19"/>
          <w:szCs w:val="19"/>
          <w:color w:val="auto"/>
        </w:rPr>
      </w:pPr>
    </w:p>
    <w:p>
      <w:pPr>
        <w:jc w:val="both"/>
        <w:ind w:firstLine="872"/>
        <w:spacing w:after="0" w:line="246" w:lineRule="auto"/>
        <w:tabs>
          <w:tab w:leader="none" w:pos="2411" w:val="left"/>
        </w:tabs>
        <w:numPr>
          <w:ilvl w:val="0"/>
          <w:numId w:val="269"/>
        </w:numPr>
        <w:rPr>
          <w:rFonts w:ascii="Arial" w:cs="Arial" w:eastAsia="Arial" w:hAnsi="Arial"/>
          <w:sz w:val="21"/>
          <w:szCs w:val="21"/>
          <w:color w:val="auto"/>
        </w:rPr>
      </w:pPr>
      <w:r>
        <w:rPr>
          <w:rFonts w:ascii="Arial" w:cs="Arial" w:eastAsia="Arial" w:hAnsi="Arial"/>
          <w:sz w:val="21"/>
          <w:szCs w:val="21"/>
          <w:color w:val="auto"/>
        </w:rPr>
        <w:t>The Administrative Agent is authorized to enter into the Second Lien Intercreditor Agreement, and each of the parties hereto acknowledges that each such agreement shall be binding upon it. Each Lender (a) hereby consents to the intercreditor agreements in respect of the Collateral securing the Obligations on the terms set forth in the Second Lien Intercreditor Agreement, (b) hereby agrees that it will be bound by and will take no actions contrary to the provisions of the Second Lien Intercreditor Agreement and (c) hereby authorizes and instructs the Administrative Agent to enter into the Second Lien Intercreditor Agreement and, without the further consent, direction or other action of any Lender, to enter into any amendments or supplements thereto, in each case solely if the form of the agreement as so amended or supplemented would constitute the Second Lien Intercreditor Agreement, as applicable, if being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2" w:name="page213"/>
    <w:bookmarkEnd w:id="212"/>
    <w:p>
      <w:pPr>
        <w:jc w:val="both"/>
        <w:spacing w:after="0" w:line="257" w:lineRule="auto"/>
        <w:rPr>
          <w:sz w:val="20"/>
          <w:szCs w:val="20"/>
          <w:color w:val="auto"/>
        </w:rPr>
      </w:pPr>
      <w:r>
        <w:rPr>
          <w:rFonts w:ascii="Arial" w:cs="Arial" w:eastAsia="Arial" w:hAnsi="Arial"/>
          <w:sz w:val="21"/>
          <w:szCs w:val="21"/>
          <w:color w:val="auto"/>
        </w:rPr>
        <w:t>entered into as an original agreement. The foregoing provisions are intended as an inducement to the parties providing any Permitted Second Priority Additional Debt to extend credit to the borrowers thereof and such parties are intended third-party beneficiaries of such provisions and the provisions of the Second Lien Intercreditor Agreement.</w:t>
      </w:r>
    </w:p>
    <w:p>
      <w:pPr>
        <w:spacing w:after="0" w:line="169" w:lineRule="exact"/>
        <w:rPr>
          <w:sz w:val="20"/>
          <w:szCs w:val="20"/>
          <w:color w:val="auto"/>
        </w:rPr>
      </w:pPr>
    </w:p>
    <w:p>
      <w:pPr>
        <w:jc w:val="both"/>
        <w:ind w:firstLine="872"/>
        <w:spacing w:after="0"/>
        <w:tabs>
          <w:tab w:leader="none" w:pos="2399"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The extent of any conflict between the Loan Documents, on the one hand, and the ABL Intercreditor Agreement or other intercreditor agreement contemplated by this </w:t>
      </w:r>
      <w:r>
        <w:rPr>
          <w:rFonts w:ascii="Arial" w:cs="Arial" w:eastAsia="Arial" w:hAnsi="Arial"/>
          <w:sz w:val="22"/>
          <w:szCs w:val="22"/>
          <w:u w:val="single" w:color="auto"/>
          <w:color w:val="auto"/>
        </w:rPr>
        <w:t>Section 10.23</w:t>
      </w:r>
      <w:r>
        <w:rPr>
          <w:rFonts w:ascii="Arial" w:cs="Arial" w:eastAsia="Arial" w:hAnsi="Arial"/>
          <w:sz w:val="22"/>
          <w:szCs w:val="22"/>
          <w:color w:val="auto"/>
        </w:rPr>
        <w:t>, on the other hand, such intercreditor agreement shall control.</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Alternative Interest Rates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1" w:lineRule="auto"/>
        <w:tabs>
          <w:tab w:leader="none" w:pos="2399"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If at least two (2) Business Days prior to the commencement of any Interest Period for a Eurodollar Borrowing, the Required Lenders reasonably determine that for any reason, adequate and reasonable means do not exist for determining the Adjusted LIBO Rate for any requested Interest Period with respect to a proposed Eurodollar Loan, or that the Adjusted LIBO Rate for any requested Interest Period with respect to a proposed Eurodollar Loan does not adequately and fairly reflect the cost to such Lenders of funding such Loan, or that deposits are not being offered to banks in the relevant interbank market for the applicable amount and the Interest Period of such Eurodollar Loan, the </w:t>
      </w:r>
      <w:r>
        <w:rPr>
          <w:rFonts w:ascii="Arial" w:cs="Arial" w:eastAsia="Arial" w:hAnsi="Arial"/>
          <w:sz w:val="19"/>
          <w:szCs w:val="19"/>
          <w:b w:val="1"/>
          <w:bCs w:val="1"/>
          <w:u w:val="single" w:color="auto"/>
          <w:color w:val="0000FF"/>
        </w:rPr>
        <w:t>Required Lenders shall notify the</w:t>
      </w:r>
      <w:r>
        <w:rPr>
          <w:rFonts w:ascii="Arial" w:cs="Arial" w:eastAsia="Arial" w:hAnsi="Arial"/>
          <w:sz w:val="19"/>
          <w:szCs w:val="19"/>
          <w:color w:val="auto"/>
        </w:rPr>
        <w:t xml:space="preserve"> Administrative Agent </w:t>
      </w:r>
      <w:r>
        <w:rPr>
          <w:rFonts w:ascii="Arial" w:cs="Arial" w:eastAsia="Arial" w:hAnsi="Arial"/>
          <w:sz w:val="19"/>
          <w:szCs w:val="19"/>
          <w:b w:val="1"/>
          <w:bCs w:val="1"/>
          <w:u w:val="single" w:color="auto"/>
          <w:color w:val="0000FF"/>
        </w:rPr>
        <w:t>in writing, and thereafter the Administrative Agent</w:t>
      </w:r>
      <w:r>
        <w:rPr>
          <w:rFonts w:ascii="Arial" w:cs="Arial" w:eastAsia="Arial" w:hAnsi="Arial"/>
          <w:sz w:val="19"/>
          <w:szCs w:val="19"/>
          <w:color w:val="auto"/>
        </w:rPr>
        <w:t xml:space="preserve"> will promptly so notify the Borrower and each Lender. Thereafter, (x) the obligation of the Lenders to make or maintain Eurodollar Loans shall be suspended and (y) in the event of a determination described in the preceding sentence with respect to the Adjusted LIBO Rate component of the </w:t>
      </w:r>
      <w:r>
        <w:rPr>
          <w:rFonts w:ascii="Arial" w:cs="Arial" w:eastAsia="Arial" w:hAnsi="Arial"/>
          <w:sz w:val="19"/>
          <w:szCs w:val="19"/>
          <w:b w:val="1"/>
          <w:bCs w:val="1"/>
          <w:u w:val="single" w:color="auto"/>
          <w:color w:val="0000FF"/>
        </w:rPr>
        <w:t>Alternate</w:t>
      </w:r>
      <w:r>
        <w:rPr>
          <w:rFonts w:ascii="Arial" w:cs="Arial" w:eastAsia="Arial" w:hAnsi="Arial"/>
          <w:sz w:val="19"/>
          <w:szCs w:val="19"/>
          <w:color w:val="auto"/>
        </w:rPr>
        <w:t xml:space="preserve"> Base Rate, the utilization of the Adjusted LIBO Rate component in determining the </w:t>
      </w:r>
      <w:r>
        <w:rPr>
          <w:rFonts w:ascii="Arial" w:cs="Arial" w:eastAsia="Arial" w:hAnsi="Arial"/>
          <w:sz w:val="19"/>
          <w:szCs w:val="19"/>
          <w:b w:val="1"/>
          <w:bCs w:val="1"/>
          <w:u w:val="single" w:color="auto"/>
          <w:color w:val="0000FF"/>
        </w:rPr>
        <w:t>Alternate</w:t>
      </w:r>
      <w:r>
        <w:rPr>
          <w:rFonts w:ascii="Arial" w:cs="Arial" w:eastAsia="Arial" w:hAnsi="Arial"/>
          <w:sz w:val="19"/>
          <w:szCs w:val="19"/>
          <w:color w:val="auto"/>
        </w:rPr>
        <w:t xml:space="preserve"> Base Rate shall be suspended, in each case until the Administrative Agent (upon the </w:t>
      </w:r>
      <w:r>
        <w:rPr>
          <w:rFonts w:ascii="Arial" w:cs="Arial" w:eastAsia="Arial" w:hAnsi="Arial"/>
          <w:sz w:val="19"/>
          <w:szCs w:val="19"/>
          <w:b w:val="1"/>
          <w:bCs w:val="1"/>
          <w:u w:val="single" w:color="auto"/>
          <w:color w:val="0000FF"/>
        </w:rPr>
        <w:t>written</w:t>
      </w:r>
      <w:r>
        <w:rPr>
          <w:rFonts w:ascii="Arial" w:cs="Arial" w:eastAsia="Arial" w:hAnsi="Arial"/>
          <w:sz w:val="19"/>
          <w:szCs w:val="19"/>
          <w:color w:val="auto"/>
        </w:rPr>
        <w:t xml:space="preserve"> instruction of the Required Lenders) revokes such notice. Upon receipt of such notice, the Borrower may revoke any pending request for a Borrowing of, conversion to or continuation of Eurodollar Loans or, failing that, will be deemed to have converted such request into a request for a Borrowing of </w:t>
      </w:r>
      <w:r>
        <w:rPr>
          <w:rFonts w:ascii="Arial" w:cs="Arial" w:eastAsia="Arial" w:hAnsi="Arial"/>
          <w:sz w:val="19"/>
          <w:szCs w:val="19"/>
          <w:color w:val="FF0000"/>
          <w:strike w:val="1"/>
        </w:rPr>
        <w:t>Base Rate</w:t>
      </w:r>
      <w:r>
        <w:rPr>
          <w:rFonts w:ascii="Arial" w:cs="Arial" w:eastAsia="Arial" w:hAnsi="Arial"/>
          <w:sz w:val="19"/>
          <w:szCs w:val="19"/>
          <w:b w:val="1"/>
          <w:bCs w:val="1"/>
          <w:u w:val="single" w:color="auto"/>
          <w:color w:val="0000FF"/>
        </w:rPr>
        <w:t>ABR</w:t>
      </w:r>
      <w:r>
        <w:rPr>
          <w:rFonts w:ascii="Arial" w:cs="Arial" w:eastAsia="Arial" w:hAnsi="Arial"/>
          <w:sz w:val="19"/>
          <w:szCs w:val="19"/>
          <w:color w:val="auto"/>
        </w:rPr>
        <w:t xml:space="preserve"> Loans (determined without reference to the Adjusted LIBO Rate component thereof) in the amount specified therein</w:t>
      </w:r>
      <w:r>
        <w:rPr>
          <w:rFonts w:ascii="Arial" w:cs="Arial" w:eastAsia="Arial" w:hAnsi="Arial"/>
          <w:sz w:val="19"/>
          <w:szCs w:val="19"/>
          <w:color w:val="FF0000"/>
          <w:strike w:val="1"/>
        </w:rPr>
        <w:t>.</w:t>
      </w:r>
    </w:p>
    <w:p>
      <w:pPr>
        <w:spacing w:after="0" w:line="164" w:lineRule="exact"/>
        <w:rPr>
          <w:rFonts w:ascii="Arial" w:cs="Arial" w:eastAsia="Arial" w:hAnsi="Arial"/>
          <w:sz w:val="19"/>
          <w:szCs w:val="19"/>
          <w:color w:val="auto"/>
        </w:rPr>
      </w:pPr>
    </w:p>
    <w:p>
      <w:pPr>
        <w:jc w:val="both"/>
        <w:ind w:firstLine="872"/>
        <w:spacing w:after="0" w:line="272" w:lineRule="auto"/>
        <w:tabs>
          <w:tab w:leader="none" w:pos="2411"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If the Administrative Agent and the Borrower shall reasonably agree that either (i) the circumstances set forth in clause (a) of this </w:t>
      </w:r>
      <w:r>
        <w:rPr>
          <w:rFonts w:ascii="Arial" w:cs="Arial" w:eastAsia="Arial" w:hAnsi="Arial"/>
          <w:sz w:val="19"/>
          <w:szCs w:val="19"/>
          <w:u w:val="single" w:color="auto"/>
          <w:color w:val="auto"/>
        </w:rPr>
        <w:t>Section 10.24</w:t>
      </w:r>
      <w:r>
        <w:rPr>
          <w:rFonts w:ascii="Arial" w:cs="Arial" w:eastAsia="Arial" w:hAnsi="Arial"/>
          <w:sz w:val="19"/>
          <w:szCs w:val="19"/>
          <w:color w:val="auto"/>
        </w:rPr>
        <w:t xml:space="preserve"> have arisen and such circumstances are unlikely to be temporary or (ii) the circumstances set forth in clause (a) of this </w:t>
      </w:r>
      <w:r>
        <w:rPr>
          <w:rFonts w:ascii="Arial" w:cs="Arial" w:eastAsia="Arial" w:hAnsi="Arial"/>
          <w:sz w:val="19"/>
          <w:szCs w:val="19"/>
          <w:u w:val="single" w:color="auto"/>
          <w:color w:val="auto"/>
        </w:rPr>
        <w:t>Section 10.24</w:t>
      </w:r>
      <w:r>
        <w:rPr>
          <w:rFonts w:ascii="Arial" w:cs="Arial" w:eastAsia="Arial" w:hAnsi="Arial"/>
          <w:sz w:val="19"/>
          <w:szCs w:val="19"/>
          <w:color w:val="auto"/>
        </w:rPr>
        <w:t xml:space="preserve"> have not arisen but the supervisor for the administrator of the LIBO Rate (or any component thereof) or a Governmental Authority having jurisdiction over the Administrative Agent has made a public statement identifying a specific date after which the LIBO Rate (or any component thereof) shall no longer be published for use in determining interest rates for loans (in the case of either such clause (i) or (ii), an “</w:t>
      </w:r>
      <w:r>
        <w:rPr>
          <w:rFonts w:ascii="Arial" w:cs="Arial" w:eastAsia="Arial" w:hAnsi="Arial"/>
          <w:sz w:val="19"/>
          <w:szCs w:val="19"/>
          <w:b w:val="1"/>
          <w:bCs w:val="1"/>
          <w:color w:val="auto"/>
        </w:rPr>
        <w:t>Alternative Interest Rate Election</w:t>
      </w:r>
      <w:r>
        <w:rPr>
          <w:rFonts w:ascii="Arial" w:cs="Arial" w:eastAsia="Arial" w:hAnsi="Arial"/>
          <w:sz w:val="19"/>
          <w:szCs w:val="19"/>
          <w:color w:val="auto"/>
        </w:rPr>
        <w:t xml:space="preserve"> </w:t>
      </w:r>
      <w:r>
        <w:rPr>
          <w:rFonts w:ascii="Arial" w:cs="Arial" w:eastAsia="Arial" w:hAnsi="Arial"/>
          <w:sz w:val="19"/>
          <w:szCs w:val="19"/>
          <w:b w:val="1"/>
          <w:bCs w:val="1"/>
          <w:color w:val="auto"/>
        </w:rPr>
        <w:t>Event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FF0000"/>
          <w:strike w:val="1"/>
        </w:rPr>
        <w:t>the Administrative Agent, the Required Lenders and the Borrower (a) shall endeavor to establish an alternate rate of</w:t>
      </w:r>
      <w:r>
        <w:rPr>
          <w:rFonts w:ascii="Arial" w:cs="Arial" w:eastAsia="Arial" w:hAnsi="Arial"/>
          <w:sz w:val="19"/>
          <w:szCs w:val="19"/>
          <w:b w:val="1"/>
          <w:bCs w:val="1"/>
          <w:color w:val="auto"/>
        </w:rPr>
        <w:t xml:space="preserve"> </w:t>
      </w:r>
      <w:r>
        <w:rPr>
          <w:rFonts w:ascii="Arial" w:cs="Arial" w:eastAsia="Arial" w:hAnsi="Arial"/>
          <w:sz w:val="19"/>
          <w:szCs w:val="19"/>
          <w:color w:val="FF0000"/>
          <w:strike w:val="1"/>
        </w:rPr>
        <w:t xml:space="preserve">interest to the LIBO Rate that gives due consideration to the then prevailing market convention for determining a rate of interest for leveraged syndicated loans in the United States at such time, and (b) shall enter into an amendment to this Agreement to reflect such alternate rate of interest and such other related changes to this Agreement as may be applicable. </w:t>
      </w:r>
      <w:r>
        <w:rPr>
          <w:rFonts w:ascii="Arial" w:cs="Arial" w:eastAsia="Arial" w:hAnsi="Arial"/>
          <w:sz w:val="19"/>
          <w:szCs w:val="19"/>
          <w:color w:val="008000"/>
          <w:strike w:val="1"/>
        </w:rPr>
        <w:t>Notwithstanding</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 xml:space="preserve">anything to the contrary in </w:t>
      </w:r>
      <w:r>
        <w:rPr>
          <w:rFonts w:ascii="Arial" w:cs="Arial" w:eastAsia="Arial" w:hAnsi="Arial"/>
          <w:sz w:val="19"/>
          <w:szCs w:val="19"/>
          <w:u w:val="single" w:color="auto"/>
          <w:color w:val="FF0000"/>
          <w:strike w:val="1"/>
        </w:rPr>
        <w:t>Section 10.08</w:t>
      </w:r>
      <w:r>
        <w:rPr>
          <w:rFonts w:ascii="Arial" w:cs="Arial" w:eastAsia="Arial" w:hAnsi="Arial"/>
          <w:sz w:val="19"/>
          <w:szCs w:val="19"/>
          <w:color w:val="FF0000"/>
          <w:strike w:val="1"/>
        </w:rPr>
        <w:t>, such amendment shall become effective without any further action or consent of any</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other party to this Agreement so long as the Administrative Agent shall not have received, within five (5) Business Days after the date notice of such alternate rate of interest is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3" w:name="page214"/>
    <w:bookmarkEnd w:id="213"/>
    <w:p>
      <w:pPr>
        <w:jc w:val="both"/>
        <w:spacing w:after="0" w:line="269" w:lineRule="auto"/>
        <w:rPr>
          <w:sz w:val="20"/>
          <w:szCs w:val="20"/>
          <w:color w:val="auto"/>
        </w:rPr>
      </w:pPr>
      <w:r>
        <w:rPr>
          <w:rFonts w:ascii="Arial" w:cs="Arial" w:eastAsia="Arial" w:hAnsi="Arial"/>
          <w:sz w:val="19"/>
          <w:szCs w:val="19"/>
          <w:color w:val="FF0000"/>
          <w:strike w:val="1"/>
        </w:rPr>
        <w:t xml:space="preserve">provided to the Lenders, a written notice from Required Lenders stating that they object to such amendment (which amendment shall not be effective prior to the end of such five (5) Business Day notice period). To the extent an alternate rate of interest is adopted as contemplated hereby, the approved rate shall be applied in a manner consistent with prevailing market convention; </w:t>
      </w:r>
      <w:r>
        <w:rPr>
          <w:rFonts w:ascii="Arial" w:cs="Arial" w:eastAsia="Arial" w:hAnsi="Arial"/>
          <w:sz w:val="19"/>
          <w:szCs w:val="19"/>
          <w:i w:val="1"/>
          <w:iCs w:val="1"/>
          <w:color w:val="FF0000"/>
          <w:strike w:val="1"/>
        </w:rPr>
        <w:t xml:space="preserve">provided </w:t>
      </w:r>
      <w:r>
        <w:rPr>
          <w:rFonts w:ascii="Arial" w:cs="Arial" w:eastAsia="Arial" w:hAnsi="Arial"/>
          <w:sz w:val="19"/>
          <w:szCs w:val="19"/>
          <w:color w:val="FF0000"/>
          <w:strike w:val="1"/>
        </w:rPr>
        <w:t>that, to the extent such prevailing market convention is not administratively feasible for the Administrative Agent, such</w:t>
      </w:r>
      <w:r>
        <w:rPr>
          <w:rFonts w:ascii="Arial" w:cs="Arial" w:eastAsia="Arial" w:hAnsi="Arial"/>
          <w:sz w:val="19"/>
          <w:szCs w:val="19"/>
          <w:i w:val="1"/>
          <w:iCs w:val="1"/>
          <w:color w:val="FF0000"/>
          <w:strike w:val="1"/>
        </w:rPr>
        <w:t xml:space="preserve"> </w:t>
      </w:r>
      <w:r>
        <w:rPr>
          <w:rFonts w:ascii="Arial" w:cs="Arial" w:eastAsia="Arial" w:hAnsi="Arial"/>
          <w:sz w:val="19"/>
          <w:szCs w:val="19"/>
          <w:color w:val="FF0000"/>
          <w:strike w:val="1"/>
        </w:rPr>
        <w:t>approved rate shall be applied in a manner as otherwise reasonably determined by the Required Lenders, Administrative Agent and the Borrower. From such time as an Alternative Interest Rate Election Event has occurred and continuing until an alternate rate of interest has been determined in accordance with the terms and conditions of this paragraph, (x) any Request for Credit Extension that requests the conversion of any Loan to, or continuation of any Loan as, a Eurodollar Loan shall be ineffective, and</w:t>
      </w:r>
    </w:p>
    <w:p>
      <w:pPr>
        <w:spacing w:after="0" w:line="3" w:lineRule="exact"/>
        <w:rPr>
          <w:sz w:val="20"/>
          <w:szCs w:val="20"/>
          <w:color w:val="auto"/>
        </w:rPr>
      </w:pPr>
    </w:p>
    <w:p>
      <w:pPr>
        <w:jc w:val="both"/>
        <w:ind w:firstLine="8"/>
        <w:spacing w:after="0" w:line="266" w:lineRule="auto"/>
        <w:tabs>
          <w:tab w:leader="none" w:pos="311" w:val="left"/>
        </w:tabs>
        <w:numPr>
          <w:ilvl w:val="0"/>
          <w:numId w:val="272"/>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if any Request for Credit Extension requests a Eurodollar Loan, such Loan shall be made as a Base Rate Loan; </w:t>
      </w:r>
      <w:r>
        <w:rPr>
          <w:rFonts w:ascii="Arial" w:cs="Arial" w:eastAsia="Arial" w:hAnsi="Arial"/>
          <w:sz w:val="19"/>
          <w:szCs w:val="19"/>
          <w:i w:val="1"/>
          <w:iCs w:val="1"/>
          <w:color w:val="FF0000"/>
          <w:strike w:val="1"/>
        </w:rPr>
        <w:t>provided</w:t>
      </w:r>
      <w:r>
        <w:rPr>
          <w:rFonts w:ascii="Arial" w:cs="Arial" w:eastAsia="Arial" w:hAnsi="Arial"/>
          <w:sz w:val="19"/>
          <w:szCs w:val="19"/>
          <w:color w:val="FF0000"/>
          <w:strike w:val="1"/>
        </w:rPr>
        <w:t xml:space="preserve"> that, to the extent such Alternative Interest Rate Election Event is as a result of clause (ii) above, then clauses (x) and (y) of this sentence shall apply during such period only if the </w:t>
      </w:r>
      <w:r>
        <w:rPr>
          <w:rFonts w:ascii="Arial" w:cs="Arial" w:eastAsia="Arial" w:hAnsi="Arial"/>
          <w:sz w:val="19"/>
          <w:szCs w:val="19"/>
          <w:color w:val="008000"/>
          <w:strike w:val="1"/>
        </w:rPr>
        <w:t>LIBO Rate for such Interest Period</w:t>
      </w:r>
      <w:r>
        <w:rPr>
          <w:rFonts w:ascii="Arial" w:cs="Arial" w:eastAsia="Arial" w:hAnsi="Arial"/>
          <w:sz w:val="19"/>
          <w:szCs w:val="19"/>
          <w:color w:val="FF0000"/>
          <w:strike w:val="1"/>
        </w:rPr>
        <w:t xml:space="preserve"> is not available or published at such time on a current basis. Notwithstanding anything contained herein to the contrary, if such alternate rate of interest as determined in this </w:t>
      </w:r>
      <w:r>
        <w:rPr>
          <w:rFonts w:ascii="Arial" w:cs="Arial" w:eastAsia="Arial" w:hAnsi="Arial"/>
          <w:sz w:val="19"/>
          <w:szCs w:val="19"/>
          <w:u w:val="single" w:color="auto"/>
          <w:color w:val="FF0000"/>
          <w:strike w:val="1"/>
        </w:rPr>
        <w:t>clause (b)</w:t>
      </w:r>
      <w:r>
        <w:rPr>
          <w:rFonts w:ascii="Arial" w:cs="Arial" w:eastAsia="Arial" w:hAnsi="Arial"/>
          <w:sz w:val="19"/>
          <w:szCs w:val="19"/>
          <w:color w:val="FF0000"/>
          <w:strike w:val="1"/>
        </w:rPr>
        <w:t xml:space="preserve"> is determined to</w:t>
      </w:r>
      <w:r>
        <w:rPr>
          <w:rFonts w:ascii="Arial" w:cs="Arial" w:eastAsia="Arial" w:hAnsi="Arial"/>
          <w:sz w:val="19"/>
          <w:szCs w:val="19"/>
          <w:b w:val="1"/>
          <w:bCs w:val="1"/>
          <w:u w:val="single" w:color="auto"/>
          <w:color w:val="0000FF"/>
          <w:strike w:val="1"/>
        </w:rPr>
        <w:t>then then the LIBO Rate, for any day, shall mean the rate per annum equal to the Federal</w:t>
      </w:r>
    </w:p>
    <w:p>
      <w:pPr>
        <w:spacing w:after="0" w:line="4" w:lineRule="exact"/>
        <w:rPr>
          <w:rFonts w:ascii="Arial" w:cs="Arial" w:eastAsia="Arial" w:hAnsi="Arial"/>
          <w:sz w:val="19"/>
          <w:szCs w:val="19"/>
          <w:color w:val="FF0000"/>
          <w:strike w:val="1"/>
        </w:rPr>
      </w:pPr>
    </w:p>
    <w:p>
      <w:pPr>
        <w:jc w:val="both"/>
        <w:spacing w:after="0" w:line="234" w:lineRule="auto"/>
        <w:rPr>
          <w:rFonts w:ascii="Arial" w:cs="Arial" w:eastAsia="Arial" w:hAnsi="Arial"/>
          <w:sz w:val="19"/>
          <w:szCs w:val="19"/>
          <w:color w:val="FF0000"/>
          <w:strike w:val="1"/>
        </w:rPr>
      </w:pPr>
      <w:r>
        <w:rPr>
          <w:rFonts w:ascii="Arial" w:cs="Arial" w:eastAsia="Arial" w:hAnsi="Arial"/>
          <w:sz w:val="22"/>
          <w:szCs w:val="22"/>
          <w:b w:val="1"/>
          <w:bCs w:val="1"/>
          <w:u w:val="single" w:color="auto"/>
          <w:color w:val="0000FF"/>
        </w:rPr>
        <w:t>Funds Rate in effect on such day plus one half of one percent (0.50%) (subject at all times to the requirement that such rate per annum shall not</w:t>
      </w:r>
      <w:r>
        <w:rPr>
          <w:rFonts w:ascii="Arial" w:cs="Arial" w:eastAsia="Arial" w:hAnsi="Arial"/>
          <w:sz w:val="22"/>
          <w:szCs w:val="22"/>
          <w:b w:val="1"/>
          <w:bCs w:val="1"/>
          <w:color w:val="0000FF"/>
        </w:rPr>
        <w:t xml:space="preserve"> </w:t>
      </w:r>
      <w:r>
        <w:rPr>
          <w:rFonts w:ascii="Arial" w:cs="Arial" w:eastAsia="Arial" w:hAnsi="Arial"/>
          <w:sz w:val="22"/>
          <w:szCs w:val="22"/>
          <w:color w:val="000000"/>
        </w:rPr>
        <w:t>be less than</w:t>
      </w:r>
      <w:r>
        <w:rPr>
          <w:rFonts w:ascii="Arial" w:cs="Arial" w:eastAsia="Arial" w:hAnsi="Arial"/>
          <w:sz w:val="22"/>
          <w:szCs w:val="22"/>
          <w:b w:val="1"/>
          <w:bCs w:val="1"/>
          <w:color w:val="0000FF"/>
        </w:rPr>
        <w:t xml:space="preserve"> </w:t>
      </w:r>
      <w:r>
        <w:rPr>
          <w:rFonts w:ascii="Arial" w:cs="Arial" w:eastAsia="Arial" w:hAnsi="Arial"/>
          <w:sz w:val="22"/>
          <w:szCs w:val="22"/>
          <w:color w:val="FF0000"/>
          <w:strike w:val="1"/>
        </w:rPr>
        <w:t>1</w:t>
      </w:r>
      <w:r>
        <w:rPr>
          <w:rFonts w:ascii="Arial" w:cs="Arial" w:eastAsia="Arial" w:hAnsi="Arial"/>
          <w:sz w:val="22"/>
          <w:szCs w:val="22"/>
          <w:b w:val="1"/>
          <w:bCs w:val="1"/>
          <w:u w:val="single" w:color="auto"/>
          <w:color w:val="0000FF"/>
        </w:rPr>
        <w:t>one percent (1.00</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0000FF"/>
        </w:rPr>
        <w:t xml:space="preserve"> </w:t>
      </w:r>
      <w:r>
        <w:rPr>
          <w:rFonts w:ascii="Arial" w:cs="Arial" w:eastAsia="Arial" w:hAnsi="Arial"/>
          <w:sz w:val="22"/>
          <w:szCs w:val="22"/>
          <w:color w:val="000000"/>
        </w:rPr>
        <w:t>per annum</w:t>
      </w:r>
      <w:r>
        <w:rPr>
          <w:rFonts w:ascii="Arial" w:cs="Arial" w:eastAsia="Arial" w:hAnsi="Arial"/>
          <w:sz w:val="22"/>
          <w:szCs w:val="22"/>
          <w:color w:val="FF0000"/>
          <w:strike w:val="1"/>
        </w:rPr>
        <w:t>, such rate shall be deemed to be 1% percent per annum</w:t>
      </w:r>
      <w:r>
        <w:rPr>
          <w:rFonts w:ascii="Arial" w:cs="Arial" w:eastAsia="Arial" w:hAnsi="Arial"/>
          <w:sz w:val="22"/>
          <w:szCs w:val="22"/>
          <w:b w:val="1"/>
          <w:bCs w:val="1"/>
          <w:color w:val="0000FF"/>
        </w:rPr>
        <w:t xml:space="preserve"> </w:t>
      </w:r>
      <w:r>
        <w:rPr>
          <w:rFonts w:ascii="Arial" w:cs="Arial" w:eastAsia="Arial" w:hAnsi="Arial"/>
          <w:sz w:val="22"/>
          <w:szCs w:val="22"/>
          <w:color w:val="FF0000"/>
          <w:strike w:val="1"/>
        </w:rPr>
        <w:t>for the purposes of this Agreement</w:t>
      </w:r>
      <w:r>
        <w:rPr>
          <w:rFonts w:ascii="Arial" w:cs="Arial" w:eastAsia="Arial" w:hAnsi="Arial"/>
          <w:sz w:val="22"/>
          <w:szCs w:val="22"/>
          <w:b w:val="1"/>
          <w:bCs w:val="1"/>
          <w:u w:val="single" w:color="auto"/>
          <w:color w:val="0000FF"/>
        </w:rPr>
        <w:t>)</w:t>
      </w:r>
      <w:r>
        <w:rPr>
          <w:rFonts w:ascii="Arial" w:cs="Arial" w:eastAsia="Arial" w:hAnsi="Arial"/>
          <w:sz w:val="22"/>
          <w:szCs w:val="22"/>
          <w:color w:val="000000"/>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UARANTEE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Guarantee</w:t>
      </w:r>
    </w:p>
    <w:p>
      <w:pPr>
        <w:spacing w:after="0" w:line="206" w:lineRule="exact"/>
        <w:rPr>
          <w:sz w:val="20"/>
          <w:szCs w:val="20"/>
          <w:color w:val="auto"/>
        </w:rPr>
      </w:pPr>
    </w:p>
    <w:p>
      <w:pPr>
        <w:jc w:val="both"/>
        <w:ind w:firstLine="872"/>
        <w:spacing w:after="0" w:line="271" w:lineRule="auto"/>
        <w:tabs>
          <w:tab w:leader="none" w:pos="1039" w:val="left"/>
        </w:tabs>
        <w:numPr>
          <w:ilvl w:val="0"/>
          <w:numId w:val="273"/>
        </w:numPr>
        <w:rPr>
          <w:rFonts w:ascii="Arial" w:cs="Arial" w:eastAsia="Arial" w:hAnsi="Arial"/>
          <w:sz w:val="19"/>
          <w:szCs w:val="19"/>
          <w:i w:val="1"/>
          <w:iCs w:val="1"/>
          <w:color w:val="auto"/>
        </w:rPr>
      </w:pPr>
      <w:r>
        <w:rPr>
          <w:rFonts w:ascii="Arial" w:cs="Arial" w:eastAsia="Arial" w:hAnsi="Arial"/>
          <w:sz w:val="19"/>
          <w:szCs w:val="19"/>
          <w:color w:val="auto"/>
        </w:rPr>
        <w:t>Each Guarantor hereby jointly and severally with the other Guarantors guarantees, as a primary obligor and not as a surety to each Secured Party and their respective permitted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whether or not such items are allowed or allowable as a claim in any applicable proceeding) on the Loans made by the Lenders to, and the Term Notes (if any) issued hereunder and held by each Lender of, the Borrower, and all other Obligations from time to time owing to the Secured Parties by any other Loan Party under any Loan Document strictly in accordance with the terms thereof (such obligations being herein collectively called the “</w:t>
      </w:r>
      <w:r>
        <w:rPr>
          <w:rFonts w:ascii="Arial" w:cs="Arial" w:eastAsia="Arial" w:hAnsi="Arial"/>
          <w:sz w:val="19"/>
          <w:szCs w:val="19"/>
          <w:b w:val="1"/>
          <w:bCs w:val="1"/>
          <w:color w:val="auto"/>
        </w:rPr>
        <w:t>Guaranteed Obligations</w:t>
      </w:r>
      <w:r>
        <w:rPr>
          <w:rFonts w:ascii="Arial" w:cs="Arial" w:eastAsia="Arial" w:hAnsi="Arial"/>
          <w:sz w:val="19"/>
          <w:szCs w:val="19"/>
          <w:color w:val="auto"/>
        </w:rPr>
        <w:t>”).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Obligations Unconditional</w:t>
      </w:r>
    </w:p>
    <w:p>
      <w:pPr>
        <w:spacing w:after="0" w:line="206" w:lineRule="exact"/>
        <w:rPr>
          <w:sz w:val="20"/>
          <w:szCs w:val="20"/>
          <w:color w:val="auto"/>
        </w:rPr>
      </w:pPr>
    </w:p>
    <w:p>
      <w:pPr>
        <w:ind w:firstLine="872"/>
        <w:spacing w:after="0" w:line="328" w:lineRule="auto"/>
        <w:tabs>
          <w:tab w:leader="none" w:pos="1026" w:val="left"/>
        </w:tabs>
        <w:numPr>
          <w:ilvl w:val="0"/>
          <w:numId w:val="274"/>
        </w:numPr>
        <w:rPr>
          <w:rFonts w:ascii="Arial" w:cs="Arial" w:eastAsia="Arial" w:hAnsi="Arial"/>
          <w:sz w:val="19"/>
          <w:szCs w:val="19"/>
          <w:i w:val="1"/>
          <w:iCs w:val="1"/>
          <w:color w:val="auto"/>
        </w:rPr>
      </w:pPr>
      <w:r>
        <w:rPr>
          <w:rFonts w:ascii="Arial" w:cs="Arial" w:eastAsia="Arial" w:hAnsi="Arial"/>
          <w:sz w:val="19"/>
          <w:szCs w:val="19"/>
          <w:color w:val="auto"/>
        </w:rPr>
        <w:t xml:space="preserve">The obligations of the Guarantors under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shall constitute a guaranty of payment and to the fullest extent permitted by applicable Law, are absolute, irrevocable and unconditional, joint and several, irrespective of the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4" w:name="page215"/>
    <w:bookmarkEnd w:id="214"/>
    <w:p>
      <w:pPr>
        <w:jc w:val="both"/>
        <w:spacing w:after="0" w:line="277" w:lineRule="auto"/>
        <w:rPr>
          <w:sz w:val="20"/>
          <w:szCs w:val="20"/>
          <w:color w:val="auto"/>
        </w:rPr>
      </w:pPr>
      <w:r>
        <w:rPr>
          <w:rFonts w:ascii="Arial" w:cs="Arial" w:eastAsia="Arial" w:hAnsi="Arial"/>
          <w:sz w:val="19"/>
          <w:szCs w:val="19"/>
          <w:color w:val="auto"/>
        </w:rPr>
        <w:t>value, genuineness, validity, regularity or enforceability of the Guaranteed Obligations of the Borrower or any other Guarantor under this Agreement, any Term Notes issued under this Agreement,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52" w:lineRule="exact"/>
        <w:rPr>
          <w:sz w:val="20"/>
          <w:szCs w:val="20"/>
          <w:color w:val="auto"/>
        </w:rPr>
      </w:pPr>
    </w:p>
    <w:p>
      <w:pPr>
        <w:jc w:val="both"/>
        <w:ind w:firstLine="979"/>
        <w:spacing w:after="0"/>
        <w:tabs>
          <w:tab w:leader="none" w:pos="2507" w:val="left"/>
        </w:tabs>
        <w:numPr>
          <w:ilvl w:val="0"/>
          <w:numId w:val="275"/>
        </w:numPr>
        <w:rPr>
          <w:rFonts w:ascii="Arial" w:cs="Arial" w:eastAsia="Arial" w:hAnsi="Arial"/>
          <w:sz w:val="22"/>
          <w:szCs w:val="22"/>
          <w:color w:val="auto"/>
        </w:rPr>
      </w:pPr>
      <w:r>
        <w:rPr>
          <w:rFonts w:ascii="Arial" w:cs="Arial" w:eastAsia="Arial" w:hAnsi="Arial"/>
          <w:sz w:val="22"/>
          <w:szCs w:val="22"/>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186" w:lineRule="exact"/>
        <w:rPr>
          <w:rFonts w:ascii="Arial" w:cs="Arial" w:eastAsia="Arial" w:hAnsi="Arial"/>
          <w:sz w:val="22"/>
          <w:szCs w:val="22"/>
          <w:color w:val="auto"/>
        </w:rPr>
      </w:pPr>
    </w:p>
    <w:p>
      <w:pPr>
        <w:ind w:firstLine="979"/>
        <w:spacing w:after="0" w:line="250" w:lineRule="auto"/>
        <w:tabs>
          <w:tab w:leader="none" w:pos="2519" w:val="left"/>
        </w:tabs>
        <w:numPr>
          <w:ilvl w:val="0"/>
          <w:numId w:val="275"/>
        </w:numPr>
        <w:rPr>
          <w:rFonts w:ascii="Arial" w:cs="Arial" w:eastAsia="Arial" w:hAnsi="Arial"/>
          <w:sz w:val="22"/>
          <w:szCs w:val="22"/>
          <w:color w:val="auto"/>
        </w:rPr>
      </w:pPr>
      <w:r>
        <w:rPr>
          <w:rFonts w:ascii="Arial" w:cs="Arial" w:eastAsia="Arial" w:hAnsi="Arial"/>
          <w:sz w:val="22"/>
          <w:szCs w:val="22"/>
          <w:color w:val="auto"/>
        </w:rPr>
        <w:t>any of the acts mentioned in any of the provisions of this Agreement or the Term Notes, if any, or any other agreement or instrument referred to herein or therein shall be done or omitted;</w:t>
      </w:r>
    </w:p>
    <w:p>
      <w:pPr>
        <w:spacing w:after="0" w:line="174" w:lineRule="exact"/>
        <w:rPr>
          <w:rFonts w:ascii="Arial" w:cs="Arial" w:eastAsia="Arial" w:hAnsi="Arial"/>
          <w:sz w:val="22"/>
          <w:szCs w:val="22"/>
          <w:color w:val="auto"/>
        </w:rPr>
      </w:pPr>
    </w:p>
    <w:p>
      <w:pPr>
        <w:jc w:val="both"/>
        <w:ind w:firstLine="979"/>
        <w:spacing w:after="0" w:line="287" w:lineRule="auto"/>
        <w:tabs>
          <w:tab w:leader="none" w:pos="250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42" w:lineRule="exact"/>
        <w:rPr>
          <w:rFonts w:ascii="Arial" w:cs="Arial" w:eastAsia="Arial" w:hAnsi="Arial"/>
          <w:sz w:val="19"/>
          <w:szCs w:val="19"/>
          <w:color w:val="auto"/>
        </w:rPr>
      </w:pPr>
    </w:p>
    <w:p>
      <w:pPr>
        <w:ind w:firstLine="979"/>
        <w:spacing w:after="0" w:line="250" w:lineRule="auto"/>
        <w:tabs>
          <w:tab w:leader="none" w:pos="2519" w:val="left"/>
        </w:tabs>
        <w:numPr>
          <w:ilvl w:val="0"/>
          <w:numId w:val="275"/>
        </w:numPr>
        <w:rPr>
          <w:rFonts w:ascii="Arial" w:cs="Arial" w:eastAsia="Arial" w:hAnsi="Arial"/>
          <w:sz w:val="22"/>
          <w:szCs w:val="22"/>
          <w:color w:val="auto"/>
        </w:rPr>
      </w:pPr>
      <w:r>
        <w:rPr>
          <w:rFonts w:ascii="Arial" w:cs="Arial" w:eastAsia="Arial" w:hAnsi="Arial"/>
          <w:sz w:val="22"/>
          <w:szCs w:val="22"/>
          <w:color w:val="auto"/>
        </w:rPr>
        <w:t>any Lien or security interest granted to, or in favor of, any Secured Party or Agent as security for any of the Guaranteed Obligations shall fail to be perfected; or</w:t>
      </w:r>
    </w:p>
    <w:p>
      <w:pPr>
        <w:spacing w:after="0" w:line="174" w:lineRule="exact"/>
        <w:rPr>
          <w:rFonts w:ascii="Arial" w:cs="Arial" w:eastAsia="Arial" w:hAnsi="Arial"/>
          <w:sz w:val="22"/>
          <w:szCs w:val="22"/>
          <w:color w:val="auto"/>
        </w:rPr>
      </w:pPr>
    </w:p>
    <w:p>
      <w:pPr>
        <w:ind w:left="2520" w:hanging="1541"/>
        <w:spacing w:after="0"/>
        <w:tabs>
          <w:tab w:leader="none" w:pos="252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 xml:space="preserve">the release of any other Guarantor pursuant to </w:t>
      </w:r>
      <w:r>
        <w:rPr>
          <w:rFonts w:ascii="Arial" w:cs="Arial" w:eastAsia="Arial" w:hAnsi="Arial"/>
          <w:sz w:val="22"/>
          <w:szCs w:val="22"/>
          <w:u w:val="single" w:color="auto"/>
          <w:color w:val="auto"/>
        </w:rPr>
        <w:t>Section 11.10</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Certain Waivers</w:t>
      </w:r>
    </w:p>
    <w:p>
      <w:pPr>
        <w:spacing w:after="0" w:line="206" w:lineRule="exact"/>
        <w:rPr>
          <w:sz w:val="20"/>
          <w:szCs w:val="20"/>
          <w:color w:val="auto"/>
        </w:rPr>
      </w:pPr>
    </w:p>
    <w:p>
      <w:pPr>
        <w:jc w:val="both"/>
        <w:ind w:firstLine="872"/>
        <w:spacing w:after="0" w:line="271" w:lineRule="auto"/>
        <w:tabs>
          <w:tab w:leader="none" w:pos="1003" w:val="left"/>
        </w:tabs>
        <w:numPr>
          <w:ilvl w:val="0"/>
          <w:numId w:val="27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Etc. </w:t>
      </w:r>
      <w:r>
        <w:rPr>
          <w:rFonts w:ascii="Arial" w:cs="Arial" w:eastAsia="Arial" w:hAnsi="Arial"/>
          <w:sz w:val="19"/>
          <w:szCs w:val="19"/>
          <w:color w:val="auto"/>
        </w:rPr>
        <w:t>The Guarantors hereby expressly waive (to the extent permitted by applicable Law) diligence, presentment,</w:t>
      </w:r>
      <w:r>
        <w:rPr>
          <w:rFonts w:ascii="Arial" w:cs="Arial" w:eastAsia="Arial" w:hAnsi="Arial"/>
          <w:sz w:val="19"/>
          <w:szCs w:val="19"/>
          <w:i w:val="1"/>
          <w:iCs w:val="1"/>
          <w:color w:val="auto"/>
        </w:rPr>
        <w:t xml:space="preserve"> </w:t>
      </w:r>
      <w:r>
        <w:rPr>
          <w:rFonts w:ascii="Arial" w:cs="Arial" w:eastAsia="Arial" w:hAnsi="Arial"/>
          <w:sz w:val="19"/>
          <w:szCs w:val="19"/>
          <w:color w:val="auto"/>
        </w:rPr>
        <w:t>demand of payment, protest and, to the extent permitted by Law, all notices whatsoever, and any requirement that any Secured Party exhaust any right, power or remedy or proceed against the Borrower under this Agreement or the Term Notes issued hereunder,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the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5" w:name="page216"/>
    <w:bookmarkEnd w:id="215"/>
    <w:p>
      <w:pPr>
        <w:jc w:val="both"/>
        <w:spacing w:after="0" w:line="273" w:lineRule="auto"/>
        <w:rPr>
          <w:sz w:val="20"/>
          <w:szCs w:val="20"/>
          <w:color w:val="auto"/>
        </w:rPr>
      </w:pPr>
      <w:r>
        <w:rPr>
          <w:rFonts w:ascii="Arial" w:cs="Arial" w:eastAsia="Arial" w:hAnsi="Arial"/>
          <w:sz w:val="19"/>
          <w:szCs w:val="19"/>
          <w:color w:val="auto"/>
        </w:rPr>
        <w:t xml:space="preserve">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permitted assigns thereof, and shall inure to the benefit of the Secured Parties, and their respective successors and permitted assigns, notwithstanding that from time to time during the term of this Agreement there may be no Guaranteed Obligations outstanding. Each Guarantor waives (to the extent permitted by Law) any rights and defenses that are or may become available to it by reason of §§ 2787 to 2855, inclusive, and §§ 2899 and 3433 of the California Civil Code. As provided in </w:t>
      </w:r>
      <w:r>
        <w:rPr>
          <w:rFonts w:ascii="Arial" w:cs="Arial" w:eastAsia="Arial" w:hAnsi="Arial"/>
          <w:sz w:val="19"/>
          <w:szCs w:val="19"/>
          <w:u w:val="single" w:color="auto"/>
          <w:color w:val="auto"/>
        </w:rPr>
        <w:t>Section 10.07</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shall be governed by, and construed in accordance with, the laws of the State of New York. The foregoing waivers and the provisions hereinafter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which pertain to California law are included solely out of an abundance of caution, and shall not be construed to mean that any of the above-referenced provisions of California law are in any way applicable to this </w:t>
      </w:r>
      <w:r>
        <w:rPr>
          <w:rFonts w:ascii="Arial" w:cs="Arial" w:eastAsia="Arial" w:hAnsi="Arial"/>
          <w:sz w:val="19"/>
          <w:szCs w:val="19"/>
          <w:u w:val="single" w:color="auto"/>
          <w:color w:val="auto"/>
        </w:rPr>
        <w:t>Article 11</w:t>
      </w:r>
      <w:r>
        <w:rPr>
          <w:rFonts w:ascii="Arial" w:cs="Arial" w:eastAsia="Arial" w:hAnsi="Arial"/>
          <w:sz w:val="19"/>
          <w:szCs w:val="19"/>
          <w:color w:val="auto"/>
        </w:rPr>
        <w:t>, to any other provision of this Agreement or to the Obligations.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Reinstatement</w:t>
      </w:r>
    </w:p>
    <w:p>
      <w:pPr>
        <w:spacing w:after="0" w:line="206" w:lineRule="exact"/>
        <w:rPr>
          <w:sz w:val="20"/>
          <w:szCs w:val="20"/>
          <w:color w:val="auto"/>
        </w:rPr>
      </w:pPr>
    </w:p>
    <w:p>
      <w:pPr>
        <w:jc w:val="both"/>
        <w:ind w:firstLine="872"/>
        <w:spacing w:after="0" w:line="238" w:lineRule="auto"/>
        <w:tabs>
          <w:tab w:leader="none" w:pos="1039" w:val="left"/>
        </w:tabs>
        <w:numPr>
          <w:ilvl w:val="0"/>
          <w:numId w:val="277"/>
        </w:numPr>
        <w:rPr>
          <w:rFonts w:ascii="Arial" w:cs="Arial" w:eastAsia="Arial" w:hAnsi="Arial"/>
          <w:sz w:val="22"/>
          <w:szCs w:val="22"/>
          <w:i w:val="1"/>
          <w:iCs w:val="1"/>
          <w:color w:val="auto"/>
        </w:rPr>
      </w:pPr>
      <w:r>
        <w:rPr>
          <w:rFonts w:ascii="Arial" w:cs="Arial" w:eastAsia="Arial" w:hAnsi="Arial"/>
          <w:sz w:val="22"/>
          <w:szCs w:val="22"/>
          <w:color w:val="auto"/>
        </w:rPr>
        <w:t xml:space="preserve">The obligations of the Guarantors under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Subrogation; Subordination</w:t>
      </w:r>
    </w:p>
    <w:p>
      <w:pPr>
        <w:spacing w:after="0" w:line="206" w:lineRule="exact"/>
        <w:rPr>
          <w:sz w:val="20"/>
          <w:szCs w:val="20"/>
          <w:color w:val="auto"/>
        </w:rPr>
      </w:pPr>
    </w:p>
    <w:p>
      <w:pPr>
        <w:jc w:val="both"/>
        <w:ind w:firstLine="872"/>
        <w:spacing w:after="0" w:line="277" w:lineRule="auto"/>
        <w:tabs>
          <w:tab w:leader="none" w:pos="1066" w:val="left"/>
        </w:tabs>
        <w:numPr>
          <w:ilvl w:val="0"/>
          <w:numId w:val="278"/>
        </w:numPr>
        <w:rPr>
          <w:rFonts w:ascii="Arial" w:cs="Arial" w:eastAsia="Arial" w:hAnsi="Arial"/>
          <w:sz w:val="19"/>
          <w:szCs w:val="19"/>
          <w:i w:val="1"/>
          <w:iCs w:val="1"/>
          <w:color w:val="auto"/>
        </w:rPr>
      </w:pPr>
      <w:r>
        <w:rPr>
          <w:rFonts w:ascii="Arial" w:cs="Arial" w:eastAsia="Arial" w:hAnsi="Arial"/>
          <w:sz w:val="19"/>
          <w:szCs w:val="19"/>
          <w:color w:val="auto"/>
        </w:rPr>
        <w:t xml:space="preserve">Each Guarantor hereby agrees that until the payment and satisfaction in full in cash of all Guaranteed Obligations (other than contingent obligations) and the expiration and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whether by subrogation or otherwise, against the Borrower or any other Guarantor of any of the Guaranteed Obligations or any security for any of the Guaranteed Obligations. Any Indebtedness of any Loan Party to any Person that is not a Loan Party permitted pursuant to </w:t>
      </w:r>
      <w:r>
        <w:rPr>
          <w:rFonts w:ascii="Arial" w:cs="Arial" w:eastAsia="Arial" w:hAnsi="Arial"/>
          <w:sz w:val="19"/>
          <w:szCs w:val="19"/>
          <w:u w:val="single" w:color="auto"/>
          <w:color w:val="auto"/>
        </w:rPr>
        <w:t>Section 7.03(b)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7.03(d)</w:t>
      </w:r>
      <w:r>
        <w:rPr>
          <w:rFonts w:ascii="Arial" w:cs="Arial" w:eastAsia="Arial" w:hAnsi="Arial"/>
          <w:sz w:val="19"/>
          <w:szCs w:val="19"/>
          <w:color w:val="auto"/>
        </w:rPr>
        <w:t xml:space="preserve"> shall be subordinated to such Loan Party’s Obligations in an manner reasonably acceptable to the Required Lenders.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Remedies</w:t>
      </w:r>
    </w:p>
    <w:p>
      <w:pPr>
        <w:spacing w:after="0" w:line="206" w:lineRule="exact"/>
        <w:rPr>
          <w:sz w:val="20"/>
          <w:szCs w:val="20"/>
          <w:color w:val="auto"/>
        </w:rPr>
      </w:pPr>
    </w:p>
    <w:p>
      <w:pPr>
        <w:jc w:val="both"/>
        <w:ind w:firstLine="872"/>
        <w:spacing w:after="0" w:line="277" w:lineRule="auto"/>
        <w:tabs>
          <w:tab w:leader="none" w:pos="1053" w:val="left"/>
        </w:tabs>
        <w:numPr>
          <w:ilvl w:val="0"/>
          <w:numId w:val="279"/>
        </w:numPr>
        <w:rPr>
          <w:rFonts w:ascii="Arial" w:cs="Arial" w:eastAsia="Arial" w:hAnsi="Arial"/>
          <w:sz w:val="19"/>
          <w:szCs w:val="19"/>
          <w:i w:val="1"/>
          <w:iCs w:val="1"/>
          <w:color w:val="auto"/>
        </w:rPr>
      </w:pPr>
      <w:r>
        <w:rPr>
          <w:rFonts w:ascii="Arial" w:cs="Arial" w:eastAsia="Arial" w:hAnsi="Arial"/>
          <w:sz w:val="19"/>
          <w:szCs w:val="19"/>
          <w:color w:val="auto"/>
        </w:rPr>
        <w:t xml:space="preserve">The Guarantors jointly and severally agree that, as between the Guarantors and the Lenders, the obligations of the Borrower under this Agreement and the Term Notes issued hereunder, if any, may be declared to be forthwith due and payable as provided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shall be deemed to have become automatically due and payable in the circumstances provided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Instrument for the Payment of Money</w:t>
      </w:r>
    </w:p>
    <w:p>
      <w:pPr>
        <w:spacing w:after="0" w:line="206" w:lineRule="exact"/>
        <w:rPr>
          <w:sz w:val="20"/>
          <w:szCs w:val="20"/>
          <w:color w:val="auto"/>
        </w:rPr>
      </w:pPr>
    </w:p>
    <w:p>
      <w:pPr>
        <w:ind w:firstLine="872"/>
        <w:spacing w:after="0" w:line="250" w:lineRule="auto"/>
        <w:tabs>
          <w:tab w:leader="none" w:pos="1039" w:val="left"/>
        </w:tabs>
        <w:numPr>
          <w:ilvl w:val="0"/>
          <w:numId w:val="280"/>
        </w:numPr>
        <w:rPr>
          <w:rFonts w:ascii="Arial" w:cs="Arial" w:eastAsia="Arial" w:hAnsi="Arial"/>
          <w:sz w:val="22"/>
          <w:szCs w:val="22"/>
          <w:i w:val="1"/>
          <w:iCs w:val="1"/>
          <w:color w:val="auto"/>
        </w:rPr>
      </w:pPr>
      <w:r>
        <w:rPr>
          <w:rFonts w:ascii="Arial" w:cs="Arial" w:eastAsia="Arial" w:hAnsi="Arial"/>
          <w:sz w:val="22"/>
          <w:szCs w:val="22"/>
          <w:color w:val="auto"/>
        </w:rPr>
        <w:t xml:space="preserve">Each Guarantor hereby acknowledges that the guarantee in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constitutes an instrument for the payment of money, and consents and agrees that any Secured Party or Agent, at its sole option, in the event of</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6" w:name="page217"/>
    <w:bookmarkEnd w:id="216"/>
    <w:p>
      <w:pPr>
        <w:spacing w:after="0" w:line="250" w:lineRule="auto"/>
        <w:rPr>
          <w:sz w:val="20"/>
          <w:szCs w:val="20"/>
          <w:color w:val="auto"/>
        </w:rPr>
      </w:pPr>
      <w:r>
        <w:rPr>
          <w:rFonts w:ascii="Arial" w:cs="Arial" w:eastAsia="Arial" w:hAnsi="Arial"/>
          <w:sz w:val="22"/>
          <w:szCs w:val="22"/>
          <w:color w:val="auto"/>
        </w:rPr>
        <w:t>a dispute by such Guarantor in the payment of any moneys due hereunder, shall have the right to bring a motion-action under New York CPLR Section 3213.</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Continuing Guarantee</w:t>
      </w:r>
    </w:p>
    <w:p>
      <w:pPr>
        <w:spacing w:after="0" w:line="206" w:lineRule="exact"/>
        <w:rPr>
          <w:sz w:val="20"/>
          <w:szCs w:val="20"/>
          <w:color w:val="auto"/>
        </w:rPr>
      </w:pPr>
    </w:p>
    <w:p>
      <w:pPr>
        <w:ind w:firstLine="872"/>
        <w:spacing w:after="0" w:line="250" w:lineRule="auto"/>
        <w:tabs>
          <w:tab w:leader="none" w:pos="1039" w:val="left"/>
        </w:tabs>
        <w:numPr>
          <w:ilvl w:val="0"/>
          <w:numId w:val="281"/>
        </w:numPr>
        <w:rPr>
          <w:rFonts w:ascii="Arial" w:cs="Arial" w:eastAsia="Arial" w:hAnsi="Arial"/>
          <w:sz w:val="22"/>
          <w:szCs w:val="22"/>
          <w:i w:val="1"/>
          <w:iCs w:val="1"/>
          <w:color w:val="auto"/>
        </w:rPr>
      </w:pPr>
      <w:r>
        <w:rPr>
          <w:rFonts w:ascii="Arial" w:cs="Arial" w:eastAsia="Arial" w:hAnsi="Arial"/>
          <w:sz w:val="22"/>
          <w:szCs w:val="22"/>
          <w:color w:val="auto"/>
        </w:rPr>
        <w:t xml:space="preserve">The guarantee in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is a continuing guarantee of payment, and shall apply to all Guaranteed Obligations whenever arising.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General Limitation on Guarantee Obligations</w:t>
      </w:r>
    </w:p>
    <w:p>
      <w:pPr>
        <w:spacing w:after="0" w:line="206" w:lineRule="exact"/>
        <w:rPr>
          <w:sz w:val="20"/>
          <w:szCs w:val="20"/>
          <w:color w:val="auto"/>
        </w:rPr>
      </w:pPr>
    </w:p>
    <w:p>
      <w:pPr>
        <w:jc w:val="both"/>
        <w:ind w:firstLine="872"/>
        <w:spacing w:after="0" w:line="246" w:lineRule="auto"/>
        <w:tabs>
          <w:tab w:leader="none" w:pos="1026" w:val="left"/>
        </w:tabs>
        <w:numPr>
          <w:ilvl w:val="0"/>
          <w:numId w:val="282"/>
        </w:numPr>
        <w:rPr>
          <w:rFonts w:ascii="Arial" w:cs="Arial" w:eastAsia="Arial" w:hAnsi="Arial"/>
          <w:sz w:val="21"/>
          <w:szCs w:val="21"/>
          <w:i w:val="1"/>
          <w:iCs w:val="1"/>
          <w:color w:val="auto"/>
        </w:rPr>
      </w:pPr>
      <w:r>
        <w:rPr>
          <w:rFonts w:ascii="Arial" w:cs="Arial" w:eastAsia="Arial" w:hAnsi="Arial"/>
          <w:sz w:val="21"/>
          <w:szCs w:val="21"/>
          <w:color w:val="auto"/>
        </w:rPr>
        <w:t xml:space="preserve">In any action or proceeding involving any state corporate, limited partnership or limited liability company law, or any applicable state, federal or foreign bankruptcy, insolvency, reorganization or other Law affecting the rights of creditors generally, if the obligations of any Guarantor under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w:t>
      </w:r>
      <w:r>
        <w:rPr>
          <w:rFonts w:ascii="Arial" w:cs="Arial" w:eastAsia="Arial" w:hAnsi="Arial"/>
          <w:sz w:val="21"/>
          <w:szCs w:val="21"/>
          <w:u w:val="single" w:color="auto"/>
          <w:color w:val="auto"/>
        </w:rPr>
        <w:t>Section 11.11</w:t>
      </w:r>
      <w:r>
        <w:rPr>
          <w:rFonts w:ascii="Arial" w:cs="Arial" w:eastAsia="Arial" w:hAnsi="Arial"/>
          <w:sz w:val="21"/>
          <w:szCs w:val="21"/>
          <w:color w:val="auto"/>
        </w:rPr>
        <w:t>) that is valid and enforceable and not subordinated to the claims of other creditors as determined in such action or proceeding.</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Release of Guarantors</w:t>
      </w:r>
    </w:p>
    <w:p>
      <w:pPr>
        <w:spacing w:after="0" w:line="206" w:lineRule="exact"/>
        <w:rPr>
          <w:sz w:val="20"/>
          <w:szCs w:val="20"/>
          <w:color w:val="auto"/>
        </w:rPr>
      </w:pPr>
    </w:p>
    <w:p>
      <w:pPr>
        <w:jc w:val="both"/>
        <w:ind w:firstLine="872"/>
        <w:spacing w:after="0" w:line="276" w:lineRule="auto"/>
        <w:tabs>
          <w:tab w:leader="none" w:pos="1080" w:val="left"/>
        </w:tabs>
        <w:numPr>
          <w:ilvl w:val="1"/>
          <w:numId w:val="283"/>
        </w:numPr>
        <w:rPr>
          <w:rFonts w:ascii="Arial" w:cs="Arial" w:eastAsia="Arial" w:hAnsi="Arial"/>
          <w:sz w:val="19"/>
          <w:szCs w:val="19"/>
          <w:i w:val="1"/>
          <w:iCs w:val="1"/>
          <w:color w:val="auto"/>
        </w:rPr>
      </w:pPr>
      <w:r>
        <w:rPr>
          <w:rFonts w:ascii="Arial" w:cs="Arial" w:eastAsia="Arial" w:hAnsi="Arial"/>
          <w:sz w:val="19"/>
          <w:szCs w:val="19"/>
          <w:color w:val="auto"/>
        </w:rPr>
        <w:t>If, in compliance with the terms and provisions of the Loan Documents, (i) all or substantially all of the Equity Interests or property of any Guarantor are sold or otherwise transferred to a Person or Persons none of which is a Loan Party or</w:t>
      </w:r>
    </w:p>
    <w:p>
      <w:pPr>
        <w:spacing w:after="0" w:line="1" w:lineRule="exact"/>
        <w:rPr>
          <w:rFonts w:ascii="Arial" w:cs="Arial" w:eastAsia="Arial" w:hAnsi="Arial"/>
          <w:sz w:val="19"/>
          <w:szCs w:val="19"/>
          <w:i w:val="1"/>
          <w:iCs w:val="1"/>
          <w:color w:val="auto"/>
        </w:rPr>
      </w:pPr>
    </w:p>
    <w:p>
      <w:pPr>
        <w:jc w:val="both"/>
        <w:ind w:firstLine="8"/>
        <w:spacing w:after="0" w:line="270" w:lineRule="auto"/>
        <w:tabs>
          <w:tab w:leader="none" w:pos="373" w:val="left"/>
        </w:tabs>
        <w:numPr>
          <w:ilvl w:val="0"/>
          <w:numId w:val="283"/>
        </w:numPr>
        <w:rPr>
          <w:rFonts w:ascii="Arial" w:cs="Arial" w:eastAsia="Arial" w:hAnsi="Arial"/>
          <w:sz w:val="19"/>
          <w:szCs w:val="19"/>
          <w:color w:val="auto"/>
        </w:rPr>
      </w:pPr>
      <w:r>
        <w:rPr>
          <w:rFonts w:ascii="Arial" w:cs="Arial" w:eastAsia="Arial" w:hAnsi="Arial"/>
          <w:sz w:val="19"/>
          <w:szCs w:val="19"/>
          <w:color w:val="auto"/>
        </w:rPr>
        <w:t>any Guarantor becomes an Excluded Subsidiary (any such Guarantor, and any Guarantor referred to in clause (i), a “</w:t>
      </w:r>
      <w:r>
        <w:rPr>
          <w:rFonts w:ascii="Arial" w:cs="Arial" w:eastAsia="Arial" w:hAnsi="Arial"/>
          <w:sz w:val="19"/>
          <w:szCs w:val="19"/>
          <w:b w:val="1"/>
          <w:bCs w:val="1"/>
          <w:color w:val="auto"/>
        </w:rPr>
        <w:t>Transferred Guarantor</w:t>
      </w:r>
      <w:r>
        <w:rPr>
          <w:rFonts w:ascii="Arial" w:cs="Arial" w:eastAsia="Arial" w:hAnsi="Arial"/>
          <w:sz w:val="19"/>
          <w:szCs w:val="19"/>
          <w:color w:val="auto"/>
        </w:rPr>
        <w:t xml:space="preserve">”), such Transferred Guarantor shall, upon (x) the consummation of such sale or transfer or other transaction or (y) becoming an Excluded Subsidiary pursuant to clause (e) of the definition thereof, be automatically released from its obligations under this Agreement (including under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hereof) and its obligations to pledge and grant any Collateral owned by it pursuant to any Collateral Document and, in the case of a sale of all or substantially all of the Equity Interests of the Transferred Guarantor, the pledge of such Equity Interests to the Collateral Agent pursuant to the Collateral Documents shall be automatically released, and, the Collateral Agent shall take such actions as are necessary to effect each release described in this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in accordance with the relevant provisions of the Collateral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Guarantor shall be released as provided in this paragraph if such Guarantor continues to be a guarantor in respect of any Indebtedness incurred pursuant to </w:t>
      </w:r>
      <w:r>
        <w:rPr>
          <w:rFonts w:ascii="Arial" w:cs="Arial" w:eastAsia="Arial" w:hAnsi="Arial"/>
          <w:sz w:val="19"/>
          <w:szCs w:val="19"/>
          <w:u w:val="single" w:color="auto"/>
          <w:color w:val="auto"/>
        </w:rPr>
        <w:t>Section 7.03(o)</w:t>
      </w:r>
      <w:r>
        <w:rPr>
          <w:rFonts w:ascii="Arial" w:cs="Arial" w:eastAsia="Arial" w:hAnsi="Arial"/>
          <w:sz w:val="19"/>
          <w:szCs w:val="19"/>
          <w:color w:val="auto"/>
        </w:rPr>
        <w:t xml:space="preserve">, any Permitted Additional Debt, any Junior Financing or any Permitted Refinancing of any of the foregoing. Notwithstanding anything herein to the contrary,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9"/>
          <w:szCs w:val="19"/>
          <w:u w:val="single" w:color="auto"/>
          <w:color w:val="auto"/>
        </w:rPr>
        <w:t>Section 7.02(c)(iii)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at the time such Person becomes an Excluded Subsidiary pursuant to clause (a) of the definition of “Excluded Subsidiary”.</w:t>
      </w:r>
    </w:p>
    <w:p>
      <w:pPr>
        <w:spacing w:after="0" w:line="200" w:lineRule="exact"/>
        <w:rPr>
          <w:sz w:val="20"/>
          <w:szCs w:val="20"/>
          <w:color w:val="auto"/>
        </w:rPr>
      </w:pPr>
    </w:p>
    <w:p>
      <w:pPr>
        <w:spacing w:after="0" w:line="20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When all Commitments hereunder have terminated, and all Loans or other Obligations hereunder which are accrued and payable have been paid or satisfied, this Agreement and the Guarantees made herein shall automatically terminate with respect to all Obligations, except with respect to Obligations that expressly survive such repayment pursuant to the terms of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7" w:name="page218"/>
    <w:bookmarkEnd w:id="217"/>
    <w:p>
      <w:pPr>
        <w:ind w:left="880"/>
        <w:spacing w:after="0"/>
        <w:rPr>
          <w:sz w:val="20"/>
          <w:szCs w:val="20"/>
          <w:color w:val="auto"/>
        </w:rPr>
      </w:pPr>
      <w:r>
        <w:rPr>
          <w:rFonts w:ascii="Arial" w:cs="Arial" w:eastAsia="Arial" w:hAnsi="Arial"/>
          <w:sz w:val="22"/>
          <w:szCs w:val="22"/>
          <w:i w:val="1"/>
          <w:iCs w:val="1"/>
          <w:color w:val="auto"/>
        </w:rPr>
        <w:t>Right of Contribution</w:t>
      </w:r>
    </w:p>
    <w:p>
      <w:pPr>
        <w:spacing w:after="0" w:line="206" w:lineRule="exact"/>
        <w:rPr>
          <w:sz w:val="20"/>
          <w:szCs w:val="20"/>
          <w:color w:val="auto"/>
        </w:rPr>
      </w:pPr>
    </w:p>
    <w:p>
      <w:pPr>
        <w:jc w:val="both"/>
        <w:ind w:firstLine="872"/>
        <w:spacing w:after="0" w:line="279" w:lineRule="auto"/>
        <w:tabs>
          <w:tab w:leader="none" w:pos="1039" w:val="left"/>
        </w:tabs>
        <w:numPr>
          <w:ilvl w:val="0"/>
          <w:numId w:val="284"/>
        </w:numPr>
        <w:rPr>
          <w:rFonts w:ascii="Arial" w:cs="Arial" w:eastAsia="Arial" w:hAnsi="Arial"/>
          <w:sz w:val="19"/>
          <w:szCs w:val="19"/>
          <w:i w:val="1"/>
          <w:iCs w:val="1"/>
          <w:color w:val="auto"/>
        </w:rPr>
      </w:pPr>
      <w:r>
        <w:rPr>
          <w:rFonts w:ascii="Arial" w:cs="Arial" w:eastAsia="Arial" w:hAnsi="Arial"/>
          <w:sz w:val="19"/>
          <w:szCs w:val="19"/>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shall in no respect limit the obligations and liabilities of any Guarantor to the Administrative Agent and the Secured Parties, and each Guarantor shall remain liable to the Administrative Agent and the Secured Parties for the full amount guaranteed by such Guarantor hereunder.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Additional Guarantor Waivers and Agreements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79"/>
        <w:spacing w:after="0" w:line="268" w:lineRule="auto"/>
        <w:tabs>
          <w:tab w:leader="none" w:pos="2507" w:val="left"/>
        </w:tabs>
        <w:numPr>
          <w:ilvl w:val="1"/>
          <w:numId w:val="285"/>
        </w:numPr>
        <w:rPr>
          <w:rFonts w:ascii="Arial" w:cs="Arial" w:eastAsia="Arial" w:hAnsi="Arial"/>
          <w:sz w:val="19"/>
          <w:szCs w:val="19"/>
          <w:color w:val="auto"/>
        </w:rPr>
      </w:pPr>
      <w:r>
        <w:rPr>
          <w:rFonts w:ascii="Arial" w:cs="Arial" w:eastAsia="Arial" w:hAnsi="Arial"/>
          <w:sz w:val="19"/>
          <w:szCs w:val="19"/>
          <w:color w:val="auto"/>
        </w:rPr>
        <w:t xml:space="preserve">Each Guarantor understands and acknowledges that if the Collateral Agent or any other Secured Party forecloses judicially or nonjudicially against any real property security for the Obligations, that foreclosure could impair or destroy any ability that such Guarantor may have to seek reimbursement, contribution, or indemnification from the Borrower or others based on any right such Guarantor may have of subrogation, reimbursement, contribution, or indemnification for any amounts paid by such Guarantor under the Guaranty. Each Guarantor further understands and acknowledges that in the absence of this paragraph, such potential impairment or destruction of such Guarantor’s rights, if any, may entitle such Guarantor to assert a defense to this Guaranty based on Section 580d of the California Code of Civil Procedure as interpreted in </w:t>
      </w:r>
      <w:r>
        <w:rPr>
          <w:rFonts w:ascii="Arial" w:cs="Arial" w:eastAsia="Arial" w:hAnsi="Arial"/>
          <w:sz w:val="19"/>
          <w:szCs w:val="19"/>
          <w:u w:val="single" w:color="auto"/>
          <w:color w:val="auto"/>
        </w:rPr>
        <w:t>Union Bank v.</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Gradsky</w:t>
      </w:r>
      <w:r>
        <w:rPr>
          <w:rFonts w:ascii="Arial" w:cs="Arial" w:eastAsia="Arial" w:hAnsi="Arial"/>
          <w:sz w:val="19"/>
          <w:szCs w:val="19"/>
          <w:color w:val="auto"/>
        </w:rPr>
        <w:t>, 265 Cal. App. 2d 40 (1968). By executing this Guaranty, each Guarantor freely, irrevocably, and unconditionally: (i) waives (to the extent permitted by Law) and relinquishes that defense and agrees that such Guarantor will be fully liable under this Guaranty even though the Collateral Agent or any other Secured Party may foreclose, either by judicial foreclosure or by exercise of power of sale, any deed of trust securing the Obligations; (ii) agrees that such Guarantor will not assert that defense in any action or proceeding which the Administrative Agent, the Collateral Agent or any other Secured Party may commence to enforce this Guaranty; (iii) acknowledges and agrees that the rights and defenses waived by such Guarantor in this Guaranty include any right or defense that such Guarantor may have or be entitled to assert based upon or arising out of any one or more of</w:t>
      </w:r>
    </w:p>
    <w:p>
      <w:pPr>
        <w:spacing w:after="0" w:line="4" w:lineRule="exact"/>
        <w:rPr>
          <w:rFonts w:ascii="Arial" w:cs="Arial" w:eastAsia="Arial" w:hAnsi="Arial"/>
          <w:sz w:val="19"/>
          <w:szCs w:val="19"/>
          <w:color w:val="auto"/>
        </w:rPr>
      </w:pPr>
    </w:p>
    <w:p>
      <w:pPr>
        <w:jc w:val="both"/>
        <w:ind w:firstLine="8"/>
        <w:spacing w:after="0" w:line="248" w:lineRule="auto"/>
        <w:tabs>
          <w:tab w:leader="none" w:pos="315" w:val="left"/>
        </w:tabs>
        <w:numPr>
          <w:ilvl w:val="0"/>
          <w:numId w:val="285"/>
        </w:numPr>
        <w:rPr>
          <w:rFonts w:ascii="Arial" w:cs="Arial" w:eastAsia="Arial" w:hAnsi="Arial"/>
          <w:sz w:val="21"/>
          <w:szCs w:val="21"/>
          <w:color w:val="auto"/>
        </w:rPr>
      </w:pPr>
      <w:r>
        <w:rPr>
          <w:rFonts w:ascii="Arial" w:cs="Arial" w:eastAsia="Arial" w:hAnsi="Arial"/>
          <w:sz w:val="21"/>
          <w:szCs w:val="21"/>
          <w:color w:val="auto"/>
        </w:rPr>
        <w:t>580a, 580b, 580d, or 726 of the California Code of Civil Procedure or § 2848 of the California Civil Code; and (iv) acknowledges and agrees that the Secured Parties are relying on this waiver in creating the Obligations, and that this waiver is a material part of the consideration which the Secured Parties are receiving for creating the Obligations.</w:t>
      </w:r>
    </w:p>
    <w:p>
      <w:pPr>
        <w:spacing w:after="0" w:line="178" w:lineRule="exact"/>
        <w:rPr>
          <w:rFonts w:ascii="Arial" w:cs="Arial" w:eastAsia="Arial" w:hAnsi="Arial"/>
          <w:sz w:val="21"/>
          <w:szCs w:val="21"/>
          <w:color w:val="auto"/>
        </w:rPr>
      </w:pPr>
    </w:p>
    <w:p>
      <w:pPr>
        <w:jc w:val="both"/>
        <w:ind w:firstLine="979"/>
        <w:spacing w:after="0" w:line="274" w:lineRule="auto"/>
        <w:tabs>
          <w:tab w:leader="none" w:pos="2519" w:val="left"/>
        </w:tabs>
        <w:numPr>
          <w:ilvl w:val="1"/>
          <w:numId w:val="286"/>
        </w:numPr>
        <w:rPr>
          <w:rFonts w:ascii="Arial" w:cs="Arial" w:eastAsia="Arial" w:hAnsi="Arial"/>
          <w:sz w:val="19"/>
          <w:szCs w:val="19"/>
          <w:color w:val="auto"/>
        </w:rPr>
      </w:pPr>
      <w:r>
        <w:rPr>
          <w:rFonts w:ascii="Arial" w:cs="Arial" w:eastAsia="Arial" w:hAnsi="Arial"/>
          <w:sz w:val="19"/>
          <w:szCs w:val="19"/>
          <w:color w:val="auto"/>
        </w:rPr>
        <w:t>Each Guarantor waives (to the extent permitted by Law) all rights and defenses that such Guarantor may have because any of the Obligations is secured by real property. This means, among other things: (i) the Administrative Agent, the Collateral Agent and the other Secured Parties may collect from such Guarantor without first foreclosing on any real or personal property Collateral pledged by the other Loan Parties; and (ii) if the Collateral Agent or any other Secured Party forecloses on any real property Collateral pledged by the other Loan Parties: (A) the amount of the Obligations may be reduced only by the price for which that Collateral is sold at the foreclosure sale, even if the collateral is worth more than the sale price, and (B) the Administrative Agent, the Collateral Agent and the other Secured Parties may collect from such Guarantor even if the Secured Parties, by foreclosing on the real property Collateral, have destroyed any right such Guarantor may have to collect from the Borrower. This is an unconditional and irrevocable waiver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8" w:name="page219"/>
    <w:bookmarkEnd w:id="218"/>
    <w:p>
      <w:pPr>
        <w:jc w:val="both"/>
        <w:spacing w:after="0"/>
        <w:rPr>
          <w:sz w:val="20"/>
          <w:szCs w:val="20"/>
          <w:color w:val="auto"/>
        </w:rPr>
      </w:pPr>
      <w:r>
        <w:rPr>
          <w:rFonts w:ascii="Arial" w:cs="Arial" w:eastAsia="Arial" w:hAnsi="Arial"/>
          <w:sz w:val="22"/>
          <w:szCs w:val="22"/>
          <w:color w:val="auto"/>
        </w:rPr>
        <w:t>of any rights and defenses such Guarantor may have because any of the Obligations is secured by real property. These rights and defenses include, but are not limited to, any rights or defenses based upon § 580a, 580b, 580d, or 726 of the California Code of Civil Procedure.</w:t>
      </w:r>
    </w:p>
    <w:p>
      <w:pPr>
        <w:spacing w:after="0" w:line="186" w:lineRule="exact"/>
        <w:rPr>
          <w:sz w:val="20"/>
          <w:szCs w:val="20"/>
          <w:color w:val="auto"/>
        </w:rPr>
      </w:pPr>
    </w:p>
    <w:p>
      <w:pPr>
        <w:jc w:val="both"/>
        <w:ind w:firstLine="979"/>
        <w:spacing w:after="0"/>
        <w:tabs>
          <w:tab w:leader="none" w:pos="2507" w:val="left"/>
        </w:tabs>
        <w:numPr>
          <w:ilvl w:val="0"/>
          <w:numId w:val="287"/>
        </w:numPr>
        <w:rPr>
          <w:rFonts w:ascii="Arial" w:cs="Arial" w:eastAsia="Arial" w:hAnsi="Arial"/>
          <w:sz w:val="22"/>
          <w:szCs w:val="22"/>
          <w:color w:val="auto"/>
        </w:rPr>
      </w:pPr>
      <w:r>
        <w:rPr>
          <w:rFonts w:ascii="Arial" w:cs="Arial" w:eastAsia="Arial" w:hAnsi="Arial"/>
          <w:sz w:val="22"/>
          <w:szCs w:val="22"/>
          <w:color w:val="auto"/>
        </w:rPr>
        <w:t>Each Guarantor waives (to the extent permitted by Law) any right or defense it may have at law or equity, including California Code of Civil Procedure § 580a, to a fair market value hearing or action to determine a deficiency judgment after a foreclosure.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FF0000"/>
          <w:strike w:val="1"/>
        </w:rPr>
        <w:t>4830-5366-9817v1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1240"/>
          </w:cols>
          <w:pgMar w:left="320" w:top="334"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Darren D. Hawkins, certify that:</w:t>
      </w:r>
    </w:p>
    <w:p>
      <w:pPr>
        <w:spacing w:after="0" w:line="225" w:lineRule="exact"/>
        <w:rPr>
          <w:sz w:val="20"/>
          <w:szCs w:val="20"/>
          <w:color w:val="auto"/>
        </w:rPr>
      </w:pPr>
    </w:p>
    <w:p>
      <w:pPr>
        <w:ind w:left="540" w:hanging="532"/>
        <w:spacing w:after="0"/>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225" w:lineRule="exact"/>
        <w:rPr>
          <w:rFonts w:ascii="Arial" w:cs="Arial" w:eastAsia="Arial" w:hAnsi="Arial"/>
          <w:sz w:val="18"/>
          <w:szCs w:val="18"/>
          <w:color w:val="auto"/>
        </w:rPr>
      </w:pPr>
    </w:p>
    <w:p>
      <w:pPr>
        <w:jc w:val="both"/>
        <w:ind w:left="540" w:right="240" w:hanging="532"/>
        <w:spacing w:after="0" w:line="263" w:lineRule="auto"/>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40" w:right="200" w:hanging="532"/>
        <w:spacing w:after="0" w:line="308" w:lineRule="auto"/>
        <w:tabs>
          <w:tab w:leader="none" w:pos="5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240" w:hanging="532"/>
        <w:spacing w:after="0" w:line="263" w:lineRule="auto"/>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60" w:right="160" w:hanging="526"/>
        <w:spacing w:after="0" w:line="263" w:lineRule="auto"/>
        <w:tabs>
          <w:tab w:leader="none" w:pos="1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60" w:right="280" w:hanging="526"/>
        <w:spacing w:after="0" w:line="263" w:lineRule="auto"/>
        <w:tabs>
          <w:tab w:leader="none" w:pos="1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60" w:right="460" w:hanging="526"/>
        <w:spacing w:after="0" w:line="342" w:lineRule="auto"/>
        <w:tabs>
          <w:tab w:leader="none" w:pos="106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60" w:hanging="526"/>
        <w:spacing w:after="0" w:line="263" w:lineRule="auto"/>
        <w:tabs>
          <w:tab w:leader="none" w:pos="1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700" w:hanging="526"/>
        <w:spacing w:after="0" w:line="342" w:lineRule="auto"/>
        <w:tabs>
          <w:tab w:leader="none" w:pos="106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60" w:right="380" w:hanging="526"/>
        <w:spacing w:after="0" w:line="277" w:lineRule="auto"/>
        <w:tabs>
          <w:tab w:leader="none" w:pos="10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Date: May 11, 2020</w:t>
            </w:r>
          </w:p>
        </w:tc>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Darren D. Hawkins</w:t>
            </w:r>
          </w:p>
        </w:tc>
      </w:tr>
      <w:tr>
        <w:trPr>
          <w:trHeight w:val="195"/>
        </w:trPr>
        <w:tc>
          <w:tcPr>
            <w:tcW w:w="6680" w:type="dxa"/>
            <w:vAlign w:val="bottom"/>
          </w:tcPr>
          <w:p>
            <w:pPr>
              <w:spacing w:after="0"/>
              <w:rPr>
                <w:sz w:val="16"/>
                <w:szCs w:val="16"/>
                <w:color w:val="auto"/>
              </w:rPr>
            </w:pPr>
          </w:p>
        </w:tc>
        <w:tc>
          <w:tcPr>
            <w:tcW w:w="4500" w:type="dxa"/>
            <w:vAlign w:val="bottom"/>
          </w:tcPr>
          <w:p>
            <w:pPr>
              <w:ind w:left="60"/>
              <w:spacing w:after="0" w:line="195" w:lineRule="exact"/>
              <w:rPr>
                <w:sz w:val="20"/>
                <w:szCs w:val="20"/>
                <w:color w:val="auto"/>
              </w:rPr>
            </w:pPr>
            <w:r>
              <w:rPr>
                <w:rFonts w:ascii="Arial" w:cs="Arial" w:eastAsia="Arial" w:hAnsi="Arial"/>
                <w:sz w:val="18"/>
                <w:szCs w:val="18"/>
                <w:color w:val="auto"/>
              </w:rPr>
              <w:t>Darren D. Hawkins</w:t>
            </w:r>
          </w:p>
        </w:tc>
      </w:tr>
      <w:tr>
        <w:trPr>
          <w:trHeight w:val="230"/>
        </w:trPr>
        <w:tc>
          <w:tcPr>
            <w:tcW w:w="6680" w:type="dxa"/>
            <w:vAlign w:val="bottom"/>
          </w:tcPr>
          <w:p>
            <w:pPr>
              <w:spacing w:after="0"/>
              <w:rPr>
                <w:sz w:val="20"/>
                <w:szCs w:val="20"/>
                <w:color w:val="auto"/>
              </w:rPr>
            </w:pPr>
          </w:p>
        </w:tc>
        <w:tc>
          <w:tcPr>
            <w:tcW w:w="450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225" w:lineRule="exact"/>
        <w:rPr>
          <w:sz w:val="20"/>
          <w:szCs w:val="20"/>
          <w:color w:val="auto"/>
        </w:rPr>
      </w:pPr>
    </w:p>
    <w:p>
      <w:pPr>
        <w:ind w:left="540" w:hanging="532"/>
        <w:spacing w:after="0"/>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225" w:lineRule="exact"/>
        <w:rPr>
          <w:rFonts w:ascii="Arial" w:cs="Arial" w:eastAsia="Arial" w:hAnsi="Arial"/>
          <w:sz w:val="18"/>
          <w:szCs w:val="18"/>
          <w:color w:val="auto"/>
        </w:rPr>
      </w:pPr>
    </w:p>
    <w:p>
      <w:pPr>
        <w:jc w:val="both"/>
        <w:ind w:left="540" w:right="240" w:hanging="532"/>
        <w:spacing w:after="0" w:line="263"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40" w:right="200" w:hanging="532"/>
        <w:spacing w:after="0" w:line="308" w:lineRule="auto"/>
        <w:tabs>
          <w:tab w:leader="none" w:pos="54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240" w:hanging="532"/>
        <w:spacing w:after="0" w:line="263"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60" w:right="160" w:hanging="526"/>
        <w:spacing w:after="0" w:line="263" w:lineRule="auto"/>
        <w:tabs>
          <w:tab w:leader="none" w:pos="10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60" w:right="280" w:hanging="526"/>
        <w:spacing w:after="0" w:line="263" w:lineRule="auto"/>
        <w:tabs>
          <w:tab w:leader="none" w:pos="10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60" w:right="460" w:hanging="526"/>
        <w:spacing w:after="0" w:line="342" w:lineRule="auto"/>
        <w:tabs>
          <w:tab w:leader="none" w:pos="106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60" w:hanging="526"/>
        <w:spacing w:after="0" w:line="263" w:lineRule="auto"/>
        <w:tabs>
          <w:tab w:leader="none" w:pos="10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700" w:hanging="526"/>
        <w:spacing w:after="0" w:line="342" w:lineRule="auto"/>
        <w:tabs>
          <w:tab w:leader="none" w:pos="106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60" w:right="380" w:hanging="526"/>
        <w:spacing w:after="0" w:line="277" w:lineRule="auto"/>
        <w:tabs>
          <w:tab w:leader="none" w:pos="10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Date: May 11, 2020</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Jamie G. Pierson</w:t>
            </w:r>
          </w:p>
        </w:tc>
      </w:tr>
      <w:tr>
        <w:trPr>
          <w:trHeight w:val="195"/>
        </w:trPr>
        <w:tc>
          <w:tcPr>
            <w:tcW w:w="6680" w:type="dxa"/>
            <w:vAlign w:val="bottom"/>
          </w:tcPr>
          <w:p>
            <w:pPr>
              <w:spacing w:after="0"/>
              <w:rPr>
                <w:sz w:val="16"/>
                <w:szCs w:val="16"/>
                <w:color w:val="auto"/>
              </w:rPr>
            </w:pPr>
          </w:p>
        </w:tc>
        <w:tc>
          <w:tcPr>
            <w:tcW w:w="4500" w:type="dxa"/>
            <w:vAlign w:val="bottom"/>
          </w:tcPr>
          <w:p>
            <w:pPr>
              <w:ind w:left="40"/>
              <w:spacing w:after="0" w:line="195" w:lineRule="exact"/>
              <w:rPr>
                <w:sz w:val="20"/>
                <w:szCs w:val="20"/>
                <w:color w:val="auto"/>
              </w:rPr>
            </w:pPr>
            <w:r>
              <w:rPr>
                <w:rFonts w:ascii="Arial" w:cs="Arial" w:eastAsia="Arial" w:hAnsi="Arial"/>
                <w:sz w:val="18"/>
                <w:szCs w:val="18"/>
                <w:color w:val="auto"/>
              </w:rPr>
              <w:t>Jamie G. Pierson</w:t>
            </w:r>
          </w:p>
        </w:tc>
      </w:tr>
      <w:tr>
        <w:trPr>
          <w:trHeight w:val="230"/>
        </w:trPr>
        <w:tc>
          <w:tcPr>
            <w:tcW w:w="66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37"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2020,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184" w:lineRule="exact"/>
        <w:rPr>
          <w:sz w:val="20"/>
          <w:szCs w:val="20"/>
          <w:color w:val="auto"/>
        </w:rPr>
      </w:pPr>
    </w:p>
    <w:p>
      <w:pPr>
        <w:ind w:left="540" w:hanging="532"/>
        <w:spacing w:after="0"/>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60" w:hanging="532"/>
        <w:spacing w:after="0" w:line="277" w:lineRule="auto"/>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Date: May 11, 2020</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Darren D. Hawkins</w:t>
            </w:r>
          </w:p>
        </w:tc>
      </w:tr>
      <w:tr>
        <w:trPr>
          <w:trHeight w:val="195"/>
        </w:trPr>
        <w:tc>
          <w:tcPr>
            <w:tcW w:w="6680" w:type="dxa"/>
            <w:vAlign w:val="bottom"/>
          </w:tcPr>
          <w:p>
            <w:pPr>
              <w:spacing w:after="0"/>
              <w:rPr>
                <w:sz w:val="16"/>
                <w:szCs w:val="16"/>
                <w:color w:val="auto"/>
              </w:rPr>
            </w:pPr>
          </w:p>
        </w:tc>
        <w:tc>
          <w:tcPr>
            <w:tcW w:w="4500" w:type="dxa"/>
            <w:vAlign w:val="bottom"/>
          </w:tcPr>
          <w:p>
            <w:pPr>
              <w:ind w:left="40"/>
              <w:spacing w:after="0" w:line="195" w:lineRule="exact"/>
              <w:rPr>
                <w:sz w:val="20"/>
                <w:szCs w:val="20"/>
                <w:color w:val="auto"/>
              </w:rPr>
            </w:pPr>
            <w:r>
              <w:rPr>
                <w:rFonts w:ascii="Arial" w:cs="Arial" w:eastAsia="Arial" w:hAnsi="Arial"/>
                <w:sz w:val="18"/>
                <w:szCs w:val="18"/>
                <w:color w:val="auto"/>
              </w:rPr>
              <w:t>Darren D. Hawkins</w:t>
            </w:r>
          </w:p>
        </w:tc>
      </w:tr>
      <w:tr>
        <w:trPr>
          <w:trHeight w:val="230"/>
        </w:trPr>
        <w:tc>
          <w:tcPr>
            <w:tcW w:w="66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2020,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184" w:lineRule="exact"/>
        <w:rPr>
          <w:sz w:val="20"/>
          <w:szCs w:val="20"/>
          <w:color w:val="auto"/>
        </w:rPr>
      </w:pPr>
    </w:p>
    <w:p>
      <w:pPr>
        <w:ind w:left="540" w:hanging="532"/>
        <w:spacing w:after="0"/>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60" w:hanging="532"/>
        <w:spacing w:after="0" w:line="277" w:lineRule="auto"/>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Date: May 11, 2020</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Jamie G. Pierson</w:t>
            </w:r>
          </w:p>
        </w:tc>
      </w:tr>
      <w:tr>
        <w:trPr>
          <w:trHeight w:val="195"/>
        </w:trPr>
        <w:tc>
          <w:tcPr>
            <w:tcW w:w="6680" w:type="dxa"/>
            <w:vAlign w:val="bottom"/>
          </w:tcPr>
          <w:p>
            <w:pPr>
              <w:spacing w:after="0"/>
              <w:rPr>
                <w:sz w:val="16"/>
                <w:szCs w:val="16"/>
                <w:color w:val="auto"/>
              </w:rPr>
            </w:pPr>
          </w:p>
        </w:tc>
        <w:tc>
          <w:tcPr>
            <w:tcW w:w="4500" w:type="dxa"/>
            <w:vAlign w:val="bottom"/>
          </w:tcPr>
          <w:p>
            <w:pPr>
              <w:ind w:left="40"/>
              <w:spacing w:after="0" w:line="195" w:lineRule="exact"/>
              <w:rPr>
                <w:sz w:val="20"/>
                <w:szCs w:val="20"/>
                <w:color w:val="auto"/>
              </w:rPr>
            </w:pPr>
            <w:r>
              <w:rPr>
                <w:rFonts w:ascii="Arial" w:cs="Arial" w:eastAsia="Arial" w:hAnsi="Arial"/>
                <w:sz w:val="18"/>
                <w:szCs w:val="18"/>
                <w:color w:val="auto"/>
              </w:rPr>
              <w:t>Jamie G. Pierson</w:t>
            </w:r>
          </w:p>
        </w:tc>
      </w:tr>
      <w:tr>
        <w:trPr>
          <w:trHeight w:val="230"/>
        </w:trPr>
        <w:tc>
          <w:tcPr>
            <w:tcW w:w="66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C7D42D"/>
    <w:multiLevelType w:val="hybridMultilevel"/>
    <w:lvl w:ilvl="0">
      <w:lvlJc w:val="left"/>
      <w:lvlText w:val="☒"/>
      <w:numFmt w:val="bullet"/>
      <w:start w:val="1"/>
    </w:lvl>
  </w:abstractNum>
  <w:abstractNum w:abstractNumId="1">
    <w:nsid w:val="312167AD"/>
    <w:multiLevelType w:val="hybridMultilevel"/>
    <w:lvl w:ilvl="0">
      <w:lvlJc w:val="left"/>
      <w:lvlText w:val="☐"/>
      <w:numFmt w:val="bullet"/>
      <w:start w:val="1"/>
    </w:lvl>
  </w:abstractNum>
  <w:abstractNum w:abstractNumId="2">
    <w:nsid w:val="631B64D4"/>
    <w:multiLevelType w:val="hybridMultilevel"/>
    <w:lvl w:ilvl="0">
      <w:lvlJc w:val="left"/>
      <w:lvlText w:val="2"/>
      <w:numFmt w:val="bullet"/>
      <w:start w:val="1"/>
    </w:lvl>
  </w:abstractNum>
  <w:abstractNum w:abstractNumId="3">
    <w:nsid w:val="78B5E776"/>
    <w:multiLevelType w:val="hybridMultilevel"/>
    <w:lvl w:ilvl="0">
      <w:lvlJc w:val="left"/>
      <w:lvlText w:val="(%1)"/>
      <w:numFmt w:val="lowerLetter"/>
      <w:start w:val="1"/>
    </w:lvl>
  </w:abstractNum>
  <w:abstractNum w:abstractNumId="4">
    <w:nsid w:val="75486E47"/>
    <w:multiLevelType w:val="hybridMultilevel"/>
    <w:lvl w:ilvl="0">
      <w:lvlJc w:val="left"/>
      <w:lvlText w:val="(%1)"/>
      <w:numFmt w:val="lowerLetter"/>
      <w:start w:val="1"/>
    </w:lvl>
  </w:abstractNum>
  <w:abstractNum w:abstractNumId="5">
    <w:nsid w:val="6E534CDE"/>
    <w:multiLevelType w:val="hybridMultilevel"/>
    <w:lvl w:ilvl="0">
      <w:lvlJc w:val="left"/>
      <w:lvlText w:val="(%1)"/>
      <w:numFmt w:val="lowerLetter"/>
      <w:start w:val="1"/>
    </w:lvl>
  </w:abstractNum>
  <w:abstractNum w:abstractNumId="6">
    <w:nsid w:val="1A0DDE32"/>
    <w:multiLevelType w:val="hybridMultilevel"/>
    <w:lvl w:ilvl="0">
      <w:lvlJc w:val="left"/>
      <w:lvlText w:val="(%1)"/>
      <w:numFmt w:val="lowerLetter"/>
      <w:start w:val="1"/>
    </w:lvl>
  </w:abstractNum>
  <w:abstractNum w:abstractNumId="7">
    <w:nsid w:val="65968C1C"/>
    <w:multiLevelType w:val="hybridMultilevel"/>
    <w:lvl w:ilvl="0">
      <w:lvlJc w:val="left"/>
      <w:lvlText w:val="•"/>
      <w:numFmt w:val="bullet"/>
      <w:start w:val="1"/>
    </w:lvl>
  </w:abstractNum>
  <w:abstractNum w:abstractNumId="8">
    <w:nsid w:val="46263DEC"/>
    <w:multiLevelType w:val="hybridMultilevel"/>
    <w:lvl w:ilvl="0">
      <w:lvlJc w:val="left"/>
      <w:lvlText w:val="•"/>
      <w:numFmt w:val="bullet"/>
      <w:start w:val="1"/>
    </w:lvl>
  </w:abstractNum>
  <w:abstractNum w:abstractNumId="9">
    <w:nsid w:val="260D8C4A"/>
    <w:multiLevelType w:val="hybridMultilevel"/>
    <w:lvl w:ilvl="0">
      <w:lvlJc w:val="left"/>
      <w:lvlText w:val="•"/>
      <w:numFmt w:val="bullet"/>
      <w:start w:val="1"/>
    </w:lvl>
  </w:abstractNum>
  <w:abstractNum w:abstractNumId="10">
    <w:nsid w:val="73D4D3C4"/>
    <w:multiLevelType w:val="hybridMultilevel"/>
    <w:lvl w:ilvl="0">
      <w:lvlJc w:val="left"/>
      <w:lvlText w:val="o"/>
      <w:numFmt w:val="bullet"/>
      <w:start w:val="1"/>
    </w:lvl>
  </w:abstractNum>
  <w:abstractNum w:abstractNumId="11">
    <w:nsid w:val="746F2E30"/>
    <w:multiLevelType w:val="hybridMultilevel"/>
    <w:lvl w:ilvl="0">
      <w:lvlJc w:val="left"/>
      <w:lvlText w:val="o"/>
      <w:numFmt w:val="bullet"/>
      <w:start w:val="1"/>
    </w:lvl>
  </w:abstractNum>
  <w:abstractNum w:abstractNumId="12">
    <w:nsid w:val="6FDE8AF6"/>
    <w:multiLevelType w:val="hybridMultilevel"/>
    <w:lvl w:ilvl="0">
      <w:lvlJc w:val="left"/>
      <w:lvlText w:val="%1."/>
      <w:numFmt w:val="decimal"/>
      <w:start w:val="1"/>
    </w:lvl>
  </w:abstractNum>
  <w:abstractNum w:abstractNumId="13">
    <w:nsid w:val="3FC32E20"/>
    <w:multiLevelType w:val="hybridMultilevel"/>
    <w:lvl w:ilvl="0">
      <w:lvlJc w:val="left"/>
      <w:lvlText w:val="%1."/>
      <w:numFmt w:val="decimal"/>
      <w:start w:val="1"/>
    </w:lvl>
  </w:abstractNum>
  <w:abstractNum w:abstractNumId="14">
    <w:nsid w:val="49C0E823"/>
    <w:multiLevelType w:val="hybridMultilevel"/>
    <w:lvl w:ilvl="0">
      <w:lvlJc w:val="left"/>
      <w:lvlText w:val="(%1)"/>
      <w:numFmt w:val="lowerLetter"/>
      <w:start w:val="1"/>
    </w:lvl>
  </w:abstractNum>
  <w:abstractNum w:abstractNumId="15">
    <w:nsid w:val="14D53685"/>
    <w:multiLevelType w:val="hybridMultilevel"/>
    <w:lvl w:ilvl="0">
      <w:lvlJc w:val="left"/>
      <w:lvlText w:val="(%1)"/>
      <w:numFmt w:val="lowerLetter"/>
      <w:start w:val="1"/>
    </w:lvl>
  </w:abstractNum>
  <w:abstractNum w:abstractNumId="16">
    <w:nsid w:val="230F856C"/>
    <w:multiLevelType w:val="hybridMultilevel"/>
    <w:lvl w:ilvl="0">
      <w:lvlJc w:val="left"/>
      <w:lvlText w:val="(%1)"/>
      <w:numFmt w:val="lowerLetter"/>
      <w:start w:val="1"/>
    </w:lvl>
  </w:abstractNum>
  <w:abstractNum w:abstractNumId="17">
    <w:nsid w:val="6EAA85FB"/>
    <w:multiLevelType w:val="hybridMultilevel"/>
    <w:lvl w:ilvl="0">
      <w:lvlJc w:val="left"/>
      <w:lvlText w:val="(%1)"/>
      <w:numFmt w:val="lowerLetter"/>
      <w:start w:val="1"/>
    </w:lvl>
  </w:abstractNum>
  <w:abstractNum w:abstractNumId="18">
    <w:nsid w:val="3F06ECB2"/>
    <w:multiLevelType w:val="hybridMultilevel"/>
    <w:lvl w:ilvl="0">
      <w:lvlJc w:val="left"/>
      <w:lvlText w:val="*"/>
      <w:numFmt w:val="bullet"/>
      <w:start w:val="1"/>
    </w:lvl>
  </w:abstractNum>
  <w:abstractNum w:abstractNumId="19">
    <w:nsid w:val="3B594807"/>
    <w:multiLevelType w:val="hybridMultilevel"/>
    <w:lvl w:ilvl="0">
      <w:lvlJc w:val="left"/>
      <w:lvlText w:val="%1."/>
      <w:numFmt w:val="decimal"/>
      <w:start w:val="1"/>
    </w:lvl>
  </w:abstractNum>
  <w:abstractNum w:abstractNumId="20">
    <w:nsid w:val="6CAA2304"/>
    <w:multiLevelType w:val="hybridMultilevel"/>
    <w:lvl w:ilvl="0">
      <w:lvlJc w:val="left"/>
      <w:lvlText w:val="(%1)"/>
      <w:numFmt w:val="lowerLetter"/>
      <w:start w:val="1"/>
    </w:lvl>
  </w:abstractNum>
  <w:abstractNum w:abstractNumId="21">
    <w:nsid w:val="3F7C2FF4"/>
    <w:multiLevelType w:val="hybridMultilevel"/>
    <w:lvl w:ilvl="0">
      <w:lvlJc w:val="left"/>
      <w:lvlText w:val="%1."/>
      <w:numFmt w:val="decimal"/>
      <w:start w:val="3"/>
    </w:lvl>
  </w:abstractNum>
  <w:abstractNum w:abstractNumId="22">
    <w:nsid w:val="25413BEC"/>
    <w:multiLevelType w:val="hybridMultilevel"/>
    <w:lvl w:ilvl="0">
      <w:lvlJc w:val="left"/>
      <w:lvlText w:val="%1."/>
      <w:numFmt w:val="decimal"/>
      <w:start w:val="4"/>
    </w:lvl>
  </w:abstractNum>
  <w:abstractNum w:abstractNumId="23">
    <w:nsid w:val="17180B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
    <w:nsid w:val="579328B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25">
    <w:nsid w:val="5D205E20"/>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6">
    <w:nsid w:val="11CCA8BA"/>
    <w:multiLevelType w:val="hybridMultilevel"/>
    <w:lvl w:ilvl="0">
      <w:lvlJc w:val="left"/>
      <w:lvlText w:val="(%1)"/>
      <w:numFmt w:val="lowerLetter"/>
      <w:start w:val="3"/>
    </w:lvl>
  </w:abstractNum>
  <w:abstractNum w:abstractNumId="27">
    <w:nsid w:val="4D32AB86"/>
    <w:multiLevelType w:val="hybridMultilevel"/>
    <w:lvl w:ilvl="0">
      <w:lvlJc w:val="left"/>
      <w:lvlText w:val="%1."/>
      <w:numFmt w:val="decimal"/>
      <w:start w:val="5"/>
    </w:lvl>
  </w:abstractNum>
  <w:abstractNum w:abstractNumId="28">
    <w:nsid w:val="3F07ACC3"/>
    <w:multiLevelType w:val="hybridMultilevel"/>
    <w:lvl w:ilvl="0">
      <w:lvlJc w:val="left"/>
      <w:lvlText w:val="(%1)"/>
      <w:numFmt w:val="lowerLetter"/>
      <w:start w:val="1"/>
    </w:lvl>
  </w:abstractNum>
  <w:abstractNum w:abstractNumId="29">
    <w:nsid w:val="6B47F63E"/>
    <w:multiLevelType w:val="hybridMultilevel"/>
    <w:lvl w:ilvl="0">
      <w:lvlJc w:val="left"/>
      <w:lvlText w:val="(%1)"/>
      <w:numFmt w:val="lowerLetter"/>
      <w:start w:val="6"/>
    </w:lvl>
  </w:abstractNum>
  <w:abstractNum w:abstractNumId="30">
    <w:nsid w:val="5CB44A05"/>
    <w:multiLevelType w:val="hybridMultilevel"/>
    <w:lvl w:ilvl="0">
      <w:lvlJc w:val="left"/>
      <w:lvlText w:val="%1"/>
      <w:numFmt w:val="lowerLetter"/>
      <w:start w:val="1"/>
    </w:lvl>
    <w:lvl w:ilvl="1">
      <w:lvlJc w:val="left"/>
      <w:lvlText w:val="%2."/>
      <w:numFmt w:val="decimal"/>
      <w:start w:val="6"/>
    </w:lvl>
  </w:abstractNum>
  <w:abstractNum w:abstractNumId="31">
    <w:nsid w:val="16CF80F1"/>
    <w:multiLevelType w:val="hybridMultilevel"/>
    <w:lvl w:ilvl="0">
      <w:lvlJc w:val="left"/>
      <w:lvlText w:val="(%1)"/>
      <w:numFmt w:val="lowerLetter"/>
      <w:start w:val="2"/>
    </w:lvl>
    <w:lvl w:ilvl="1">
      <w:lvlJc w:val="left"/>
      <w:lvlText w:val="%2"/>
      <w:numFmt w:val="decimal"/>
      <w:start w:val="1"/>
    </w:lvl>
  </w:abstractNum>
  <w:abstractNum w:abstractNumId="32">
    <w:nsid w:val="1C695DEC"/>
    <w:multiLevelType w:val="hybridMultilevel"/>
    <w:lvl w:ilvl="0">
      <w:lvlJc w:val="left"/>
      <w:lvlText w:val="%1."/>
      <w:numFmt w:val="decimal"/>
      <w:start w:val="7"/>
    </w:lvl>
  </w:abstractNum>
  <w:abstractNum w:abstractNumId="33">
    <w:nsid w:val="3FCFAED9"/>
    <w:multiLevelType w:val="hybridMultilevel"/>
    <w:lvl w:ilvl="0">
      <w:lvlJc w:val="left"/>
      <w:lvlText w:val="%1."/>
      <w:numFmt w:val="decimal"/>
      <w:start w:val="9"/>
    </w:lvl>
  </w:abstractNum>
  <w:abstractNum w:abstractNumId="34">
    <w:nsid w:val="F856867"/>
    <w:multiLevelType w:val="hybridMultilevel"/>
    <w:lvl w:ilvl="0">
      <w:lvlJc w:val="left"/>
      <w:lvlText w:val="."/>
      <w:numFmt w:val="bullet"/>
      <w:start w:val="1"/>
    </w:lvl>
  </w:abstractNum>
  <w:abstractNum w:abstractNumId="35">
    <w:nsid w:val="11B1CC33"/>
    <w:multiLevelType w:val="hybridMultilevel"/>
    <w:lvl w:ilvl="0">
      <w:lvlJc w:val="left"/>
      <w:lvlText w:val="(%1)"/>
      <w:numFmt w:val="lowerRoman"/>
      <w:start w:val="2"/>
    </w:lvl>
  </w:abstractNum>
  <w:abstractNum w:abstractNumId="36">
    <w:nsid w:val="2E22FBB7"/>
    <w:multiLevelType w:val="hybridMultilevel"/>
    <w:lvl w:ilvl="0">
      <w:lvlJc w:val="left"/>
      <w:lvlText w:val="(%1)"/>
      <w:numFmt w:val="lowerRoman"/>
      <w:start w:val="1"/>
    </w:lvl>
  </w:abstractNum>
  <w:abstractNum w:abstractNumId="37">
    <w:nsid w:val="29934699"/>
    <w:multiLevelType w:val="hybridMultilevel"/>
    <w:lvl w:ilvl="0">
      <w:lvlJc w:val="left"/>
      <w:lvlText w:val="(%1)"/>
      <w:numFmt w:val="upperLetter"/>
      <w:start w:val="1"/>
    </w:lvl>
  </w:abstractNum>
  <w:abstractNum w:abstractNumId="38">
    <w:nsid w:val="77485850"/>
    <w:multiLevelType w:val="hybridMultilevel"/>
    <w:lvl w:ilvl="0">
      <w:lvlJc w:val="left"/>
      <w:lvlText w:val="(%1)"/>
      <w:numFmt w:val="upperLetter"/>
      <w:start w:val="2"/>
    </w:lvl>
  </w:abstractNum>
  <w:abstractNum w:abstractNumId="39">
    <w:nsid w:val="744939A3"/>
    <w:multiLevelType w:val="hybridMultilevel"/>
    <w:lvl w:ilvl="0">
      <w:lvlJc w:val="left"/>
      <w:lvlText w:val="(%1)"/>
      <w:numFmt w:val="upperLetter"/>
      <w:start w:val="4"/>
    </w:lvl>
  </w:abstractNum>
  <w:abstractNum w:abstractNumId="40">
    <w:nsid w:val="4FA0D2E3"/>
    <w:multiLevelType w:val="hybridMultilevel"/>
    <w:lvl w:ilvl="0">
      <w:lvlJc w:val="left"/>
      <w:lvlText w:val="(%1)"/>
      <w:numFmt w:val="lowerRoman"/>
      <w:start w:val="6"/>
    </w:lvl>
  </w:abstractNum>
  <w:abstractNum w:abstractNumId="41">
    <w:nsid w:val="6B1D2C14"/>
    <w:multiLevelType w:val="hybridMultilevel"/>
    <w:lvl w:ilvl="0">
      <w:lvlJc w:val="left"/>
      <w:lvlText w:val="(%1)"/>
      <w:numFmt w:val="decimal"/>
      <w:start w:val="12"/>
    </w:lvl>
  </w:abstractNum>
  <w:abstractNum w:abstractNumId="42">
    <w:nsid w:val="68B867D3"/>
    <w:multiLevelType w:val="hybridMultilevel"/>
    <w:lvl w:ilvl="0">
      <w:lvlJc w:val="left"/>
      <w:lvlText w:val="(%1)"/>
      <w:numFmt w:val="lowerRoman"/>
      <w:start w:val="1"/>
    </w:lvl>
  </w:abstractNum>
  <w:abstractNum w:abstractNumId="43">
    <w:nsid w:val="3F7F5DD9"/>
    <w:multiLevelType w:val="hybridMultilevel"/>
    <w:lvl w:ilvl="0">
      <w:lvlJc w:val="left"/>
      <w:lvlText w:val="(%1)"/>
      <w:numFmt w:val="lowerLetter"/>
      <w:start w:val="2"/>
    </w:lvl>
  </w:abstractNum>
  <w:abstractNum w:abstractNumId="44">
    <w:nsid w:val="2AE05A34"/>
    <w:multiLevelType w:val="hybridMultilevel"/>
    <w:lvl w:ilvl="0">
      <w:lvlJc w:val="left"/>
      <w:lvlText w:val="(%1)"/>
      <w:numFmt w:val="upperLetter"/>
      <w:start w:val="1"/>
    </w:lvl>
  </w:abstractNum>
  <w:abstractNum w:abstractNumId="45">
    <w:nsid w:val="32794FF7"/>
    <w:multiLevelType w:val="hybridMultilevel"/>
    <w:lvl w:ilvl="0">
      <w:lvlJc w:val="left"/>
      <w:lvlText w:val="(%1)"/>
      <w:numFmt w:val="lowerLetter"/>
      <w:start w:val="3"/>
    </w:lvl>
  </w:abstractNum>
  <w:abstractNum w:abstractNumId="46">
    <w:nsid w:val="5454945E"/>
    <w:multiLevelType w:val="hybridMultilevel"/>
    <w:lvl w:ilvl="0">
      <w:lvlJc w:val="left"/>
      <w:lvlText w:val="(%1)"/>
      <w:numFmt w:val="lowerRoman"/>
      <w:start w:val="3"/>
    </w:lvl>
  </w:abstractNum>
  <w:abstractNum w:abstractNumId="47">
    <w:nsid w:val="4DEFDFA0"/>
    <w:multiLevelType w:val="hybridMultilevel"/>
    <w:lvl w:ilvl="0">
      <w:lvlJc w:val="left"/>
      <w:lvlText w:val="(%1)"/>
      <w:numFmt w:val="lowerRoman"/>
      <w:start w:val="6"/>
    </w:lvl>
  </w:abstractNum>
  <w:abstractNum w:abstractNumId="48">
    <w:nsid w:val="2123D5F2"/>
    <w:multiLevelType w:val="hybridMultilevel"/>
    <w:lvl w:ilvl="0">
      <w:lvlJc w:val="left"/>
      <w:lvlText w:val="(%1)"/>
      <w:numFmt w:val="lowerRoman"/>
      <w:start w:val="3"/>
    </w:lvl>
  </w:abstractNum>
  <w:abstractNum w:abstractNumId="49">
    <w:nsid w:val="135B8110"/>
    <w:multiLevelType w:val="hybridMultilevel"/>
    <w:lvl w:ilvl="0">
      <w:lvlJc w:val="left"/>
      <w:lvlText w:val="(%1)"/>
      <w:numFmt w:val="lowerRoman"/>
      <w:start w:val="6"/>
    </w:lvl>
  </w:abstractNum>
  <w:abstractNum w:abstractNumId="50">
    <w:nsid w:val="94927A8"/>
    <w:multiLevelType w:val="hybridMultilevel"/>
    <w:lvl w:ilvl="0">
      <w:lvlJc w:val="left"/>
      <w:lvlText w:val="(%1)"/>
      <w:numFmt w:val="lowerRoman"/>
      <w:start w:val="8"/>
    </w:lvl>
  </w:abstractNum>
  <w:abstractNum w:abstractNumId="51">
    <w:nsid w:val="DCDF8F6"/>
    <w:multiLevelType w:val="hybridMultilevel"/>
    <w:lvl w:ilvl="0">
      <w:lvlJc w:val="left"/>
      <w:lvlText w:val="(%1)"/>
      <w:numFmt w:val="lowerRoman"/>
      <w:start w:val="11"/>
    </w:lvl>
  </w:abstractNum>
  <w:abstractNum w:abstractNumId="52">
    <w:nsid w:val="52D7B105"/>
    <w:multiLevelType w:val="hybridMultilevel"/>
    <w:lvl w:ilvl="0">
      <w:lvlJc w:val="left"/>
      <w:lvlText w:val="(%1)"/>
      <w:numFmt w:val="lowerLetter"/>
      <w:start w:val="2"/>
    </w:lvl>
  </w:abstractNum>
  <w:abstractNum w:abstractNumId="53">
    <w:nsid w:val="2E8A6394"/>
    <w:multiLevelType w:val="hybridMultilevel"/>
    <w:lvl w:ilvl="0">
      <w:lvlJc w:val="left"/>
      <w:lvlText w:val="(%1)"/>
      <w:numFmt w:val="lowerRoman"/>
      <w:start w:val="4"/>
    </w:lvl>
  </w:abstractNum>
  <w:abstractNum w:abstractNumId="54">
    <w:nsid w:val="24E60401"/>
    <w:multiLevelType w:val="hybridMultilevel"/>
    <w:lvl w:ilvl="0">
      <w:lvlJc w:val="left"/>
      <w:lvlText w:val="."/>
      <w:numFmt w:val="bullet"/>
      <w:start w:val="1"/>
    </w:lvl>
  </w:abstractNum>
  <w:abstractNum w:abstractNumId="55">
    <w:nsid w:val="2A6AD9BE"/>
    <w:multiLevelType w:val="hybridMultilevel"/>
    <w:lvl w:ilvl="0">
      <w:lvlJc w:val="left"/>
      <w:lvlText w:val="(%1)"/>
      <w:numFmt w:val="lowerLetter"/>
      <w:start w:val="1"/>
    </w:lvl>
  </w:abstractNum>
  <w:abstractNum w:abstractNumId="56">
    <w:nsid w:val="BAAC1B4"/>
    <w:multiLevelType w:val="hybridMultilevel"/>
    <w:lvl w:ilvl="0">
      <w:lvlJc w:val="left"/>
      <w:lvlText w:val="(%1)"/>
      <w:numFmt w:val="lowerLetter"/>
      <w:start w:val="2"/>
    </w:lvl>
  </w:abstractNum>
  <w:abstractNum w:abstractNumId="57">
    <w:nsid w:val="36B2ACBC"/>
    <w:multiLevelType w:val="hybridMultilevel"/>
    <w:lvl w:ilvl="0">
      <w:lvlJc w:val="left"/>
      <w:lvlText w:val="(%1)"/>
      <w:numFmt w:val="lowerLetter"/>
      <w:start w:val="3"/>
    </w:lvl>
  </w:abstractNum>
  <w:abstractNum w:abstractNumId="58">
    <w:nsid w:val="779D8544"/>
    <w:multiLevelType w:val="hybridMultilevel"/>
    <w:lvl w:ilvl="0">
      <w:lvlJc w:val="left"/>
      <w:lvlText w:val="(%1)"/>
      <w:numFmt w:val="lowerLetter"/>
      <w:start w:val="10"/>
    </w:lvl>
  </w:abstractNum>
  <w:abstractNum w:abstractNumId="59">
    <w:nsid w:val="4AB26E78"/>
    <w:multiLevelType w:val="hybridMultilevel"/>
    <w:lvl w:ilvl="0">
      <w:lvlJc w:val="left"/>
      <w:lvlText w:val="."/>
      <w:numFmt w:val="bullet"/>
      <w:start w:val="1"/>
    </w:lvl>
  </w:abstractNum>
  <w:abstractNum w:abstractNumId="60">
    <w:nsid w:val="21FAA2FA"/>
    <w:multiLevelType w:val="hybridMultilevel"/>
    <w:lvl w:ilvl="0">
      <w:lvlJc w:val="left"/>
      <w:lvlText w:val="."/>
      <w:numFmt w:val="bullet"/>
      <w:start w:val="1"/>
    </w:lvl>
  </w:abstractNum>
  <w:abstractNum w:abstractNumId="61">
    <w:nsid w:val="5451CF49"/>
    <w:multiLevelType w:val="hybridMultilevel"/>
    <w:lvl w:ilvl="0">
      <w:lvlJc w:val="left"/>
      <w:lvlText w:val="."/>
      <w:numFmt w:val="bullet"/>
      <w:start w:val="1"/>
    </w:lvl>
  </w:abstractNum>
  <w:abstractNum w:abstractNumId="62">
    <w:nsid w:val="6181EF69"/>
    <w:multiLevelType w:val="hybridMultilevel"/>
    <w:lvl w:ilvl="0">
      <w:lvlJc w:val="left"/>
      <w:lvlText w:val="."/>
      <w:numFmt w:val="bullet"/>
      <w:start w:val="1"/>
    </w:lvl>
  </w:abstractNum>
  <w:abstractNum w:abstractNumId="63">
    <w:nsid w:val="3E6400E6"/>
    <w:multiLevelType w:val="hybridMultilevel"/>
    <w:lvl w:ilvl="0">
      <w:lvlJc w:val="left"/>
      <w:lvlText w:val="."/>
      <w:numFmt w:val="bullet"/>
      <w:start w:val="1"/>
    </w:lvl>
  </w:abstractNum>
  <w:abstractNum w:abstractNumId="64">
    <w:nsid w:val="14217E23"/>
    <w:multiLevelType w:val="hybridMultilevel"/>
    <w:lvl w:ilvl="0">
      <w:lvlJc w:val="left"/>
      <w:lvlText w:val="."/>
      <w:numFmt w:val="bullet"/>
      <w:start w:val="1"/>
    </w:lvl>
  </w:abstractNum>
  <w:abstractNum w:abstractNumId="65">
    <w:nsid w:val="710757D0"/>
    <w:multiLevelType w:val="hybridMultilevel"/>
    <w:lvl w:ilvl="0">
      <w:lvlJc w:val="left"/>
      <w:lvlText w:val="."/>
      <w:numFmt w:val="bullet"/>
      <w:start w:val="1"/>
    </w:lvl>
  </w:abstractNum>
  <w:abstractNum w:abstractNumId="66">
    <w:nsid w:val="5015CD1A"/>
    <w:multiLevelType w:val="hybridMultilevel"/>
    <w:lvl w:ilvl="0">
      <w:lvlJc w:val="left"/>
      <w:lvlText w:val="(%1)"/>
      <w:numFmt w:val="lowerLetter"/>
      <w:start w:val="1"/>
    </w:lvl>
  </w:abstractNum>
  <w:abstractNum w:abstractNumId="67">
    <w:nsid w:val="424479DA"/>
    <w:multiLevelType w:val="hybridMultilevel"/>
    <w:lvl w:ilvl="0">
      <w:lvlJc w:val="left"/>
      <w:lvlText w:val="(%1)"/>
      <w:numFmt w:val="lowerLetter"/>
      <w:start w:val="5"/>
    </w:lvl>
  </w:abstractNum>
  <w:abstractNum w:abstractNumId="68">
    <w:nsid w:val="1A9A9E69"/>
    <w:multiLevelType w:val="hybridMultilevel"/>
    <w:lvl w:ilvl="0">
      <w:lvlJc w:val="left"/>
      <w:lvlText w:val="."/>
      <w:numFmt w:val="bullet"/>
      <w:start w:val="1"/>
    </w:lvl>
  </w:abstractNum>
  <w:abstractNum w:abstractNumId="69">
    <w:nsid w:val="475E256A"/>
    <w:multiLevelType w:val="hybridMultilevel"/>
    <w:lvl w:ilvl="0">
      <w:lvlJc w:val="left"/>
      <w:lvlText w:val="."/>
      <w:numFmt w:val="bullet"/>
      <w:start w:val="1"/>
    </w:lvl>
  </w:abstractNum>
  <w:abstractNum w:abstractNumId="70">
    <w:nsid w:val="368DB37E"/>
    <w:multiLevelType w:val="hybridMultilevel"/>
    <w:lvl w:ilvl="0">
      <w:lvlJc w:val="left"/>
      <w:lvlText w:val="(%1)"/>
      <w:numFmt w:val="lowerLetter"/>
      <w:start w:val="1"/>
    </w:lvl>
  </w:abstractNum>
  <w:abstractNum w:abstractNumId="71">
    <w:nsid w:val="6A3B714C"/>
    <w:multiLevelType w:val="hybridMultilevel"/>
    <w:lvl w:ilvl="0">
      <w:lvlJc w:val="left"/>
      <w:lvlText w:val="."/>
      <w:numFmt w:val="bullet"/>
      <w:start w:val="1"/>
    </w:lvl>
  </w:abstractNum>
  <w:abstractNum w:abstractNumId="72">
    <w:nsid w:val="327B517E"/>
    <w:multiLevelType w:val="hybridMultilevel"/>
    <w:lvl w:ilvl="0">
      <w:lvlJc w:val="left"/>
      <w:lvlText w:val="(%1)"/>
      <w:numFmt w:val="lowerLetter"/>
      <w:start w:val="1"/>
    </w:lvl>
  </w:abstractNum>
  <w:abstractNum w:abstractNumId="73">
    <w:nsid w:val="1F461B51"/>
    <w:multiLevelType w:val="hybridMultilevel"/>
    <w:lvl w:ilvl="0">
      <w:lvlJc w:val="left"/>
      <w:lvlText w:val="(%1)"/>
      <w:numFmt w:val="lowerLetter"/>
      <w:start w:val="2"/>
    </w:lvl>
  </w:abstractNum>
  <w:abstractNum w:abstractNumId="74">
    <w:nsid w:val="29BACF25"/>
    <w:multiLevelType w:val="hybridMultilevel"/>
    <w:lvl w:ilvl="0">
      <w:lvlJc w:val="left"/>
      <w:lvlText w:val="%1"/>
      <w:numFmt w:val="lowerLetter"/>
      <w:start w:val="1"/>
    </w:lvl>
    <w:lvl w:ilvl="1">
      <w:lvlJc w:val="left"/>
      <w:lvlText w:val="(%2)"/>
      <w:numFmt w:val="lowerLetter"/>
      <w:start w:val="1"/>
    </w:lvl>
  </w:abstractNum>
  <w:abstractNum w:abstractNumId="75">
    <w:nsid w:val="5D5BABB3"/>
    <w:multiLevelType w:val="hybridMultilevel"/>
    <w:lvl w:ilvl="0">
      <w:lvlJc w:val="left"/>
      <w:lvlText w:val="(%1)"/>
      <w:numFmt w:val="lowerLetter"/>
      <w:start w:val="61"/>
    </w:lvl>
    <w:lvl w:ilvl="1">
      <w:lvlJc w:val="left"/>
      <w:lvlText w:val="(%2)"/>
      <w:numFmt w:val="lowerLetter"/>
      <w:start w:val="3"/>
    </w:lvl>
  </w:abstractNum>
  <w:abstractNum w:abstractNumId="76">
    <w:nsid w:val="51BF6B48"/>
    <w:multiLevelType w:val="hybridMultilevel"/>
    <w:lvl w:ilvl="0">
      <w:lvlJc w:val="left"/>
      <w:lvlText w:val="."/>
      <w:numFmt w:val="bullet"/>
      <w:start w:val="1"/>
    </w:lvl>
  </w:abstractNum>
  <w:abstractNum w:abstractNumId="77">
    <w:nsid w:val="7E0F6384"/>
    <w:multiLevelType w:val="hybridMultilevel"/>
    <w:lvl w:ilvl="0">
      <w:lvlJc w:val="left"/>
      <w:lvlText w:val="(%1)"/>
      <w:numFmt w:val="lowerLetter"/>
      <w:start w:val="1"/>
    </w:lvl>
  </w:abstractNum>
  <w:abstractNum w:abstractNumId="78">
    <w:nsid w:val="2B4B8B53"/>
    <w:multiLevelType w:val="hybridMultilevel"/>
    <w:lvl w:ilvl="0">
      <w:lvlJc w:val="left"/>
      <w:lvlText w:val="(%1)"/>
      <w:numFmt w:val="lowerLetter"/>
      <w:start w:val="4"/>
    </w:lvl>
  </w:abstractNum>
  <w:abstractNum w:abstractNumId="79">
    <w:nsid w:val="72E3413A"/>
    <w:multiLevelType w:val="hybridMultilevel"/>
    <w:lvl w:ilvl="0">
      <w:lvlJc w:val="left"/>
      <w:lvlText w:val="(%1)"/>
      <w:numFmt w:val="lowerLetter"/>
      <w:start w:val="1"/>
    </w:lvl>
  </w:abstractNum>
  <w:abstractNum w:abstractNumId="80">
    <w:nsid w:val="116AE494"/>
    <w:multiLevelType w:val="hybridMultilevel"/>
    <w:lvl w:ilvl="0">
      <w:lvlJc w:val="left"/>
      <w:lvlText w:val="(%1)"/>
      <w:numFmt w:val="lowerLetter"/>
      <w:start w:val="1"/>
    </w:lvl>
  </w:abstractNum>
  <w:abstractNum w:abstractNumId="81">
    <w:nsid w:val="3494B2FB"/>
    <w:multiLevelType w:val="hybridMultilevel"/>
    <w:lvl w:ilvl="0">
      <w:lvlJc w:val="left"/>
      <w:lvlText w:val="(%1)"/>
      <w:numFmt w:val="lowerLetter"/>
      <w:start w:val="3"/>
    </w:lvl>
  </w:abstractNum>
  <w:abstractNum w:abstractNumId="82">
    <w:nsid w:val="B13A31"/>
    <w:multiLevelType w:val="hybridMultilevel"/>
    <w:lvl w:ilvl="0">
      <w:lvlJc w:val="left"/>
      <w:lvlText w:val="(%1)"/>
      <w:numFmt w:val="lowerRoman"/>
      <w:start w:val="1"/>
    </w:lvl>
  </w:abstractNum>
  <w:abstractNum w:abstractNumId="83">
    <w:nsid w:val="64429599"/>
    <w:multiLevelType w:val="hybridMultilevel"/>
    <w:lvl w:ilvl="0">
      <w:lvlJc w:val="left"/>
      <w:lvlText w:val="."/>
      <w:numFmt w:val="bullet"/>
      <w:start w:val="1"/>
    </w:lvl>
  </w:abstractNum>
  <w:abstractNum w:abstractNumId="84">
    <w:nsid w:val="631F1690"/>
    <w:multiLevelType w:val="hybridMultilevel"/>
    <w:lvl w:ilvl="0">
      <w:lvlJc w:val="left"/>
      <w:lvlText w:val="."/>
      <w:numFmt w:val="bullet"/>
      <w:start w:val="1"/>
    </w:lvl>
  </w:abstractNum>
  <w:abstractNum w:abstractNumId="85">
    <w:nsid w:val="25973E32"/>
    <w:multiLevelType w:val="hybridMultilevel"/>
    <w:lvl w:ilvl="0">
      <w:lvlJc w:val="left"/>
      <w:lvlText w:val="(%1)"/>
      <w:numFmt w:val="lowerLetter"/>
      <w:start w:val="1"/>
    </w:lvl>
  </w:abstractNum>
  <w:abstractNum w:abstractNumId="86">
    <w:nsid w:val="EAD6F57"/>
    <w:multiLevelType w:val="hybridMultilevel"/>
    <w:lvl w:ilvl="0">
      <w:lvlJc w:val="left"/>
      <w:lvlText w:val="(%1)"/>
      <w:numFmt w:val="lowerLetter"/>
      <w:start w:val="3"/>
    </w:lvl>
  </w:abstractNum>
  <w:abstractNum w:abstractNumId="87">
    <w:nsid w:val="6EC9D844"/>
    <w:multiLevelType w:val="hybridMultilevel"/>
    <w:lvl w:ilvl="0">
      <w:lvlJc w:val="left"/>
      <w:lvlText w:val="."/>
      <w:numFmt w:val="bullet"/>
      <w:start w:val="1"/>
    </w:lvl>
  </w:abstractNum>
  <w:abstractNum w:abstractNumId="88">
    <w:nsid w:val="5C49EAEE"/>
    <w:multiLevelType w:val="hybridMultilevel"/>
    <w:lvl w:ilvl="0">
      <w:lvlJc w:val="left"/>
      <w:lvlText w:val="(%1)"/>
      <w:numFmt w:val="lowerLetter"/>
      <w:start w:val="2"/>
    </w:lvl>
  </w:abstractNum>
  <w:abstractNum w:abstractNumId="89">
    <w:nsid w:val="64AF49B"/>
    <w:multiLevelType w:val="hybridMultilevel"/>
    <w:lvl w:ilvl="0">
      <w:lvlJc w:val="left"/>
      <w:lvlText w:val="(%1)"/>
      <w:numFmt w:val="lowerLetter"/>
      <w:start w:val="3"/>
    </w:lvl>
  </w:abstractNum>
  <w:abstractNum w:abstractNumId="90">
    <w:nsid w:val="397C46BC"/>
    <w:multiLevelType w:val="hybridMultilevel"/>
    <w:lvl w:ilvl="0">
      <w:lvlJc w:val="left"/>
      <w:lvlText w:val="(%1)"/>
      <w:numFmt w:val="lowerLetter"/>
      <w:start w:val="1"/>
    </w:lvl>
  </w:abstractNum>
  <w:abstractNum w:abstractNumId="91">
    <w:nsid w:val="7E448DE9"/>
    <w:multiLevelType w:val="hybridMultilevel"/>
    <w:lvl w:ilvl="0">
      <w:lvlJc w:val="left"/>
      <w:lvlText w:val="(%1)"/>
      <w:numFmt w:val="lowerLetter"/>
      <w:start w:val="1"/>
    </w:lvl>
  </w:abstractNum>
  <w:abstractNum w:abstractNumId="92">
    <w:nsid w:val="5A9CC3E5"/>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4"/>
    </w:lvl>
  </w:abstractNum>
  <w:abstractNum w:abstractNumId="93">
    <w:nsid w:val="1AFE3625"/>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94">
    <w:nsid w:val="3CA88ECF"/>
    <w:multiLevelType w:val="hybridMultilevel"/>
    <w:lvl w:ilvl="0">
      <w:lvlJc w:val="left"/>
      <w:lvlText w:val="%1"/>
      <w:numFmt w:val="lowerLetter"/>
      <w:start w:val="1"/>
    </w:lvl>
    <w:lvl w:ilvl="1">
      <w:lvlJc w:val="left"/>
      <w:lvlText w:val="(%2)"/>
      <w:numFmt w:val="lowerLetter"/>
      <w:start w:val="1"/>
    </w:lvl>
  </w:abstractNum>
  <w:abstractNum w:abstractNumId="95">
    <w:nsid w:val="6EBE4208"/>
    <w:multiLevelType w:val="hybridMultilevel"/>
    <w:lvl w:ilvl="0">
      <w:lvlJc w:val="left"/>
      <w:lvlText w:val="(%1)"/>
      <w:numFmt w:val="lowerLetter"/>
      <w:start w:val="1"/>
    </w:lvl>
    <w:lvl w:ilvl="1">
      <w:lvlJc w:val="left"/>
      <w:lvlText w:val="%2"/>
      <w:numFmt w:val="lowerLetter"/>
      <w:start w:val="1"/>
    </w:lvl>
  </w:abstractNum>
  <w:abstractNum w:abstractNumId="96">
    <w:nsid w:val="C058DF5"/>
    <w:multiLevelType w:val="hybridMultilevel"/>
    <w:lvl w:ilvl="0">
      <w:lvlJc w:val="left"/>
      <w:lvlText w:val="(%1)"/>
      <w:numFmt w:val="lowerRoman"/>
      <w:start w:val="2"/>
    </w:lvl>
  </w:abstractNum>
  <w:abstractNum w:abstractNumId="97">
    <w:nsid w:val="CBE5BE9"/>
    <w:multiLevelType w:val="hybridMultilevel"/>
    <w:lvl w:ilvl="0">
      <w:lvlJc w:val="left"/>
      <w:lvlText w:val="%1"/>
      <w:numFmt w:val="lowerLetter"/>
      <w:start w:val="1"/>
    </w:lvl>
    <w:lvl w:ilvl="1">
      <w:lvlJc w:val="left"/>
      <w:lvlText w:val="(%2)"/>
      <w:numFmt w:val="lowerRoman"/>
      <w:start w:val="6"/>
    </w:lvl>
  </w:abstractNum>
  <w:abstractNum w:abstractNumId="98">
    <w:nsid w:val="3102BBE2"/>
    <w:multiLevelType w:val="hybridMultilevel"/>
    <w:lvl w:ilvl="0">
      <w:lvlJc w:val="left"/>
      <w:lvlText w:val="(%1)"/>
      <w:numFmt w:val="lowerLetter"/>
      <w:start w:val="2"/>
    </w:lvl>
    <w:lvl w:ilvl="1">
      <w:lvlJc w:val="left"/>
      <w:lvlText w:val="%2"/>
      <w:numFmt w:val="lowerRoman"/>
      <w:start w:val="1"/>
    </w:lvl>
  </w:abstractNum>
  <w:abstractNum w:abstractNumId="99">
    <w:nsid w:val="26A02C5E"/>
    <w:multiLevelType w:val="hybridMultilevel"/>
    <w:lvl w:ilvl="0">
      <w:lvlJc w:val="left"/>
      <w:lvlText w:val="(%1)"/>
      <w:numFmt w:val="lowerLetter"/>
      <w:start w:val="3"/>
    </w:lvl>
  </w:abstractNum>
  <w:abstractNum w:abstractNumId="100">
    <w:nsid w:val="541C8153"/>
    <w:multiLevelType w:val="hybridMultilevel"/>
    <w:lvl w:ilvl="0">
      <w:lvlJc w:val="left"/>
      <w:lvlText w:val="(%1)"/>
      <w:numFmt w:val="lowerLetter"/>
      <w:start w:val="25"/>
    </w:lvl>
  </w:abstractNum>
  <w:abstractNum w:abstractNumId="101">
    <w:nsid w:val="67906F60"/>
    <w:multiLevelType w:val="hybridMultilevel"/>
    <w:lvl w:ilvl="0">
      <w:lvlJc w:val="left"/>
      <w:lvlText w:val="."/>
      <w:numFmt w:val="bullet"/>
      <w:start w:val="1"/>
    </w:lvl>
  </w:abstractNum>
  <w:abstractNum w:abstractNumId="102">
    <w:nsid w:val="10DB9DAA"/>
    <w:multiLevelType w:val="hybridMultilevel"/>
    <w:lvl w:ilvl="0">
      <w:lvlJc w:val="left"/>
      <w:lvlText w:val="."/>
      <w:numFmt w:val="bullet"/>
      <w:start w:val="1"/>
    </w:lvl>
  </w:abstractNum>
  <w:abstractNum w:abstractNumId="103">
    <w:nsid w:val="697D2D2"/>
    <w:multiLevelType w:val="hybridMultilevel"/>
    <w:lvl w:ilvl="0">
      <w:lvlJc w:val="left"/>
      <w:lvlText w:val="(%1)"/>
      <w:numFmt w:val="lowerLetter"/>
      <w:start w:val="1"/>
    </w:lvl>
  </w:abstractNum>
  <w:abstractNum w:abstractNumId="104">
    <w:nsid w:val="6D68AB2"/>
    <w:multiLevelType w:val="hybridMultilevel"/>
    <w:lvl w:ilvl="0">
      <w:lvlJc w:val="left"/>
      <w:lvlText w:val="(%1)"/>
      <w:numFmt w:val="lowerLetter"/>
      <w:start w:val="1"/>
    </w:lvl>
  </w:abstractNum>
  <w:abstractNum w:abstractNumId="105">
    <w:nsid w:val="3A966CD0"/>
    <w:multiLevelType w:val="hybridMultilevel"/>
    <w:lvl w:ilvl="0">
      <w:lvlJc w:val="left"/>
      <w:lvlText w:val="(%1)"/>
      <w:numFmt w:val="lowerLetter"/>
      <w:start w:val="2"/>
    </w:lvl>
  </w:abstractNum>
  <w:abstractNum w:abstractNumId="106">
    <w:nsid w:val="63F37E85"/>
    <w:multiLevelType w:val="hybridMultilevel"/>
    <w:lvl w:ilvl="0">
      <w:lvlJc w:val="left"/>
      <w:lvlText w:val="(%1)"/>
      <w:numFmt w:val="lowerLetter"/>
      <w:start w:val="1"/>
    </w:lvl>
  </w:abstractNum>
  <w:abstractNum w:abstractNumId="107">
    <w:nsid w:val="5895F5FA"/>
    <w:multiLevelType w:val="hybridMultilevel"/>
    <w:lvl w:ilvl="0">
      <w:lvlJc w:val="left"/>
      <w:lvlText w:val="(%1)"/>
      <w:numFmt w:val="lowerLetter"/>
      <w:start w:val="2"/>
    </w:lvl>
  </w:abstractNum>
  <w:abstractNum w:abstractNumId="108">
    <w:nsid w:val="38A5D054"/>
    <w:multiLevelType w:val="hybridMultilevel"/>
    <w:lvl w:ilvl="0">
      <w:lvlJc w:val="left"/>
      <w:lvlText w:val="(%1)"/>
      <w:numFmt w:val="lowerLetter"/>
      <w:start w:val="61"/>
    </w:lvl>
  </w:abstractNum>
  <w:abstractNum w:abstractNumId="109">
    <w:nsid w:val="F3F09D8"/>
    <w:multiLevelType w:val="hybridMultilevel"/>
    <w:lvl w:ilvl="0">
      <w:lvlJc w:val="left"/>
      <w:lvlText w:val="(%1)"/>
      <w:numFmt w:val="lowerLetter"/>
      <w:start w:val="4"/>
    </w:lvl>
  </w:abstractNum>
  <w:abstractNum w:abstractNumId="110">
    <w:nsid w:val="4B793735"/>
    <w:multiLevelType w:val="hybridMultilevel"/>
    <w:lvl w:ilvl="0">
      <w:lvlJc w:val="left"/>
      <w:lvlText w:val="%1"/>
      <w:numFmt w:val="lowerRoman"/>
      <w:start w:val="1"/>
    </w:lvl>
    <w:lvl w:ilvl="1">
      <w:lvlJc w:val="left"/>
      <w:lvlText w:val="(%2)"/>
      <w:numFmt w:val="lowerLetter"/>
      <w:start w:val="1"/>
    </w:lvl>
  </w:abstractNum>
  <w:abstractNum w:abstractNumId="111">
    <w:nsid w:val="4A10B4E8"/>
    <w:multiLevelType w:val="hybridMultilevel"/>
    <w:lvl w:ilvl="0">
      <w:lvlJc w:val="left"/>
      <w:lvlText w:val="(%1)"/>
      <w:numFmt w:val="lowerRoman"/>
      <w:start w:val="4"/>
    </w:lvl>
    <w:lvl w:ilvl="1">
      <w:lvlJc w:val="left"/>
      <w:lvlText w:val="%2"/>
      <w:numFmt w:val="lowerLetter"/>
      <w:start w:val="1"/>
    </w:lvl>
  </w:abstractNum>
  <w:abstractNum w:abstractNumId="112">
    <w:nsid w:val="43D3BCD4"/>
    <w:multiLevelType w:val="hybridMultilevel"/>
    <w:lvl w:ilvl="0">
      <w:lvlJc w:val="left"/>
      <w:lvlText w:val="%1"/>
      <w:numFmt w:val="lowerLetter"/>
      <w:start w:val="1"/>
    </w:lvl>
    <w:lvl w:ilvl="1">
      <w:lvlJc w:val="left"/>
      <w:lvlText w:val="(%2)"/>
      <w:numFmt w:val="lowerLetter"/>
      <w:start w:val="2"/>
    </w:lvl>
  </w:abstractNum>
  <w:abstractNum w:abstractNumId="113">
    <w:nsid w:val="4C2A7166"/>
    <w:multiLevelType w:val="hybridMultilevel"/>
    <w:lvl w:ilvl="0">
      <w:lvlJc w:val="left"/>
      <w:lvlText w:val="(%1)"/>
      <w:numFmt w:val="lowerLetter"/>
      <w:start w:val="35"/>
    </w:lvl>
    <w:lvl w:ilvl="1">
      <w:lvlJc w:val="left"/>
      <w:lvlText w:val="(%2)"/>
      <w:numFmt w:val="lowerLetter"/>
      <w:start w:val="4"/>
    </w:lvl>
  </w:abstractNum>
  <w:abstractNum w:abstractNumId="114">
    <w:nsid w:val="2E534A82"/>
    <w:multiLevelType w:val="hybridMultilevel"/>
    <w:lvl w:ilvl="0">
      <w:lvlJc w:val="left"/>
      <w:lvlText w:val="(%1)"/>
      <w:numFmt w:val="upperLetter"/>
      <w:start w:val="1"/>
    </w:lvl>
  </w:abstractNum>
  <w:abstractNum w:abstractNumId="115">
    <w:nsid w:val="26F2D364"/>
    <w:multiLevelType w:val="hybridMultilevel"/>
    <w:lvl w:ilvl="0">
      <w:lvlJc w:val="left"/>
      <w:lvlText w:val="(%1)"/>
      <w:numFmt w:val="lowerLetter"/>
      <w:start w:val="5"/>
    </w:lvl>
  </w:abstractNum>
  <w:abstractNum w:abstractNumId="116">
    <w:nsid w:val="71C1AF98"/>
    <w:multiLevelType w:val="hybridMultilevel"/>
    <w:lvl w:ilvl="0">
      <w:lvlJc w:val="left"/>
      <w:lvlText w:val="(%1)"/>
      <w:numFmt w:val="lowerLetter"/>
      <w:start w:val="8"/>
    </w:lvl>
  </w:abstractNum>
  <w:abstractNum w:abstractNumId="117">
    <w:nsid w:val="3D00B9D9"/>
    <w:multiLevelType w:val="hybridMultilevel"/>
    <w:lvl w:ilvl="0">
      <w:lvlJc w:val="left"/>
      <w:lvlText w:val="."/>
      <w:numFmt w:val="bullet"/>
      <w:start w:val="1"/>
    </w:lvl>
  </w:abstractNum>
  <w:abstractNum w:abstractNumId="118">
    <w:nsid w:val="15BCABA8"/>
    <w:multiLevelType w:val="hybridMultilevel"/>
    <w:lvl w:ilvl="0">
      <w:lvlJc w:val="left"/>
      <w:lvlText w:val="(%1)"/>
      <w:numFmt w:val="lowerLetter"/>
      <w:start w:val="1"/>
    </w:lvl>
  </w:abstractNum>
  <w:abstractNum w:abstractNumId="119">
    <w:nsid w:val="4E0B9A87"/>
    <w:multiLevelType w:val="hybridMultilevel"/>
    <w:lvl w:ilvl="0">
      <w:lvlJc w:val="left"/>
      <w:lvlText w:val="(%1)"/>
      <w:numFmt w:val="lowerLetter"/>
      <w:start w:val="22"/>
    </w:lvl>
    <w:lvl w:ilvl="1">
      <w:lvlJc w:val="left"/>
      <w:lvlText w:val="(%2)"/>
      <w:numFmt w:val="lowerLetter"/>
      <w:start w:val="2"/>
    </w:lvl>
  </w:abstractNum>
  <w:abstractNum w:abstractNumId="120">
    <w:nsid w:val="434BAE75"/>
    <w:multiLevelType w:val="hybridMultilevel"/>
    <w:lvl w:ilvl="0">
      <w:lvlJc w:val="left"/>
      <w:lvlText w:val="."/>
      <w:numFmt w:val="bullet"/>
      <w:start w:val="1"/>
    </w:lvl>
  </w:abstractNum>
  <w:abstractNum w:abstractNumId="121">
    <w:nsid w:val="4F38F265"/>
    <w:multiLevelType w:val="hybridMultilevel"/>
    <w:lvl w:ilvl="0">
      <w:lvlJc w:val="left"/>
      <w:lvlText w:val="(%1)"/>
      <w:numFmt w:val="lowerLetter"/>
      <w:start w:val="1"/>
    </w:lvl>
  </w:abstractNum>
  <w:abstractNum w:abstractNumId="122">
    <w:nsid w:val="4C502870"/>
    <w:multiLevelType w:val="hybridMultilevel"/>
    <w:lvl w:ilvl="0">
      <w:lvlJc w:val="left"/>
      <w:lvlText w:val="(%1)"/>
      <w:numFmt w:val="lowerLetter"/>
      <w:start w:val="3"/>
    </w:lvl>
  </w:abstractNum>
  <w:abstractNum w:abstractNumId="123">
    <w:nsid w:val="1DE8725A"/>
    <w:multiLevelType w:val="hybridMultilevel"/>
    <w:lvl w:ilvl="0">
      <w:lvlJc w:val="left"/>
      <w:lvlText w:val="(%1)"/>
      <w:numFmt w:val="lowerLetter"/>
      <w:start w:val="4"/>
    </w:lvl>
  </w:abstractNum>
  <w:abstractNum w:abstractNumId="124">
    <w:nsid w:val="6A37288A"/>
    <w:multiLevelType w:val="hybridMultilevel"/>
    <w:lvl w:ilvl="0">
      <w:lvlJc w:val="left"/>
      <w:lvlText w:val="(%1)"/>
      <w:numFmt w:val="lowerLetter"/>
      <w:start w:val="1"/>
    </w:lvl>
  </w:abstractNum>
  <w:abstractNum w:abstractNumId="125">
    <w:nsid w:val="8F8B73F"/>
    <w:multiLevelType w:val="hybridMultilevel"/>
    <w:lvl w:ilvl="0">
      <w:lvlJc w:val="left"/>
      <w:lvlText w:val="(%1)"/>
      <w:numFmt w:val="lowerLetter"/>
      <w:start w:val="2"/>
    </w:lvl>
  </w:abstractNum>
  <w:abstractNum w:abstractNumId="126">
    <w:nsid w:val="CA6B462"/>
    <w:multiLevelType w:val="hybridMultilevel"/>
    <w:lvl w:ilvl="0">
      <w:lvlJc w:val="left"/>
      <w:lvlText w:val="(%1)"/>
      <w:numFmt w:val="lowerLetter"/>
      <w:start w:val="4"/>
    </w:lvl>
  </w:abstractNum>
  <w:abstractNum w:abstractNumId="127">
    <w:nsid w:val="763CB680"/>
    <w:multiLevelType w:val="hybridMultilevel"/>
    <w:lvl w:ilvl="0">
      <w:lvlJc w:val="left"/>
      <w:lvlText w:val="."/>
      <w:numFmt w:val="bullet"/>
      <w:start w:val="1"/>
    </w:lvl>
  </w:abstractNum>
  <w:abstractNum w:abstractNumId="128">
    <w:nsid w:val="15B71329"/>
    <w:multiLevelType w:val="hybridMultilevel"/>
    <w:lvl w:ilvl="0">
      <w:lvlJc w:val="left"/>
      <w:lvlText w:val="."/>
      <w:numFmt w:val="bullet"/>
      <w:start w:val="1"/>
    </w:lvl>
  </w:abstractNum>
  <w:abstractNum w:abstractNumId="129">
    <w:nsid w:val="3DA97044"/>
    <w:multiLevelType w:val="hybridMultilevel"/>
    <w:lvl w:ilvl="0">
      <w:lvlJc w:val="left"/>
      <w:lvlText w:val="(%1)"/>
      <w:numFmt w:val="lowerLetter"/>
      <w:start w:val="1"/>
    </w:lvl>
  </w:abstractNum>
  <w:abstractNum w:abstractNumId="130">
    <w:nsid w:val="1CDCE2DE"/>
    <w:multiLevelType w:val="hybridMultilevel"/>
    <w:lvl w:ilvl="0">
      <w:lvlJc w:val="left"/>
      <w:lvlText w:val="."/>
      <w:numFmt w:val="bullet"/>
      <w:start w:val="1"/>
    </w:lvl>
  </w:abstractNum>
  <w:abstractNum w:abstractNumId="131">
    <w:nsid w:val="69D3947C"/>
    <w:multiLevelType w:val="hybridMultilevel"/>
    <w:lvl w:ilvl="0">
      <w:lvlJc w:val="left"/>
      <w:lvlText w:val="(%1)"/>
      <w:numFmt w:val="lowerLetter"/>
      <w:start w:val="1"/>
    </w:lvl>
  </w:abstractNum>
  <w:abstractNum w:abstractNumId="132">
    <w:nsid w:val="2539DFA5"/>
    <w:multiLevelType w:val="hybridMultilevel"/>
    <w:lvl w:ilvl="0">
      <w:lvlJc w:val="left"/>
      <w:lvlText w:val="(%1)"/>
      <w:numFmt w:val="lowerLetter"/>
      <w:start w:val="2"/>
    </w:lvl>
  </w:abstractNum>
  <w:abstractNum w:abstractNumId="133">
    <w:nsid w:val="2DB88089"/>
    <w:multiLevelType w:val="hybridMultilevel"/>
    <w:lvl w:ilvl="0">
      <w:lvlJc w:val="left"/>
      <w:lvlText w:val="(%1)"/>
      <w:numFmt w:val="lowerLetter"/>
      <w:start w:val="4"/>
    </w:lvl>
  </w:abstractNum>
  <w:abstractNum w:abstractNumId="134">
    <w:nsid w:val="706B674E"/>
    <w:multiLevelType w:val="hybridMultilevel"/>
    <w:lvl w:ilvl="0">
      <w:lvlJc w:val="left"/>
      <w:lvlText w:val="(%1)"/>
      <w:numFmt w:val="lowerLetter"/>
      <w:start w:val="12"/>
    </w:lvl>
  </w:abstractNum>
  <w:abstractNum w:abstractNumId="135">
    <w:nsid w:val="2C106A57"/>
    <w:multiLevelType w:val="hybridMultilevel"/>
    <w:lvl w:ilvl="0">
      <w:lvlJc w:val="left"/>
      <w:lvlText w:val="."/>
      <w:numFmt w:val="bullet"/>
      <w:start w:val="1"/>
    </w:lvl>
  </w:abstractNum>
  <w:abstractNum w:abstractNumId="136">
    <w:nsid w:val="684EED59"/>
    <w:multiLevelType w:val="hybridMultilevel"/>
    <w:lvl w:ilvl="0">
      <w:lvlJc w:val="left"/>
      <w:lvlText w:val="."/>
      <w:numFmt w:val="bullet"/>
      <w:start w:val="1"/>
    </w:lvl>
  </w:abstractNum>
  <w:abstractNum w:abstractNumId="137">
    <w:nsid w:val="545EE5D3"/>
    <w:multiLevelType w:val="hybridMultilevel"/>
    <w:lvl w:ilvl="0">
      <w:lvlJc w:val="left"/>
      <w:lvlText w:val="."/>
      <w:numFmt w:val="bullet"/>
      <w:start w:val="1"/>
    </w:lvl>
  </w:abstractNum>
  <w:abstractNum w:abstractNumId="138">
    <w:nsid w:val="4A66051"/>
    <w:multiLevelType w:val="hybridMultilevel"/>
    <w:lvl w:ilvl="0">
      <w:lvlJc w:val="left"/>
      <w:lvlText w:val="."/>
      <w:numFmt w:val="bullet"/>
      <w:start w:val="1"/>
    </w:lvl>
  </w:abstractNum>
  <w:abstractNum w:abstractNumId="139">
    <w:nsid w:val="20F4BDAD"/>
    <w:multiLevelType w:val="hybridMultilevel"/>
    <w:lvl w:ilvl="0">
      <w:lvlJc w:val="left"/>
      <w:lvlText w:val="(%1)"/>
      <w:numFmt w:val="lowerLetter"/>
      <w:start w:val="1"/>
    </w:lvl>
  </w:abstractNum>
  <w:abstractNum w:abstractNumId="140">
    <w:nsid w:val="639DEFAC"/>
    <w:multiLevelType w:val="hybridMultilevel"/>
    <w:lvl w:ilvl="0">
      <w:lvlJc w:val="left"/>
      <w:lvlText w:val="(%1)"/>
      <w:numFmt w:val="lowerLetter"/>
      <w:start w:val="2"/>
    </w:lvl>
  </w:abstractNum>
  <w:abstractNum w:abstractNumId="141">
    <w:nsid w:val="501F9786"/>
    <w:multiLevelType w:val="hybridMultilevel"/>
    <w:lvl w:ilvl="0">
      <w:lvlJc w:val="left"/>
      <w:lvlText w:val="."/>
      <w:numFmt w:val="bullet"/>
      <w:start w:val="1"/>
    </w:lvl>
  </w:abstractNum>
  <w:abstractNum w:abstractNumId="142">
    <w:nsid w:val="6B057295"/>
    <w:multiLevelType w:val="hybridMultilevel"/>
    <w:lvl w:ilvl="0">
      <w:lvlJc w:val="left"/>
      <w:lvlText w:val="(%1)"/>
      <w:numFmt w:val="lowerLetter"/>
      <w:start w:val="1"/>
    </w:lvl>
  </w:abstractNum>
  <w:abstractNum w:abstractNumId="143">
    <w:nsid w:val="2771AC80"/>
    <w:multiLevelType w:val="hybridMultilevel"/>
    <w:lvl w:ilvl="0">
      <w:lvlJc w:val="left"/>
      <w:lvlText w:val="(%1)"/>
      <w:numFmt w:val="lowerLetter"/>
      <w:start w:val="3"/>
    </w:lvl>
  </w:abstractNum>
  <w:abstractNum w:abstractNumId="144">
    <w:nsid w:val="1C4A08EC"/>
    <w:multiLevelType w:val="hybridMultilevel"/>
    <w:lvl w:ilvl="0">
      <w:lvlJc w:val="left"/>
      <w:lvlText w:val="."/>
      <w:numFmt w:val="bullet"/>
      <w:start w:val="1"/>
    </w:lvl>
  </w:abstractNum>
  <w:abstractNum w:abstractNumId="145">
    <w:nsid w:val="1958BD17"/>
    <w:multiLevelType w:val="hybridMultilevel"/>
    <w:lvl w:ilvl="0">
      <w:lvlJc w:val="left"/>
      <w:lvlText w:val="(%1)"/>
      <w:numFmt w:val="lowerLetter"/>
      <w:start w:val="1"/>
    </w:lvl>
  </w:abstractNum>
  <w:abstractNum w:abstractNumId="146">
    <w:nsid w:val="4E647FE4"/>
    <w:multiLevelType w:val="hybridMultilevel"/>
    <w:lvl w:ilvl="0">
      <w:lvlJc w:val="left"/>
      <w:lvlText w:val="."/>
      <w:numFmt w:val="bullet"/>
      <w:start w:val="1"/>
    </w:lvl>
  </w:abstractNum>
  <w:abstractNum w:abstractNumId="147">
    <w:nsid w:val="E0BB885"/>
    <w:multiLevelType w:val="hybridMultilevel"/>
    <w:lvl w:ilvl="0">
      <w:lvlJc w:val="left"/>
      <w:lvlText w:val="(%1)"/>
      <w:numFmt w:val="lowerLetter"/>
      <w:start w:val="1"/>
    </w:lvl>
  </w:abstractNum>
  <w:abstractNum w:abstractNumId="148">
    <w:nsid w:val="565976F1"/>
    <w:multiLevelType w:val="hybridMultilevel"/>
    <w:lvl w:ilvl="0">
      <w:lvlJc w:val="left"/>
      <w:lvlText w:val="."/>
      <w:numFmt w:val="bullet"/>
      <w:start w:val="1"/>
    </w:lvl>
  </w:abstractNum>
  <w:abstractNum w:abstractNumId="149">
    <w:nsid w:val="64212B8C"/>
    <w:multiLevelType w:val="hybridMultilevel"/>
    <w:lvl w:ilvl="0">
      <w:lvlJc w:val="left"/>
      <w:lvlText w:val="(%1)"/>
      <w:numFmt w:val="lowerLetter"/>
      <w:start w:val="1"/>
    </w:lvl>
  </w:abstractNum>
  <w:abstractNum w:abstractNumId="150">
    <w:nsid w:val="5C17530C"/>
    <w:multiLevelType w:val="hybridMultilevel"/>
    <w:lvl w:ilvl="0">
      <w:lvlJc w:val="left"/>
      <w:lvlText w:val="(%1)"/>
      <w:numFmt w:val="lowerLetter"/>
      <w:start w:val="2"/>
    </w:lvl>
  </w:abstractNum>
  <w:abstractNum w:abstractNumId="151">
    <w:nsid w:val="19A52566"/>
    <w:multiLevelType w:val="hybridMultilevel"/>
    <w:lvl w:ilvl="0">
      <w:lvlJc w:val="left"/>
      <w:lvlText w:val="."/>
      <w:numFmt w:val="bullet"/>
      <w:start w:val="1"/>
    </w:lvl>
  </w:abstractNum>
  <w:abstractNum w:abstractNumId="152">
    <w:nsid w:val="335A1DF1"/>
    <w:multiLevelType w:val="hybridMultilevel"/>
    <w:lvl w:ilvl="0">
      <w:lvlJc w:val="left"/>
      <w:lvlText w:val="."/>
      <w:numFmt w:val="bullet"/>
      <w:start w:val="1"/>
    </w:lvl>
  </w:abstractNum>
  <w:abstractNum w:abstractNumId="153">
    <w:nsid w:val="28677B7C"/>
    <w:multiLevelType w:val="hybridMultilevel"/>
    <w:lvl w:ilvl="0">
      <w:lvlJc w:val="left"/>
      <w:lvlText w:val="."/>
      <w:numFmt w:val="bullet"/>
      <w:start w:val="1"/>
    </w:lvl>
  </w:abstractNum>
  <w:abstractNum w:abstractNumId="154">
    <w:nsid w:val="378D97C0"/>
    <w:multiLevelType w:val="hybridMultilevel"/>
    <w:lvl w:ilvl="0">
      <w:lvlJc w:val="left"/>
      <w:lvlText w:val="%1"/>
      <w:numFmt w:val="lowerLetter"/>
      <w:start w:val="1"/>
    </w:lvl>
    <w:lvl w:ilvl="1">
      <w:lvlJc w:val="left"/>
      <w:lvlText w:val="(%2)"/>
      <w:numFmt w:val="lowerLetter"/>
      <w:start w:val="1"/>
    </w:lvl>
  </w:abstractNum>
  <w:abstractNum w:abstractNumId="155">
    <w:nsid w:val="1D91467C"/>
    <w:multiLevelType w:val="hybridMultilevel"/>
    <w:lvl w:ilvl="0">
      <w:lvlJc w:val="left"/>
      <w:lvlText w:val="(%1)"/>
      <w:numFmt w:val="lowerLetter"/>
      <w:start w:val="35"/>
    </w:lvl>
    <w:lvl w:ilvl="1">
      <w:lvlJc w:val="left"/>
      <w:lvlText w:val="(%2)"/>
      <w:numFmt w:val="lowerLetter"/>
      <w:start w:val="2"/>
    </w:lvl>
  </w:abstractNum>
  <w:abstractNum w:abstractNumId="156">
    <w:nsid w:val="316032BB"/>
    <w:multiLevelType w:val="hybridMultilevel"/>
    <w:lvl w:ilvl="0">
      <w:lvlJc w:val="left"/>
      <w:lvlText w:val="(%1)"/>
      <w:numFmt w:val="lowerLetter"/>
      <w:start w:val="35"/>
    </w:lvl>
    <w:lvl w:ilvl="1">
      <w:lvlJc w:val="left"/>
      <w:lvlText w:val="%2"/>
      <w:numFmt w:val="lowerLetter"/>
      <w:start w:val="1"/>
    </w:lvl>
  </w:abstractNum>
  <w:abstractNum w:abstractNumId="157">
    <w:nsid w:val="44344C22"/>
    <w:multiLevelType w:val="hybridMultilevel"/>
    <w:lvl w:ilvl="0">
      <w:lvlJc w:val="left"/>
      <w:lvlText w:val="."/>
      <w:numFmt w:val="bullet"/>
      <w:start w:val="1"/>
    </w:lvl>
  </w:abstractNum>
  <w:abstractNum w:abstractNumId="158">
    <w:nsid w:val="13CDFCFC"/>
    <w:multiLevelType w:val="hybridMultilevel"/>
    <w:lvl w:ilvl="0">
      <w:lvlJc w:val="left"/>
      <w:lvlText w:val="(%1)"/>
      <w:numFmt w:val="lowerLetter"/>
      <w:start w:val="1"/>
    </w:lvl>
  </w:abstractNum>
  <w:abstractNum w:abstractNumId="159">
    <w:nsid w:val="471745E4"/>
    <w:multiLevelType w:val="hybridMultilevel"/>
    <w:lvl w:ilvl="0">
      <w:lvlJc w:val="left"/>
      <w:lvlText w:val="."/>
      <w:numFmt w:val="bullet"/>
      <w:start w:val="1"/>
    </w:lvl>
  </w:abstractNum>
  <w:abstractNum w:abstractNumId="160">
    <w:nsid w:val="1DDBC66"/>
    <w:multiLevelType w:val="hybridMultilevel"/>
    <w:lvl w:ilvl="0">
      <w:lvlJc w:val="left"/>
      <w:lvlText w:val="(%1)"/>
      <w:numFmt w:val="lowerLetter"/>
      <w:start w:val="1"/>
    </w:lvl>
  </w:abstractNum>
  <w:abstractNum w:abstractNumId="161">
    <w:nsid w:val="30AADFDA"/>
    <w:multiLevelType w:val="hybridMultilevel"/>
    <w:lvl w:ilvl="0">
      <w:lvlJc w:val="left"/>
      <w:lvlText w:val="(%1)"/>
      <w:numFmt w:val="lowerLetter"/>
      <w:start w:val="2"/>
    </w:lvl>
  </w:abstractNum>
  <w:abstractNum w:abstractNumId="162">
    <w:nsid w:val="30EADA61"/>
    <w:multiLevelType w:val="hybridMultilevel"/>
    <w:lvl w:ilvl="0">
      <w:lvlJc w:val="left"/>
      <w:lvlText w:val="(%1)"/>
      <w:numFmt w:val="lowerLetter"/>
      <w:start w:val="6"/>
    </w:lvl>
  </w:abstractNum>
  <w:abstractNum w:abstractNumId="163">
    <w:nsid w:val="27179C0B"/>
    <w:multiLevelType w:val="hybridMultilevel"/>
    <w:lvl w:ilvl="0">
      <w:lvlJc w:val="left"/>
      <w:lvlText w:val="."/>
      <w:numFmt w:val="bullet"/>
      <w:start w:val="1"/>
    </w:lvl>
  </w:abstractNum>
  <w:abstractNum w:abstractNumId="164">
    <w:nsid w:val="5E636063"/>
    <w:multiLevelType w:val="hybridMultilevel"/>
    <w:lvl w:ilvl="0">
      <w:lvlJc w:val="left"/>
      <w:lvlText w:val="(%1)"/>
      <w:numFmt w:val="lowerLetter"/>
      <w:start w:val="1"/>
    </w:lvl>
  </w:abstractNum>
  <w:abstractNum w:abstractNumId="165">
    <w:nsid w:val="215641AF"/>
    <w:multiLevelType w:val="hybridMultilevel"/>
    <w:lvl w:ilvl="0">
      <w:lvlJc w:val="left"/>
      <w:lvlText w:val="(%1)"/>
      <w:numFmt w:val="lowerLetter"/>
      <w:start w:val="4"/>
    </w:lvl>
  </w:abstractNum>
  <w:abstractNum w:abstractNumId="166">
    <w:nsid w:val="53280662"/>
    <w:multiLevelType w:val="hybridMultilevel"/>
    <w:lvl w:ilvl="0">
      <w:lvlJc w:val="left"/>
      <w:lvlText w:val="."/>
      <w:numFmt w:val="bullet"/>
      <w:start w:val="1"/>
    </w:lvl>
  </w:abstractNum>
  <w:abstractNum w:abstractNumId="167">
    <w:nsid w:val="46B24DBC"/>
    <w:multiLevelType w:val="hybridMultilevel"/>
    <w:lvl w:ilvl="0">
      <w:lvlJc w:val="left"/>
      <w:lvlText w:val="."/>
      <w:numFmt w:val="bullet"/>
      <w:start w:val="1"/>
    </w:lvl>
  </w:abstractNum>
  <w:abstractNum w:abstractNumId="168">
    <w:nsid w:val="75B52783"/>
    <w:multiLevelType w:val="hybridMultilevel"/>
    <w:lvl w:ilvl="0">
      <w:lvlJc w:val="left"/>
      <w:lvlText w:val="."/>
      <w:numFmt w:val="bullet"/>
      <w:start w:val="1"/>
    </w:lvl>
  </w:abstractNum>
  <w:abstractNum w:abstractNumId="169">
    <w:nsid w:val="57CE66B4"/>
    <w:multiLevelType w:val="hybridMultilevel"/>
    <w:lvl w:ilvl="0">
      <w:lvlJc w:val="left"/>
      <w:lvlText w:val="(%1)"/>
      <w:numFmt w:val="lowerLetter"/>
      <w:start w:val="35"/>
    </w:lvl>
    <w:lvl w:ilvl="1">
      <w:lvlJc w:val="left"/>
      <w:lvlText w:val="(%2)"/>
      <w:numFmt w:val="lowerLetter"/>
      <w:start w:val="3"/>
    </w:lvl>
  </w:abstractNum>
  <w:abstractNum w:abstractNumId="170">
    <w:nsid w:val="67A70B69"/>
    <w:multiLevelType w:val="hybridMultilevel"/>
    <w:lvl w:ilvl="0">
      <w:lvlJc w:val="left"/>
      <w:lvlText w:val="."/>
      <w:numFmt w:val="bullet"/>
      <w:start w:val="1"/>
    </w:lvl>
  </w:abstractNum>
  <w:abstractNum w:abstractNumId="171">
    <w:nsid w:val="5953172F"/>
    <w:multiLevelType w:val="hybridMultilevel"/>
    <w:lvl w:ilvl="0">
      <w:lvlJc w:val="left"/>
      <w:lvlText w:val="."/>
      <w:numFmt w:val="bullet"/>
      <w:start w:val="1"/>
    </w:lvl>
  </w:abstractNum>
  <w:abstractNum w:abstractNumId="172">
    <w:nsid w:val="27EDFE3A"/>
    <w:multiLevelType w:val="hybridMultilevel"/>
    <w:lvl w:ilvl="0">
      <w:lvlJc w:val="left"/>
      <w:lvlText w:val="."/>
      <w:numFmt w:val="bullet"/>
      <w:start w:val="1"/>
    </w:lvl>
  </w:abstractNum>
  <w:abstractNum w:abstractNumId="173">
    <w:nsid w:val="52AC7DFF"/>
    <w:multiLevelType w:val="hybridMultilevel"/>
    <w:lvl w:ilvl="0">
      <w:lvlJc w:val="left"/>
      <w:lvlText w:val="."/>
      <w:numFmt w:val="bullet"/>
      <w:start w:val="1"/>
    </w:lvl>
  </w:abstractNum>
  <w:abstractNum w:abstractNumId="174">
    <w:nsid w:val="C4C3AF"/>
    <w:multiLevelType w:val="hybridMultilevel"/>
    <w:lvl w:ilvl="0">
      <w:lvlJc w:val="left"/>
      <w:lvlText w:val="(%1)"/>
      <w:numFmt w:val="lowerLetter"/>
      <w:start w:val="1"/>
    </w:lvl>
  </w:abstractNum>
  <w:abstractNum w:abstractNumId="175">
    <w:nsid w:val="44380727"/>
    <w:multiLevelType w:val="hybridMultilevel"/>
    <w:lvl w:ilvl="0">
      <w:lvlJc w:val="left"/>
      <w:lvlText w:val="(%1)"/>
      <w:numFmt w:val="lowerLetter"/>
      <w:start w:val="2"/>
    </w:lvl>
  </w:abstractNum>
  <w:abstractNum w:abstractNumId="176">
    <w:nsid w:val="6C053B16"/>
    <w:multiLevelType w:val="hybridMultilevel"/>
    <w:lvl w:ilvl="0">
      <w:lvlJc w:val="left"/>
      <w:lvlText w:val="(%1)"/>
      <w:numFmt w:val="lowerLetter"/>
      <w:start w:val="3"/>
    </w:lvl>
  </w:abstractNum>
  <w:abstractNum w:abstractNumId="177">
    <w:nsid w:val="4F294393"/>
    <w:multiLevelType w:val="hybridMultilevel"/>
    <w:lvl w:ilvl="0">
      <w:lvlJc w:val="left"/>
      <w:lvlText w:val="."/>
      <w:numFmt w:val="bullet"/>
      <w:start w:val="1"/>
    </w:lvl>
  </w:abstractNum>
  <w:abstractNum w:abstractNumId="178">
    <w:nsid w:val="5243BFAC"/>
    <w:multiLevelType w:val="hybridMultilevel"/>
    <w:lvl w:ilvl="0">
      <w:lvlJc w:val="left"/>
      <w:lvlText w:val="(%1)"/>
      <w:numFmt w:val="lowerLetter"/>
      <w:start w:val="1"/>
    </w:lvl>
  </w:abstractNum>
  <w:abstractNum w:abstractNumId="179">
    <w:nsid w:val="425EB207"/>
    <w:multiLevelType w:val="hybridMultilevel"/>
    <w:lvl w:ilvl="0">
      <w:lvlJc w:val="left"/>
      <w:lvlText w:val="."/>
      <w:numFmt w:val="bullet"/>
      <w:start w:val="1"/>
    </w:lvl>
  </w:abstractNum>
  <w:abstractNum w:abstractNumId="180">
    <w:nsid w:val="334A6F1F"/>
    <w:multiLevelType w:val="hybridMultilevel"/>
    <w:lvl w:ilvl="0">
      <w:lvlJc w:val="left"/>
      <w:lvlText w:val="."/>
      <w:numFmt w:val="bullet"/>
      <w:start w:val="1"/>
    </w:lvl>
  </w:abstractNum>
  <w:abstractNum w:abstractNumId="181">
    <w:nsid w:val="2E5B12B8"/>
    <w:multiLevelType w:val="hybridMultilevel"/>
    <w:lvl w:ilvl="0">
      <w:lvlJc w:val="left"/>
      <w:lvlText w:val="."/>
      <w:numFmt w:val="bullet"/>
      <w:start w:val="1"/>
    </w:lvl>
  </w:abstractNum>
  <w:abstractNum w:abstractNumId="182">
    <w:nsid w:val="5C03D76D"/>
    <w:multiLevelType w:val="hybridMultilevel"/>
    <w:lvl w:ilvl="0">
      <w:lvlJc w:val="left"/>
      <w:lvlText w:val="."/>
      <w:numFmt w:val="bullet"/>
      <w:start w:val="1"/>
    </w:lvl>
  </w:abstractNum>
  <w:abstractNum w:abstractNumId="183">
    <w:nsid w:val="66A48D11"/>
    <w:multiLevelType w:val="hybridMultilevel"/>
    <w:lvl w:ilvl="0">
      <w:lvlJc w:val="left"/>
      <w:lvlText w:val="(%1)"/>
      <w:numFmt w:val="lowerLetter"/>
      <w:start w:val="1"/>
    </w:lvl>
  </w:abstractNum>
  <w:abstractNum w:abstractNumId="184">
    <w:nsid w:val="56C28E34"/>
    <w:multiLevelType w:val="hybridMultilevel"/>
    <w:lvl w:ilvl="0">
      <w:lvlJc w:val="left"/>
      <w:lvlText w:val="(%1)"/>
      <w:numFmt w:val="lowerLetter"/>
      <w:start w:val="3"/>
    </w:lvl>
  </w:abstractNum>
  <w:abstractNum w:abstractNumId="185">
    <w:nsid w:val="13916F2D"/>
    <w:multiLevelType w:val="hybridMultilevel"/>
    <w:lvl w:ilvl="0">
      <w:lvlJc w:val="left"/>
      <w:lvlText w:val="(%1)"/>
      <w:numFmt w:val="lowerLetter"/>
      <w:start w:val="8"/>
    </w:lvl>
  </w:abstractNum>
  <w:abstractNum w:abstractNumId="186">
    <w:nsid w:val="435D38D"/>
    <w:multiLevelType w:val="hybridMultilevel"/>
    <w:lvl w:ilvl="0">
      <w:lvlJc w:val="left"/>
      <w:lvlText w:val="(%1)"/>
      <w:numFmt w:val="lowerLetter"/>
      <w:start w:val="18"/>
    </w:lvl>
  </w:abstractNum>
  <w:abstractNum w:abstractNumId="187">
    <w:nsid w:val="822C0EF"/>
    <w:multiLevelType w:val="hybridMultilevel"/>
    <w:lvl w:ilvl="0">
      <w:lvlJc w:val="left"/>
      <w:lvlText w:val="(%1)"/>
      <w:numFmt w:val="lowerLetter"/>
      <w:start w:val="23"/>
    </w:lvl>
  </w:abstractNum>
  <w:abstractNum w:abstractNumId="188">
    <w:nsid w:val="57C5BB4F"/>
    <w:multiLevelType w:val="hybridMultilevel"/>
    <w:lvl w:ilvl="0">
      <w:lvlJc w:val="left"/>
      <w:lvlText w:val="(%1)"/>
      <w:numFmt w:val="lowerLetter"/>
      <w:start w:val="27"/>
    </w:lvl>
  </w:abstractNum>
  <w:abstractNum w:abstractNumId="189">
    <w:nsid w:val="1803D089"/>
    <w:multiLevelType w:val="hybridMultilevel"/>
    <w:lvl w:ilvl="0">
      <w:lvlJc w:val="left"/>
      <w:lvlText w:val="."/>
      <w:numFmt w:val="bullet"/>
      <w:start w:val="1"/>
    </w:lvl>
  </w:abstractNum>
  <w:abstractNum w:abstractNumId="190">
    <w:nsid w:val="4F3A06D4"/>
    <w:multiLevelType w:val="hybridMultilevel"/>
    <w:lvl w:ilvl="0">
      <w:lvlJc w:val="left"/>
      <w:lvlText w:val="(%1)"/>
      <w:numFmt w:val="lowerLetter"/>
      <w:start w:val="1"/>
    </w:lvl>
  </w:abstractNum>
  <w:abstractNum w:abstractNumId="191">
    <w:nsid w:val="59A377B6"/>
    <w:multiLevelType w:val="hybridMultilevel"/>
    <w:lvl w:ilvl="0">
      <w:lvlJc w:val="left"/>
      <w:lvlText w:val="(%1)"/>
      <w:numFmt w:val="lowerLetter"/>
      <w:start w:val="9"/>
    </w:lvl>
  </w:abstractNum>
  <w:abstractNum w:abstractNumId="192">
    <w:nsid w:val="48AEB063"/>
    <w:multiLevelType w:val="hybridMultilevel"/>
    <w:lvl w:ilvl="0">
      <w:lvlJc w:val="left"/>
      <w:lvlText w:val="%1"/>
      <w:numFmt w:val="upperLetter"/>
      <w:start w:val="1"/>
    </w:lvl>
    <w:lvl w:ilvl="1">
      <w:lvlJc w:val="left"/>
      <w:lvlText w:val="(%2)"/>
      <w:numFmt w:val="lowerLetter"/>
      <w:start w:val="14"/>
    </w:lvl>
  </w:abstractNum>
  <w:abstractNum w:abstractNumId="193">
    <w:nsid w:val="24E135"/>
    <w:multiLevelType w:val="hybridMultilevel"/>
    <w:lvl w:ilvl="0">
      <w:lvlJc w:val="left"/>
      <w:lvlText w:val="(%1)"/>
      <w:numFmt w:val="upperLetter"/>
      <w:start w:val="1"/>
    </w:lvl>
    <w:lvl w:ilvl="1">
      <w:lvlJc w:val="left"/>
      <w:lvlText w:val="(%2)"/>
      <w:numFmt w:val="lowerLetter"/>
      <w:start w:val="17"/>
    </w:lvl>
  </w:abstractNum>
  <w:abstractNum w:abstractNumId="194">
    <w:nsid w:val="BB13C1"/>
    <w:multiLevelType w:val="hybridMultilevel"/>
    <w:lvl w:ilvl="0">
      <w:lvlJc w:val="left"/>
      <w:lvlText w:val="(%1)"/>
      <w:numFmt w:val="lowerLetter"/>
      <w:start w:val="21"/>
    </w:lvl>
  </w:abstractNum>
  <w:abstractNum w:abstractNumId="195">
    <w:nsid w:val="271210C7"/>
    <w:multiLevelType w:val="hybridMultilevel"/>
    <w:lvl w:ilvl="0">
      <w:lvlJc w:val="left"/>
      <w:lvlText w:val="."/>
      <w:numFmt w:val="bullet"/>
      <w:start w:val="1"/>
    </w:lvl>
  </w:abstractNum>
  <w:abstractNum w:abstractNumId="196">
    <w:nsid w:val="217B22E4"/>
    <w:multiLevelType w:val="hybridMultilevel"/>
    <w:lvl w:ilvl="0">
      <w:lvlJc w:val="left"/>
      <w:lvlText w:val="(%1)"/>
      <w:numFmt w:val="lowerLetter"/>
      <w:start w:val="1"/>
    </w:lvl>
  </w:abstractNum>
  <w:abstractNum w:abstractNumId="197">
    <w:nsid w:val="53E31A24"/>
    <w:multiLevelType w:val="hybridMultilevel"/>
    <w:lvl w:ilvl="0">
      <w:lvlJc w:val="left"/>
      <w:lvlText w:val="(%1)"/>
      <w:numFmt w:val="lowerLetter"/>
      <w:start w:val="4"/>
    </w:lvl>
  </w:abstractNum>
  <w:abstractNum w:abstractNumId="198">
    <w:nsid w:val="6DC45E83"/>
    <w:multiLevelType w:val="hybridMultilevel"/>
    <w:lvl w:ilvl="0">
      <w:lvlJc w:val="left"/>
      <w:lvlText w:val="%1"/>
      <w:numFmt w:val="lowerLetter"/>
      <w:start w:val="1"/>
    </w:lvl>
    <w:lvl w:ilvl="1">
      <w:lvlJc w:val="left"/>
      <w:lvlText w:val="(%2)"/>
      <w:numFmt w:val="lowerLetter"/>
      <w:start w:val="11"/>
    </w:lvl>
  </w:abstractNum>
  <w:abstractNum w:abstractNumId="199">
    <w:nsid w:val="17304A67"/>
    <w:multiLevelType w:val="hybridMultilevel"/>
    <w:lvl w:ilvl="0">
      <w:lvlJc w:val="left"/>
      <w:lvlText w:val="(%1)"/>
      <w:numFmt w:val="lowerLetter"/>
      <w:start w:val="32"/>
    </w:lvl>
    <w:lvl w:ilvl="1">
      <w:lvlJc w:val="left"/>
      <w:lvlText w:val="%2"/>
      <w:numFmt w:val="lowerLetter"/>
      <w:start w:val="1"/>
    </w:lvl>
  </w:abstractNum>
  <w:abstractNum w:abstractNumId="200">
    <w:nsid w:val="2BB180D8"/>
    <w:multiLevelType w:val="hybridMultilevel"/>
    <w:lvl w:ilvl="0">
      <w:lvlJc w:val="left"/>
      <w:lvlText w:val="(%1)"/>
      <w:numFmt w:val="lowerLetter"/>
      <w:start w:val="21"/>
    </w:lvl>
  </w:abstractNum>
  <w:abstractNum w:abstractNumId="201">
    <w:nsid w:val="556B69ED"/>
    <w:multiLevelType w:val="hybridMultilevel"/>
    <w:lvl w:ilvl="0">
      <w:lvlJc w:val="left"/>
      <w:lvlText w:val="(%1)"/>
      <w:numFmt w:val="lowerLetter"/>
      <w:start w:val="27"/>
    </w:lvl>
  </w:abstractNum>
  <w:abstractNum w:abstractNumId="202">
    <w:nsid w:val="70836196"/>
    <w:multiLevelType w:val="hybridMultilevel"/>
    <w:lvl w:ilvl="0">
      <w:lvlJc w:val="left"/>
      <w:lvlText w:val="."/>
      <w:numFmt w:val="bullet"/>
      <w:start w:val="1"/>
    </w:lvl>
  </w:abstractNum>
  <w:abstractNum w:abstractNumId="203">
    <w:nsid w:val="539F7F12"/>
    <w:multiLevelType w:val="hybridMultilevel"/>
    <w:lvl w:ilvl="0">
      <w:lvlJc w:val="left"/>
      <w:lvlText w:val="(%1)"/>
      <w:numFmt w:val="lowerLetter"/>
      <w:start w:val="1"/>
    </w:lvl>
  </w:abstractNum>
  <w:abstractNum w:abstractNumId="204">
    <w:nsid w:val="2817E7EC"/>
    <w:multiLevelType w:val="hybridMultilevel"/>
    <w:lvl w:ilvl="0">
      <w:lvlJc w:val="left"/>
      <w:lvlText w:val="(%1)"/>
      <w:numFmt w:val="lowerLetter"/>
      <w:start w:val="5"/>
    </w:lvl>
  </w:abstractNum>
  <w:abstractNum w:abstractNumId="205">
    <w:nsid w:val="71482545"/>
    <w:multiLevelType w:val="hybridMultilevel"/>
    <w:lvl w:ilvl="0">
      <w:lvlJc w:val="left"/>
      <w:lvlText w:val="."/>
      <w:numFmt w:val="bullet"/>
      <w:start w:val="1"/>
    </w:lvl>
  </w:abstractNum>
  <w:abstractNum w:abstractNumId="206">
    <w:nsid w:val="17D78639"/>
    <w:multiLevelType w:val="hybridMultilevel"/>
    <w:lvl w:ilvl="0">
      <w:lvlJc w:val="left"/>
      <w:lvlText w:val="%1"/>
      <w:numFmt w:val="lowerRoman"/>
      <w:start w:val="1"/>
    </w:lvl>
    <w:lvl w:ilvl="1">
      <w:lvlJc w:val="left"/>
      <w:lvlText w:val="(%2)"/>
      <w:numFmt w:val="lowerLetter"/>
      <w:start w:val="1"/>
    </w:lvl>
  </w:abstractNum>
  <w:abstractNum w:abstractNumId="207">
    <w:nsid w:val="141D2302"/>
    <w:multiLevelType w:val="hybridMultilevel"/>
    <w:lvl w:ilvl="0">
      <w:lvlJc w:val="left"/>
      <w:lvlText w:val="(%1)"/>
      <w:numFmt w:val="lowerRoman"/>
      <w:start w:val="4"/>
    </w:lvl>
    <w:lvl w:ilvl="1">
      <w:lvlJc w:val="left"/>
      <w:lvlText w:val="(%2)"/>
      <w:numFmt w:val="lowerLetter"/>
      <w:start w:val="2"/>
    </w:lvl>
  </w:abstractNum>
  <w:abstractNum w:abstractNumId="208">
    <w:nsid w:val="407168D8"/>
    <w:multiLevelType w:val="hybridMultilevel"/>
    <w:lvl w:ilvl="0">
      <w:lvlJc w:val="left"/>
      <w:lvlText w:val="(%1)"/>
      <w:numFmt w:val="lowerLetter"/>
      <w:start w:val="3"/>
    </w:lvl>
  </w:abstractNum>
  <w:abstractNum w:abstractNumId="209">
    <w:nsid w:val="6A1B45E5"/>
    <w:multiLevelType w:val="hybridMultilevel"/>
    <w:lvl w:ilvl="0">
      <w:lvlJc w:val="left"/>
      <w:lvlText w:val="(%1)"/>
      <w:numFmt w:val="lowerLetter"/>
      <w:start w:val="14"/>
    </w:lvl>
  </w:abstractNum>
  <w:abstractNum w:abstractNumId="210">
    <w:nsid w:val="567BD50A"/>
    <w:multiLevelType w:val="hybridMultilevel"/>
    <w:lvl w:ilvl="0">
      <w:lvlJc w:val="left"/>
      <w:lvlText w:val="."/>
      <w:numFmt w:val="bullet"/>
      <w:start w:val="1"/>
    </w:lvl>
  </w:abstractNum>
  <w:abstractNum w:abstractNumId="211">
    <w:nsid w:val="73BBD7F8"/>
    <w:multiLevelType w:val="hybridMultilevel"/>
    <w:lvl w:ilvl="0">
      <w:lvlJc w:val="left"/>
      <w:lvlText w:val="(%1)"/>
      <w:numFmt w:val="lowerLetter"/>
      <w:start w:val="1"/>
    </w:lvl>
  </w:abstractNum>
  <w:abstractNum w:abstractNumId="212">
    <w:nsid w:val="1876589D"/>
    <w:multiLevelType w:val="hybridMultilevel"/>
    <w:lvl w:ilvl="0">
      <w:lvlJc w:val="left"/>
      <w:lvlText w:val="%1"/>
      <w:numFmt w:val="upperLetter"/>
      <w:start w:val="1"/>
    </w:lvl>
    <w:lvl w:ilvl="1">
      <w:lvlJc w:val="left"/>
      <w:lvlText w:val="(%2)"/>
      <w:numFmt w:val="lowerLetter"/>
      <w:start w:val="5"/>
    </w:lvl>
  </w:abstractNum>
  <w:abstractNum w:abstractNumId="213">
    <w:nsid w:val="327FAC77"/>
    <w:multiLevelType w:val="hybridMultilevel"/>
    <w:lvl w:ilvl="0">
      <w:lvlJc w:val="left"/>
      <w:lvlText w:val="(%1)"/>
      <w:numFmt w:val="upperLetter"/>
      <w:start w:val="9"/>
    </w:lvl>
    <w:lvl w:ilvl="1">
      <w:lvlJc w:val="left"/>
      <w:lvlText w:val="(%2)"/>
      <w:numFmt w:val="lowerLetter"/>
      <w:start w:val="6"/>
    </w:lvl>
  </w:abstractNum>
  <w:abstractNum w:abstractNumId="214">
    <w:nsid w:val="5A606509"/>
    <w:multiLevelType w:val="hybridMultilevel"/>
    <w:lvl w:ilvl="0">
      <w:lvlJc w:val="left"/>
      <w:lvlText w:val="(%1)"/>
      <w:numFmt w:val="lowerLetter"/>
      <w:start w:val="11"/>
    </w:lvl>
  </w:abstractNum>
  <w:abstractNum w:abstractNumId="215">
    <w:nsid w:val="6F38E6D1"/>
    <w:multiLevelType w:val="hybridMultilevel"/>
    <w:lvl w:ilvl="0">
      <w:lvlJc w:val="left"/>
      <w:lvlText w:val="(%1)"/>
      <w:numFmt w:val="lowerLetter"/>
      <w:start w:val="1"/>
    </w:lvl>
  </w:abstractNum>
  <w:abstractNum w:abstractNumId="216">
    <w:nsid w:val="46111BA5"/>
    <w:multiLevelType w:val="hybridMultilevel"/>
    <w:lvl w:ilvl="0">
      <w:lvlJc w:val="left"/>
      <w:lvlText w:val="(%1)"/>
      <w:numFmt w:val="lowerLetter"/>
      <w:start w:val="10"/>
    </w:lvl>
    <w:lvl w:ilvl="1">
      <w:lvlJc w:val="left"/>
      <w:lvlText w:val="."/>
      <w:numFmt w:val="bullet"/>
      <w:start w:val="1"/>
    </w:lvl>
  </w:abstractNum>
  <w:abstractNum w:abstractNumId="217">
    <w:nsid w:val="5E963896"/>
    <w:multiLevelType w:val="hybridMultilevel"/>
    <w:lvl w:ilvl="0">
      <w:lvlJc w:val="left"/>
      <w:lvlText w:val="(%1)"/>
      <w:numFmt w:val="lowerLetter"/>
      <w:start w:val="12"/>
    </w:lvl>
  </w:abstractNum>
  <w:abstractNum w:abstractNumId="218">
    <w:nsid w:val="775BA7C1"/>
    <w:multiLevelType w:val="hybridMultilevel"/>
    <w:lvl w:ilvl="0">
      <w:lvlJc w:val="left"/>
      <w:lvlText w:val="(%1)"/>
      <w:numFmt w:val="lowerRoman"/>
      <w:start w:val="6"/>
    </w:lvl>
    <w:lvl w:ilvl="1">
      <w:lvlJc w:val="left"/>
      <w:lvlText w:val="."/>
      <w:numFmt w:val="bullet"/>
      <w:start w:val="1"/>
    </w:lvl>
  </w:abstractNum>
  <w:abstractNum w:abstractNumId="219">
    <w:nsid w:val="1DD6D6F4"/>
    <w:multiLevelType w:val="hybridMultilevel"/>
    <w:lvl w:ilvl="0">
      <w:lvlJc w:val="left"/>
      <w:lvlText w:val="."/>
      <w:numFmt w:val="bullet"/>
      <w:start w:val="1"/>
    </w:lvl>
  </w:abstractNum>
  <w:abstractNum w:abstractNumId="220">
    <w:nsid w:val="769A091F"/>
    <w:multiLevelType w:val="hybridMultilevel"/>
    <w:lvl w:ilvl="0">
      <w:lvlJc w:val="left"/>
      <w:lvlText w:val="."/>
      <w:numFmt w:val="bullet"/>
      <w:start w:val="1"/>
    </w:lvl>
  </w:abstractNum>
  <w:abstractNum w:abstractNumId="221">
    <w:nsid w:val="4695AE95"/>
    <w:multiLevelType w:val="hybridMultilevel"/>
    <w:lvl w:ilvl="0">
      <w:lvlJc w:val="left"/>
      <w:lvlText w:val="."/>
      <w:numFmt w:val="bullet"/>
      <w:start w:val="1"/>
    </w:lvl>
  </w:abstractNum>
  <w:abstractNum w:abstractNumId="222">
    <w:nsid w:val="777A4EAA"/>
    <w:multiLevelType w:val="hybridMultilevel"/>
    <w:lvl w:ilvl="0">
      <w:lvlJc w:val="left"/>
      <w:lvlText w:val="(%1)"/>
      <w:numFmt w:val="lowerLetter"/>
      <w:start w:val="1"/>
    </w:lvl>
  </w:abstractNum>
  <w:abstractNum w:abstractNumId="223">
    <w:nsid w:val="3F48B982"/>
    <w:multiLevelType w:val="hybridMultilevel"/>
    <w:lvl w:ilvl="0">
      <w:lvlJc w:val="left"/>
      <w:lvlText w:val="(%1)"/>
      <w:numFmt w:val="lowerLetter"/>
      <w:start w:val="2"/>
    </w:lvl>
  </w:abstractNum>
  <w:abstractNum w:abstractNumId="224">
    <w:nsid w:val="46BA8FCA"/>
    <w:multiLevelType w:val="hybridMultilevel"/>
    <w:lvl w:ilvl="0">
      <w:lvlJc w:val="left"/>
      <w:lvlText w:val="."/>
      <w:numFmt w:val="bullet"/>
      <w:start w:val="1"/>
    </w:lvl>
  </w:abstractNum>
  <w:abstractNum w:abstractNumId="225">
    <w:nsid w:val="7835626C"/>
    <w:multiLevelType w:val="hybridMultilevel"/>
    <w:lvl w:ilvl="0">
      <w:lvlJc w:val="left"/>
      <w:lvlText w:val="(%1)"/>
      <w:numFmt w:val="decimal"/>
      <w:start w:val="3"/>
    </w:lvl>
    <w:lvl w:ilvl="1">
      <w:lvlJc w:val="left"/>
      <w:lvlText w:val="(%2)"/>
      <w:numFmt w:val="lowerLetter"/>
      <w:start w:val="3"/>
    </w:lvl>
  </w:abstractNum>
  <w:abstractNum w:abstractNumId="226">
    <w:nsid w:val="665ACA49"/>
    <w:multiLevelType w:val="hybridMultilevel"/>
    <w:lvl w:ilvl="0">
      <w:lvlJc w:val="left"/>
      <w:lvlText w:val="(%1)"/>
      <w:numFmt w:val="decimal"/>
      <w:start w:val="60"/>
    </w:lvl>
    <w:lvl w:ilvl="1">
      <w:lvlJc w:val="left"/>
      <w:lvlText w:val="%2"/>
      <w:numFmt w:val="lowerLetter"/>
      <w:start w:val="1"/>
    </w:lvl>
  </w:abstractNum>
  <w:abstractNum w:abstractNumId="227">
    <w:nsid w:val="6835B2AE"/>
    <w:multiLevelType w:val="hybridMultilevel"/>
    <w:lvl w:ilvl="0">
      <w:lvlJc w:val="left"/>
      <w:lvlText w:val="(%1)"/>
      <w:numFmt w:val="decimal"/>
      <w:start w:val="60"/>
    </w:lvl>
    <w:lvl w:ilvl="1">
      <w:lvlJc w:val="left"/>
      <w:lvlText w:val="(%2)"/>
      <w:numFmt w:val="lowerLetter"/>
      <w:start w:val="7"/>
    </w:lvl>
  </w:abstractNum>
  <w:abstractNum w:abstractNumId="228">
    <w:nsid w:val="4C187C90"/>
    <w:multiLevelType w:val="hybridMultilevel"/>
    <w:lvl w:ilvl="0">
      <w:lvlJc w:val="left"/>
      <w:lvlText w:val="(%1)"/>
      <w:numFmt w:val="lowerRoman"/>
      <w:start w:val="3"/>
    </w:lvl>
  </w:abstractNum>
  <w:abstractNum w:abstractNumId="229">
    <w:nsid w:val="541F28CD"/>
    <w:multiLevelType w:val="hybridMultilevel"/>
    <w:lvl w:ilvl="0">
      <w:lvlJc w:val="left"/>
      <w:lvlText w:val="(%1)"/>
      <w:numFmt w:val="lowerLetter"/>
      <w:start w:val="35"/>
    </w:lvl>
    <w:lvl w:ilvl="1">
      <w:lvlJc w:val="left"/>
      <w:lvlText w:val="(%2)"/>
      <w:numFmt w:val="lowerLetter"/>
      <w:start w:val="14"/>
    </w:lvl>
  </w:abstractNum>
  <w:abstractNum w:abstractNumId="230">
    <w:nsid w:val="7F65FD16"/>
    <w:multiLevelType w:val="hybridMultilevel"/>
    <w:lvl w:ilvl="0">
      <w:lvlJc w:val="left"/>
      <w:lvlText w:val="."/>
      <w:numFmt w:val="bullet"/>
      <w:start w:val="1"/>
    </w:lvl>
  </w:abstractNum>
  <w:abstractNum w:abstractNumId="231">
    <w:nsid w:val="77C9FD68"/>
    <w:multiLevelType w:val="hybridMultilevel"/>
    <w:lvl w:ilvl="0">
      <w:lvlJc w:val="left"/>
      <w:lvlText w:val="."/>
      <w:numFmt w:val="bullet"/>
      <w:start w:val="1"/>
    </w:lvl>
  </w:abstractNum>
  <w:abstractNum w:abstractNumId="232">
    <w:nsid w:val="298A92BA"/>
    <w:multiLevelType w:val="hybridMultilevel"/>
    <w:lvl w:ilvl="0">
      <w:lvlJc w:val="left"/>
      <w:lvlText w:val="."/>
      <w:numFmt w:val="bullet"/>
      <w:start w:val="1"/>
    </w:lvl>
  </w:abstractNum>
  <w:abstractNum w:abstractNumId="233">
    <w:nsid w:val="6FE95EAC"/>
    <w:multiLevelType w:val="hybridMultilevel"/>
    <w:lvl w:ilvl="0">
      <w:lvlJc w:val="left"/>
      <w:lvlText w:val="."/>
      <w:numFmt w:val="bullet"/>
      <w:start w:val="1"/>
    </w:lvl>
  </w:abstractNum>
  <w:abstractNum w:abstractNumId="234">
    <w:nsid w:val="4B697C7A"/>
    <w:multiLevelType w:val="hybridMultilevel"/>
    <w:lvl w:ilvl="0">
      <w:lvlJc w:val="left"/>
      <w:lvlText w:val="(%1)"/>
      <w:numFmt w:val="lowerLetter"/>
      <w:start w:val="3"/>
    </w:lvl>
  </w:abstractNum>
  <w:abstractNum w:abstractNumId="235">
    <w:nsid w:val="51A27AA6"/>
    <w:multiLevelType w:val="hybridMultilevel"/>
    <w:lvl w:ilvl="0">
      <w:lvlJc w:val="left"/>
      <w:lvlText w:val="."/>
      <w:numFmt w:val="bullet"/>
      <w:start w:val="1"/>
    </w:lvl>
  </w:abstractNum>
  <w:abstractNum w:abstractNumId="236">
    <w:nsid w:val="613183F2"/>
    <w:multiLevelType w:val="hybridMultilevel"/>
    <w:lvl w:ilvl="0">
      <w:lvlJc w:val="left"/>
      <w:lvlText w:val="."/>
      <w:numFmt w:val="bullet"/>
      <w:start w:val="1"/>
    </w:lvl>
  </w:abstractNum>
  <w:abstractNum w:abstractNumId="237">
    <w:nsid w:val="634102B4"/>
    <w:multiLevelType w:val="hybridMultilevel"/>
    <w:lvl w:ilvl="0">
      <w:lvlJc w:val="left"/>
      <w:lvlText w:val="(%1)"/>
      <w:numFmt w:val="lowerLetter"/>
      <w:start w:val="1"/>
    </w:lvl>
  </w:abstractNum>
  <w:abstractNum w:abstractNumId="238">
    <w:nsid w:val="65BF9DA8"/>
    <w:multiLevelType w:val="hybridMultilevel"/>
    <w:lvl w:ilvl="0">
      <w:lvlJc w:val="left"/>
      <w:lvlText w:val="(%1)"/>
      <w:numFmt w:val="lowerLetter"/>
      <w:start w:val="3"/>
    </w:lvl>
  </w:abstractNum>
  <w:abstractNum w:abstractNumId="239">
    <w:nsid w:val="21A2ECCA"/>
    <w:multiLevelType w:val="hybridMultilevel"/>
    <w:lvl w:ilvl="0">
      <w:lvlJc w:val="left"/>
      <w:lvlText w:val="(%1)"/>
      <w:numFmt w:val="lowerLetter"/>
      <w:start w:val="4"/>
    </w:lvl>
  </w:abstractNum>
  <w:abstractNum w:abstractNumId="240">
    <w:nsid w:val="4D5C4899"/>
    <w:multiLevelType w:val="hybridMultilevel"/>
    <w:lvl w:ilvl="0">
      <w:lvlJc w:val="left"/>
      <w:lvlText w:val="(%1)"/>
      <w:numFmt w:val="lowerLetter"/>
      <w:start w:val="7"/>
    </w:lvl>
  </w:abstractNum>
  <w:abstractNum w:abstractNumId="241">
    <w:nsid w:val="3C3B72B2"/>
    <w:multiLevelType w:val="hybridMultilevel"/>
    <w:lvl w:ilvl="0">
      <w:lvlJc w:val="left"/>
      <w:lvlText w:val="%1"/>
      <w:numFmt w:val="lowerLetter"/>
      <w:start w:val="1"/>
    </w:lvl>
    <w:lvl w:ilvl="1">
      <w:lvlJc w:val="left"/>
      <w:lvlText w:val="(%2)"/>
      <w:numFmt w:val="lowerLetter"/>
      <w:start w:val="8"/>
    </w:lvl>
  </w:abstractNum>
  <w:abstractNum w:abstractNumId="242">
    <w:nsid w:val="155EC4C2"/>
    <w:multiLevelType w:val="hybridMultilevel"/>
    <w:lvl w:ilvl="0">
      <w:lvlJc w:val="left"/>
      <w:lvlText w:val="(%1)"/>
      <w:numFmt w:val="lowerLetter"/>
      <w:start w:val="61"/>
    </w:lvl>
    <w:lvl w:ilvl="1">
      <w:lvlJc w:val="left"/>
      <w:lvlText w:val="(%2)"/>
      <w:numFmt w:val="lowerLetter"/>
      <w:start w:val="10"/>
    </w:lvl>
  </w:abstractNum>
  <w:abstractNum w:abstractNumId="243">
    <w:nsid w:val="65D2A137"/>
    <w:multiLevelType w:val="hybridMultilevel"/>
    <w:lvl w:ilvl="0">
      <w:lvlJc w:val="left"/>
      <w:lvlText w:val="(%1)"/>
      <w:numFmt w:val="lowerLetter"/>
      <w:start w:val="1"/>
    </w:lvl>
  </w:abstractNum>
  <w:abstractNum w:abstractNumId="244">
    <w:nsid w:val="6EBB1F2A"/>
    <w:multiLevelType w:val="hybridMultilevel"/>
    <w:lvl w:ilvl="0">
      <w:lvlJc w:val="left"/>
      <w:lvlText w:val="(%1)"/>
      <w:numFmt w:val="lowerLetter"/>
      <w:start w:val="2"/>
    </w:lvl>
  </w:abstractNum>
  <w:abstractNum w:abstractNumId="245">
    <w:nsid w:val="6FBF29CB"/>
    <w:multiLevelType w:val="hybridMultilevel"/>
    <w:lvl w:ilvl="0">
      <w:lvlJc w:val="left"/>
      <w:lvlText w:val="(%1)"/>
      <w:numFmt w:val="lowerLetter"/>
      <w:start w:val="3"/>
    </w:lvl>
  </w:abstractNum>
  <w:abstractNum w:abstractNumId="246">
    <w:nsid w:val="550B8808"/>
    <w:multiLevelType w:val="hybridMultilevel"/>
    <w:lvl w:ilvl="0">
      <w:lvlJc w:val="left"/>
      <w:lvlText w:val="(%1)"/>
      <w:numFmt w:val="lowerLetter"/>
      <w:start w:val="4"/>
    </w:lvl>
  </w:abstractNum>
  <w:abstractNum w:abstractNumId="247">
    <w:nsid w:val="34CC3ACF"/>
    <w:multiLevelType w:val="hybridMultilevel"/>
    <w:lvl w:ilvl="0">
      <w:lvlJc w:val="left"/>
      <w:lvlText w:val="."/>
      <w:numFmt w:val="bullet"/>
      <w:start w:val="1"/>
    </w:lvl>
  </w:abstractNum>
  <w:abstractNum w:abstractNumId="248">
    <w:nsid w:val="4E556261"/>
    <w:multiLevelType w:val="hybridMultilevel"/>
    <w:lvl w:ilvl="0">
      <w:lvlJc w:val="left"/>
      <w:lvlText w:val="."/>
      <w:numFmt w:val="bullet"/>
      <w:start w:val="1"/>
    </w:lvl>
  </w:abstractNum>
  <w:abstractNum w:abstractNumId="249">
    <w:nsid w:val="4C672FC9"/>
    <w:multiLevelType w:val="hybridMultilevel"/>
    <w:lvl w:ilvl="0">
      <w:lvlJc w:val="left"/>
      <w:lvlText w:val="(%1)"/>
      <w:numFmt w:val="lowerLetter"/>
      <w:start w:val="1"/>
    </w:lvl>
  </w:abstractNum>
  <w:abstractNum w:abstractNumId="250">
    <w:nsid w:val="52A311C3"/>
    <w:multiLevelType w:val="hybridMultilevel"/>
    <w:lvl w:ilvl="0">
      <w:lvlJc w:val="left"/>
      <w:lvlText w:val="(%1)"/>
      <w:numFmt w:val="lowerLetter"/>
      <w:start w:val="2"/>
    </w:lvl>
  </w:abstractNum>
  <w:abstractNum w:abstractNumId="251">
    <w:nsid w:val="44EF6B80"/>
    <w:multiLevelType w:val="hybridMultilevel"/>
    <w:lvl w:ilvl="0">
      <w:lvlJc w:val="left"/>
      <w:lvlText w:val="%1"/>
      <w:numFmt w:val="lowerLetter"/>
      <w:start w:val="1"/>
    </w:lvl>
    <w:lvl w:ilvl="1">
      <w:lvlJc w:val="left"/>
      <w:lvlText w:val="(%2)"/>
      <w:numFmt w:val="lowerLetter"/>
      <w:start w:val="3"/>
    </w:lvl>
  </w:abstractNum>
  <w:abstractNum w:abstractNumId="252">
    <w:nsid w:val="12FCDE5E"/>
    <w:multiLevelType w:val="hybridMultilevel"/>
    <w:lvl w:ilvl="0">
      <w:lvlJc w:val="left"/>
      <w:lvlText w:val="(%1)"/>
      <w:numFmt w:val="lowerLetter"/>
      <w:start w:val="24"/>
    </w:lvl>
    <w:lvl w:ilvl="1">
      <w:lvlJc w:val="left"/>
      <w:lvlText w:val="%2"/>
      <w:numFmt w:val="lowerLetter"/>
      <w:start w:val="1"/>
    </w:lvl>
  </w:abstractNum>
  <w:abstractNum w:abstractNumId="253">
    <w:nsid w:val="4A1D606E"/>
    <w:multiLevelType w:val="hybridMultilevel"/>
    <w:lvl w:ilvl="0">
      <w:lvlJc w:val="left"/>
      <w:lvlText w:val="."/>
      <w:numFmt w:val="bullet"/>
      <w:start w:val="1"/>
    </w:lvl>
  </w:abstractNum>
  <w:abstractNum w:abstractNumId="254">
    <w:nsid w:val="4382503"/>
    <w:multiLevelType w:val="hybridMultilevel"/>
    <w:lvl w:ilvl="0">
      <w:lvlJc w:val="left"/>
      <w:lvlText w:val="."/>
      <w:numFmt w:val="bullet"/>
      <w:start w:val="1"/>
    </w:lvl>
  </w:abstractNum>
  <w:abstractNum w:abstractNumId="255">
    <w:nsid w:val="59B76E28"/>
    <w:multiLevelType w:val="hybridMultilevel"/>
    <w:lvl w:ilvl="0">
      <w:lvlJc w:val="left"/>
      <w:lvlText w:val="."/>
      <w:numFmt w:val="bullet"/>
      <w:start w:val="1"/>
    </w:lvl>
  </w:abstractNum>
  <w:abstractNum w:abstractNumId="256">
    <w:nsid w:val="4252C2DA"/>
    <w:multiLevelType w:val="hybridMultilevel"/>
    <w:lvl w:ilvl="0">
      <w:lvlJc w:val="left"/>
      <w:lvlText w:val="."/>
      <w:numFmt w:val="bullet"/>
      <w:start w:val="1"/>
    </w:lvl>
  </w:abstractNum>
  <w:abstractNum w:abstractNumId="257">
    <w:nsid w:val="6A92EF4C"/>
    <w:multiLevelType w:val="hybridMultilevel"/>
    <w:lvl w:ilvl="0">
      <w:lvlJc w:val="left"/>
      <w:lvlText w:val="."/>
      <w:numFmt w:val="bullet"/>
      <w:start w:val="1"/>
    </w:lvl>
  </w:abstractNum>
  <w:abstractNum w:abstractNumId="258">
    <w:nsid w:val="41ED20D7"/>
    <w:multiLevelType w:val="hybridMultilevel"/>
    <w:lvl w:ilvl="0">
      <w:lvlJc w:val="left"/>
      <w:lvlText w:val="."/>
      <w:numFmt w:val="bullet"/>
      <w:start w:val="1"/>
    </w:lvl>
  </w:abstractNum>
  <w:abstractNum w:abstractNumId="259">
    <w:nsid w:val="E6B3F6A"/>
    <w:multiLevelType w:val="hybridMultilevel"/>
    <w:lvl w:ilvl="0">
      <w:lvlJc w:val="left"/>
      <w:lvlText w:val="(%1)"/>
      <w:numFmt w:val="lowerLetter"/>
      <w:start w:val="1"/>
    </w:lvl>
  </w:abstractNum>
  <w:abstractNum w:abstractNumId="260">
    <w:nsid w:val="3EB21819"/>
    <w:multiLevelType w:val="hybridMultilevel"/>
    <w:lvl w:ilvl="0">
      <w:lvlJc w:val="left"/>
      <w:lvlText w:val="."/>
      <w:numFmt w:val="bullet"/>
      <w:start w:val="1"/>
    </w:lvl>
  </w:abstractNum>
  <w:abstractNum w:abstractNumId="261">
    <w:nsid w:val="41531DED"/>
    <w:multiLevelType w:val="hybridMultilevel"/>
    <w:lvl w:ilvl="0">
      <w:lvlJc w:val="left"/>
      <w:lvlText w:val="."/>
      <w:numFmt w:val="bullet"/>
      <w:start w:val="1"/>
    </w:lvl>
  </w:abstractNum>
  <w:abstractNum w:abstractNumId="262">
    <w:nsid w:val="6353CD2"/>
    <w:multiLevelType w:val="hybridMultilevel"/>
    <w:lvl w:ilvl="0">
      <w:lvlJc w:val="left"/>
      <w:lvlText w:val="."/>
      <w:numFmt w:val="bullet"/>
      <w:start w:val="1"/>
    </w:lvl>
  </w:abstractNum>
  <w:abstractNum w:abstractNumId="263">
    <w:nsid w:val="683CAAD3"/>
    <w:multiLevelType w:val="hybridMultilevel"/>
    <w:lvl w:ilvl="0">
      <w:lvlJc w:val="left"/>
      <w:lvlText w:val="(%1)"/>
      <w:numFmt w:val="lowerLetter"/>
      <w:start w:val="1"/>
    </w:lvl>
  </w:abstractNum>
  <w:abstractNum w:abstractNumId="264">
    <w:nsid w:val="313C7C99"/>
    <w:multiLevelType w:val="hybridMultilevel"/>
    <w:lvl w:ilvl="0">
      <w:lvlJc w:val="left"/>
      <w:lvlText w:val="(%1)"/>
      <w:numFmt w:val="lowerLetter"/>
      <w:start w:val="26"/>
    </w:lvl>
    <w:lvl w:ilvl="1">
      <w:lvlJc w:val="left"/>
      <w:lvlText w:val="(%2)"/>
      <w:numFmt w:val="lowerLetter"/>
      <w:start w:val="2"/>
    </w:lvl>
  </w:abstractNum>
  <w:abstractNum w:abstractNumId="265">
    <w:nsid w:val="519EB94C"/>
    <w:multiLevelType w:val="hybridMultilevel"/>
    <w:lvl w:ilvl="0">
      <w:lvlJc w:val="left"/>
      <w:lvlText w:val="."/>
      <w:numFmt w:val="bullet"/>
      <w:start w:val="1"/>
    </w:lvl>
  </w:abstractNum>
  <w:abstractNum w:abstractNumId="266">
    <w:nsid w:val="39DF2579"/>
    <w:multiLevelType w:val="hybridMultilevel"/>
    <w:lvl w:ilvl="0">
      <w:lvlJc w:val="left"/>
      <w:lvlText w:val="(%1)"/>
      <w:numFmt w:val="lowerLetter"/>
      <w:start w:val="1"/>
    </w:lvl>
  </w:abstractNum>
  <w:abstractNum w:abstractNumId="267">
    <w:nsid w:val="126E008B"/>
    <w:multiLevelType w:val="hybridMultilevel"/>
    <w:lvl w:ilvl="0">
      <w:lvlJc w:val="left"/>
      <w:lvlText w:val="(%1)"/>
      <w:numFmt w:val="lowerLetter"/>
      <w:start w:val="2"/>
    </w:lvl>
  </w:abstractNum>
  <w:abstractNum w:abstractNumId="268">
    <w:nsid w:val="34DFBC00"/>
    <w:multiLevelType w:val="hybridMultilevel"/>
    <w:lvl w:ilvl="0">
      <w:lvlJc w:val="left"/>
      <w:lvlText w:val="(%1)"/>
      <w:numFmt w:val="lowerLetter"/>
      <w:start w:val="1"/>
    </w:lvl>
  </w:abstractNum>
  <w:abstractNum w:abstractNumId="269">
    <w:nsid w:val="1F9EC322"/>
    <w:multiLevelType w:val="hybridMultilevel"/>
    <w:lvl w:ilvl="0">
      <w:lvlJc w:val="left"/>
      <w:lvlText w:val="(%1)"/>
      <w:numFmt w:val="lowerLetter"/>
      <w:start w:val="3"/>
    </w:lvl>
  </w:abstractNum>
  <w:abstractNum w:abstractNumId="270">
    <w:nsid w:val="3410ED56"/>
    <w:multiLevelType w:val="hybridMultilevel"/>
    <w:lvl w:ilvl="0">
      <w:lvlJc w:val="left"/>
      <w:lvlText w:val="(%1)"/>
      <w:numFmt w:val="lowerLetter"/>
      <w:start w:val="1"/>
    </w:lvl>
  </w:abstractNum>
  <w:abstractNum w:abstractNumId="271">
    <w:nsid w:val="23C049A"/>
    <w:multiLevelType w:val="hybridMultilevel"/>
    <w:lvl w:ilvl="0">
      <w:lvlJc w:val="left"/>
      <w:lvlText w:val="(%1)"/>
      <w:numFmt w:val="lowerLetter"/>
      <w:start w:val="25"/>
    </w:lvl>
  </w:abstractNum>
  <w:abstractNum w:abstractNumId="272">
    <w:nsid w:val="5BDA35D4"/>
    <w:multiLevelType w:val="hybridMultilevel"/>
    <w:lvl w:ilvl="0">
      <w:lvlJc w:val="left"/>
      <w:lvlText w:val="."/>
      <w:numFmt w:val="bullet"/>
      <w:start w:val="1"/>
    </w:lvl>
  </w:abstractNum>
  <w:abstractNum w:abstractNumId="273">
    <w:nsid w:val="496FB218"/>
    <w:multiLevelType w:val="hybridMultilevel"/>
    <w:lvl w:ilvl="0">
      <w:lvlJc w:val="left"/>
      <w:lvlText w:val="."/>
      <w:numFmt w:val="bullet"/>
      <w:start w:val="1"/>
    </w:lvl>
  </w:abstractNum>
  <w:abstractNum w:abstractNumId="274">
    <w:nsid w:val="680EA5D1"/>
    <w:multiLevelType w:val="hybridMultilevel"/>
    <w:lvl w:ilvl="0">
      <w:lvlJc w:val="left"/>
      <w:lvlText w:val="(%1)"/>
      <w:numFmt w:val="lowerLetter"/>
      <w:start w:val="1"/>
    </w:lvl>
  </w:abstractNum>
  <w:abstractNum w:abstractNumId="275">
    <w:nsid w:val="4A9554FE"/>
    <w:multiLevelType w:val="hybridMultilevel"/>
    <w:lvl w:ilvl="0">
      <w:lvlJc w:val="left"/>
      <w:lvlText w:val="."/>
      <w:numFmt w:val="bullet"/>
      <w:start w:val="1"/>
    </w:lvl>
  </w:abstractNum>
  <w:abstractNum w:abstractNumId="276">
    <w:nsid w:val="392EDBE4"/>
    <w:multiLevelType w:val="hybridMultilevel"/>
    <w:lvl w:ilvl="0">
      <w:lvlJc w:val="left"/>
      <w:lvlText w:val="."/>
      <w:numFmt w:val="bullet"/>
      <w:start w:val="1"/>
    </w:lvl>
  </w:abstractNum>
  <w:abstractNum w:abstractNumId="277">
    <w:nsid w:val="3D1A2DD9"/>
    <w:multiLevelType w:val="hybridMultilevel"/>
    <w:lvl w:ilvl="0">
      <w:lvlJc w:val="left"/>
      <w:lvlText w:val="."/>
      <w:numFmt w:val="bullet"/>
      <w:start w:val="1"/>
    </w:lvl>
  </w:abstractNum>
  <w:abstractNum w:abstractNumId="278">
    <w:nsid w:val="7F618FCD"/>
    <w:multiLevelType w:val="hybridMultilevel"/>
    <w:lvl w:ilvl="0">
      <w:lvlJc w:val="left"/>
      <w:lvlText w:val="."/>
      <w:numFmt w:val="bullet"/>
      <w:start w:val="1"/>
    </w:lvl>
  </w:abstractNum>
  <w:abstractNum w:abstractNumId="279">
    <w:nsid w:val="7843E45"/>
    <w:multiLevelType w:val="hybridMultilevel"/>
    <w:lvl w:ilvl="0">
      <w:lvlJc w:val="left"/>
      <w:lvlText w:val="."/>
      <w:numFmt w:val="bullet"/>
      <w:start w:val="1"/>
    </w:lvl>
  </w:abstractNum>
  <w:abstractNum w:abstractNumId="280">
    <w:nsid w:val="9815DA3"/>
    <w:multiLevelType w:val="hybridMultilevel"/>
    <w:lvl w:ilvl="0">
      <w:lvlJc w:val="left"/>
      <w:lvlText w:val="."/>
      <w:numFmt w:val="bullet"/>
      <w:start w:val="1"/>
    </w:lvl>
  </w:abstractNum>
  <w:abstractNum w:abstractNumId="281">
    <w:nsid w:val="5204A191"/>
    <w:multiLevelType w:val="hybridMultilevel"/>
    <w:lvl w:ilvl="0">
      <w:lvlJc w:val="left"/>
      <w:lvlText w:val="."/>
      <w:numFmt w:val="bullet"/>
      <w:start w:val="1"/>
    </w:lvl>
  </w:abstractNum>
  <w:abstractNum w:abstractNumId="282">
    <w:nsid w:val="4C73A9C6"/>
    <w:multiLevelType w:val="hybridMultilevel"/>
    <w:lvl w:ilvl="0">
      <w:lvlJc w:val="left"/>
      <w:lvlText w:val="(%1)"/>
      <w:numFmt w:val="lowerRoman"/>
      <w:start w:val="1"/>
    </w:lvl>
    <w:lvl w:ilvl="1">
      <w:lvlJc w:val="left"/>
      <w:lvlText w:val="."/>
      <w:numFmt w:val="bullet"/>
      <w:start w:val="1"/>
    </w:lvl>
  </w:abstractNum>
  <w:abstractNum w:abstractNumId="283">
    <w:nsid w:val="1C7E3C01"/>
    <w:multiLevelType w:val="hybridMultilevel"/>
    <w:lvl w:ilvl="0">
      <w:lvlJc w:val="left"/>
      <w:lvlText w:val="."/>
      <w:numFmt w:val="bullet"/>
      <w:start w:val="1"/>
    </w:lvl>
  </w:abstractNum>
  <w:abstractNum w:abstractNumId="284">
    <w:nsid w:val="1C2201FF"/>
    <w:multiLevelType w:val="hybridMultilevel"/>
    <w:lvl w:ilvl="0">
      <w:lvlJc w:val="left"/>
      <w:lvlText w:val="§§"/>
      <w:numFmt w:val="bullet"/>
      <w:start w:val="1"/>
    </w:lvl>
    <w:lvl w:ilvl="1">
      <w:lvlJc w:val="left"/>
      <w:lvlText w:val="(%2)"/>
      <w:numFmt w:val="lowerLetter"/>
      <w:start w:val="1"/>
    </w:lvl>
  </w:abstractNum>
  <w:abstractNum w:abstractNumId="285">
    <w:nsid w:val="50ABCEC9"/>
    <w:multiLevelType w:val="hybridMultilevel"/>
    <w:lvl w:ilvl="0">
      <w:lvlJc w:val="left"/>
      <w:lvlText w:val="§§"/>
      <w:numFmt w:val="bullet"/>
      <w:start w:val="1"/>
    </w:lvl>
    <w:lvl w:ilvl="1">
      <w:lvlJc w:val="left"/>
      <w:lvlText w:val="(%2)"/>
      <w:numFmt w:val="lowerLetter"/>
      <w:start w:val="2"/>
    </w:lvl>
  </w:abstractNum>
  <w:abstractNum w:abstractNumId="286">
    <w:nsid w:val="7635AA2A"/>
    <w:multiLevelType w:val="hybridMultilevel"/>
    <w:lvl w:ilvl="0">
      <w:lvlJc w:val="left"/>
      <w:lvlText w:val="(%1)"/>
      <w:numFmt w:val="lowerLetter"/>
      <w:start w:val="3"/>
    </w:lvl>
  </w:abstractNum>
  <w:abstractNum w:abstractNumId="287">
    <w:nsid w:val="5E74C4D9"/>
    <w:multiLevelType w:val="hybridMultilevel"/>
    <w:lvl w:ilvl="0">
      <w:lvlJc w:val="left"/>
      <w:lvlText w:val="(%1)"/>
      <w:numFmt w:val="decimal"/>
      <w:start w:val="1"/>
    </w:lvl>
    <w:lvl w:ilvl="1">
      <w:lvlJc w:val="left"/>
      <w:lvlText w:val="%2."/>
      <w:numFmt w:val="lowerLetter"/>
      <w:start w:val="1"/>
    </w:lvl>
  </w:abstractNum>
  <w:abstractNum w:abstractNumId="288">
    <w:nsid w:val="3B3EBE15"/>
    <w:multiLevelType w:val="hybridMultilevel"/>
    <w:lvl w:ilvl="0">
      <w:lvlJc w:val="left"/>
      <w:lvlText w:val="(%1)"/>
      <w:numFmt w:val="decimal"/>
      <w:start w:val="1"/>
    </w:lvl>
    <w:lvl w:ilvl="1">
      <w:lvlJc w:val="left"/>
      <w:lvlText w:val="%2."/>
      <w:numFmt w:val="lowerLetter"/>
      <w:start w:val="1"/>
    </w:lvl>
  </w:abstractNum>
  <w:abstractNum w:abstractNumId="289">
    <w:nsid w:val="3822CB01"/>
    <w:multiLevelType w:val="hybridMultilevel"/>
    <w:lvl w:ilvl="0">
      <w:lvlJc w:val="left"/>
      <w:lvlText w:val="(%1)"/>
      <w:numFmt w:val="decimal"/>
      <w:start w:val="1"/>
    </w:lvl>
  </w:abstractNum>
  <w:abstractNum w:abstractNumId="290">
    <w:nsid w:val="6CE004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2020-05-11T15:34:33Z</dcterms:created>
  <dcterms:modified xsi:type="dcterms:W3CDTF">2020-05-11T15:34:33Z</dcterms:modified>
</cp:coreProperties>
</file>