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28723d8k.htm"/>
      <w:bookmarkStart w:id="1" w:name="ksd72872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February 5,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Yellow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000-12255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48-0948788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11500 Outlook Street</w:t>
            </w:r>
          </w:p>
          <w:p>
            <w:pPr>
              <w:pStyle w:val="TableContents"/>
              <w:bidi w:val="0"/>
              <w:spacing w:before="0" w:after="20"/>
              <w:jc w:val="center"/>
              <w:rPr>
                <w:rFonts w:ascii="Times New Roman" w:hAnsi="Times New Roman"/>
                <w:b/>
                <w:sz w:val="20"/>
              </w:rPr>
            </w:pPr>
            <w:r>
              <w:rPr>
                <w:rFonts w:ascii="Times New Roman" w:hAnsi="Times New Roman"/>
                <w:b/>
                <w:sz w:val="20"/>
              </w:rPr>
              <w:t>Overland Park, Kansas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66211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(913) 696-6100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4025"/>
        <w:gridCol w:w="60"/>
        <w:gridCol w:w="830"/>
        <w:gridCol w:w="60"/>
        <w:gridCol w:w="174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YELLQ</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bookmarkStart w:id="2" w:name="Fact_4"/>
            <w:bookmarkEnd w:id="2"/>
            <w:r>
              <w:rPr/>
              <w:t>OTC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185" w:type="dxa"/>
        <w:jc w:val="left"/>
        <w:tblInd w:w="0" w:type="dxa"/>
        <w:tblLayout w:type="fixed"/>
        <w:tblCellMar>
          <w:top w:w="0" w:type="dxa"/>
          <w:left w:w="0" w:type="dxa"/>
          <w:bottom w:w="0" w:type="dxa"/>
          <w:right w:w="0" w:type="dxa"/>
        </w:tblCellMar>
      </w:tblPr>
      <w:tblGrid>
        <w:gridCol w:w="1025"/>
        <w:gridCol w:w="4160"/>
      </w:tblGrid>
      <w:tr>
        <w:trPr/>
        <w:tc>
          <w:tcPr>
            <w:tcW w:w="1025" w:type="dxa"/>
            <w:tcBorders/>
            <w:vAlign w:val="center"/>
          </w:tcPr>
          <w:p>
            <w:pPr>
              <w:pStyle w:val="TableContents"/>
              <w:bidi w:val="0"/>
              <w:spacing w:before="0" w:after="283"/>
              <w:jc w:val="left"/>
              <w:rPr>
                <w:b/>
              </w:rPr>
            </w:pPr>
            <w:r>
              <w:rPr>
                <w:b/>
              </w:rPr>
              <w:t>Item 1.02.</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of a Material Definitive Agreement.</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under Item 8.01 of this Current Report on Form 8-K (this “</w:t>
      </w:r>
      <w:r>
        <w:rPr>
          <w:rFonts w:ascii="Times New Roman" w:hAnsi="Times New Roman"/>
          <w:b/>
          <w:i/>
          <w:sz w:val="20"/>
        </w:rPr>
        <w:t>Report</w:t>
      </w:r>
      <w:r>
        <w:rPr>
          <w:rFonts w:ascii="Times New Roman" w:hAnsi="Times New Roman"/>
          <w:sz w:val="20"/>
        </w:rPr>
        <w:t>”) regarding the repayment and termination of the UST Credit Agreements (as defined below) and the repayment and termination of its obligations pursuant to the Junior DIP Credit Facility (as defined below) are incorporated herein by reference.</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1025"/>
        <w:gridCol w:w="4280"/>
      </w:tblGrid>
      <w:tr>
        <w:trPr/>
        <w:tc>
          <w:tcPr>
            <w:tcW w:w="1025" w:type="dxa"/>
            <w:tcBorders/>
            <w:vAlign w:val="center"/>
          </w:tcPr>
          <w:p>
            <w:pPr>
              <w:pStyle w:val="TableContents"/>
              <w:bidi w:val="0"/>
              <w:spacing w:before="0" w:after="283"/>
              <w:jc w:val="left"/>
              <w:rPr>
                <w:b/>
              </w:rPr>
            </w:pPr>
            <w:r>
              <w:rPr>
                <w:b/>
              </w:rPr>
              <w:t>Item 2.01.</w:t>
            </w:r>
          </w:p>
        </w:tc>
        <w:tc>
          <w:tcPr>
            <w:tcW w:w="4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Completion of Acquisition or Disposition of Assets.</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August 6, 2023 (the “</w:t>
      </w:r>
      <w:r>
        <w:rPr>
          <w:rFonts w:ascii="Times New Roman" w:hAnsi="Times New Roman"/>
          <w:b/>
          <w:i/>
          <w:sz w:val="20"/>
        </w:rPr>
        <w:t>Petition Date</w:t>
      </w:r>
      <w:r>
        <w:rPr>
          <w:rFonts w:ascii="Times New Roman" w:hAnsi="Times New Roman"/>
          <w:sz w:val="20"/>
        </w:rPr>
        <w:t>”), Yellow Corporation (the “</w:t>
      </w:r>
      <w:r>
        <w:rPr>
          <w:rFonts w:ascii="Times New Roman" w:hAnsi="Times New Roman"/>
          <w:b/>
          <w:i/>
          <w:sz w:val="20"/>
        </w:rPr>
        <w:t>Company</w:t>
      </w:r>
      <w:r>
        <w:rPr>
          <w:rFonts w:ascii="Times New Roman" w:hAnsi="Times New Roman"/>
          <w:sz w:val="20"/>
        </w:rPr>
        <w:t>”) and certain of its direct and indirect subsidiaries (collectively, the “</w:t>
      </w:r>
      <w:r>
        <w:rPr>
          <w:rFonts w:ascii="Times New Roman" w:hAnsi="Times New Roman"/>
          <w:b/>
          <w:i/>
          <w:sz w:val="20"/>
        </w:rPr>
        <w:t>Company Parties</w:t>
      </w:r>
      <w:r>
        <w:rPr>
          <w:rFonts w:ascii="Times New Roman" w:hAnsi="Times New Roman"/>
          <w:sz w:val="20"/>
        </w:rPr>
        <w:t>”), filed voluntary petitions for relief (the “</w:t>
      </w:r>
      <w:r>
        <w:rPr>
          <w:rFonts w:ascii="Times New Roman" w:hAnsi="Times New Roman"/>
          <w:b/>
          <w:i/>
          <w:sz w:val="20"/>
        </w:rPr>
        <w:t>Chapter 11 Cases</w:t>
      </w:r>
      <w:r>
        <w:rPr>
          <w:rFonts w:ascii="Times New Roman" w:hAnsi="Times New Roman"/>
          <w:sz w:val="20"/>
        </w:rPr>
        <w:t>”) under Chapter 11 of the U.S. Bankruptcy Code in the U.S. Bankruptcy Court for the District of Delaware (the “</w:t>
      </w:r>
      <w:r>
        <w:rPr>
          <w:rFonts w:ascii="Times New Roman" w:hAnsi="Times New Roman"/>
          <w:b/>
          <w:i/>
          <w:sz w:val="20"/>
        </w:rPr>
        <w:t>Bankruptcy Court</w:t>
      </w:r>
      <w:r>
        <w:rPr>
          <w:rFonts w:ascii="Times New Roman" w:hAnsi="Times New Roman"/>
          <w:sz w:val="20"/>
        </w:rPr>
        <w:t>”). On the Petition Date, the Company Parties filed a motion with the Bankruptcy Court seeking to jointly administer the Chapter 11 Cases under the caption “</w:t>
      </w:r>
      <w:r>
        <w:rPr>
          <w:rFonts w:ascii="Times New Roman" w:hAnsi="Times New Roman"/>
          <w:i/>
          <w:sz w:val="20"/>
        </w:rPr>
        <w:t>In re:</w:t>
      </w:r>
      <w:r>
        <w:rPr>
          <w:rFonts w:ascii="Times New Roman" w:hAnsi="Times New Roman"/>
          <w:sz w:val="20"/>
        </w:rPr>
        <w:t> </w:t>
      </w:r>
      <w:r>
        <w:rPr>
          <w:rFonts w:ascii="Times New Roman" w:hAnsi="Times New Roman"/>
          <w:i/>
          <w:sz w:val="20"/>
        </w:rPr>
        <w:t>Yellow Corporation, et al</w:t>
      </w:r>
      <w:r>
        <w:rPr>
          <w:rFonts w:ascii="Times New Roman" w:hAnsi="Times New Roman"/>
          <w:sz w:val="20"/>
        </w:rPr>
        <w:t>” and the Bankruptcy Court entered the proposed order for joint administration.</w:t>
      </w:r>
    </w:p>
    <w:p>
      <w:pPr>
        <w:pStyle w:val="TextBody"/>
        <w:bidi w:val="0"/>
        <w:spacing w:before="240" w:after="0"/>
        <w:jc w:val="left"/>
        <w:rPr>
          <w:rFonts w:ascii="Times New Roman" w:hAnsi="Times New Roman"/>
          <w:sz w:val="20"/>
        </w:rPr>
      </w:pPr>
      <w:r>
        <w:rPr>
          <w:rFonts w:ascii="Times New Roman" w:hAnsi="Times New Roman"/>
          <w:sz w:val="20"/>
        </w:rPr>
        <w:t>As of February 8, 2024, the Company has consummated the sale of certain of the Company’s real estate holdings (the “</w:t>
      </w:r>
      <w:r>
        <w:rPr>
          <w:rFonts w:ascii="Times New Roman" w:hAnsi="Times New Roman"/>
          <w:b/>
          <w:i/>
          <w:sz w:val="20"/>
        </w:rPr>
        <w:t>Sold Real Estate</w:t>
      </w:r>
      <w:r>
        <w:rPr>
          <w:rFonts w:ascii="Times New Roman" w:hAnsi="Times New Roman"/>
          <w:sz w:val="20"/>
        </w:rPr>
        <w:t>”) to various purchasers for an aggregate purchase price of approximately $1.89 billion in cash (together, the “</w:t>
      </w:r>
      <w:r>
        <w:rPr>
          <w:rFonts w:ascii="Times New Roman" w:hAnsi="Times New Roman"/>
          <w:b/>
          <w:i/>
          <w:sz w:val="20"/>
        </w:rPr>
        <w:t>Yellow Asset Sales</w:t>
      </w:r>
      <w:r>
        <w:rPr>
          <w:rFonts w:ascii="Times New Roman" w:hAnsi="Times New Roman"/>
          <w:sz w:val="20"/>
        </w:rPr>
        <w:t>”). The Yellow Asset Sales were consummated pursuant to certain Asset Purchase Agreements, dated as of December 4, 2023 (each, a “</w:t>
      </w:r>
      <w:r>
        <w:rPr>
          <w:rFonts w:ascii="Times New Roman" w:hAnsi="Times New Roman"/>
          <w:b/>
          <w:i/>
          <w:sz w:val="20"/>
        </w:rPr>
        <w:t>Purchase Agreement</w:t>
      </w:r>
      <w:r>
        <w:rPr>
          <w:rFonts w:ascii="Times New Roman" w:hAnsi="Times New Roman"/>
          <w:sz w:val="20"/>
        </w:rPr>
        <w:t>”), by and among the Company Parties and the purchasers thereto. The purchasers assumed certain liabilities related to the Sold Real Estate, as applicable, including liabilities under the leases thereon, certain cure costs required to be paid pursuant to the Chapter 11 Cases in connection with the assumption of leases, liabilities for taxes (subject to certain exceptions), and liabilities relating to environmental, health or safety matters in connection with ownership, operation, use or maintenance of the Sold Real Estate, to the extent not extinguished by the Chapter 11 Cases.</w:t>
      </w:r>
    </w:p>
    <w:p>
      <w:pPr>
        <w:pStyle w:val="TextBody"/>
        <w:bidi w:val="0"/>
        <w:spacing w:before="240" w:after="0"/>
        <w:jc w:val="left"/>
        <w:rPr>
          <w:rFonts w:ascii="Times New Roman" w:hAnsi="Times New Roman"/>
          <w:sz w:val="20"/>
        </w:rPr>
      </w:pPr>
      <w:r>
        <w:rPr>
          <w:rFonts w:ascii="Times New Roman" w:hAnsi="Times New Roman"/>
          <w:sz w:val="20"/>
        </w:rPr>
        <w:t>The Yellow Asset Sales were each consummated pursuant to Section 363 of Bankruptcy Code and were confirmed by the previously reported order of the Bankruptcy Court, dated December 12, 2023.</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Purchase Agreement does not purport to be complete and is qualified in its entirety by the full text of the Purchase Agreement, the form of which was filed as Exhibit 10.1 to the Company’s Current Report on Form 8-K filed with the Securities and Exchange Commission on December 15, 2023, and is incorporated by reference herein.</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120" w:after="0"/>
        <w:jc w:val="left"/>
        <w:rPr>
          <w:rFonts w:ascii="Times New Roman" w:hAnsi="Times New Roman"/>
          <w:sz w:val="20"/>
        </w:rPr>
      </w:pPr>
      <w:r>
        <w:rPr>
          <w:rFonts w:ascii="Times New Roman" w:hAnsi="Times New Roman"/>
          <w:sz w:val="20"/>
        </w:rPr>
        <w:t>In connection with repayment and termination of the UST Credit Agreements and the repayment and termination of the Company’s obligations pursuant to the Junior DIP Credit Facility, the Company issued a press release on February 5, 2024, a copy of which is attached to this Report as Exhibit 99.1.</w:t>
      </w:r>
    </w:p>
    <w:p>
      <w:pPr>
        <w:pStyle w:val="TextBody"/>
        <w:bidi w:val="0"/>
        <w:spacing w:before="240" w:after="0"/>
        <w:jc w:val="left"/>
        <w:rPr>
          <w:rFonts w:ascii="Times New Roman" w:hAnsi="Times New Roman"/>
          <w:sz w:val="20"/>
        </w:rPr>
      </w:pPr>
      <w:r>
        <w:rPr>
          <w:rFonts w:ascii="Times New Roman" w:hAnsi="Times New Roman"/>
          <w:sz w:val="20"/>
        </w:rPr>
        <w:t>The information disclosed in this Item 7.01, including Exhibit 99.1, is being furnished and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or otherwise subject to the liabilities of that Section, nor shall it be deemed incorporated by reference in any filing under the Securities Act of 1933, as amended, or the Exchange Act, regardless of any general incorporation language in such a filing.</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CARES Act Loan Repayment </w:t>
      </w:r>
    </w:p>
    <w:p>
      <w:pPr>
        <w:pStyle w:val="TextBody"/>
        <w:bidi w:val="0"/>
        <w:spacing w:before="120" w:after="0"/>
        <w:jc w:val="left"/>
        <w:rPr>
          <w:rFonts w:ascii="Times New Roman" w:hAnsi="Times New Roman"/>
          <w:sz w:val="20"/>
        </w:rPr>
      </w:pPr>
      <w:r>
        <w:rPr>
          <w:rFonts w:ascii="Times New Roman" w:hAnsi="Times New Roman"/>
          <w:sz w:val="20"/>
        </w:rPr>
        <w:t>As previously disclosed, on July 7, 2020, the Company and certain of its subsidiaries, as guarantors, entered into (i) that certain UST Tranche A Term Loan Credit Agreement (the “</w:t>
      </w:r>
      <w:r>
        <w:rPr>
          <w:rFonts w:ascii="Times New Roman" w:hAnsi="Times New Roman"/>
          <w:b/>
          <w:i/>
          <w:sz w:val="20"/>
        </w:rPr>
        <w:t>Tranche A UST Credit Agreement</w:t>
      </w:r>
      <w:r>
        <w:rPr>
          <w:rFonts w:ascii="Times New Roman" w:hAnsi="Times New Roman"/>
          <w:sz w:val="20"/>
        </w:rPr>
        <w:t>”) with The Bank of New York Mellon, as administrative agent and collateral agent and (ii) that certain UST Tranche B Term Loan Credit Agreement (together with the Tranche A UST Credit Agreement, the “</w:t>
      </w:r>
      <w:r>
        <w:rPr>
          <w:rFonts w:ascii="Times New Roman" w:hAnsi="Times New Roman"/>
          <w:b/>
          <w:i/>
          <w:sz w:val="20"/>
        </w:rPr>
        <w:t>UST Credit Agreements</w:t>
      </w:r>
      <w:r>
        <w:rPr>
          <w:rFonts w:ascii="Times New Roman" w:hAnsi="Times New Roman"/>
          <w:sz w:val="20"/>
        </w:rPr>
        <w:t>”) with The Bank of New York Mellon, as administrative agent and collateral agent, pursuant to which the U.S. Department of Treasury (the “</w:t>
      </w:r>
      <w:r>
        <w:rPr>
          <w:rFonts w:ascii="Times New Roman" w:hAnsi="Times New Roman"/>
          <w:b/>
          <w:i/>
          <w:sz w:val="20"/>
        </w:rPr>
        <w:t>UST</w:t>
      </w:r>
      <w:r>
        <w:rPr>
          <w:rFonts w:ascii="Times New Roman" w:hAnsi="Times New Roman"/>
          <w:sz w:val="20"/>
        </w:rPr>
        <w:t>”) lent the Company an aggregate of $700 million pursuant to the Coronavirus Aid, Relief, and Economic Security Act (the “</w:t>
      </w:r>
      <w:r>
        <w:rPr>
          <w:rFonts w:ascii="Times New Roman" w:hAnsi="Times New Roman"/>
          <w:b/>
          <w:i/>
          <w:sz w:val="20"/>
        </w:rPr>
        <w:t>CARES Act</w:t>
      </w:r>
      <w:r>
        <w:rPr>
          <w:rFonts w:ascii="Times New Roman" w:hAnsi="Times New Roman"/>
          <w:sz w:val="20"/>
        </w:rPr>
        <w:t>”).</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Pursuant to the terms of the UST Credit Agreements, on February 5, 2024 the Company as debtor-in-possession in the Chapter 11 Cases (as defined below), repaid in full all outstanding obligations under the UST Credit Agreements as of such date and, upon payment of such outstanding amount, the UST Credit Agreements, all commitments provided thereunder and all obligations thereunder, and all loan documents related thereto, in each case, were automatically terminated, and all liens and security interests granted thereunder to secure the obligations under the UST Credit Agreements were automatically terminated and are of no further force and effect.</w:t>
      </w:r>
    </w:p>
    <w:p>
      <w:pPr>
        <w:pStyle w:val="TextBody"/>
        <w:bidi w:val="0"/>
        <w:spacing w:before="360" w:after="0"/>
        <w:jc w:val="left"/>
        <w:rPr>
          <w:rFonts w:ascii="Times New Roman" w:hAnsi="Times New Roman"/>
          <w:b/>
          <w:i/>
          <w:sz w:val="20"/>
        </w:rPr>
      </w:pPr>
      <w:r>
        <w:rPr>
          <w:rFonts w:ascii="Times New Roman" w:hAnsi="Times New Roman"/>
          <w:b/>
          <w:i/>
          <w:sz w:val="20"/>
        </w:rPr>
        <w:t xml:space="preserve">Junior DIP Facility Repayment </w:t>
      </w:r>
    </w:p>
    <w:p>
      <w:pPr>
        <w:pStyle w:val="TextBody"/>
        <w:bidi w:val="0"/>
        <w:spacing w:before="120" w:after="0"/>
        <w:jc w:val="left"/>
        <w:rPr>
          <w:rFonts w:ascii="Times New Roman" w:hAnsi="Times New Roman"/>
          <w:sz w:val="20"/>
        </w:rPr>
      </w:pPr>
      <w:r>
        <w:rPr>
          <w:rFonts w:ascii="Times New Roman" w:hAnsi="Times New Roman"/>
          <w:sz w:val="20"/>
        </w:rPr>
        <w:t>As previously disclosed, on September 6, 2023, the Company, as borrower, certain subsidiaries of the Company, as guarantors, the lenders party thereto from time to time and Alter Domus Products Corp., as administrative agent and collateral agent, entered into the Junior Secured Super-Priority Debtor-in-Possession Credit Agreement (as amended, the “</w:t>
      </w:r>
      <w:r>
        <w:rPr>
          <w:rFonts w:ascii="Times New Roman" w:hAnsi="Times New Roman"/>
          <w:b/>
          <w:i/>
          <w:sz w:val="20"/>
        </w:rPr>
        <w:t>Junior DIP Credit Agreement</w:t>
      </w:r>
      <w:r>
        <w:rPr>
          <w:rFonts w:ascii="Times New Roman" w:hAnsi="Times New Roman"/>
          <w:sz w:val="20"/>
        </w:rPr>
        <w:t>”), governing the junior secured superpriority debtor in possession multi-draw term loan facility (the “</w:t>
      </w:r>
      <w:r>
        <w:rPr>
          <w:rFonts w:ascii="Times New Roman" w:hAnsi="Times New Roman"/>
          <w:b/>
          <w:i/>
          <w:sz w:val="20"/>
        </w:rPr>
        <w:t>Junior DIP</w:t>
      </w:r>
      <w:r>
        <w:rPr>
          <w:rFonts w:ascii="Times New Roman" w:hAnsi="Times New Roman"/>
          <w:sz w:val="20"/>
        </w:rPr>
        <w:t> </w:t>
      </w:r>
      <w:r>
        <w:rPr>
          <w:rFonts w:ascii="Times New Roman" w:hAnsi="Times New Roman"/>
          <w:b/>
          <w:i/>
          <w:sz w:val="20"/>
        </w:rPr>
        <w:t>Credit Facility</w:t>
      </w:r>
      <w:r>
        <w:rPr>
          <w:rFonts w:ascii="Times New Roman" w:hAnsi="Times New Roman"/>
          <w:sz w:val="20"/>
        </w:rPr>
        <w:t>”), and on September 15, 2023 the U. S. Bankruptcy Court for the District of Delaware issued the final order authorizing, among other things, the Company Parties entry into Junior DIP Credit Facility on a final basis. Capitalized terms used but not otherwise defined in this Report have the meanings given to them in the Junior DIP Credit Agreement. The Junior DIP Credit Facility provided for two tranches of term loans to be made to the Company, as borrower: (i) the Initial Term Loans in an aggregate committed amount of $42,500,000 and (ii) Delayed Draw Term Loans in an aggregate committed amount of $170,000,000.</w:t>
      </w:r>
    </w:p>
    <w:p>
      <w:pPr>
        <w:pStyle w:val="TextBody"/>
        <w:bidi w:val="0"/>
        <w:spacing w:before="240" w:after="0"/>
        <w:jc w:val="left"/>
        <w:rPr>
          <w:rFonts w:ascii="Times New Roman" w:hAnsi="Times New Roman"/>
          <w:sz w:val="20"/>
        </w:rPr>
      </w:pPr>
      <w:r>
        <w:rPr>
          <w:rFonts w:ascii="Times New Roman" w:hAnsi="Times New Roman"/>
          <w:sz w:val="20"/>
        </w:rPr>
        <w:t>Pursuant to the terms of the Junior DIP Credit Agreement, on February 8, 2024 the Company repaid in full all remaining outstanding obligations under the Junior DIP Credit Agreement. Upon such repayment, the Junior DIP Credit Agreement, all commitments provided thereunder, and all obligations thereunder, and all loan documents related thereto, in each case, were automatically terminated, and all liens and security interests granted thereunder to secure the obligations under the Junior DIP Credit Agreement were automatically terminated and of no further force and effect.</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Cautionary Statement Regarding Forward-Looking Information </w:t>
      </w:r>
    </w:p>
    <w:p>
      <w:pPr>
        <w:pStyle w:val="TextBody"/>
        <w:bidi w:val="0"/>
        <w:spacing w:before="120" w:after="0"/>
        <w:jc w:val="left"/>
        <w:rPr>
          <w:rFonts w:ascii="Times New Roman" w:hAnsi="Times New Roman"/>
          <w:sz w:val="20"/>
        </w:rPr>
      </w:pPr>
      <w:r>
        <w:rPr>
          <w:rFonts w:ascii="Times New Roman" w:hAnsi="Times New Roman"/>
          <w:sz w:val="20"/>
        </w:rPr>
        <w:t>This Report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filed with the SEC on February 9, 2023 and as subsequently amended on March 16, 2023,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as a result of new information, future events or otherwise, except as otherwise required by law.</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025"/>
        <w:gridCol w:w="2915"/>
      </w:tblGrid>
      <w:tr>
        <w:trPr/>
        <w:tc>
          <w:tcPr>
            <w:tcW w:w="1025" w:type="dxa"/>
            <w:tcBorders/>
            <w:vAlign w:val="center"/>
          </w:tcPr>
          <w:p>
            <w:pPr>
              <w:pStyle w:val="TableContents"/>
              <w:bidi w:val="0"/>
              <w:spacing w:before="0" w:after="283"/>
              <w:jc w:val="left"/>
              <w:rPr>
                <w:b/>
              </w:rPr>
            </w:pPr>
            <w:r>
              <w:rPr>
                <w:b/>
              </w:rPr>
              <w:t>Item 9.01.</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28723dex991.htm">
              <w:r>
                <w:rPr>
                  <w:rStyle w:val="InternetLink"/>
                </w:rPr>
                <w:t xml:space="preserve">Yellow Corporation Press Release issued February 5,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240" w:after="0"/>
        <w:jc w:val="left"/>
        <w:rPr>
          <w:rFonts w:ascii="Times New Roman" w:hAnsi="Times New Roman"/>
          <w:sz w:val="20"/>
        </w:rPr>
      </w:pPr>
      <w:r>
        <w:rPr>
          <w:rFonts w:ascii="Times New Roman" w:hAnsi="Times New Roman"/>
          <w:sz w:val="20"/>
        </w:rPr>
        <w:t>Date: February 9, 2024</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pPr>
            <w:r>
              <w:rPr/>
              <w:t>YELLOW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Leah K. Dawson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Leah K. Dawson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3" w:name="d728723dex991.htm"/>
      <w:bookmarkStart w:id="4" w:name="ksd728723dex991"/>
      <w:bookmarkEnd w:id="3"/>
      <w:bookmarkEnd w:id="4"/>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4"/>
        <w:gridCol w:w="120"/>
        <w:gridCol w:w="5161"/>
      </w:tblGrid>
      <w:tr>
        <w:trPr/>
        <w:tc>
          <w:tcPr>
            <w:tcW w:w="49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492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YELLOW PAYS BACK $700</w:t>
            </w:r>
          </w:p>
          <w:p>
            <w:pPr>
              <w:pStyle w:val="TableContents"/>
              <w:bidi w:val="0"/>
              <w:spacing w:before="0" w:after="20"/>
              <w:jc w:val="left"/>
              <w:rPr>
                <w:rFonts w:ascii="Times New Roman" w:hAnsi="Times New Roman"/>
                <w:b/>
                <w:sz w:val="20"/>
              </w:rPr>
            </w:pPr>
            <w:r>
              <w:rPr>
                <w:rFonts w:ascii="Times New Roman" w:hAnsi="Times New Roman"/>
                <w:b/>
                <w:sz w:val="20"/>
              </w:rPr>
              <w:t>MILLION CARES ACT LOAN</w:t>
            </w:r>
          </w:p>
        </w:tc>
        <w:tc>
          <w:tcPr>
            <w:tcW w:w="120" w:type="dxa"/>
            <w:tcBorders/>
            <w:vAlign w:val="bottom"/>
          </w:tcPr>
          <w:p>
            <w:pPr>
              <w:pStyle w:val="TableContents"/>
              <w:bidi w:val="0"/>
              <w:spacing w:before="0" w:after="283"/>
              <w:jc w:val="left"/>
              <w:rPr/>
            </w:pPr>
            <w:r>
              <w:rPr/>
              <w:t>  </w:t>
            </w:r>
          </w:p>
        </w:tc>
        <w:tc>
          <w:tcPr>
            <w:tcW w:w="5161" w:type="dxa"/>
            <w:tcBorders/>
          </w:tcPr>
          <w:p>
            <w:pPr>
              <w:pStyle w:val="TableContents"/>
              <w:bidi w:val="0"/>
              <w:spacing w:before="0" w:after="283"/>
              <w:jc w:val="right"/>
              <w:rPr/>
            </w:pPr>
            <w:r>
              <w:rPr/>
              <w:drawing>
                <wp:inline distT="0" distB="0" distL="0" distR="0">
                  <wp:extent cx="1905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4770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OVERLAND PARK, Kan., Feb. 5, 2024 /PRNewswire/  Yellow Corporation (YELLQ) today announced the repayment of a secured U.S. Treasury (Treasury) loan it received through the Coronavirus Aid, Relief, and Economic Security (CARES) Act under a provision of the CARES Act earmarked for businesses critical to maintaining U.S. national security. Yellow has repaid $700 million in principal, as well as more than $151 million in interest, which includes all outstanding principal and accrued interest on the loan. In doing so, Yellow has fully satisfied its loan commitments under its agreement with Treasury. </w:t>
      </w:r>
    </w:p>
    <w:p>
      <w:pPr>
        <w:pStyle w:val="TextBody"/>
        <w:bidi w:val="0"/>
        <w:spacing w:before="240" w:after="0"/>
        <w:jc w:val="left"/>
        <w:rPr>
          <w:rFonts w:ascii="Times New Roman" w:hAnsi="Times New Roman"/>
          <w:sz w:val="20"/>
        </w:rPr>
      </w:pPr>
      <w:r>
        <w:rPr>
          <w:rFonts w:ascii="Times New Roman" w:hAnsi="Times New Roman"/>
          <w:sz w:val="20"/>
        </w:rPr>
        <w:t xml:space="preserve">Yellow applied for its CARES Act loan in April 2020, as it faced potentially crippling economic dislocations caused by the Coronavirus pandemic. Ultimately, on July 7, 2020, after months of extensive due diligence and the Department of Defense providing Yellow the requisite national security certification, Treasury approved Yellows loan application. </w:t>
      </w:r>
    </w:p>
    <w:p>
      <w:pPr>
        <w:pStyle w:val="TextBody"/>
        <w:bidi w:val="0"/>
        <w:spacing w:before="240" w:after="0"/>
        <w:jc w:val="left"/>
        <w:rPr>
          <w:rFonts w:ascii="Times New Roman" w:hAnsi="Times New Roman"/>
          <w:sz w:val="20"/>
        </w:rPr>
      </w:pPr>
      <w:r>
        <w:rPr>
          <w:rFonts w:ascii="Times New Roman" w:hAnsi="Times New Roman"/>
          <w:sz w:val="20"/>
        </w:rPr>
        <w:t xml:space="preserve">Treasury also received 29.6% of Yellows stock, totaling 15.9 million shares. Treasurys equity stake is currently worth approximately $72 million. </w:t>
      </w:r>
    </w:p>
    <w:p>
      <w:pPr>
        <w:pStyle w:val="TextBody"/>
        <w:bidi w:val="0"/>
        <w:spacing w:before="240" w:after="0"/>
        <w:jc w:val="left"/>
        <w:rPr>
          <w:rFonts w:ascii="Times New Roman" w:hAnsi="Times New Roman"/>
          <w:sz w:val="20"/>
        </w:rPr>
      </w:pPr>
      <w:r>
        <w:rPr>
          <w:rFonts w:ascii="Times New Roman" w:hAnsi="Times New Roman"/>
          <w:sz w:val="20"/>
        </w:rPr>
        <w:t xml:space="preserve">This repayment demonstrates Yellows absolute commitment to fulfilling its promise to the American taxpayers that its CARES Act loan would be repaid in full with interest, said Yellows Chief Restructuring Officer, Matthew Doheny. At the time the loan was made, the U.S. supply chain was in danger of collapse and Yellow was proud to have secured its CARES Act loan, which helped Yellow preserve its 30,000 jobs, protect the U.S. economy during the height of the Covid crisis, and ensure that our brave men and women in uniform continued to receive the supplies they needed to defend our great nation. Doheny added that, despite receiving bipartisan support, Yellows CARES Act loan would not have been possible without the leadership of President Trump and Secretary Mnuchin for which Yellow is and remains grateful. </w:t>
      </w:r>
    </w:p>
    <w:p>
      <w:pPr>
        <w:pStyle w:val="TextBody"/>
        <w:bidi w:val="0"/>
        <w:spacing w:before="240" w:after="0"/>
        <w:jc w:val="left"/>
        <w:rPr>
          <w:rFonts w:ascii="Times New Roman" w:hAnsi="Times New Roman"/>
          <w:sz w:val="20"/>
        </w:rPr>
      </w:pPr>
      <w:r>
        <w:rPr>
          <w:rFonts w:ascii="Times New Roman" w:hAnsi="Times New Roman"/>
          <w:sz w:val="20"/>
        </w:rPr>
        <w:t xml:space="preserve">Yellows counsel, Marc E. Kasowitz of Kasowitz Benson Torres LLP, noted that, between July 2020 and October 2022, Yellows CARES Act loan helped Yellow make significant progress executing its strategically vital fleet and network modernization efforts that would have enabled Yellow to compete against the non-union carriers that dominate the industry. All of that progress, however, was destroyed when the International Brotherhood of Teamsters (IBT) leadership, under the direction of Sean OBrien, took a militant zero-sum approach to dealing with Yellow that prevented Yellow from completing its network optimization. According to Kasowitz, just as Yellow kept its promise to the American taxpayers by repaying its CARES Act loan in full, so too will Yellow keep its promise to the 30,000 former Yellow employees who lost their good-paying jobs by seeking redress from the IBT for causing Yellows bankruptcy as detailed in Yellows breach of contract lawsuit against the IBT.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information about Yellows lawsuit against the International Brotherhood of Teamsters, please visit https://investors.myyellow.com/news-releases/news-release-details/yellow-corporation-files-137-million-lawsuit-against.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Emily M. Thall </w:t>
      </w:r>
    </w:p>
    <w:p>
      <w:pPr>
        <w:pStyle w:val="TextBody"/>
        <w:bidi w:val="0"/>
        <w:spacing w:before="0" w:after="0"/>
        <w:jc w:val="left"/>
        <w:rPr>
          <w:rFonts w:ascii="Times New Roman" w:hAnsi="Times New Roman"/>
          <w:sz w:val="20"/>
        </w:rPr>
      </w:pPr>
      <w:r>
        <w:rPr>
          <w:rFonts w:ascii="Times New Roman" w:hAnsi="Times New Roman"/>
          <w:sz w:val="20"/>
        </w:rPr>
        <w:t xml:space="preserve">ethall@kasowitz.com </w:t>
      </w:r>
    </w:p>
    <w:p>
      <w:pPr>
        <w:pStyle w:val="TextBody"/>
        <w:bidi w:val="0"/>
        <w:spacing w:before="240" w:after="0"/>
        <w:jc w:val="left"/>
        <w:rPr>
          <w:rFonts w:ascii="Times New Roman" w:hAnsi="Times New Roman"/>
          <w:sz w:val="20"/>
        </w:rPr>
      </w:pPr>
      <w:r>
        <w:rPr>
          <w:rFonts w:ascii="Times New Roman" w:hAnsi="Times New Roman"/>
          <w:sz w:val="20"/>
        </w:rPr>
        <w:t xml:space="preserve">SOURCE Yellow Corporation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2577</Words>
  <Characters>14313</Characters>
  <CharactersWithSpaces>16819</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