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Yellow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600"/>
              <w:spacing w:after="0"/>
              <w:rPr>
                <w:sz w:val="20"/>
                <w:szCs w:val="20"/>
                <w:color w:val="auto"/>
              </w:rPr>
            </w:pPr>
            <w:r>
              <w:rPr>
                <w:rFonts w:ascii="Arial" w:cs="Arial" w:eastAsia="Arial" w:hAnsi="Arial"/>
                <w:sz w:val="18"/>
                <w:szCs w:val="18"/>
                <w:b w:val="1"/>
                <w:bCs w:val="1"/>
                <w:color w:val="auto"/>
              </w:rPr>
              <w:t>000-12255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48-0948788</w:t>
            </w:r>
          </w:p>
        </w:tc>
      </w:tr>
      <w:tr>
        <w:trPr>
          <w:trHeight w:val="148"/>
        </w:trPr>
        <w:tc>
          <w:tcPr>
            <w:tcW w:w="358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5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501 Commerce Street, Suite 1120</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5"/>
              </w:rPr>
              <w:t>Nashville, Tennessee</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37203</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(913) 696-6100</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YELLQ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OTC</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Debtor-In-Possession (“DIP”) Credit Agreement and Postpetition B-2 Credit Agreement Amendment</w:t>
      </w:r>
    </w:p>
    <w:p>
      <w:pPr>
        <w:spacing w:after="0" w:line="117"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As previously disclosed, on August 6, 2023 (the “</w:t>
      </w:r>
      <w:r>
        <w:rPr>
          <w:rFonts w:ascii="Arial" w:cs="Arial" w:eastAsia="Arial" w:hAnsi="Arial"/>
          <w:sz w:val="18"/>
          <w:szCs w:val="18"/>
          <w:b w:val="1"/>
          <w:bCs w:val="1"/>
          <w:i w:val="1"/>
          <w:iCs w:val="1"/>
          <w:color w:val="auto"/>
        </w:rPr>
        <w:t>Petition Date</w:t>
      </w:r>
      <w:r>
        <w:rPr>
          <w:rFonts w:ascii="Arial" w:cs="Arial" w:eastAsia="Arial" w:hAnsi="Arial"/>
          <w:sz w:val="18"/>
          <w:szCs w:val="18"/>
          <w:color w:val="auto"/>
        </w:rPr>
        <w:t>”), Yellow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certain of its direct and indirect subsidiaries (collectively, the “</w:t>
      </w:r>
      <w:r>
        <w:rPr>
          <w:rFonts w:ascii="Arial" w:cs="Arial" w:eastAsia="Arial" w:hAnsi="Arial"/>
          <w:sz w:val="18"/>
          <w:szCs w:val="18"/>
          <w:b w:val="1"/>
          <w:bCs w:val="1"/>
          <w:i w:val="1"/>
          <w:iCs w:val="1"/>
          <w:color w:val="auto"/>
        </w:rPr>
        <w:t>Company Parties</w:t>
      </w:r>
      <w:r>
        <w:rPr>
          <w:rFonts w:ascii="Arial" w:cs="Arial" w:eastAsia="Arial" w:hAnsi="Arial"/>
          <w:sz w:val="18"/>
          <w:szCs w:val="18"/>
          <w:color w:val="auto"/>
        </w:rPr>
        <w:t>”), filed voluntary petitions for relief (the “</w:t>
      </w:r>
      <w:r>
        <w:rPr>
          <w:rFonts w:ascii="Arial" w:cs="Arial" w:eastAsia="Arial" w:hAnsi="Arial"/>
          <w:sz w:val="18"/>
          <w:szCs w:val="18"/>
          <w:b w:val="1"/>
          <w:bCs w:val="1"/>
          <w:i w:val="1"/>
          <w:iCs w:val="1"/>
          <w:color w:val="auto"/>
        </w:rPr>
        <w:t>Chapter 11 Cases</w:t>
      </w:r>
      <w:r>
        <w:rPr>
          <w:rFonts w:ascii="Arial" w:cs="Arial" w:eastAsia="Arial" w:hAnsi="Arial"/>
          <w:sz w:val="18"/>
          <w:szCs w:val="18"/>
          <w:color w:val="auto"/>
        </w:rPr>
        <w:t>”) under Chapter 11 of the U. S. Bankruptcy Code in the U. S. Bankruptcy Court for the District of Delaware (the “</w:t>
      </w:r>
      <w:r>
        <w:rPr>
          <w:rFonts w:ascii="Arial" w:cs="Arial" w:eastAsia="Arial" w:hAnsi="Arial"/>
          <w:sz w:val="18"/>
          <w:szCs w:val="18"/>
          <w:b w:val="1"/>
          <w:bCs w:val="1"/>
          <w:i w:val="1"/>
          <w:iCs w:val="1"/>
          <w:color w:val="auto"/>
        </w:rPr>
        <w:t>Bankruptcy Court</w:t>
      </w:r>
      <w:r>
        <w:rPr>
          <w:rFonts w:ascii="Arial" w:cs="Arial" w:eastAsia="Arial" w:hAnsi="Arial"/>
          <w:sz w:val="18"/>
          <w:szCs w:val="18"/>
          <w:color w:val="auto"/>
        </w:rPr>
        <w:t>”). The Chapter 11 Cases are being jointly administered under the caption In re: Yellow Corporation, et al., Case No. 23-11069.</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On September 15, 2023, the Bankruptcy Court issued a final order (the “</w:t>
      </w:r>
      <w:r>
        <w:rPr>
          <w:rFonts w:ascii="Arial" w:cs="Arial" w:eastAsia="Arial" w:hAnsi="Arial"/>
          <w:sz w:val="17"/>
          <w:szCs w:val="17"/>
          <w:b w:val="1"/>
          <w:bCs w:val="1"/>
          <w:i w:val="1"/>
          <w:iCs w:val="1"/>
          <w:color w:val="auto"/>
        </w:rPr>
        <w:t>Final Order</w:t>
      </w:r>
      <w:r>
        <w:rPr>
          <w:rFonts w:ascii="Arial" w:cs="Arial" w:eastAsia="Arial" w:hAnsi="Arial"/>
          <w:sz w:val="17"/>
          <w:szCs w:val="17"/>
          <w:color w:val="auto"/>
        </w:rPr>
        <w:t>”) authorizing, on a final basis, among other things: (i) entry into a superpriority junior secured debtor in possession multi-draw term loan facility (the “</w:t>
      </w:r>
      <w:r>
        <w:rPr>
          <w:rFonts w:ascii="Arial" w:cs="Arial" w:eastAsia="Arial" w:hAnsi="Arial"/>
          <w:sz w:val="17"/>
          <w:szCs w:val="17"/>
          <w:b w:val="1"/>
          <w:bCs w:val="1"/>
          <w:i w:val="1"/>
          <w:iCs w:val="1"/>
          <w:color w:val="auto"/>
        </w:rPr>
        <w:t>Junior DIP Credit Facility</w:t>
      </w:r>
      <w:r>
        <w:rPr>
          <w:rFonts w:ascii="Arial" w:cs="Arial" w:eastAsia="Arial" w:hAnsi="Arial"/>
          <w:sz w:val="17"/>
          <w:szCs w:val="17"/>
          <w:color w:val="auto"/>
        </w:rPr>
        <w:t>”) provided under the Junior Secured Super-Priority Debtor-in-Possession Credit Agreement, dated as of September 6, 2023, by and among the Company, as borrower, certain subsidiaries of the Company, as guarantors, the lenders party thereto from time to time and Alter Domus Products Corp., as administrative agent and collateral agent (the “</w:t>
      </w:r>
      <w:r>
        <w:rPr>
          <w:rFonts w:ascii="Arial" w:cs="Arial" w:eastAsia="Arial" w:hAnsi="Arial"/>
          <w:sz w:val="17"/>
          <w:szCs w:val="17"/>
          <w:b w:val="1"/>
          <w:bCs w:val="1"/>
          <w:i w:val="1"/>
          <w:iCs w:val="1"/>
          <w:color w:val="auto"/>
        </w:rPr>
        <w:t>Junior DIP Credit Agreement</w:t>
      </w:r>
      <w:r>
        <w:rPr>
          <w:rFonts w:ascii="Arial" w:cs="Arial" w:eastAsia="Arial" w:hAnsi="Arial"/>
          <w:sz w:val="17"/>
          <w:szCs w:val="17"/>
          <w:color w:val="auto"/>
        </w:rPr>
        <w:t>”) and (ii) a superpriority senior secured multi-draw term loan facility of Postpetition B-2 Loans (the “</w:t>
      </w:r>
      <w:r>
        <w:rPr>
          <w:rFonts w:ascii="Arial" w:cs="Arial" w:eastAsia="Arial" w:hAnsi="Arial"/>
          <w:sz w:val="17"/>
          <w:szCs w:val="17"/>
          <w:b w:val="1"/>
          <w:bCs w:val="1"/>
          <w:i w:val="1"/>
          <w:iCs w:val="1"/>
          <w:color w:val="auto"/>
        </w:rPr>
        <w:t>Postpetition B-2 Facility</w:t>
      </w:r>
      <w:r>
        <w:rPr>
          <w:rFonts w:ascii="Arial" w:cs="Arial" w:eastAsia="Arial" w:hAnsi="Arial"/>
          <w:sz w:val="17"/>
          <w:szCs w:val="17"/>
          <w:color w:val="auto"/>
        </w:rPr>
        <w:t>”) provided under that certain Amendment No. 4 to Amended and Restated Credit Agreement, dated as of September 6, 2023, by and among the Company, as borrower, certain subsidiaries of the Company, as guarantors, the lenders party thereto from time to time and Alter Domus Products Corp., as administrative agent and collateral agent, which amends that certain Amended and Restated Credit Agreement dated as of September 11, 2019 (as amended by Amendment No. 1 to Amended and Restated Credit Agreement, dated as of April 7, 2020, Amendment No. 2 to Amended and Restated Credit Agreement, dated as of July 7, 2020, Amendment No. 3 to Amended and Restated Credit Agreement dated as of July 7, 2023, and as may be further amended, amended and restated, restated, supplemented or otherwise modified from time to time, the “</w:t>
      </w:r>
      <w:r>
        <w:rPr>
          <w:rFonts w:ascii="Arial" w:cs="Arial" w:eastAsia="Arial" w:hAnsi="Arial"/>
          <w:sz w:val="17"/>
          <w:szCs w:val="17"/>
          <w:b w:val="1"/>
          <w:bCs w:val="1"/>
          <w:i w:val="1"/>
          <w:iCs w:val="1"/>
          <w:color w:val="auto"/>
        </w:rPr>
        <w:t>Postpetition B-2</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 Agreement Amendment</w:t>
      </w:r>
      <w:r>
        <w:rPr>
          <w:rFonts w:ascii="Arial" w:cs="Arial" w:eastAsia="Arial" w:hAnsi="Arial"/>
          <w:sz w:val="17"/>
          <w:szCs w:val="17"/>
          <w:color w:val="auto"/>
        </w:rPr>
        <w:t>”) . Reference is hereby made to that certain Current Report on Form 8-K, filed on August 25, 2023, which details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the Junior DIP Credit Facility and the Postpetition B-2 Facility, and references entry into the Junior DIP Credit Agreement and the Postpetition B-2 Credit Agreement Amendment, copies of which are attached to this Current Report on Form 8-K. Capitalized terms used but not otherwise defined in this Current Report on Form 8-K have the meanings given to them in the Final Order, the Junior DIP Credit Facility or the Postpetition B-2 Facility, as applicable.</w:t>
      </w:r>
    </w:p>
    <w:p>
      <w:pPr>
        <w:spacing w:after="0" w:line="18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Junior DIP Credit Agreement and the Postpetition B-2 Credit Agreement Amendment have certain customary covenants, as well as covenants mandating compliance by the Company Parties with a budget, variance testing and reporting requirements, among others. The proceeds of all or a portion of the DIP Credit Agreements may be used for, among other things, payment of costs to administer the Chapter 11 Cases, payment of expenses and fees of the transactions contemplated by the Chapter 11 Cases, payment of court-approved adequate protection obligations under the Final Order, Junior DIP Credit Agreement and Postpetition B-2 Credit Agreement Amendment, and payment of other costs, in each case, subject to an approved budget and such other purposes permitted under the Final Order, Junior DIP Credit Agreement and Postpetition B-2 Credit Agreement Amendment, or any other order of the Bankruptcy Court.</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foregoing description of the Junior DIP Credit Agreement and the Postpetition B-2 Credit Agreement Amendment do not purport to be complete and each description is subject to, and qualified in its entirety by, the full text of the Junior DIP Credit Agreement and the Postpetition B-2 Credit Agreement Amendment, as applicable, copies of which are filed as Exhibit 10.1 and Exhibit 10.2 to this Current Report on Form 8-K and are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1.03.</w:t>
      </w:r>
      <w:r>
        <w:rPr>
          <w:sz w:val="20"/>
          <w:szCs w:val="20"/>
          <w:color w:val="auto"/>
        </w:rPr>
        <w:tab/>
      </w:r>
      <w:r>
        <w:rPr>
          <w:rFonts w:ascii="Arial" w:cs="Arial" w:eastAsia="Arial" w:hAnsi="Arial"/>
          <w:sz w:val="16"/>
          <w:szCs w:val="16"/>
          <w:b w:val="1"/>
          <w:bCs w:val="1"/>
          <w:color w:val="auto"/>
        </w:rPr>
        <w:t>Bankruptcy or Receivership.</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set forth under Item 1.01 of this Current Report on Form 8-K regarding the Junior DIP Credit Agreement and the Postpetition B-2 Credit Agreement Amendment are incorporated herein by reference.</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The information set forth under Item 1.01 of this Current Report on Form 8-K regarding the Junior DIP Credit Agreement and the Postpetition B-2 Credit Agreement Amendment are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including the Projections, as a result of new information, future events or otherwise, except as otherwise required by law.</w:t>
      </w:r>
    </w:p>
    <w:p>
      <w:pPr>
        <w:spacing w:after="0" w:line="200" w:lineRule="exact"/>
        <w:rPr>
          <w:sz w:val="20"/>
          <w:szCs w:val="20"/>
          <w:color w:val="auto"/>
        </w:rPr>
      </w:pPr>
    </w:p>
    <w:p>
      <w:pPr>
        <w:spacing w:after="0" w:line="349"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jc w:val="center"/>
        <w:ind w:right="10576"/>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10576"/>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1" w:lineRule="exact"/>
        <w:rPr>
          <w:sz w:val="20"/>
          <w:szCs w:val="20"/>
          <w:color w:val="auto"/>
        </w:rPr>
      </w:pPr>
    </w:p>
    <w:p>
      <w:pPr>
        <w:ind w:left="844" w:right="40" w:hanging="849"/>
        <w:spacing w:after="0" w:line="277" w:lineRule="auto"/>
        <w:tabs>
          <w:tab w:leader="none" w:pos="8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Junior Secured Super-Priority Debtor-In-Possession Credit Agreement, dated as of September 6, 2023, among Yellow Corporation, the other guarantors and lenders party thereto, and Alter Domus Products Corp.</w:t>
      </w:r>
    </w:p>
    <w:p>
      <w:pPr>
        <w:spacing w:after="0" w:line="62" w:lineRule="exact"/>
        <w:rPr>
          <w:sz w:val="20"/>
          <w:szCs w:val="20"/>
          <w:color w:val="auto"/>
        </w:rPr>
      </w:pPr>
    </w:p>
    <w:p>
      <w:pPr>
        <w:ind w:left="844" w:right="80" w:hanging="849"/>
        <w:spacing w:after="0" w:line="277" w:lineRule="auto"/>
        <w:tabs>
          <w:tab w:leader="none" w:pos="8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EE"/>
        </w:rPr>
        <w:t>Amendment No. 4, dated as of September 6, 2023, to the Amended and Restated Credit Agreement, dated as of September 11, 2019, among Yellow Corporation, the other guarantors and lenders party thereto, and Alter Domus Products Corp.</w:t>
      </w:r>
    </w:p>
    <w:p>
      <w:pPr>
        <w:spacing w:after="0" w:line="62"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52" w:lineRule="exact"/>
        <w:rPr>
          <w:sz w:val="20"/>
          <w:szCs w:val="20"/>
          <w:color w:val="auto"/>
        </w:rPr>
      </w:pPr>
    </w:p>
    <w:p>
      <w:pPr>
        <w:ind w:left="224" w:right="540"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schedules and similar attachments have been omitted. The Company agrees to furnish a supplemental copy of any omitted schedule or attachment to the SEC upon request.</w:t>
      </w:r>
    </w:p>
    <w:p>
      <w:pPr>
        <w:sectPr>
          <w:pgSz w:w="11900" w:h="16838" w:orient="portrait"/>
          <w:cols w:equalWidth="0" w:num="1">
            <w:col w:w="11004"/>
          </w:cols>
          <w:pgMar w:left="436" w:top="297" w:right="45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YELLOW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 General Counsel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2023</w:t>
      </w:r>
    </w:p>
    <w:p>
      <w:pPr>
        <w:sectPr>
          <w:pgSz w:w="11900" w:h="16838" w:orient="portrait"/>
          <w:cols w:equalWidth="0" w:num="1">
            <w:col w:w="10380"/>
          </w:cols>
          <w:pgMar w:left="440" w:top="301"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JUNIOR SECURED SUPER-PRIORITY DEBTOR-IN-POSSESSION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September 6, 2023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YELLOW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OTHER GUARANTORS PARTY HERETO FROM TIME TO TIME</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ALTER DOMUS PRODUCTS CORP.,</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as Administrative Agent and Collateral Agent</w:t>
      </w:r>
    </w:p>
    <w:p>
      <w:pPr>
        <w:sectPr>
          <w:pgSz w:w="11900" w:h="16838" w:orient="portrait"/>
          <w:cols w:equalWidth="0" w:num="1">
            <w:col w:w="10020"/>
          </w:cols>
          <w:pgMar w:left="1440" w:top="125"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r>
      <w:tr>
        <w:trPr>
          <w:trHeight w:val="392"/>
        </w:trPr>
        <w:tc>
          <w:tcPr>
            <w:tcW w:w="106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r>
      <w:tr>
        <w:trPr>
          <w:trHeight w:val="290"/>
        </w:trPr>
        <w:tc>
          <w:tcPr>
            <w:tcW w:w="10620" w:type="dxa"/>
            <w:vAlign w:val="bottom"/>
          </w:tcPr>
          <w:p>
            <w:pPr>
              <w:jc w:val="center"/>
              <w:ind w:right="130"/>
              <w:spacing w:after="0"/>
              <w:rPr>
                <w:sz w:val="20"/>
                <w:szCs w:val="20"/>
                <w:color w:val="auto"/>
              </w:rPr>
            </w:pPr>
            <w:r>
              <w:rPr>
                <w:rFonts w:ascii="Arial" w:cs="Arial" w:eastAsia="Arial" w:hAnsi="Arial"/>
                <w:sz w:val="18"/>
                <w:szCs w:val="18"/>
                <w:b w:val="1"/>
                <w:bCs w:val="1"/>
                <w:color w:val="auto"/>
              </w:rPr>
              <w:t>ARTICLE 1</w:t>
            </w:r>
          </w:p>
        </w:tc>
        <w:tc>
          <w:tcPr>
            <w:tcW w:w="340" w:type="dxa"/>
            <w:vAlign w:val="bottom"/>
          </w:tcPr>
          <w:p>
            <w:pPr>
              <w:spacing w:after="0"/>
              <w:rPr>
                <w:sz w:val="24"/>
                <w:szCs w:val="24"/>
                <w:color w:val="auto"/>
              </w:rPr>
            </w:pPr>
          </w:p>
        </w:tc>
      </w:tr>
      <w:tr>
        <w:trPr>
          <w:trHeight w:val="23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20"/>
                <w:szCs w:val="20"/>
                <w:color w:val="auto"/>
              </w:rPr>
            </w:pPr>
          </w:p>
        </w:tc>
      </w:tr>
      <w:tr>
        <w:trPr>
          <w:trHeight w:val="256"/>
        </w:trPr>
        <w:tc>
          <w:tcPr>
            <w:tcW w:w="10620" w:type="dxa"/>
            <w:vAlign w:val="bottom"/>
          </w:tcPr>
          <w:p>
            <w:pPr>
              <w:spacing w:after="0"/>
              <w:rPr>
                <w:sz w:val="20"/>
                <w:szCs w:val="20"/>
                <w:color w:val="auto"/>
              </w:rPr>
            </w:pPr>
            <w:r>
              <w:rPr>
                <w:rFonts w:ascii="Arial" w:cs="Arial" w:eastAsia="Arial" w:hAnsi="Arial"/>
                <w:sz w:val="18"/>
                <w:szCs w:val="18"/>
                <w:color w:val="auto"/>
              </w:rPr>
              <w:t>Section 1.01. Defined Terms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1.02. Other Interpretive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1.03. Certifications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1.04. Accounting Terms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1.05. Rounding</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1.06. References to Agreements, Laws, Etc.</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1.07. Times of Day</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1.08. Timing of Payment or Performance</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1.09. Certain Accounting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1.10. Classification of Loans and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1.11. Currency Equivalents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1.12. Québec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0620" w:type="dxa"/>
            <w:vAlign w:val="bottom"/>
          </w:tcPr>
          <w:p>
            <w:pPr>
              <w:jc w:val="center"/>
              <w:ind w:right="130"/>
              <w:spacing w:after="0"/>
              <w:rPr>
                <w:sz w:val="20"/>
                <w:szCs w:val="20"/>
                <w:color w:val="auto"/>
              </w:rPr>
            </w:pPr>
            <w:r>
              <w:rPr>
                <w:rFonts w:ascii="Arial" w:cs="Arial" w:eastAsia="Arial" w:hAnsi="Arial"/>
                <w:sz w:val="18"/>
                <w:szCs w:val="18"/>
                <w:b w:val="1"/>
                <w:bCs w:val="1"/>
                <w:color w:val="auto"/>
              </w:rPr>
              <w:t>ARTICLE 2</w:t>
            </w:r>
          </w:p>
        </w:tc>
        <w:tc>
          <w:tcPr>
            <w:tcW w:w="340" w:type="dxa"/>
            <w:vAlign w:val="bottom"/>
          </w:tcPr>
          <w:p>
            <w:pPr>
              <w:spacing w:after="0"/>
              <w:rPr>
                <w:sz w:val="24"/>
                <w:szCs w:val="24"/>
                <w:color w:val="auto"/>
              </w:rPr>
            </w:pPr>
          </w:p>
        </w:tc>
      </w:tr>
      <w:tr>
        <w:trPr>
          <w:trHeight w:val="23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REDITS</w:t>
            </w:r>
          </w:p>
        </w:tc>
        <w:tc>
          <w:tcPr>
            <w:tcW w:w="340" w:type="dxa"/>
            <w:vAlign w:val="bottom"/>
          </w:tcPr>
          <w:p>
            <w:pPr>
              <w:spacing w:after="0"/>
              <w:rPr>
                <w:sz w:val="20"/>
                <w:szCs w:val="20"/>
                <w:color w:val="auto"/>
              </w:rPr>
            </w:pPr>
          </w:p>
        </w:tc>
      </w:tr>
      <w:tr>
        <w:trPr>
          <w:trHeight w:val="256"/>
        </w:trPr>
        <w:tc>
          <w:tcPr>
            <w:tcW w:w="10620" w:type="dxa"/>
            <w:vAlign w:val="bottom"/>
          </w:tcPr>
          <w:p>
            <w:pPr>
              <w:spacing w:after="0"/>
              <w:rPr>
                <w:sz w:val="20"/>
                <w:szCs w:val="20"/>
                <w:color w:val="auto"/>
              </w:rPr>
            </w:pPr>
            <w:r>
              <w:rPr>
                <w:rFonts w:ascii="Arial" w:cs="Arial" w:eastAsia="Arial" w:hAnsi="Arial"/>
                <w:sz w:val="18"/>
                <w:szCs w:val="18"/>
                <w:color w:val="auto"/>
              </w:rPr>
              <w:t>Section 2.01. Term Loan Commitments</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2.02. Loans</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2.03. Borrowing Procedure</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2.04. Evidence of Debt; Repayment of Loans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2.05. Fees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2.06. Interest on Loans</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2.07. Default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2.08.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2.09.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2.10.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2.11. Repayment of Term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2.12. Voluntary Prepayment; Termination or Reduction of Commitments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2.13.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2.14. Pro Rata Treatment</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2.15. Sharing of Setoffs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2.16. Payments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2.17. Currency Indemnity</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0620" w:type="dxa"/>
            <w:vAlign w:val="bottom"/>
          </w:tcPr>
          <w:p>
            <w:pPr>
              <w:jc w:val="center"/>
              <w:ind w:right="130"/>
              <w:spacing w:after="0"/>
              <w:rPr>
                <w:sz w:val="20"/>
                <w:szCs w:val="20"/>
                <w:color w:val="auto"/>
              </w:rPr>
            </w:pPr>
            <w:r>
              <w:rPr>
                <w:rFonts w:ascii="Arial" w:cs="Arial" w:eastAsia="Arial" w:hAnsi="Arial"/>
                <w:sz w:val="18"/>
                <w:szCs w:val="18"/>
                <w:b w:val="1"/>
                <w:bCs w:val="1"/>
                <w:color w:val="auto"/>
              </w:rPr>
              <w:t>ARTICLE 3</w:t>
            </w:r>
          </w:p>
        </w:tc>
        <w:tc>
          <w:tcPr>
            <w:tcW w:w="340" w:type="dxa"/>
            <w:vAlign w:val="bottom"/>
          </w:tcPr>
          <w:p>
            <w:pPr>
              <w:spacing w:after="0"/>
              <w:rPr>
                <w:sz w:val="24"/>
                <w:szCs w:val="24"/>
                <w:color w:val="auto"/>
              </w:rPr>
            </w:pPr>
          </w:p>
        </w:tc>
      </w:tr>
      <w:tr>
        <w:trPr>
          <w:trHeight w:val="23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AXES</w:t>
            </w:r>
            <w:r>
              <w:rPr>
                <w:rFonts w:ascii="Arial" w:cs="Arial" w:eastAsia="Arial" w:hAnsi="Arial"/>
                <w:sz w:val="18"/>
                <w:szCs w:val="18"/>
                <w:color w:val="auto"/>
              </w:rPr>
              <w:t>, I</w:t>
            </w:r>
            <w:r>
              <w:rPr>
                <w:rFonts w:ascii="Arial" w:cs="Arial" w:eastAsia="Arial" w:hAnsi="Arial"/>
                <w:sz w:val="14"/>
                <w:szCs w:val="14"/>
                <w:color w:val="auto"/>
              </w:rPr>
              <w:t>NCREASED</w:t>
            </w:r>
            <w:r>
              <w:rPr>
                <w:rFonts w:ascii="Arial" w:cs="Arial" w:eastAsia="Arial" w:hAnsi="Arial"/>
                <w:sz w:val="18"/>
                <w:szCs w:val="18"/>
                <w:color w:val="auto"/>
              </w:rPr>
              <w:t xml:space="preserve"> C</w:t>
            </w:r>
            <w:r>
              <w:rPr>
                <w:rFonts w:ascii="Arial" w:cs="Arial" w:eastAsia="Arial" w:hAnsi="Arial"/>
                <w:sz w:val="14"/>
                <w:szCs w:val="14"/>
                <w:color w:val="auto"/>
              </w:rPr>
              <w:t>OSTS</w:t>
            </w:r>
            <w:r>
              <w:rPr>
                <w:rFonts w:ascii="Arial" w:cs="Arial" w:eastAsia="Arial" w:hAnsi="Arial"/>
                <w:sz w:val="18"/>
                <w:szCs w:val="18"/>
                <w:color w:val="auto"/>
              </w:rPr>
              <w:t xml:space="preserve"> P</w:t>
            </w:r>
            <w:r>
              <w:rPr>
                <w:rFonts w:ascii="Arial" w:cs="Arial" w:eastAsia="Arial" w:hAnsi="Arial"/>
                <w:sz w:val="14"/>
                <w:szCs w:val="14"/>
                <w:color w:val="auto"/>
              </w:rPr>
              <w:t>ROTECTION AND</w:t>
            </w:r>
            <w:r>
              <w:rPr>
                <w:rFonts w:ascii="Arial" w:cs="Arial" w:eastAsia="Arial" w:hAnsi="Arial"/>
                <w:sz w:val="18"/>
                <w:szCs w:val="18"/>
                <w:color w:val="auto"/>
              </w:rPr>
              <w:t xml:space="preserve"> I</w:t>
            </w:r>
            <w:r>
              <w:rPr>
                <w:rFonts w:ascii="Arial" w:cs="Arial" w:eastAsia="Arial" w:hAnsi="Arial"/>
                <w:sz w:val="14"/>
                <w:szCs w:val="14"/>
                <w:color w:val="auto"/>
              </w:rPr>
              <w:t>LLEGALITY</w:t>
            </w:r>
          </w:p>
        </w:tc>
        <w:tc>
          <w:tcPr>
            <w:tcW w:w="340" w:type="dxa"/>
            <w:vAlign w:val="bottom"/>
          </w:tcPr>
          <w:p>
            <w:pPr>
              <w:spacing w:after="0"/>
              <w:rPr>
                <w:sz w:val="20"/>
                <w:szCs w:val="20"/>
                <w:color w:val="auto"/>
              </w:rPr>
            </w:pPr>
          </w:p>
        </w:tc>
      </w:tr>
      <w:tr>
        <w:trPr>
          <w:trHeight w:val="256"/>
        </w:trPr>
        <w:tc>
          <w:tcPr>
            <w:tcW w:w="10620" w:type="dxa"/>
            <w:vAlign w:val="bottom"/>
          </w:tcPr>
          <w:p>
            <w:pPr>
              <w:spacing w:after="0"/>
              <w:rPr>
                <w:sz w:val="20"/>
                <w:szCs w:val="20"/>
                <w:color w:val="auto"/>
              </w:rPr>
            </w:pPr>
            <w:r>
              <w:rPr>
                <w:rFonts w:ascii="Arial" w:cs="Arial" w:eastAsia="Arial" w:hAnsi="Arial"/>
                <w:sz w:val="18"/>
                <w:szCs w:val="18"/>
                <w:color w:val="auto"/>
              </w:rPr>
              <w:t>Section 3.01. Taxes</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3.02.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3.03. Increased Cost and Reduced Return; Capital Adequacy</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3.04.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3.05. Matters Applicable to all Requests for Compensation</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3.06. [Reserved]</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3.07. Survival</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432" w:right="499" w:bottom="1440" w:gutter="0" w:footer="0" w:header="0"/>
        </w:sectPr>
      </w:pPr>
    </w:p>
    <w:bookmarkStart w:id="6" w:name="page7"/>
    <w:bookmarkEnd w:id="6"/>
    <w:p>
      <w:pPr>
        <w:jc w:val="center"/>
        <w:ind w:righ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E</w:t>
      </w:r>
      <w:r>
        <w:rPr>
          <w:rFonts w:ascii="Arial" w:cs="Arial" w:eastAsia="Arial" w:hAnsi="Arial"/>
          <w:sz w:val="14"/>
          <w:szCs w:val="14"/>
          <w:color w:val="auto"/>
        </w:rPr>
        <w:t>FFECTIVENESS AND EACH</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E</w:t>
      </w:r>
      <w:r>
        <w:rPr>
          <w:rFonts w:ascii="Arial" w:cs="Arial" w:eastAsia="Arial" w:hAnsi="Arial"/>
          <w:sz w:val="14"/>
          <w:szCs w:val="14"/>
          <w:color w:val="auto"/>
        </w:rPr>
        <w:t>XTENSION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4.01. All Credit Extensions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Section 4.02. Effective Date Credit Extension</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740" w:type="dxa"/>
            <w:vAlign w:val="bottom"/>
          </w:tcPr>
          <w:p>
            <w:pPr>
              <w:jc w:val="center"/>
              <w:ind w:left="1770"/>
              <w:spacing w:after="0"/>
              <w:rPr>
                <w:sz w:val="20"/>
                <w:szCs w:val="20"/>
                <w:color w:val="auto"/>
              </w:rPr>
            </w:pPr>
            <w:r>
              <w:rPr>
                <w:rFonts w:ascii="Arial" w:cs="Arial" w:eastAsia="Arial" w:hAnsi="Arial"/>
                <w:sz w:val="18"/>
                <w:szCs w:val="18"/>
                <w:b w:val="1"/>
                <w:bCs w:val="1"/>
                <w:color w:val="auto"/>
              </w:rPr>
              <w:t>ARTICLE 5</w:t>
            </w:r>
          </w:p>
        </w:tc>
        <w:tc>
          <w:tcPr>
            <w:tcW w:w="2220" w:type="dxa"/>
            <w:vAlign w:val="bottom"/>
          </w:tcPr>
          <w:p>
            <w:pPr>
              <w:spacing w:after="0"/>
              <w:rPr>
                <w:sz w:val="24"/>
                <w:szCs w:val="24"/>
                <w:color w:val="auto"/>
              </w:rPr>
            </w:pPr>
          </w:p>
        </w:tc>
      </w:tr>
      <w:tr>
        <w:trPr>
          <w:trHeight w:val="230"/>
        </w:trPr>
        <w:tc>
          <w:tcPr>
            <w:tcW w:w="8740" w:type="dxa"/>
            <w:vAlign w:val="bottom"/>
          </w:tcPr>
          <w:p>
            <w:pPr>
              <w:jc w:val="center"/>
              <w:ind w:left="177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tc>
        <w:tc>
          <w:tcPr>
            <w:tcW w:w="2220" w:type="dxa"/>
            <w:vAlign w:val="bottom"/>
          </w:tcPr>
          <w:p>
            <w:pPr>
              <w:spacing w:after="0"/>
              <w:rPr>
                <w:sz w:val="20"/>
                <w:szCs w:val="20"/>
                <w:color w:val="auto"/>
              </w:rPr>
            </w:pPr>
          </w:p>
        </w:tc>
      </w:tr>
      <w:tr>
        <w:trPr>
          <w:trHeight w:val="256"/>
        </w:trPr>
        <w:tc>
          <w:tcPr>
            <w:tcW w:w="8740" w:type="dxa"/>
            <w:vAlign w:val="bottom"/>
          </w:tcPr>
          <w:p>
            <w:pPr>
              <w:spacing w:after="0"/>
              <w:rPr>
                <w:sz w:val="20"/>
                <w:szCs w:val="20"/>
                <w:color w:val="auto"/>
              </w:rPr>
            </w:pPr>
            <w:r>
              <w:rPr>
                <w:rFonts w:ascii="Arial" w:cs="Arial" w:eastAsia="Arial" w:hAnsi="Arial"/>
                <w:sz w:val="18"/>
                <w:szCs w:val="18"/>
                <w:color w:val="auto"/>
              </w:rPr>
              <w:t>Section 5.01. Existence, Qualification and Power; Compliance with Laws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5.02. Authorization; No Contravention</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5.03. Governmental Authorization; Other Consents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5.04. Binding Effect</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5.05. Financial Statements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5.06. Compliance With Laws</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5.07. Ownership of Property; Liens</w:t>
            </w:r>
          </w:p>
        </w:tc>
        <w:tc>
          <w:tcPr>
            <w:tcW w:w="2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5.08. Environmental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5.09. Taxes</w:t>
            </w:r>
          </w:p>
        </w:tc>
        <w:tc>
          <w:tcPr>
            <w:tcW w:w="2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5.10. Litigation</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5.11. Subsidiaries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5.12. Margin Regulations; Investment Company Act</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5.13. Disclosure</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5.14. ERISA Compliance</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5.15. Insurance</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5.16. [Reserved]</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5.17. No Other Borrowed Money Indebtedness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5.18. Collateral Documents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5.19. Compliance with Anti-Terrorism and Corruption Laws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5.20. Real Property Permits</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5.21. Secured, Super-Priority Obligations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5.22. Prepetition UST Joint and Priority Collateral</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5.23. Delayed Draw Term Commitment Priority</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Section 5.24. No Canadian Pension Plans.</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8740" w:type="dxa"/>
            <w:vAlign w:val="bottom"/>
          </w:tcPr>
          <w:p>
            <w:pPr>
              <w:jc w:val="center"/>
              <w:ind w:left="1770"/>
              <w:spacing w:after="0"/>
              <w:rPr>
                <w:sz w:val="20"/>
                <w:szCs w:val="20"/>
                <w:color w:val="auto"/>
              </w:rPr>
            </w:pPr>
            <w:r>
              <w:rPr>
                <w:rFonts w:ascii="Arial" w:cs="Arial" w:eastAsia="Arial" w:hAnsi="Arial"/>
                <w:sz w:val="18"/>
                <w:szCs w:val="18"/>
                <w:b w:val="1"/>
                <w:bCs w:val="1"/>
                <w:color w:val="auto"/>
              </w:rPr>
              <w:t>ARTICLE 6</w:t>
            </w:r>
          </w:p>
        </w:tc>
        <w:tc>
          <w:tcPr>
            <w:tcW w:w="2220" w:type="dxa"/>
            <w:vAlign w:val="bottom"/>
          </w:tcPr>
          <w:p>
            <w:pPr>
              <w:spacing w:after="0"/>
              <w:rPr>
                <w:sz w:val="24"/>
                <w:szCs w:val="24"/>
                <w:color w:val="auto"/>
              </w:rPr>
            </w:pPr>
          </w:p>
        </w:tc>
      </w:tr>
      <w:tr>
        <w:trPr>
          <w:trHeight w:val="230"/>
        </w:trPr>
        <w:tc>
          <w:tcPr>
            <w:tcW w:w="8740" w:type="dxa"/>
            <w:vAlign w:val="bottom"/>
          </w:tcPr>
          <w:p>
            <w:pPr>
              <w:jc w:val="center"/>
              <w:ind w:left="177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2220" w:type="dxa"/>
            <w:vAlign w:val="bottom"/>
          </w:tcPr>
          <w:p>
            <w:pPr>
              <w:spacing w:after="0"/>
              <w:rPr>
                <w:sz w:val="20"/>
                <w:szCs w:val="20"/>
                <w:color w:val="auto"/>
              </w:rPr>
            </w:pPr>
          </w:p>
        </w:tc>
      </w:tr>
      <w:tr>
        <w:trPr>
          <w:trHeight w:val="256"/>
        </w:trPr>
        <w:tc>
          <w:tcPr>
            <w:tcW w:w="8740" w:type="dxa"/>
            <w:vAlign w:val="bottom"/>
          </w:tcPr>
          <w:p>
            <w:pPr>
              <w:spacing w:after="0"/>
              <w:rPr>
                <w:sz w:val="20"/>
                <w:szCs w:val="20"/>
                <w:color w:val="auto"/>
              </w:rPr>
            </w:pPr>
            <w:r>
              <w:rPr>
                <w:rFonts w:ascii="Arial" w:cs="Arial" w:eastAsia="Arial" w:hAnsi="Arial"/>
                <w:sz w:val="18"/>
                <w:szCs w:val="18"/>
                <w:color w:val="auto"/>
              </w:rPr>
              <w:t>Section 6.01. Financial Statements, Reports, Etc.</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6.02. Certificates; Other Information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6.03. 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6.04. Payment of Taxes</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6.05. Preservation of Existence, Etc.</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6.06. Maintenance of Properties</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6.07. Maintenance of Insurance</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6.08. Compliance with Laws</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6.09. Books and Records</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6.10. Inspection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6.11. Additional Collateral; Additional Guarantors</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6.12. Compliance with Environmental Laws</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6.13. Further Assurances and Post-Closing Conditions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6.14. Lender Calls; Access; Diligence Requests</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Section 6.15. Use of Proceeds and Collateral</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Section 6.16. Chapter 11 Cases</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918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7</w:t>
            </w:r>
          </w:p>
        </w:tc>
        <w:tc>
          <w:tcPr>
            <w:tcW w:w="1780" w:type="dxa"/>
            <w:vAlign w:val="bottom"/>
          </w:tcPr>
          <w:p>
            <w:pPr>
              <w:spacing w:after="0"/>
              <w:rPr>
                <w:sz w:val="19"/>
                <w:szCs w:val="19"/>
                <w:color w:val="auto"/>
              </w:rPr>
            </w:pPr>
          </w:p>
        </w:tc>
      </w:tr>
      <w:tr>
        <w:trPr>
          <w:trHeight w:val="230"/>
        </w:trPr>
        <w:tc>
          <w:tcPr>
            <w:tcW w:w="9180" w:type="dxa"/>
            <w:vAlign w:val="bottom"/>
          </w:tcPr>
          <w:p>
            <w:pPr>
              <w:jc w:val="center"/>
              <w:ind w:left="133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1780" w:type="dxa"/>
            <w:vAlign w:val="bottom"/>
          </w:tcPr>
          <w:p>
            <w:pPr>
              <w:spacing w:after="0"/>
              <w:rPr>
                <w:sz w:val="20"/>
                <w:szCs w:val="20"/>
                <w:color w:val="auto"/>
              </w:rPr>
            </w:pPr>
          </w:p>
        </w:tc>
      </w:tr>
      <w:tr>
        <w:trPr>
          <w:trHeight w:val="256"/>
        </w:trPr>
        <w:tc>
          <w:tcPr>
            <w:tcW w:w="9180" w:type="dxa"/>
            <w:vAlign w:val="bottom"/>
          </w:tcPr>
          <w:p>
            <w:pPr>
              <w:spacing w:after="0"/>
              <w:rPr>
                <w:sz w:val="20"/>
                <w:szCs w:val="20"/>
                <w:color w:val="auto"/>
              </w:rPr>
            </w:pPr>
            <w:r>
              <w:rPr>
                <w:rFonts w:ascii="Arial" w:cs="Arial" w:eastAsia="Arial" w:hAnsi="Arial"/>
                <w:sz w:val="18"/>
                <w:szCs w:val="18"/>
                <w:color w:val="auto"/>
              </w:rPr>
              <w:t>Section 7.01. Liens</w:t>
            </w:r>
          </w:p>
        </w:tc>
        <w:tc>
          <w:tcPr>
            <w:tcW w:w="1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7.02. Investments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7.03. Indebtedness</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7.04. Fundamental Changes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7.05. Dispositions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7.06. Restricted Payments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7.07. Organization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7.08. Transactions with Affiliates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7.09. Burdensome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7.10. [Reserved]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7.11. Budget Variance Covenants</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7.12. Fiscal Year</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7.13. Prepayments, Etc. of Indebtedness</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7.14. [Reserved]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7.15. Leases and Other Executory Contracts; Exclusivity Period</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7.16. DIP Proceeds Account; Use of Cash</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Section 7.17. No Canadian Pension Plans.</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918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8</w:t>
            </w:r>
          </w:p>
        </w:tc>
        <w:tc>
          <w:tcPr>
            <w:tcW w:w="1780" w:type="dxa"/>
            <w:vAlign w:val="bottom"/>
          </w:tcPr>
          <w:p>
            <w:pPr>
              <w:spacing w:after="0"/>
              <w:rPr>
                <w:sz w:val="24"/>
                <w:szCs w:val="24"/>
                <w:color w:val="auto"/>
              </w:rPr>
            </w:pPr>
          </w:p>
        </w:tc>
      </w:tr>
      <w:tr>
        <w:trPr>
          <w:trHeight w:val="230"/>
        </w:trPr>
        <w:tc>
          <w:tcPr>
            <w:tcW w:w="9180" w:type="dxa"/>
            <w:vAlign w:val="bottom"/>
          </w:tcPr>
          <w:p>
            <w:pPr>
              <w:jc w:val="center"/>
              <w:ind w:left="135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1780" w:type="dxa"/>
            <w:vAlign w:val="bottom"/>
          </w:tcPr>
          <w:p>
            <w:pPr>
              <w:spacing w:after="0"/>
              <w:rPr>
                <w:sz w:val="20"/>
                <w:szCs w:val="20"/>
                <w:color w:val="auto"/>
              </w:rPr>
            </w:pPr>
          </w:p>
        </w:tc>
      </w:tr>
      <w:tr>
        <w:trPr>
          <w:trHeight w:val="256"/>
        </w:trPr>
        <w:tc>
          <w:tcPr>
            <w:tcW w:w="9180" w:type="dxa"/>
            <w:vAlign w:val="bottom"/>
          </w:tcPr>
          <w:p>
            <w:pPr>
              <w:spacing w:after="0"/>
              <w:rPr>
                <w:sz w:val="20"/>
                <w:szCs w:val="20"/>
                <w:color w:val="auto"/>
              </w:rPr>
            </w:pPr>
            <w:r>
              <w:rPr>
                <w:rFonts w:ascii="Arial" w:cs="Arial" w:eastAsia="Arial" w:hAnsi="Arial"/>
                <w:sz w:val="18"/>
                <w:szCs w:val="18"/>
                <w:color w:val="auto"/>
              </w:rPr>
              <w:t>Section 8.01. Events of Default</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8.02. Remedies Upon Event of Default</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8.03. [Reserved]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Section 8.04. Application of Funds</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0"/>
        </w:trPr>
        <w:tc>
          <w:tcPr>
            <w:tcW w:w="918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9</w:t>
            </w:r>
          </w:p>
        </w:tc>
        <w:tc>
          <w:tcPr>
            <w:tcW w:w="1780" w:type="dxa"/>
            <w:vAlign w:val="bottom"/>
          </w:tcPr>
          <w:p>
            <w:pPr>
              <w:spacing w:after="0"/>
              <w:rPr>
                <w:sz w:val="24"/>
                <w:szCs w:val="24"/>
                <w:color w:val="auto"/>
              </w:rPr>
            </w:pPr>
          </w:p>
        </w:tc>
      </w:tr>
      <w:tr>
        <w:trPr>
          <w:trHeight w:val="230"/>
        </w:trPr>
        <w:tc>
          <w:tcPr>
            <w:tcW w:w="9180" w:type="dxa"/>
            <w:vAlign w:val="bottom"/>
          </w:tcPr>
          <w:p>
            <w:pPr>
              <w:jc w:val="center"/>
              <w:ind w:left="133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 AND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1780" w:type="dxa"/>
            <w:vAlign w:val="bottom"/>
          </w:tcPr>
          <w:p>
            <w:pPr>
              <w:spacing w:after="0"/>
              <w:rPr>
                <w:sz w:val="20"/>
                <w:szCs w:val="20"/>
                <w:color w:val="auto"/>
              </w:rPr>
            </w:pPr>
          </w:p>
        </w:tc>
      </w:tr>
      <w:tr>
        <w:trPr>
          <w:trHeight w:val="310"/>
        </w:trPr>
        <w:tc>
          <w:tcPr>
            <w:tcW w:w="918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10</w:t>
            </w:r>
          </w:p>
        </w:tc>
        <w:tc>
          <w:tcPr>
            <w:tcW w:w="1780" w:type="dxa"/>
            <w:vAlign w:val="bottom"/>
          </w:tcPr>
          <w:p>
            <w:pPr>
              <w:spacing w:after="0"/>
              <w:rPr>
                <w:sz w:val="24"/>
                <w:szCs w:val="24"/>
                <w:color w:val="auto"/>
              </w:rPr>
            </w:pPr>
          </w:p>
        </w:tc>
      </w:tr>
      <w:tr>
        <w:trPr>
          <w:trHeight w:val="230"/>
        </w:trPr>
        <w:tc>
          <w:tcPr>
            <w:tcW w:w="9180" w:type="dxa"/>
            <w:vAlign w:val="bottom"/>
          </w:tcPr>
          <w:p>
            <w:pPr>
              <w:jc w:val="center"/>
              <w:ind w:left="133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780" w:type="dxa"/>
            <w:vAlign w:val="bottom"/>
          </w:tcPr>
          <w:p>
            <w:pPr>
              <w:spacing w:after="0"/>
              <w:rPr>
                <w:sz w:val="20"/>
                <w:szCs w:val="20"/>
                <w:color w:val="auto"/>
              </w:rPr>
            </w:pPr>
          </w:p>
        </w:tc>
      </w:tr>
      <w:tr>
        <w:trPr>
          <w:trHeight w:val="256"/>
        </w:trPr>
        <w:tc>
          <w:tcPr>
            <w:tcW w:w="9180" w:type="dxa"/>
            <w:vAlign w:val="bottom"/>
          </w:tcPr>
          <w:p>
            <w:pPr>
              <w:spacing w:after="0"/>
              <w:rPr>
                <w:sz w:val="20"/>
                <w:szCs w:val="20"/>
                <w:color w:val="auto"/>
              </w:rPr>
            </w:pPr>
            <w:r>
              <w:rPr>
                <w:rFonts w:ascii="Arial" w:cs="Arial" w:eastAsia="Arial" w:hAnsi="Arial"/>
                <w:sz w:val="18"/>
                <w:szCs w:val="18"/>
                <w:color w:val="auto"/>
              </w:rPr>
              <w:t>Section 10.01. Notices; Electronic Communications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10.02. Survival of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10.03. Binding Effect</w:t>
            </w:r>
          </w:p>
        </w:tc>
        <w:tc>
          <w:tcPr>
            <w:tcW w:w="1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10.04. Successors and Assigns</w:t>
            </w:r>
          </w:p>
        </w:tc>
        <w:tc>
          <w:tcPr>
            <w:tcW w:w="1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10.05. Expenses; Indemnity</w:t>
            </w: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10.06. Right of Setoff</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10.07. Applicable Law</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10.08. Waivers; Amendment</w:t>
            </w:r>
          </w:p>
        </w:tc>
        <w:tc>
          <w:tcPr>
            <w:tcW w:w="1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10.09. Interest Rate Limitation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10.10. Entire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10.11. WAIVER OF JURY TRIAL</w:t>
            </w:r>
          </w:p>
        </w:tc>
        <w:tc>
          <w:tcPr>
            <w:tcW w:w="1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10.12. 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10.13. Counterparts</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10.14. Headings</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10.15. Jurisdiction; Consent to Service of Process</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10.16. Confidentiality</w:t>
            </w:r>
          </w:p>
        </w:tc>
        <w:tc>
          <w:tcPr>
            <w:tcW w:w="1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Section 10.17. 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Section 10.18. USA PATRIOT Act Notice</w:t>
            </w:r>
          </w:p>
        </w:tc>
        <w:tc>
          <w:tcPr>
            <w:tcW w:w="178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10.19. Collateral And Guaranty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10.20. Limitation on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10.21. Payments Set Aside</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10.22. No Advisory or Fiduciary Responsibility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10.23. Release</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10.24. Process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10.25. Waiver of Immunity</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10.26. DIP Order, Prepetition ABL Intercreditor Agreement and Senior ICA Provisions Control</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10.27. Québec Security</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9120" w:type="dxa"/>
            <w:vAlign w:val="bottom"/>
          </w:tcPr>
          <w:p>
            <w:pPr>
              <w:jc w:val="center"/>
              <w:ind w:left="1390"/>
              <w:spacing w:after="0"/>
              <w:rPr>
                <w:sz w:val="20"/>
                <w:szCs w:val="20"/>
                <w:color w:val="auto"/>
              </w:rPr>
            </w:pPr>
            <w:r>
              <w:rPr>
                <w:rFonts w:ascii="Arial" w:cs="Arial" w:eastAsia="Arial" w:hAnsi="Arial"/>
                <w:sz w:val="18"/>
                <w:szCs w:val="18"/>
                <w:b w:val="1"/>
                <w:bCs w:val="1"/>
                <w:color w:val="auto"/>
              </w:rPr>
              <w:t>ARTICLE 11</w:t>
            </w:r>
          </w:p>
        </w:tc>
        <w:tc>
          <w:tcPr>
            <w:tcW w:w="1840" w:type="dxa"/>
            <w:vAlign w:val="bottom"/>
          </w:tcPr>
          <w:p>
            <w:pPr>
              <w:spacing w:after="0"/>
              <w:rPr>
                <w:sz w:val="24"/>
                <w:szCs w:val="24"/>
                <w:color w:val="auto"/>
              </w:rPr>
            </w:pPr>
          </w:p>
        </w:tc>
      </w:tr>
      <w:tr>
        <w:trPr>
          <w:trHeight w:val="230"/>
        </w:trPr>
        <w:tc>
          <w:tcPr>
            <w:tcW w:w="9120" w:type="dxa"/>
            <w:vAlign w:val="bottom"/>
          </w:tcPr>
          <w:p>
            <w:pPr>
              <w:jc w:val="center"/>
              <w:ind w:left="141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w:t>
            </w:r>
          </w:p>
        </w:tc>
        <w:tc>
          <w:tcPr>
            <w:tcW w:w="1840" w:type="dxa"/>
            <w:vAlign w:val="bottom"/>
          </w:tcPr>
          <w:p>
            <w:pPr>
              <w:spacing w:after="0"/>
              <w:rPr>
                <w:sz w:val="20"/>
                <w:szCs w:val="20"/>
                <w:color w:val="auto"/>
              </w:rPr>
            </w:pPr>
          </w:p>
        </w:tc>
      </w:tr>
      <w:tr>
        <w:trPr>
          <w:trHeight w:val="256"/>
        </w:trPr>
        <w:tc>
          <w:tcPr>
            <w:tcW w:w="9120" w:type="dxa"/>
            <w:vAlign w:val="bottom"/>
          </w:tcPr>
          <w:p>
            <w:pPr>
              <w:spacing w:after="0"/>
              <w:rPr>
                <w:sz w:val="20"/>
                <w:szCs w:val="20"/>
                <w:color w:val="auto"/>
              </w:rPr>
            </w:pPr>
            <w:r>
              <w:rPr>
                <w:rFonts w:ascii="Arial" w:cs="Arial" w:eastAsia="Arial" w:hAnsi="Arial"/>
                <w:sz w:val="18"/>
                <w:szCs w:val="18"/>
                <w:color w:val="auto"/>
              </w:rPr>
              <w:t>Section 11.01. The Guarantee</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11.02. Obligations Unconditional</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11.03. Certain Waivers, Etc.</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11.04. Reinstatement</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11.05. Subrogation; Subordination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11.06. Remedies</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11.07. Instrument for the Payment of Money</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11.08. Continuing Guarantee</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11.09. General Limitation on Guarantee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11.10. Release of Guarantors</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11.11. Right of Contribution</w:t>
            </w:r>
          </w:p>
        </w:tc>
        <w:tc>
          <w:tcPr>
            <w:tcW w:w="1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11.12. Additional Guarantor Waivers and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9120" w:type="dxa"/>
            <w:vAlign w:val="bottom"/>
          </w:tcPr>
          <w:p>
            <w:pPr>
              <w:jc w:val="center"/>
              <w:ind w:left="1390"/>
              <w:spacing w:after="0"/>
              <w:rPr>
                <w:sz w:val="20"/>
                <w:szCs w:val="20"/>
                <w:color w:val="auto"/>
              </w:rPr>
            </w:pPr>
            <w:r>
              <w:rPr>
                <w:rFonts w:ascii="Arial" w:cs="Arial" w:eastAsia="Arial" w:hAnsi="Arial"/>
                <w:sz w:val="18"/>
                <w:szCs w:val="18"/>
                <w:b w:val="1"/>
                <w:bCs w:val="1"/>
                <w:color w:val="auto"/>
              </w:rPr>
              <w:t>ARTICLE 12</w:t>
            </w:r>
          </w:p>
        </w:tc>
        <w:tc>
          <w:tcPr>
            <w:tcW w:w="1840" w:type="dxa"/>
            <w:vAlign w:val="bottom"/>
          </w:tcPr>
          <w:p>
            <w:pPr>
              <w:spacing w:after="0"/>
              <w:rPr>
                <w:sz w:val="24"/>
                <w:szCs w:val="24"/>
                <w:color w:val="auto"/>
              </w:rPr>
            </w:pPr>
          </w:p>
        </w:tc>
      </w:tr>
      <w:tr>
        <w:trPr>
          <w:trHeight w:val="230"/>
        </w:trPr>
        <w:tc>
          <w:tcPr>
            <w:tcW w:w="9120" w:type="dxa"/>
            <w:vAlign w:val="bottom"/>
          </w:tcPr>
          <w:p>
            <w:pPr>
              <w:jc w:val="center"/>
              <w:ind w:left="1390"/>
              <w:spacing w:after="0"/>
              <w:rPr>
                <w:sz w:val="20"/>
                <w:szCs w:val="20"/>
                <w:color w:val="auto"/>
              </w:rPr>
            </w:pPr>
            <w:r>
              <w:rPr>
                <w:rFonts w:ascii="Arial" w:cs="Arial" w:eastAsia="Arial" w:hAnsi="Arial"/>
                <w:sz w:val="18"/>
                <w:szCs w:val="18"/>
                <w:i w:val="1"/>
                <w:iCs w:val="1"/>
                <w:color w:val="auto"/>
                <w:w w:val="95"/>
              </w:rPr>
              <w:t>R</w:t>
            </w:r>
            <w:r>
              <w:rPr>
                <w:rFonts w:ascii="Arial" w:cs="Arial" w:eastAsia="Arial" w:hAnsi="Arial"/>
                <w:sz w:val="14"/>
                <w:szCs w:val="14"/>
                <w:i w:val="1"/>
                <w:iCs w:val="1"/>
                <w:color w:val="auto"/>
                <w:w w:val="95"/>
              </w:rPr>
              <w:t>ESERVED</w:t>
            </w:r>
          </w:p>
        </w:tc>
        <w:tc>
          <w:tcPr>
            <w:tcW w:w="1840" w:type="dxa"/>
            <w:vAlign w:val="bottom"/>
          </w:tcPr>
          <w:p>
            <w:pPr>
              <w:spacing w:after="0"/>
              <w:rPr>
                <w:sz w:val="20"/>
                <w:szCs w:val="20"/>
                <w:color w:val="auto"/>
              </w:rPr>
            </w:pPr>
          </w:p>
        </w:tc>
      </w:tr>
      <w:tr>
        <w:trPr>
          <w:trHeight w:val="310"/>
        </w:trPr>
        <w:tc>
          <w:tcPr>
            <w:tcW w:w="9120" w:type="dxa"/>
            <w:vAlign w:val="bottom"/>
          </w:tcPr>
          <w:p>
            <w:pPr>
              <w:jc w:val="center"/>
              <w:ind w:left="1390"/>
              <w:spacing w:after="0"/>
              <w:rPr>
                <w:sz w:val="20"/>
                <w:szCs w:val="20"/>
                <w:color w:val="auto"/>
              </w:rPr>
            </w:pPr>
            <w:r>
              <w:rPr>
                <w:rFonts w:ascii="Arial" w:cs="Arial" w:eastAsia="Arial" w:hAnsi="Arial"/>
                <w:sz w:val="18"/>
                <w:szCs w:val="18"/>
                <w:b w:val="1"/>
                <w:bCs w:val="1"/>
                <w:color w:val="auto"/>
              </w:rPr>
              <w:t>ARTICLE 13</w:t>
            </w:r>
          </w:p>
        </w:tc>
        <w:tc>
          <w:tcPr>
            <w:tcW w:w="1840" w:type="dxa"/>
            <w:vAlign w:val="bottom"/>
          </w:tcPr>
          <w:p>
            <w:pPr>
              <w:spacing w:after="0"/>
              <w:rPr>
                <w:sz w:val="24"/>
                <w:szCs w:val="24"/>
                <w:color w:val="auto"/>
              </w:rPr>
            </w:pPr>
          </w:p>
        </w:tc>
      </w:tr>
      <w:tr>
        <w:trPr>
          <w:trHeight w:val="230"/>
        </w:trPr>
        <w:tc>
          <w:tcPr>
            <w:tcW w:w="9120" w:type="dxa"/>
            <w:vAlign w:val="bottom"/>
          </w:tcPr>
          <w:p>
            <w:pPr>
              <w:jc w:val="center"/>
              <w:ind w:left="139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 AND</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P</w:t>
            </w:r>
            <w:r>
              <w:rPr>
                <w:rFonts w:ascii="Arial" w:cs="Arial" w:eastAsia="Arial" w:hAnsi="Arial"/>
                <w:sz w:val="14"/>
                <w:szCs w:val="14"/>
                <w:color w:val="auto"/>
              </w:rPr>
              <w:t>RIORITY</w:t>
            </w:r>
          </w:p>
        </w:tc>
        <w:tc>
          <w:tcPr>
            <w:tcW w:w="1840" w:type="dxa"/>
            <w:vAlign w:val="bottom"/>
          </w:tcPr>
          <w:p>
            <w:pPr>
              <w:spacing w:after="0"/>
              <w:rPr>
                <w:sz w:val="20"/>
                <w:szCs w:val="20"/>
                <w:color w:val="auto"/>
              </w:rPr>
            </w:pPr>
          </w:p>
        </w:tc>
      </w:tr>
      <w:tr>
        <w:trPr>
          <w:trHeight w:val="256"/>
        </w:trPr>
        <w:tc>
          <w:tcPr>
            <w:tcW w:w="9120" w:type="dxa"/>
            <w:vAlign w:val="bottom"/>
          </w:tcPr>
          <w:p>
            <w:pPr>
              <w:spacing w:after="0"/>
              <w:rPr>
                <w:sz w:val="20"/>
                <w:szCs w:val="20"/>
                <w:color w:val="auto"/>
              </w:rPr>
            </w:pPr>
            <w:r>
              <w:rPr>
                <w:rFonts w:ascii="Arial" w:cs="Arial" w:eastAsia="Arial" w:hAnsi="Arial"/>
                <w:sz w:val="18"/>
                <w:szCs w:val="18"/>
                <w:color w:val="auto"/>
              </w:rPr>
              <w:t>Section 13.01. [Reserved]</w:t>
            </w: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13.02. [Reserved]</w:t>
            </w: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13.03. [Reserved]</w:t>
            </w: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13.04. Collateral; Grant of Lien and Security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13.05. Administrative Priority</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13.06. Grants, Rights and Remedies</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13.07. No Filings Required</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13.08. Survival</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APPENDICES</w:t>
      </w:r>
    </w:p>
    <w:p>
      <w:pPr>
        <w:spacing w:after="0" w:line="23"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Closing Date Commitments</w:t>
      </w:r>
    </w:p>
    <w:p>
      <w:pPr>
        <w:spacing w:after="0" w:line="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Date Commitments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Final Commitments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Delayed Draw Term Commitments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Chapter 11 Milestones</w:t>
      </w:r>
    </w:p>
    <w:p>
      <w:pPr>
        <w:sectPr>
          <w:pgSz w:w="11900" w:h="16838" w:orient="portrait"/>
          <w:cols w:equalWidth="0" w:num="1">
            <w:col w:w="10023"/>
          </w:cols>
          <w:pgMar w:left="436" w:top="274" w:right="1440"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7"/>
          <w:szCs w:val="17"/>
          <w:color w:val="auto"/>
        </w:rPr>
        <w:t>SCHEDULES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5.10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5.14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5.22(a)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5.22(b)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6.13(a)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7.02(e)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7.03(b)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Excluded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Pension Fund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and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Rolling Stock that constitutes Prepetition UST Tranche B Joint Collateral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Rolling Stock that constitutes Prepetition UST Tranche B Priority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Contractual Obligations</w:t>
      </w:r>
    </w:p>
    <w:p>
      <w:pPr>
        <w:spacing w:after="0" w:line="200" w:lineRule="exact"/>
        <w:rPr>
          <w:sz w:val="20"/>
          <w:szCs w:val="20"/>
          <w:color w:val="auto"/>
        </w:rPr>
      </w:pPr>
    </w:p>
    <w:p>
      <w:pPr>
        <w:sectPr>
          <w:pgSz w:w="11900" w:h="16838" w:orient="portrait"/>
          <w:cols w:equalWidth="0" w:num="2">
            <w:col w:w="1064" w:space="260"/>
            <w:col w:w="8699"/>
          </w:cols>
          <w:pgMar w:left="436" w:top="274" w:right="1440" w:bottom="1440" w:gutter="0" w:footer="0" w:header="0"/>
          <w:type w:val="continuous"/>
        </w:sectPr>
      </w:pPr>
    </w:p>
    <w:p>
      <w:pPr>
        <w:spacing w:after="0" w:line="38" w:lineRule="exact"/>
        <w:rPr>
          <w:sz w:val="20"/>
          <w:szCs w:val="20"/>
          <w:color w:val="auto"/>
        </w:rPr>
      </w:pPr>
    </w:p>
    <w:p>
      <w:pPr>
        <w:ind w:left="4"/>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023"/>
          </w:cols>
          <w:pgMar w:left="436" w:top="274" w:right="1440" w:bottom="1440" w:gutter="0" w:footer="0" w:header="0"/>
          <w:type w:val="continuous"/>
        </w:sectPr>
      </w:pPr>
    </w:p>
    <w:p>
      <w:pPr>
        <w:spacing w:after="0" w:line="237" w:lineRule="exact"/>
        <w:rPr>
          <w:sz w:val="20"/>
          <w:szCs w:val="20"/>
          <w:color w:val="auto"/>
        </w:rPr>
      </w:pPr>
    </w:p>
    <w:p>
      <w:pPr>
        <w:ind w:left="4"/>
        <w:spacing w:after="0" w:line="357" w:lineRule="auto"/>
        <w:rPr>
          <w:sz w:val="20"/>
          <w:szCs w:val="20"/>
          <w:color w:val="auto"/>
        </w:rPr>
      </w:pPr>
      <w:r>
        <w:rPr>
          <w:rFonts w:ascii="Arial" w:cs="Arial" w:eastAsia="Arial" w:hAnsi="Arial"/>
          <w:sz w:val="18"/>
          <w:szCs w:val="18"/>
          <w:color w:val="auto"/>
        </w:rPr>
        <w:t>Exhibit A Exhibit B Exhibit C Exhibit E Exhibit F Exhibit G-1  Exhibit G-2 Exhibit G-3 Exhibit G-4 Exhibit H Exhibit I Exhibit J Exhibit K</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Form of Administrative Questionnaire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Order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Request for Credit Extension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Form of Intercompany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United States Tax Compliance Certificate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 Non-U.S. Lenders that are not Partnerships)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Form of United States Tax Compliance Certificate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Non-U.S. Lenders that are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United States Tax Compliance Certificate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Non-U.S. Participants that are not Partnerships)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United States Tax Compliance Certificate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 Non-U.S. Participants that are Partnerships)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Term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Delayed Draw Term Note</w:t>
      </w:r>
    </w:p>
    <w:p>
      <w:pPr>
        <w:spacing w:after="0" w:line="309" w:lineRule="exact"/>
        <w:rPr>
          <w:sz w:val="20"/>
          <w:szCs w:val="20"/>
          <w:color w:val="auto"/>
        </w:rPr>
      </w:pPr>
    </w:p>
    <w:p>
      <w:pPr>
        <w:sectPr>
          <w:pgSz w:w="11900" w:h="16838" w:orient="portrait"/>
          <w:cols w:equalWidth="0" w:num="2">
            <w:col w:w="1044" w:space="280"/>
            <w:col w:w="8699"/>
          </w:cols>
          <w:pgMar w:left="436" w:top="274" w:right="1440" w:bottom="1440" w:gutter="0" w:footer="0" w:header="0"/>
          <w:type w:val="continuous"/>
        </w:sectPr>
      </w:pPr>
    </w:p>
    <w:p>
      <w:pPr>
        <w:spacing w:after="0" w:line="198" w:lineRule="exact"/>
        <w:rPr>
          <w:sz w:val="20"/>
          <w:szCs w:val="20"/>
          <w:color w:val="auto"/>
        </w:rPr>
      </w:pPr>
    </w:p>
    <w:p>
      <w:pPr>
        <w:ind w:left="5464"/>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023"/>
          </w:cols>
          <w:pgMar w:left="436" w:top="274" w:right="1440" w:bottom="1440" w:gutter="0" w:footer="0" w:header="0"/>
          <w:type w:val="continuous"/>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JUNIOR SECURED SUPER-PRIORITY DEBTOR-IN-POSSESSION CREDIT AGREEMENT, dated as of September 6, 2023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among YELLOW CORPORATION, a Delaware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the Guarantors party hereto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Lenders (such term and each other capitalized term used but not defined in this introductory statement having the meaning given it in Article 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ALTER DOMUS PRODUCTS CORP., as administrative agent (in such capacity, including any permitted successor or assign thereto,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Agent</w:t>
      </w:r>
      <w:r>
        <w:rPr>
          <w:rFonts w:ascii="Arial" w:cs="Arial" w:eastAsia="Arial" w:hAnsi="Arial"/>
          <w:sz w:val="16"/>
          <w:szCs w:val="16"/>
          <w:color w:val="auto"/>
        </w:rPr>
        <w:t>”) and as collateral agent (in such capacity, including any permitted successor or assign thereto, the “</w:t>
      </w:r>
      <w:r>
        <w:rPr>
          <w:rFonts w:ascii="Arial" w:cs="Arial" w:eastAsia="Arial" w:hAnsi="Arial"/>
          <w:sz w:val="16"/>
          <w:szCs w:val="16"/>
          <w:b w:val="1"/>
          <w:bCs w:val="1"/>
          <w:color w:val="auto"/>
        </w:rPr>
        <w:t>Collateral Agent</w:t>
      </w:r>
      <w:r>
        <w:rPr>
          <w:rFonts w:ascii="Arial" w:cs="Arial" w:eastAsia="Arial" w:hAnsi="Arial"/>
          <w:sz w:val="16"/>
          <w:szCs w:val="16"/>
          <w:color w:val="auto"/>
        </w:rPr>
        <w:t>”)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07"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WHEREAS, on August 6, 2023, (the “</w:t>
      </w:r>
      <w:r>
        <w:rPr>
          <w:rFonts w:ascii="Arial" w:cs="Arial" w:eastAsia="Arial" w:hAnsi="Arial"/>
          <w:sz w:val="16"/>
          <w:szCs w:val="16"/>
          <w:b w:val="1"/>
          <w:bCs w:val="1"/>
          <w:color w:val="auto"/>
        </w:rPr>
        <w:t>Petition Date</w:t>
      </w:r>
      <w:r>
        <w:rPr>
          <w:rFonts w:ascii="Arial" w:cs="Arial" w:eastAsia="Arial" w:hAnsi="Arial"/>
          <w:sz w:val="16"/>
          <w:szCs w:val="16"/>
          <w:color w:val="auto"/>
        </w:rPr>
        <w:t>”), the Borrower and certain of its Subsidiaries (together with the Borrower, collectively, the “</w:t>
      </w:r>
      <w:r>
        <w:rPr>
          <w:rFonts w:ascii="Arial" w:cs="Arial" w:eastAsia="Arial" w:hAnsi="Arial"/>
          <w:sz w:val="16"/>
          <w:szCs w:val="16"/>
          <w:b w:val="1"/>
          <w:bCs w:val="1"/>
          <w:color w:val="auto"/>
        </w:rPr>
        <w:t>Debtors</w:t>
      </w:r>
      <w:r>
        <w:rPr>
          <w:rFonts w:ascii="Arial" w:cs="Arial" w:eastAsia="Arial" w:hAnsi="Arial"/>
          <w:sz w:val="16"/>
          <w:szCs w:val="16"/>
          <w:color w:val="auto"/>
        </w:rPr>
        <w:t>”) commenced voluntary cases under Chapter 11 of the Bankruptcy Code (the “</w:t>
      </w:r>
      <w:r>
        <w:rPr>
          <w:rFonts w:ascii="Arial" w:cs="Arial" w:eastAsia="Arial" w:hAnsi="Arial"/>
          <w:sz w:val="16"/>
          <w:szCs w:val="16"/>
          <w:b w:val="1"/>
          <w:bCs w:val="1"/>
          <w:color w:val="auto"/>
        </w:rPr>
        <w:t>Chapter 11 Cases</w:t>
      </w:r>
      <w:r>
        <w:rPr>
          <w:rFonts w:ascii="Arial" w:cs="Arial" w:eastAsia="Arial" w:hAnsi="Arial"/>
          <w:sz w:val="16"/>
          <w:szCs w:val="16"/>
          <w:color w:val="auto"/>
        </w:rPr>
        <w:t>”) in the United States Bankruptcy Court for the District of Delaware (the “</w:t>
      </w:r>
      <w:r>
        <w:rPr>
          <w:rFonts w:ascii="Arial" w:cs="Arial" w:eastAsia="Arial" w:hAnsi="Arial"/>
          <w:sz w:val="16"/>
          <w:szCs w:val="16"/>
          <w:b w:val="1"/>
          <w:bCs w:val="1"/>
          <w:color w:val="auto"/>
        </w:rPr>
        <w:t>Bankruptcy Court</w:t>
      </w:r>
      <w:r>
        <w:rPr>
          <w:rFonts w:ascii="Arial" w:cs="Arial" w:eastAsia="Arial" w:hAnsi="Arial"/>
          <w:sz w:val="16"/>
          <w:szCs w:val="16"/>
          <w:color w:val="auto"/>
        </w:rPr>
        <w:t>”), and the Debtors have continued to operate their businesses and manage their properties as debtors-in-possession pursuant to sections 1107 and 1108 of the Bankruptcy Code in order to effect a wind down of their businesses and sale of their properties to repay existing Indebtedness (including the Obligations hereunder and the B-2 Obligations) with the net proceeds thereof.</w:t>
      </w:r>
    </w:p>
    <w:p>
      <w:pPr>
        <w:spacing w:after="0" w:line="15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WHEREAS, the Borrower, in its capacity as “foreign representative” on behalf of the Debtors, has commenced proceedings before the Ontario Superior Court of Justice (Commercial List) in Toronto, Ontario, Canada (the “</w:t>
      </w:r>
      <w:r>
        <w:rPr>
          <w:rFonts w:ascii="Arial" w:cs="Arial" w:eastAsia="Arial" w:hAnsi="Arial"/>
          <w:sz w:val="18"/>
          <w:szCs w:val="18"/>
          <w:b w:val="1"/>
          <w:bCs w:val="1"/>
          <w:color w:val="auto"/>
        </w:rPr>
        <w:t>Canadian Court</w:t>
      </w:r>
      <w:r>
        <w:rPr>
          <w:rFonts w:ascii="Arial" w:cs="Arial" w:eastAsia="Arial" w:hAnsi="Arial"/>
          <w:sz w:val="18"/>
          <w:szCs w:val="18"/>
          <w:color w:val="auto"/>
        </w:rPr>
        <w:t>”) under Part IV of the Companies’ Creditors Arrangement Act (Canada), R.S.C. 1985, c. C-36, as amended (the “</w:t>
      </w:r>
      <w:r>
        <w:rPr>
          <w:rFonts w:ascii="Arial" w:cs="Arial" w:eastAsia="Arial" w:hAnsi="Arial"/>
          <w:sz w:val="18"/>
          <w:szCs w:val="18"/>
          <w:b w:val="1"/>
          <w:bCs w:val="1"/>
          <w:color w:val="auto"/>
        </w:rPr>
        <w:t>CCAA</w:t>
      </w:r>
      <w:r>
        <w:rPr>
          <w:rFonts w:ascii="Arial" w:cs="Arial" w:eastAsia="Arial" w:hAnsi="Arial"/>
          <w:sz w:val="18"/>
          <w:szCs w:val="18"/>
          <w:color w:val="auto"/>
        </w:rPr>
        <w:t>”) bearing Court File No. CV-23-00704038-00CL, recognizing the Chapter 11 Cases as “foreign main proceedings” in respect of the Canadian Debtors (as defined herein) (the “</w:t>
      </w:r>
      <w:r>
        <w:rPr>
          <w:rFonts w:ascii="Arial" w:cs="Arial" w:eastAsia="Arial" w:hAnsi="Arial"/>
          <w:sz w:val="18"/>
          <w:szCs w:val="18"/>
          <w:b w:val="1"/>
          <w:bCs w:val="1"/>
          <w:color w:val="auto"/>
        </w:rPr>
        <w:t>Canadian Recognition Proceedings</w:t>
      </w:r>
      <w:r>
        <w:rPr>
          <w:rFonts w:ascii="Arial" w:cs="Arial" w:eastAsia="Arial" w:hAnsi="Arial"/>
          <w:sz w:val="18"/>
          <w:szCs w:val="18"/>
          <w:color w:val="auto"/>
        </w:rPr>
        <w:t>”) and granting certain customary related relief.</w:t>
      </w:r>
    </w:p>
    <w:p>
      <w:pPr>
        <w:spacing w:after="0" w:line="18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WHEREAS, the Borrower has requested and the Lenders have agreed to provide a junior secured super-priority debtor-in-possession term loan facility to the Borrower (the “</w:t>
      </w:r>
      <w:r>
        <w:rPr>
          <w:rFonts w:ascii="Arial" w:cs="Arial" w:eastAsia="Arial" w:hAnsi="Arial"/>
          <w:sz w:val="18"/>
          <w:szCs w:val="18"/>
          <w:b w:val="1"/>
          <w:bCs w:val="1"/>
          <w:color w:val="auto"/>
        </w:rPr>
        <w:t>Junior DIP Facility</w:t>
      </w:r>
      <w:r>
        <w:rPr>
          <w:rFonts w:ascii="Arial" w:cs="Arial" w:eastAsia="Arial" w:hAnsi="Arial"/>
          <w:sz w:val="18"/>
          <w:szCs w:val="18"/>
          <w:color w:val="auto"/>
        </w:rPr>
        <w:t>”) consisting of (i) Initial Term Loans in an aggregate committed amount of $42,500,000 and (ii) Delayed Draw Term Loans in an aggregate committed amount of $70,000,000.</w:t>
      </w:r>
    </w:p>
    <w:p>
      <w:pPr>
        <w:spacing w:after="0" w:line="184"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WHEREAS, on August 21, 2023, the Lenders advanced the Closing Date Loans as the first installment of the Initial Term Loans to the Borrower pursuant to the terms of that certain Debtor-In-Possession Credit Facility Term Sheet (as amended, restated, amended and restated, supplemented or otherwise modified, the “</w:t>
      </w:r>
      <w:r>
        <w:rPr>
          <w:rFonts w:ascii="Arial" w:cs="Arial" w:eastAsia="Arial" w:hAnsi="Arial"/>
          <w:sz w:val="17"/>
          <w:szCs w:val="17"/>
          <w:b w:val="1"/>
          <w:bCs w:val="1"/>
          <w:color w:val="auto"/>
        </w:rPr>
        <w:t>DIP Term Sheet</w:t>
      </w:r>
      <w:r>
        <w:rPr>
          <w:rFonts w:ascii="Arial" w:cs="Arial" w:eastAsia="Arial" w:hAnsi="Arial"/>
          <w:sz w:val="17"/>
          <w:szCs w:val="17"/>
          <w:color w:val="auto"/>
        </w:rPr>
        <w:t>”), by and among the Loan Parties, the Postpetition B-2 Lenders, the Lenders, the Administrative Agent, the B-2 Agent and the Stalking Horse Purchaser (as defined therein), and the Interim Order (as defined herein). This Agreement restates and replaces the DIP Term Sheet insofar as the DIP Term Sheet relates to the Junior DIP Facility.</w:t>
      </w:r>
    </w:p>
    <w:p>
      <w:pPr>
        <w:spacing w:after="0" w:line="17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WHEREAS, the Guarantors have agreed to guarantee the obligations of the Borrower hereunder and the Borrower and the Guarantors have agreed to secure their respective Obligations by granting to the Collateral Agent, for the benefit of Secured Parties, a lien on substantially all of their respective assets, in accordance with the priorities provided in the DIP Order.</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covenant and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xml:space="preserve"> As used in this Agreement, the following terms shall have the meanings specified below:</w:t>
      </w:r>
    </w:p>
    <w:p>
      <w:pPr>
        <w:sectPr>
          <w:pgSz w:w="11900" w:h="16838" w:orient="portrait"/>
          <w:cols w:equalWidth="0" w:num="1">
            <w:col w:w="11000"/>
          </w:cols>
          <w:pgMar w:left="440" w:top="274" w:right="459" w:bottom="1440" w:gutter="0" w:footer="0" w:header="0"/>
        </w:sectPr>
      </w:pPr>
    </w:p>
    <w:bookmarkStart w:id="11" w:name="page12"/>
    <w:bookmarkEnd w:id="11"/>
    <w:p>
      <w:pPr>
        <w:ind w:right="3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Plan</w:t>
      </w:r>
      <w:r>
        <w:rPr>
          <w:rFonts w:ascii="Arial" w:cs="Arial" w:eastAsia="Arial" w:hAnsi="Arial"/>
          <w:sz w:val="18"/>
          <w:szCs w:val="18"/>
          <w:color w:val="auto"/>
        </w:rPr>
        <w:t>” shall mean a Plan of Reorganization that, upon the consummation thereof, provides for the termination of all unused Commitments and the indefeasible payment in full of all Obligations and all B-2 Obligations in cash.</w:t>
      </w:r>
    </w:p>
    <w:p>
      <w:pPr>
        <w:spacing w:after="0" w:line="162"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have the meaning assigned to such term in the introductory statement to this Agreement, together with its successors and any replacement designated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this Agreement.</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means the Administrative Agent’s office or account as it may from time to time designate, in writing, to the Borrower and each Lender.</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mean an Administrative Questionnaire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or such other form as may be supplied from time to time by the Administrative Agent.</w:t>
      </w:r>
    </w:p>
    <w:p>
      <w:pPr>
        <w:spacing w:after="0" w:line="162"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the Borrower and its Subsidiaries, in no case shall any Governmental Authority constitute an “Affiliate”. “</w:t>
      </w:r>
      <w:r>
        <w:rPr>
          <w:rFonts w:ascii="Arial" w:cs="Arial" w:eastAsia="Arial" w:hAnsi="Arial"/>
          <w:sz w:val="18"/>
          <w:szCs w:val="18"/>
          <w:b w:val="1"/>
          <w:b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thereto.</w:t>
      </w:r>
    </w:p>
    <w:p>
      <w:pPr>
        <w:spacing w:after="0" w:line="183"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Fee Letter</w:t>
      </w:r>
      <w:r>
        <w:rPr>
          <w:rFonts w:ascii="Arial" w:cs="Arial" w:eastAsia="Arial" w:hAnsi="Arial"/>
          <w:sz w:val="18"/>
          <w:szCs w:val="18"/>
          <w:color w:val="auto"/>
        </w:rPr>
        <w:t>” means that certain fee letter dated as of August 21, 2023, by and between Borrower and Agents, as amended, amended and restated, supplemented, waived, replaced or otherwise modified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Indemnitees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have the meaning assigned to such term in Article 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assigned to such term in the introductory statement to this Agreement.</w:t>
      </w:r>
    </w:p>
    <w:p>
      <w:pPr>
        <w:spacing w:after="0" w:line="225"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Alternate Base Rate</w:t>
      </w:r>
      <w:r>
        <w:rPr>
          <w:rFonts w:ascii="Arial" w:cs="Arial" w:eastAsia="Arial" w:hAnsi="Arial"/>
          <w:sz w:val="16"/>
          <w:szCs w:val="16"/>
          <w:color w:val="auto"/>
        </w:rPr>
        <w:t xml:space="preserve">” shall mean, for any day, a rate per annum equal to the greatest of (a) the Prime Rate in effect on such day and (b) the Federal Funds Effective Rate in effect on such day plus 1/2 of 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Alternate Base Rate be less than 2.00% per annum.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as the case may be.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with respect to any Delayed Draw Term Loan, a percentage per annum equal to 10.00%.</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Approved Budget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6.02(l)</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Attorney Costs</w:t>
      </w:r>
      <w:r>
        <w:rPr>
          <w:rFonts w:ascii="Arial" w:cs="Arial" w:eastAsia="Arial" w:hAnsi="Arial"/>
          <w:sz w:val="18"/>
          <w:szCs w:val="18"/>
          <w:color w:val="auto"/>
        </w:rPr>
        <w:t>” shall mean and shall include all reasonable and documented out-of-pocket fees, expenses and disbursements of any law firm or other external legal counsel.</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shall mean, on any date, in respect of any Capitalized Lease of any Person, the capitalized amount thereof that would appear on a balance sheet of such Person prepared as of such date in accordance with GAAP.</w:t>
      </w:r>
    </w:p>
    <w:p>
      <w:pPr>
        <w:spacing w:after="0" w:line="16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shall mean the audited consolidated balance sheets of the Borrower and its consolidated subsidiaries for the fiscal years ending December 31, 2021 and December 31, 2022 and the related consolidated statements of operations, changes in shareholders’ equity and cash flows of the Borrower and its consolidated subsidiaries.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Agent</w:t>
      </w:r>
      <w:r>
        <w:rPr>
          <w:rFonts w:ascii="Arial" w:cs="Arial" w:eastAsia="Arial" w:hAnsi="Arial"/>
          <w:sz w:val="18"/>
          <w:szCs w:val="18"/>
          <w:color w:val="auto"/>
        </w:rPr>
        <w:t>” means Alter Domus Products Corp., as administrative agent and collateral agent for the B-2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Indebtedness</w:t>
      </w:r>
      <w:r>
        <w:rPr>
          <w:rFonts w:ascii="Arial" w:cs="Arial" w:eastAsia="Arial" w:hAnsi="Arial"/>
          <w:sz w:val="18"/>
          <w:szCs w:val="18"/>
          <w:color w:val="auto"/>
        </w:rPr>
        <w:t>” means each of the Prepetition B-2 Indebtedness and the Postpetition B-2 Indebtedness.</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Lenders</w:t>
      </w:r>
      <w:r>
        <w:rPr>
          <w:rFonts w:ascii="Arial" w:cs="Arial" w:eastAsia="Arial" w:hAnsi="Arial"/>
          <w:sz w:val="18"/>
          <w:szCs w:val="18"/>
          <w:color w:val="auto"/>
        </w:rPr>
        <w:t>” means the lenders party to the B-2 Term Loan Credit Agreement, from time to time, under and as defined in the B-2 Term Loan Credit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Obligations</w:t>
      </w:r>
      <w:r>
        <w:rPr>
          <w:rFonts w:ascii="Arial" w:cs="Arial" w:eastAsia="Arial" w:hAnsi="Arial"/>
          <w:sz w:val="18"/>
          <w:szCs w:val="18"/>
          <w:color w:val="auto"/>
        </w:rPr>
        <w:t>” means each of the Prepetition B-2 Obligations and the Postpetition B-2 Obligations.</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Priority Collateral</w:t>
      </w:r>
      <w:r>
        <w:rPr>
          <w:rFonts w:ascii="Arial" w:cs="Arial" w:eastAsia="Arial" w:hAnsi="Arial"/>
          <w:sz w:val="18"/>
          <w:szCs w:val="18"/>
          <w:color w:val="auto"/>
        </w:rPr>
        <w:t>” shall have the meaning assigned to the term “Non-UST Tranche B Term Priority Collateral” in the Prepetition ABL Intercreditor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Secured Parties</w:t>
      </w:r>
      <w:r>
        <w:rPr>
          <w:rFonts w:ascii="Arial" w:cs="Arial" w:eastAsia="Arial" w:hAnsi="Arial"/>
          <w:sz w:val="18"/>
          <w:szCs w:val="18"/>
          <w:color w:val="auto"/>
        </w:rPr>
        <w:t>” shall have the meaning assigned to the term “Secured Parties” in the B-2 Term Loan Credit Agreement.</w:t>
      </w:r>
    </w:p>
    <w:p>
      <w:pPr>
        <w:spacing w:after="0" w:line="225"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B-2 Term Loan Credit Agreement</w:t>
      </w:r>
      <w:r>
        <w:rPr>
          <w:rFonts w:ascii="Arial" w:cs="Arial" w:eastAsia="Arial" w:hAnsi="Arial"/>
          <w:sz w:val="18"/>
          <w:szCs w:val="18"/>
          <w:color w:val="auto"/>
        </w:rPr>
        <w:t>” means that Amended and Restated Credit Agreement, dated as of September 11, 2019, by and among Borrower, as borrower, the guarantors from time to time party thereto, the B-2 Lenders and the B-2 Agent</w:t>
      </w:r>
      <w:r>
        <w:rPr>
          <w:rFonts w:ascii="Arial" w:cs="Arial" w:eastAsia="Arial" w:hAnsi="Arial"/>
          <w:sz w:val="18"/>
          <w:szCs w:val="18"/>
          <w:b w:val="1"/>
          <w:bCs w:val="1"/>
          <w:color w:val="auto"/>
        </w:rPr>
        <w:t>,</w:t>
      </w:r>
      <w:r>
        <w:rPr>
          <w:rFonts w:ascii="Arial" w:cs="Arial" w:eastAsia="Arial" w:hAnsi="Arial"/>
          <w:sz w:val="18"/>
          <w:szCs w:val="18"/>
          <w:color w:val="auto"/>
        </w:rPr>
        <w:t xml:space="preserve"> as amended, amended and restated, supplemented, or otherwise modified from time to time in accordance with the terms thereof, including by the B-2 Term Loan Credit Agreement Amendment.</w:t>
      </w:r>
    </w:p>
    <w:p>
      <w:pPr>
        <w:spacing w:after="0" w:line="180" w:lineRule="exact"/>
        <w:rPr>
          <w:sz w:val="20"/>
          <w:szCs w:val="20"/>
          <w:color w:val="auto"/>
        </w:rPr>
      </w:pPr>
    </w:p>
    <w:p>
      <w:pPr>
        <w:jc w:val="both"/>
        <w:ind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B-2 Term Loan Credit Agreement Amendment</w:t>
      </w:r>
      <w:r>
        <w:rPr>
          <w:rFonts w:ascii="Arial" w:cs="Arial" w:eastAsia="Arial" w:hAnsi="Arial"/>
          <w:sz w:val="17"/>
          <w:szCs w:val="17"/>
          <w:color w:val="auto"/>
        </w:rPr>
        <w:t>” means that Amendment No. 4 to Amended and Restated Credit Agreement, dated as of the date hereof, by and among Borrower, as borrower, the guarantors from time to time party thereto, the B-2 Lenders party thereto and the B-2 Agent</w:t>
      </w:r>
      <w:r>
        <w:rPr>
          <w:rFonts w:ascii="Arial" w:cs="Arial" w:eastAsia="Arial" w:hAnsi="Arial"/>
          <w:sz w:val="17"/>
          <w:szCs w:val="17"/>
          <w:b w:val="1"/>
          <w:bCs w:val="1"/>
          <w:color w:val="auto"/>
        </w:rPr>
        <w:t>,</w:t>
      </w:r>
      <w:r>
        <w:rPr>
          <w:rFonts w:ascii="Arial" w:cs="Arial" w:eastAsia="Arial" w:hAnsi="Arial"/>
          <w:sz w:val="17"/>
          <w:szCs w:val="17"/>
          <w:color w:val="auto"/>
        </w:rPr>
        <w:t xml:space="preserve"> as amended, amended and restated, supplemented, or otherwise modified from time to time in accordance with the terms thereof.</w:t>
      </w:r>
    </w:p>
    <w:p>
      <w:pPr>
        <w:spacing w:after="0" w:line="15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entitled “Bankruptcy,” as applicable to the Chapter 11 Cases (unless the context requires otherwise), now and hereafter in effect or any successors to such statute.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Court</w:t>
      </w:r>
      <w:r>
        <w:rPr>
          <w:rFonts w:ascii="Arial" w:cs="Arial" w:eastAsia="Arial" w:hAnsi="Arial"/>
          <w:sz w:val="18"/>
          <w:szCs w:val="18"/>
          <w:color w:val="auto"/>
        </w:rPr>
        <w:t>” shall have the meaning assigned to such term in the recitals to this Agreement.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13" w:name="page14"/>
    <w:bookmarkEnd w:id="13"/>
    <w:p>
      <w:pPr>
        <w:ind w:right="6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Bidding Procedures Order</w:t>
      </w:r>
      <w:r>
        <w:rPr>
          <w:rFonts w:ascii="Arial" w:cs="Arial" w:eastAsia="Arial" w:hAnsi="Arial"/>
          <w:sz w:val="17"/>
          <w:szCs w:val="17"/>
          <w:color w:val="auto"/>
        </w:rPr>
        <w:t>” means a final order approving procedures for one or more sales of all or substantially all of the Debtors’ assets and permitting the B-2 Lenders (or the B-2 Agent on behalf of the B-2 Lenders) to credit bid the full amount of the B-2 Obligations (including, for the avoidance of doubt, the Prepetition B-2 Obligations) in form and substance in all material respects satisfactory to the Lenders.</w:t>
      </w:r>
    </w:p>
    <w:p>
      <w:pPr>
        <w:spacing w:after="0" w:line="158"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shall mean any Person that is publicly identified on the most current list of “Specially Designated Nationals and Blocked Persons” published by the Office of Foreign Assets Control of the U.S.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assigned to such term in the introductory statement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made on the same date.</w:t>
      </w:r>
    </w:p>
    <w:p>
      <w:pPr>
        <w:spacing w:after="0" w:line="225"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Budget Variance Report</w:t>
      </w:r>
      <w:r>
        <w:rPr>
          <w:rFonts w:ascii="Arial" w:cs="Arial" w:eastAsia="Arial" w:hAnsi="Arial"/>
          <w:sz w:val="16"/>
          <w:szCs w:val="16"/>
          <w:color w:val="auto"/>
        </w:rPr>
        <w:t>” shall mean a weekly variance report prepared by management of the Borrower (in consultation with the Borrower’s Operational Advisor), in form and detail reasonably satisfactory to the Lenders and the B-2 Lenders, comparing for each applicable Budget Variance Test Period the actual receipts and disbursements against anticipated receipts and disbursements under the applicable Approved Budget, on a line by line and aggregate basis and in the same level of detail set forth in the Approved Budget, together with a written explanation for all material variances in any given Budget Variance Test Period and such other related information as the Lenders may reasonably request.</w:t>
      </w:r>
    </w:p>
    <w:p>
      <w:pPr>
        <w:spacing w:after="0" w:line="154"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 Variance Test Date</w:t>
      </w:r>
      <w:r>
        <w:rPr>
          <w:rFonts w:ascii="Arial" w:cs="Arial" w:eastAsia="Arial" w:hAnsi="Arial"/>
          <w:sz w:val="18"/>
          <w:szCs w:val="18"/>
          <w:color w:val="auto"/>
        </w:rPr>
        <w:t>” shall mean each of (a) Friday August 25, 2023, (b) Friday September 1, 2023, (c) Wednesday September 6, 2023 and (d) each Wednesday thereafter.</w:t>
      </w:r>
    </w:p>
    <w:p>
      <w:pPr>
        <w:spacing w:after="0" w:line="162"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Budget Variance Test Period</w:t>
      </w:r>
      <w:r>
        <w:rPr>
          <w:rFonts w:ascii="Arial" w:cs="Arial" w:eastAsia="Arial" w:hAnsi="Arial"/>
          <w:sz w:val="16"/>
          <w:szCs w:val="16"/>
          <w:color w:val="auto"/>
        </w:rPr>
        <w:t xml:space="preserve">” means, as of any date of determination, (a) with respect to the first Budget Variance Report delivered after the Closing Date pursuant to </w:t>
      </w:r>
      <w:r>
        <w:rPr>
          <w:rFonts w:ascii="Arial" w:cs="Arial" w:eastAsia="Arial" w:hAnsi="Arial"/>
          <w:sz w:val="16"/>
          <w:szCs w:val="16"/>
          <w:u w:val="single" w:color="auto"/>
          <w:color w:val="auto"/>
        </w:rPr>
        <w:t>Section 6.02(n)(i)</w:t>
      </w:r>
      <w:r>
        <w:rPr>
          <w:rFonts w:ascii="Arial" w:cs="Arial" w:eastAsia="Arial" w:hAnsi="Arial"/>
          <w:sz w:val="16"/>
          <w:szCs w:val="16"/>
          <w:color w:val="auto"/>
        </w:rPr>
        <w:t xml:space="preserve"> and the first Budget Variance Test Date occurring on Friday August 25, 2023, the period starting on the Petition Date and ending on August 18, 2023, (b) with respect to the second Budget Variance Report delivered after the Closing Date pursuant to </w:t>
      </w:r>
      <w:r>
        <w:rPr>
          <w:rFonts w:ascii="Arial" w:cs="Arial" w:eastAsia="Arial" w:hAnsi="Arial"/>
          <w:sz w:val="16"/>
          <w:szCs w:val="16"/>
          <w:u w:val="single" w:color="auto"/>
          <w:color w:val="auto"/>
        </w:rPr>
        <w:t>Section 6.02(n)(i)</w:t>
      </w:r>
      <w:r>
        <w:rPr>
          <w:rFonts w:ascii="Arial" w:cs="Arial" w:eastAsia="Arial" w:hAnsi="Arial"/>
          <w:sz w:val="16"/>
          <w:szCs w:val="16"/>
          <w:color w:val="auto"/>
        </w:rPr>
        <w:t xml:space="preserve"> and the Budget Variance Test Date occurring on Friday September 1, 2023, the period starting on the Petition Date and ending on August 25, 2023, (c) with respect to the third Budget Variance Report delivered after the Closing Date pursuant to </w:t>
      </w:r>
      <w:r>
        <w:rPr>
          <w:rFonts w:ascii="Arial" w:cs="Arial" w:eastAsia="Arial" w:hAnsi="Arial"/>
          <w:sz w:val="16"/>
          <w:szCs w:val="16"/>
          <w:u w:val="single" w:color="auto"/>
          <w:color w:val="auto"/>
        </w:rPr>
        <w:t>Section 6.02(n)(i)</w:t>
      </w:r>
      <w:r>
        <w:rPr>
          <w:rFonts w:ascii="Arial" w:cs="Arial" w:eastAsia="Arial" w:hAnsi="Arial"/>
          <w:sz w:val="16"/>
          <w:szCs w:val="16"/>
          <w:color w:val="auto"/>
        </w:rPr>
        <w:t xml:space="preserve"> and the Budget Variance Test Date occurring on Wednesday September 6, 2023, the period starting on the Petition Date and ending on September 1, 2023 and (d) with respect to each Budget Variance Report delivered pursuant to </w:t>
      </w:r>
      <w:r>
        <w:rPr>
          <w:rFonts w:ascii="Arial" w:cs="Arial" w:eastAsia="Arial" w:hAnsi="Arial"/>
          <w:sz w:val="16"/>
          <w:szCs w:val="16"/>
          <w:u w:val="single" w:color="auto"/>
          <w:color w:val="auto"/>
        </w:rPr>
        <w:t>Section 6.02(n)(i)</w:t>
      </w:r>
      <w:r>
        <w:rPr>
          <w:rFonts w:ascii="Arial" w:cs="Arial" w:eastAsia="Arial" w:hAnsi="Arial"/>
          <w:sz w:val="16"/>
          <w:szCs w:val="16"/>
          <w:color w:val="auto"/>
        </w:rPr>
        <w:t xml:space="preserve"> thereafter and each the Budget Variance Test Date occurring thereafter, the four-week period ending on the Friday of the week immediately preceding the applicable Budget Variance Test Date.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day on which banks in New York City are authorized or required by law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0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Administration Charge</w:t>
      </w:r>
      <w:r>
        <w:rPr>
          <w:rFonts w:ascii="Arial" w:cs="Arial" w:eastAsia="Arial" w:hAnsi="Arial"/>
          <w:sz w:val="18"/>
          <w:szCs w:val="18"/>
          <w:color w:val="auto"/>
        </w:rPr>
        <w:t>” shall mean a super priority charge granted by the Canadian Court over the Canadian Collateral to secure payment of the professional fees and disbursements of the Debtors’ Canadian counsel, the Information Officer and counsel to the Information Officer (in a maximum amount not to exceed CDN$700,000).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4" w:name="page15"/>
    <w:bookmarkEnd w:id="14"/>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Canadian AML Legislation</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Proceeds of Crime (Money Laundering) and Terrorist Financing Act</w:t>
      </w:r>
      <w:r>
        <w:rPr>
          <w:rFonts w:ascii="Arial" w:cs="Arial" w:eastAsia="Arial" w:hAnsi="Arial"/>
          <w:sz w:val="18"/>
          <w:szCs w:val="18"/>
          <w:color w:val="auto"/>
        </w:rPr>
        <w:t xml:space="preserve"> (Canada) and other applicable anti-money laundering, anti-terrorist financing, government sanction and “know your client” laws within Canada (including any guidelines or orders thereunder).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Collateral</w:t>
      </w:r>
      <w:r>
        <w:rPr>
          <w:rFonts w:ascii="Arial" w:cs="Arial" w:eastAsia="Arial" w:hAnsi="Arial"/>
          <w:sz w:val="18"/>
          <w:szCs w:val="18"/>
          <w:color w:val="auto"/>
        </w:rPr>
        <w:t>” shall mean the Collateral of the Canadian Debtors.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Court</w:t>
      </w:r>
      <w:r>
        <w:rPr>
          <w:rFonts w:ascii="Arial" w:cs="Arial" w:eastAsia="Arial" w:hAnsi="Arial"/>
          <w:sz w:val="18"/>
          <w:szCs w:val="18"/>
          <w:color w:val="auto"/>
        </w:rPr>
        <w:t>” shall have the meaning assigned to such term in the recitals hereto.</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D&amp;O Charge</w:t>
      </w:r>
      <w:r>
        <w:rPr>
          <w:rFonts w:ascii="Arial" w:cs="Arial" w:eastAsia="Arial" w:hAnsi="Arial"/>
          <w:sz w:val="18"/>
          <w:szCs w:val="18"/>
          <w:color w:val="auto"/>
        </w:rPr>
        <w:t>” shall mean a charge granted by the Canadian Court on the Canadian Collateral (in a maximum amount not to exceed CDN$3,500,000), securing an indemnity by the Canadian Debtors in favor of their directors and officers against any obligations or liabilities that they may incur as directors and officers of the Canadian Debtors on or after the commencement of the Canadian Recognition Proceedings, as provided for in the Canadian Supplemental Order.</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Debtors</w:t>
      </w:r>
      <w:r>
        <w:rPr>
          <w:rFonts w:ascii="Arial" w:cs="Arial" w:eastAsia="Arial" w:hAnsi="Arial"/>
          <w:sz w:val="18"/>
          <w:szCs w:val="18"/>
          <w:color w:val="auto"/>
        </w:rPr>
        <w:t>” shall mean YRC Freight Canada Company, YRC Logistics Inc., USF Holland International Sales Corporation and 1105481 Ontario Inc.</w:t>
      </w:r>
    </w:p>
    <w:p>
      <w:pPr>
        <w:spacing w:after="0" w:line="162"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Defined Benefit Pension Plan</w:t>
      </w:r>
      <w:r>
        <w:rPr>
          <w:rFonts w:ascii="Arial" w:cs="Arial" w:eastAsia="Arial" w:hAnsi="Arial"/>
          <w:sz w:val="18"/>
          <w:szCs w:val="18"/>
          <w:color w:val="auto"/>
        </w:rPr>
        <w:t>” shall mean each pension plan or arrangement required to be registered under Canadian federal or provincial pension standards legislation and which contains a “defined benefit provision” as defined in subsection 147.1(1) of the Income Tax Act (Canada).</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DIP Charge</w:t>
      </w:r>
      <w:r>
        <w:rPr>
          <w:rFonts w:ascii="Arial" w:cs="Arial" w:eastAsia="Arial" w:hAnsi="Arial"/>
          <w:sz w:val="18"/>
          <w:szCs w:val="18"/>
          <w:color w:val="auto"/>
        </w:rPr>
        <w:t>” shall mean the super priority charge granted by the Canadian Court pursuant to the Canadian Interim DIP Recognition Order in favor of the DIP Secured Parties (as defined in the DIP Order) on the Canadian Collateral, other than the Prepetition UST Tranche B Priority Collateral.</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DIP Recognition Order</w:t>
      </w:r>
      <w:r>
        <w:rPr>
          <w:rFonts w:ascii="Arial" w:cs="Arial" w:eastAsia="Arial" w:hAnsi="Arial"/>
          <w:sz w:val="18"/>
          <w:szCs w:val="18"/>
          <w:color w:val="auto"/>
        </w:rPr>
        <w:t>” shall mean the Canadian Interim DIP Recognition Order, unless the Canadian Final DIP Recognition Order shall have been issued by the Canadian Court, in which case it shall mean the Canadian Final DIP Recognition Order and the Canadian Interim DIP Recognition Order.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w:t>
      </w:r>
      <w:r>
        <w:rPr>
          <w:rFonts w:ascii="Arial" w:cs="Arial" w:eastAsia="Arial" w:hAnsi="Arial"/>
          <w:sz w:val="18"/>
          <w:szCs w:val="18"/>
          <w:color w:val="auto"/>
        </w:rPr>
        <w:t>” and “</w:t>
      </w:r>
      <w:r>
        <w:rPr>
          <w:rFonts w:ascii="Arial" w:cs="Arial" w:eastAsia="Arial" w:hAnsi="Arial"/>
          <w:sz w:val="18"/>
          <w:szCs w:val="18"/>
          <w:b w:val="1"/>
          <w:bCs w:val="1"/>
          <w:color w:val="auto"/>
        </w:rPr>
        <w:t>CDN$</w:t>
      </w:r>
      <w:r>
        <w:rPr>
          <w:rFonts w:ascii="Arial" w:cs="Arial" w:eastAsia="Arial" w:hAnsi="Arial"/>
          <w:sz w:val="18"/>
          <w:szCs w:val="18"/>
          <w:color w:val="auto"/>
        </w:rPr>
        <w:t>” means lawful money of Canada.</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Final DIP Recognition Order</w:t>
      </w:r>
      <w:r>
        <w:rPr>
          <w:rFonts w:ascii="Arial" w:cs="Arial" w:eastAsia="Arial" w:hAnsi="Arial"/>
          <w:sz w:val="18"/>
          <w:szCs w:val="18"/>
          <w:color w:val="auto"/>
        </w:rPr>
        <w:t>” shall mean an order of the Canadian Court in the Canadian Recognition Proceedings, which order shall, among other things, recognize the Final Order and shall be in form and substance satisfactory to the Lenders, and as the same may be amended, supplemented, or modified from time to time after entry thereof with the consent of the Lenders.</w:t>
      </w:r>
    </w:p>
    <w:p>
      <w:pPr>
        <w:spacing w:after="0" w:line="17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Initial Recognition Order</w:t>
      </w:r>
      <w:r>
        <w:rPr>
          <w:rFonts w:ascii="Arial" w:cs="Arial" w:eastAsia="Arial" w:hAnsi="Arial"/>
          <w:sz w:val="18"/>
          <w:szCs w:val="18"/>
          <w:color w:val="auto"/>
        </w:rPr>
        <w:t>” shall mean the Initial Recognition Order issued by the Canadian Court on August 29, 2023 in the Canadian Recognition Proceedings, recognizing the Chapter 11 Cases as “foreign main proceedings” under Part IV of the CCAA, and granting a stay of proceedings in respect of the Borrower and the Canadian Debtors in Canada and as the same may be amended, supplemented, or modified from time to time after entry thereof with the consent of the Lenders.</w:t>
      </w:r>
    </w:p>
    <w:p>
      <w:pPr>
        <w:spacing w:after="0" w:line="18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Interim DIP Recognition Order</w:t>
      </w:r>
      <w:r>
        <w:rPr>
          <w:rFonts w:ascii="Arial" w:cs="Arial" w:eastAsia="Arial" w:hAnsi="Arial"/>
          <w:sz w:val="18"/>
          <w:szCs w:val="18"/>
          <w:color w:val="auto"/>
        </w:rPr>
        <w:t>” shall mean the provisions of the Canadian Supplemental Order which recognize the Interim Order and grant the Canadian DIP Charge (and the related provisions in respect thereto), and as the same may be amended, supplemented, or modified from time to time after entry thereof with the consent of the Lenders.</w:t>
      </w:r>
    </w:p>
    <w:p>
      <w:pPr>
        <w:spacing w:after="0" w:line="176"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Orders</w:t>
      </w:r>
      <w:r>
        <w:rPr>
          <w:rFonts w:ascii="Arial" w:cs="Arial" w:eastAsia="Arial" w:hAnsi="Arial"/>
          <w:sz w:val="18"/>
          <w:szCs w:val="18"/>
          <w:color w:val="auto"/>
        </w:rPr>
        <w:t>” means, as applicable and as the context may require, the Canadian Initial Recognition Order, the Canadian Supplemental Order and/or the Canadian DIP Recognition Order, or such other Orders as may be granted by the Canadian Court in the Canadian Recognition Proceedings which are, in form and substance, satisfactory to the Lenders.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Canadian Priority Charges</w:t>
      </w:r>
      <w:r>
        <w:rPr>
          <w:rFonts w:ascii="Arial" w:cs="Arial" w:eastAsia="Arial" w:hAnsi="Arial"/>
          <w:sz w:val="18"/>
          <w:szCs w:val="18"/>
          <w:color w:val="auto"/>
        </w:rPr>
        <w:t>” shall mean the Canadian Administration Charge and the Canadian D&amp;O Charge.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Recognition Proceedings</w:t>
      </w:r>
      <w:r>
        <w:rPr>
          <w:rFonts w:ascii="Arial" w:cs="Arial" w:eastAsia="Arial" w:hAnsi="Arial"/>
          <w:sz w:val="18"/>
          <w:szCs w:val="18"/>
          <w:color w:val="auto"/>
        </w:rPr>
        <w:t>” shall have the meaning assigned to such term in the recitals hereto.</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Subsidiary</w:t>
      </w:r>
      <w:r>
        <w:rPr>
          <w:rFonts w:ascii="Arial" w:cs="Arial" w:eastAsia="Arial" w:hAnsi="Arial"/>
          <w:sz w:val="18"/>
          <w:szCs w:val="18"/>
          <w:color w:val="auto"/>
        </w:rPr>
        <w:t>” shall mean any Subsidiary that is incorporated, amalgamated, continued or otherwise organized or formed under the Laws of Canada or any province or territory thereof.</w:t>
      </w:r>
    </w:p>
    <w:p>
      <w:pPr>
        <w:spacing w:after="0" w:line="162"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Supplemental Order</w:t>
      </w:r>
      <w:r>
        <w:rPr>
          <w:rFonts w:ascii="Arial" w:cs="Arial" w:eastAsia="Arial" w:hAnsi="Arial"/>
          <w:sz w:val="18"/>
          <w:szCs w:val="18"/>
          <w:color w:val="auto"/>
        </w:rPr>
        <w:t>” shall mean the Supplemental Order issued by the Canadian Court on August 29, 2023 in the Canadian Recognition Proceedings which, among other things, grants the CCAA Charges and recognizes the Interim Order.</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shall mean, for any period, the aggregate of (a) all amounts that would be reflected as additions to property, plant or equipment on a consolidated statement of cash flows of the Borrower and its Subsidiaries in accordance with GAAP and (b) the value of all assets under Capitalized Leases incurred by the Borrower and its Subsidiaries during such period.</w:t>
      </w:r>
    </w:p>
    <w:p>
      <w:pPr>
        <w:spacing w:after="0" w:line="176"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Leases</w:t>
      </w:r>
      <w:r>
        <w:rPr>
          <w:rFonts w:ascii="Arial" w:cs="Arial" w:eastAsia="Arial" w:hAnsi="Arial"/>
          <w:sz w:val="18"/>
          <w:szCs w:val="18"/>
          <w:color w:val="auto"/>
        </w:rPr>
        <w:t xml:space="preserve">” shall mean all leases that have been or are required to be, in accordance with GAAP, recorded as capitalized leases;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color w:val="auto"/>
        </w:rPr>
        <w:t>, for all purposes hereunder the amount of obligations under any Capitalized Lease shall be the amount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a liability in accordance with GAAP.</w:t>
      </w:r>
    </w:p>
    <w:p>
      <w:pPr>
        <w:spacing w:after="0" w:line="176"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Carve-Out</w:t>
      </w:r>
      <w:r>
        <w:rPr>
          <w:rFonts w:ascii="Arial" w:cs="Arial" w:eastAsia="Arial" w:hAnsi="Arial"/>
          <w:sz w:val="16"/>
          <w:szCs w:val="16"/>
          <w:color w:val="auto"/>
        </w:rPr>
        <w:t xml:space="preserve">” shall have the meaning assigned to such term in the DIP Order (and which Carve-Out shall include an amount up to CDN$700,000 (or such other amount as agreed by the Lenders) for the benefit of the beneficiaries of the Canadian Administration Charge,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shall not be duplicative of the Canadian Administration Charge);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Carve-Out post-trigger notice professional fee cap may by increased by up to $1,000,000 to include amounts for an official committee of equityholders in the event one is appointed.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w:t>
      </w:r>
      <w:r>
        <w:rPr>
          <w:rFonts w:ascii="Arial" w:cs="Arial" w:eastAsia="Arial" w:hAnsi="Arial"/>
          <w:sz w:val="18"/>
          <w:szCs w:val="18"/>
          <w:color w:val="auto"/>
        </w:rPr>
        <w:t>” shall have the meaning assigned to such term in the Interim Order.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 any of the following types of Investments, to the extent owned by the Borrower or any Subsidiary: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(a) Dollars and, to the extent consistent with past practice, Canadian Dollars;</w:t>
      </w:r>
    </w:p>
    <w:p>
      <w:pPr>
        <w:spacing w:after="0" w:line="225"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(b) direct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(c) investments in commercial paper maturing within 270 days from the date of issuance thereof and having, at such date of acquisition, rated at least A-2 or P-2 by S&amp;P or Moody’s;</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(d) investments in demand deposits, certificates of deposit, banker’s acceptances and time deposits maturing within one year from the date of acquisition thereof issued or guaranteed by or placed with, and money market deposit accounts issued or offered by, the Administrative Agent, the Prepetition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ABL Agent, the Prepetition UST Tranche A Agent, the Prepetition UST Tranche B Agent or any domestic office of any commercial bank organized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the laws of the United States of America or any State thereof that has a combined capital and surplus and undivided profits of not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$500,000,000 and that issues (or the parent of which issues) commercial paper rated at least “Prime 1” (or the then equivalent grade) by Moody’s or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(or the then equivalent grade) by S&amp;P;</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(e) fully collateralized repurchase agreements with a term of not more than 30 days for securities described in clause (b) above and entered into with a financial institution satisfying the criteria of clause (d) above;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(f) investments in “money market funds” within the meaning of Rule 2a-7 of the Investment Company Act of 1940, as amended, substantially all of whose assets are invested in investments of the type described in clauses (a) through (e) above; and</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(g) other short-term investments entered into in accordance with normal investment policies and practices of any Foreign Subsidiary consistent with past practices for cash management and constituting investments in governmental obligations and investment funds analogous to and having a credit risk not greater than investments of the type described in clauses (a) through (f) above.</w:t>
      </w:r>
    </w:p>
    <w:p>
      <w:pPr>
        <w:spacing w:after="0" w:line="184"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 xml:space="preserve">Notwithstanding the foregoing, Cash Equivalents shall include amounts denominated in currencies other than set forth in clause (a)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amounts are converted into currencies listed in clause (a) within ten Business Days following the receipt of such amounts.</w:t>
      </w:r>
    </w:p>
    <w:p>
      <w:pPr>
        <w:spacing w:after="0" w:line="120" w:lineRule="exact"/>
        <w:rPr>
          <w:sz w:val="20"/>
          <w:szCs w:val="20"/>
          <w:color w:val="auto"/>
        </w:rPr>
      </w:pPr>
    </w:p>
    <w:p>
      <w:pPr>
        <w:ind w:right="5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shall mean any event that gives rise to the receipt by the Borrower or any Subsidiary of any insurance proceeds or condemnation awards in respect of any equipment, fixed assets or Real Property (including any improvements thereon) to replace or repair such equipment, fixed assets or Real Property or as compensation for such condemnation event.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CCAA</w:t>
      </w:r>
      <w:r>
        <w:rPr>
          <w:rFonts w:ascii="Arial" w:cs="Arial" w:eastAsia="Arial" w:hAnsi="Arial"/>
          <w:sz w:val="18"/>
          <w:szCs w:val="18"/>
          <w:color w:val="auto"/>
        </w:rPr>
        <w:t>” shall have the meaning assigned to such term in the recitals hereto.</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CCAA Charges</w:t>
      </w:r>
      <w:r>
        <w:rPr>
          <w:rFonts w:ascii="Arial" w:cs="Arial" w:eastAsia="Arial" w:hAnsi="Arial"/>
          <w:sz w:val="18"/>
          <w:szCs w:val="18"/>
          <w:color w:val="auto"/>
        </w:rPr>
        <w:t>” shall mean the Canadian Administration Charge, the Canadian D&amp;O Charge and the Canadian DIP Charge, as granted by the Canadian Court in the Canadian Recognition Proceedings.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Chapter 11 Cases</w:t>
      </w:r>
      <w:r>
        <w:rPr>
          <w:rFonts w:ascii="Arial" w:cs="Arial" w:eastAsia="Arial" w:hAnsi="Arial"/>
          <w:sz w:val="18"/>
          <w:szCs w:val="18"/>
          <w:color w:val="auto"/>
        </w:rPr>
        <w:t>” shall have the meaning assigned to such term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Chapter 11 Milestones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8.01(o)(xxvii)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Chapter 11 Orders</w:t>
      </w:r>
      <w:r>
        <w:rPr>
          <w:rFonts w:ascii="Arial" w:cs="Arial" w:eastAsia="Arial" w:hAnsi="Arial"/>
          <w:sz w:val="18"/>
          <w:szCs w:val="18"/>
          <w:color w:val="auto"/>
        </w:rPr>
        <w:t>” means, collectively, each order entered by the Bankruptcy Court, including the DIP Order and any cash management order, cash collateral order and adequate protection order, in each case, which shall have been reviewed in advance by the Lenders and shall be in form and substance acceptable to the Agents and the Lenders.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assigned to such term in Section 101(5) of the Bankruptcy Code.</w:t>
      </w:r>
    </w:p>
    <w:p>
      <w:pPr>
        <w:spacing w:after="0" w:line="225" w:lineRule="exact"/>
        <w:rPr>
          <w:sz w:val="20"/>
          <w:szCs w:val="20"/>
          <w:color w:val="auto"/>
        </w:rPr>
      </w:pPr>
    </w:p>
    <w:p>
      <w:pPr>
        <w:ind w:right="2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when used in reference to (a) any Loan or Borrowing, refers to whether such Loan, or the Loans comprising such Borrowing, are “Closing Date Loans”, “Effective Date Loans”, “Final Loans”, “Initial Term Loans” or “Delayed Draw Term Loans”, (b) any Commitment, refers to whether such Commitment is an “Closing Date Commitment”, “Effective Date Commitment”, “Final Commitment” or a “Delayed Draw Term Commitment” and (c) any Lender, refers to whether such Lender has a Loan or Commitment with respect to a particular Class of Loans or Commitments.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Closing Date</w:t>
      </w:r>
      <w:r>
        <w:rPr>
          <w:rFonts w:ascii="Arial" w:cs="Arial" w:eastAsia="Arial" w:hAnsi="Arial"/>
          <w:sz w:val="18"/>
          <w:szCs w:val="18"/>
          <w:color w:val="auto"/>
        </w:rPr>
        <w:t>” means August 21, 2023.</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Commitment</w:t>
      </w:r>
      <w:r>
        <w:rPr>
          <w:rFonts w:ascii="Arial" w:cs="Arial" w:eastAsia="Arial" w:hAnsi="Arial"/>
          <w:sz w:val="18"/>
          <w:szCs w:val="18"/>
          <w:color w:val="auto"/>
        </w:rPr>
        <w:t>” means, as to each Lender, its obligations to make Closing Date Loans to the Borrower on the Closing Date, pursuant to the DIP Term Sheet and, as applicable, Section 2.01(a) in an aggregate principal amount not to exceed the amount set forth opposite such Lender’s name on Appendix A under the caption “Closing Date Commitment”. The aggregate amount of the Closing Date Commitments on the Closing Date, prior to the making of the Closing Date Loans, was $17,894,736.84.</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Loan</w:t>
      </w:r>
      <w:r>
        <w:rPr>
          <w:rFonts w:ascii="Arial" w:cs="Arial" w:eastAsia="Arial" w:hAnsi="Arial"/>
          <w:sz w:val="18"/>
          <w:szCs w:val="18"/>
          <w:color w:val="auto"/>
        </w:rPr>
        <w:t>” means the term loan made on the Closing Date, pursuant to Section 2.01(a).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 all of the assets, property, rights and interests of the Loan Parties that are or are intended to be subject to the Liens created by or pursuant to the Collateral Documents, the DIP Order, and the Canadian DIP Recognition Order, and (b) the “Collateral” referred to in the DIP Order, in each case, except for Excluded Property. For the avoidance of doubt, and without limiting the generality of the foregoing, “Collateral” shall include (i) all property or assets of any Canadian Subsidiary of the Borrower, (ii) all claims and causes of action in connection with the any commercial tort and breach of contract claims, (iii) the proceeds of all claims and causes of action (excluding the claims and causes of actions themselves) arising under sections 502(d), 542, 544, 545, 547, 548, 549, 550, 551, 553(b), or 724(a) of the Bankruptcy Code or any other avoidance actions under the Bankruptcy Code or applicable federal and/or state-law equivalents, (iv) all leasehold interests of each Loan Party, and (v) the proceeds of each of the foregoing.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shall have the meaning assigned to such term in the introductory statement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and Guarantee Requirement</w:t>
      </w:r>
      <w:r>
        <w:rPr>
          <w:rFonts w:ascii="Arial" w:cs="Arial" w:eastAsia="Arial" w:hAnsi="Arial"/>
          <w:sz w:val="18"/>
          <w:szCs w:val="18"/>
          <w:color w:val="auto"/>
        </w:rPr>
        <w:t>” shall mean, at any time, the requirement that:</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(a) on the Closing Date, the Administrative Agent and the Collateral Agent shall have received each Collateral Document to the extent required to be delivered on the Closing Date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duly executed by each Loan Party that is a party thereto;</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(b) in each case subject to the limitations and exceptions set forth in this Agreement, the Collateral Documents, the DIP Order and, in the case of the Canadian Collateral, the applicable Canadian Orders, and to any action required to be taken by the Collateral Agent or the Administrative Agent to effectuate the same, the Obligations shall have been secured by a perfected security interest in all Collateral with the priority set forth herein and in the DIP Order, the applicable Canadian Orders and the Prepetition ABL Intercreditor Agreement;</w:t>
      </w:r>
    </w:p>
    <w:p>
      <w:pPr>
        <w:spacing w:after="0" w:line="18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(c) after the Closing Date, (x) each Subsidiary of the Borrower that is an Excluded Subsidiary on the Closing Date and that ceases to constitute an Excluded Subsidiary pursuant to the definition thereof shall, at the request of the Lenders (or the Administrative Agent on behalf of the Lenders) become a Guarantor and signatory to this Agreement pursuant to a joinder agreement in connection with Section 6.11 or Section 6.13 and (y) each Subsidiary of the Borrower shall deliver such collateral documents and take such perfection steps as reasonably requested by the Collateral Agent or the Lenders;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8" w:name="page19"/>
    <w:bookmarkEnd w:id="18"/>
    <w:p>
      <w:pPr>
        <w:ind w:right="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that all of the security interests described herein with respect to the Collateral shall be effective and perfected by the DIP Order (and, in the case of Canadian Collateral, the Canadian DIP Recognition Order) and without the necessity of the execution of mortgages, security agreements, pledge agreements or other agreements, the Loan Parties shall take all actions that may be necessary or desirable, or that the Lenders or the Collateral Agent may reasonably request, to maintain the validity, perfection, enforceability and priority of the security interest and Liens of the Collateral Agent in the Collateral, or to enable the Collateral Agent to protect, exercise or enforce its rights hereunder, under the DIP Order and in the Collateral (and, in the case of Canadian Collateral, the Canadian DIP Recognition Order).</w:t>
      </w:r>
    </w:p>
    <w:p>
      <w:pPr>
        <w:spacing w:after="0" w:line="174" w:lineRule="exact"/>
        <w:rPr>
          <w:sz w:val="20"/>
          <w:szCs w:val="20"/>
          <w:color w:val="auto"/>
        </w:rPr>
      </w:pPr>
    </w:p>
    <w:p>
      <w:pPr>
        <w:ind w:right="2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Documents</w:t>
      </w:r>
      <w:r>
        <w:rPr>
          <w:rFonts w:ascii="Arial" w:cs="Arial" w:eastAsia="Arial" w:hAnsi="Arial"/>
          <w:sz w:val="17"/>
          <w:szCs w:val="17"/>
          <w:color w:val="auto"/>
        </w:rPr>
        <w:t xml:space="preserve">” shall mean, collectively, the DIP Order, the Canadian DIP Recognition Order, collateral assignments, security agreements, pledge agreements, intellectual property security agreements, control agreements or other similar agreements delivered to the Administrative Agent or the Collateral Agent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6.13</w:t>
      </w:r>
      <w:r>
        <w:rPr>
          <w:rFonts w:ascii="Arial" w:cs="Arial" w:eastAsia="Arial" w:hAnsi="Arial"/>
          <w:sz w:val="17"/>
          <w:szCs w:val="17"/>
          <w:color w:val="auto"/>
        </w:rPr>
        <w:t>, and each of the other agreements, instruments or documents that creates or purports to create a Lien in favor of the Collateral Agent for the benefit of the Secured Parties.</w:t>
      </w:r>
    </w:p>
    <w:p>
      <w:pPr>
        <w:spacing w:after="0" w:line="165"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shall mean, with respect to any Lender, such Lender’s Initial Term Commitment or Delayed Draw Term Commitment. The aggregate amount of the Commitments on the Closing Date, prior to the making of the Closing Date Loans, was $112,500,000. The aggregate amount of the Commitments as of the Effective Date, prior to the making of the Effective Date Loans, is $94,605,263.16.</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shall mean,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have the meaning specified in the definition of “Affiliate”.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shall mean a Borrowing.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Due</w:t>
      </w:r>
      <w:r>
        <w:rPr>
          <w:rFonts w:ascii="Arial" w:cs="Arial" w:eastAsia="Arial" w:hAnsi="Arial"/>
          <w:sz w:val="18"/>
          <w:szCs w:val="18"/>
          <w:color w:val="auto"/>
        </w:rPr>
        <w:t>” shall have the meaning assigned to such term in Section 2.17.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DDTL Exit Fee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xml:space="preserve">” shall mean (i) the Bankruptcy Code of the United States; (ii) the CCAA and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and (iii) all other liquidation, conservatorship, bankruptcy, assignment for the benefit of creditors, moratorium, arrangement, rearrangement, receivership, insolvency, reorganization or similar debtor relief Laws of the United States, Canada or other applicable jurisdictions from time to time in effect and affecting the rights of creditors generally.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Debtors</w:t>
      </w:r>
      <w:r>
        <w:rPr>
          <w:rFonts w:ascii="Arial" w:cs="Arial" w:eastAsia="Arial" w:hAnsi="Arial"/>
          <w:sz w:val="18"/>
          <w:szCs w:val="18"/>
          <w:color w:val="auto"/>
        </w:rPr>
        <w:t>” shall have the meaning assigned to the term in the recitals hereto.</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with the giving of any notice, the passage of any grace period, or both, without cure or waiver hereunder, would be an Event of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9" w:name="page20"/>
    <w:bookmarkEnd w:id="19"/>
    <w:p>
      <w:pPr>
        <w:ind w:right="26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Delayed Draw Term Commitment</w:t>
      </w:r>
      <w:r>
        <w:rPr>
          <w:rFonts w:ascii="Arial" w:cs="Arial" w:eastAsia="Arial" w:hAnsi="Arial"/>
          <w:sz w:val="17"/>
          <w:szCs w:val="17"/>
          <w:color w:val="auto"/>
        </w:rPr>
        <w:t xml:space="preserve">” means, as to each Term Lender, its obligation to make a Delayed Draw Term Loan to the Borrowers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in an aggregate amount not to exceed the amount set forth opposite such Lender’s name on </w:t>
      </w:r>
      <w:r>
        <w:rPr>
          <w:rFonts w:ascii="Arial" w:cs="Arial" w:eastAsia="Arial" w:hAnsi="Arial"/>
          <w:sz w:val="17"/>
          <w:szCs w:val="17"/>
          <w:u w:val="single" w:color="auto"/>
          <w:color w:val="auto"/>
        </w:rPr>
        <w:t>Appendix D</w:t>
      </w:r>
      <w:r>
        <w:rPr>
          <w:rFonts w:ascii="Arial" w:cs="Arial" w:eastAsia="Arial" w:hAnsi="Arial"/>
          <w:sz w:val="17"/>
          <w:szCs w:val="17"/>
          <w:color w:val="auto"/>
        </w:rPr>
        <w:t xml:space="preserve"> hereto under the caption “Delayed Draw Term Commitment”, as such amount may be adjusted from time to time in accordance with this Agreement (including </w:t>
      </w:r>
      <w:r>
        <w:rPr>
          <w:rFonts w:ascii="Arial" w:cs="Arial" w:eastAsia="Arial" w:hAnsi="Arial"/>
          <w:sz w:val="17"/>
          <w:szCs w:val="17"/>
          <w:u w:val="single" w:color="auto"/>
          <w:color w:val="auto"/>
        </w:rPr>
        <w:t>Sections 2.12</w:t>
      </w:r>
      <w:r>
        <w:rPr>
          <w:rFonts w:ascii="Arial" w:cs="Arial" w:eastAsia="Arial" w:hAnsi="Arial"/>
          <w:sz w:val="17"/>
          <w:szCs w:val="17"/>
          <w:color w:val="auto"/>
        </w:rPr>
        <w:t>). The aggregate amount of the Delayed Draw Term Commitments is $70,000,000.</w:t>
      </w:r>
    </w:p>
    <w:p>
      <w:pPr>
        <w:spacing w:after="0" w:line="16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Term Lender</w:t>
      </w:r>
      <w:r>
        <w:rPr>
          <w:rFonts w:ascii="Arial" w:cs="Arial" w:eastAsia="Arial" w:hAnsi="Arial"/>
          <w:sz w:val="18"/>
          <w:szCs w:val="18"/>
          <w:color w:val="auto"/>
        </w:rPr>
        <w:t>” means, at any time, any Lender that has a Delayed Draw Term Commitment or a Delayed Draw Term Loan at such time.</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Term Loan Availability Period</w:t>
      </w:r>
      <w:r>
        <w:rPr>
          <w:rFonts w:ascii="Arial" w:cs="Arial" w:eastAsia="Arial" w:hAnsi="Arial"/>
          <w:sz w:val="18"/>
          <w:szCs w:val="18"/>
          <w:color w:val="auto"/>
        </w:rPr>
        <w:t xml:space="preserve">” means the earlier of (x) date as of which the Delayed Draw Term Commitment has been fully utilized in accordance with the terms of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(y) the Maturity Date.</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Term Loan Borrowing Date</w:t>
      </w:r>
      <w:r>
        <w:rPr>
          <w:rFonts w:ascii="Arial" w:cs="Arial" w:eastAsia="Arial" w:hAnsi="Arial"/>
          <w:sz w:val="18"/>
          <w:szCs w:val="18"/>
          <w:color w:val="auto"/>
        </w:rPr>
        <w:t>” means any date that a Delayed Draw Term Lender makes a Delayed Draw Term Loan available to the Borrower pursuant to the terms hereof.</w:t>
      </w:r>
    </w:p>
    <w:p>
      <w:pPr>
        <w:spacing w:after="0" w:line="162"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Term Loans</w:t>
      </w:r>
      <w:r>
        <w:rPr>
          <w:rFonts w:ascii="Arial" w:cs="Arial" w:eastAsia="Arial" w:hAnsi="Arial"/>
          <w:sz w:val="18"/>
          <w:szCs w:val="18"/>
          <w:color w:val="auto"/>
        </w:rPr>
        <w:t xml:space="preserve">” means the term loans made by the Lenders on or after the Effective Date to the Borrowers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Term Note</w:t>
      </w:r>
      <w:r>
        <w:rPr>
          <w:rFonts w:ascii="Arial" w:cs="Arial" w:eastAsia="Arial" w:hAnsi="Arial"/>
          <w:sz w:val="18"/>
          <w:szCs w:val="18"/>
          <w:color w:val="auto"/>
        </w:rPr>
        <w:t xml:space="preserve">” shall mean a promissory note of the Borrower payable to any Delayed Draw Term Lender or its registered assigns,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 evidencing the aggregate Indebtedness of the Borrower to such Delayed Draw Term Lender resulting from the Delayed Draw Term Loans made by such Delayed Draw Term Lender.</w:t>
      </w:r>
    </w:p>
    <w:p>
      <w:pPr>
        <w:spacing w:after="0" w:line="176"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Order</w:t>
      </w:r>
      <w:r>
        <w:rPr>
          <w:rFonts w:ascii="Arial" w:cs="Arial" w:eastAsia="Arial" w:hAnsi="Arial"/>
          <w:sz w:val="18"/>
          <w:szCs w:val="18"/>
          <w:color w:val="auto"/>
        </w:rPr>
        <w:t>” shall mean the Interim Order or, upon entry thereof by the Bankruptcy Court, the Final Order.</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Proceeds Account</w:t>
      </w:r>
      <w:r>
        <w:rPr>
          <w:rFonts w:ascii="Arial" w:cs="Arial" w:eastAsia="Arial" w:hAnsi="Arial"/>
          <w:sz w:val="18"/>
          <w:szCs w:val="18"/>
          <w:color w:val="auto"/>
        </w:rPr>
        <w:t>” shall mean a deposit account in the name of, and for the account of, USF Holland, LLC maintained at JP Morgan, as account number ending with x4623, which shall constitute Collateral but not Prepetition ABL Priority Collateral, and into which proceeds of the Initial Term Loans and Delayed Draw Term Loans shall be funded and held in accordance with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Term Sheet</w:t>
      </w:r>
      <w:r>
        <w:rPr>
          <w:rFonts w:ascii="Arial" w:cs="Arial" w:eastAsia="Arial" w:hAnsi="Arial"/>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Discharge of ABL Obligations</w:t>
      </w:r>
      <w:r>
        <w:rPr>
          <w:rFonts w:ascii="Arial" w:cs="Arial" w:eastAsia="Arial" w:hAnsi="Arial"/>
          <w:sz w:val="18"/>
          <w:szCs w:val="18"/>
          <w:color w:val="auto"/>
        </w:rPr>
        <w:t>” shall have the meaning assigned to such term in the Prepetition ABL Intercreditor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Discharge of UST Tranche A Obligations</w:t>
      </w:r>
      <w:r>
        <w:rPr>
          <w:rFonts w:ascii="Arial" w:cs="Arial" w:eastAsia="Arial" w:hAnsi="Arial"/>
          <w:sz w:val="17"/>
          <w:szCs w:val="17"/>
          <w:color w:val="auto"/>
        </w:rPr>
        <w:t>” shall have the meaning assigned to such term in the Prepetition ABL Intercreditor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Discharge of UST Tranche B Obligations</w:t>
      </w:r>
      <w:r>
        <w:rPr>
          <w:rFonts w:ascii="Arial" w:cs="Arial" w:eastAsia="Arial" w:hAnsi="Arial"/>
          <w:sz w:val="17"/>
          <w:szCs w:val="17"/>
          <w:color w:val="auto"/>
        </w:rPr>
        <w:t>” shall have the meaning assigned to such term in the Prepetition ABL Intercreditor Agreement.</w:t>
      </w:r>
    </w:p>
    <w:p>
      <w:pPr>
        <w:spacing w:after="0" w:line="23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or “</w:t>
      </w:r>
      <w:r>
        <w:rPr>
          <w:rFonts w:ascii="Arial" w:cs="Arial" w:eastAsia="Arial" w:hAnsi="Arial"/>
          <w:sz w:val="18"/>
          <w:szCs w:val="18"/>
          <w:b w:val="1"/>
          <w:bCs w:val="1"/>
          <w:color w:val="auto"/>
        </w:rPr>
        <w:t>Dispose</w:t>
      </w:r>
      <w:r>
        <w:rPr>
          <w:rFonts w:ascii="Arial" w:cs="Arial" w:eastAsia="Arial" w:hAnsi="Arial"/>
          <w:sz w:val="18"/>
          <w:szCs w:val="18"/>
          <w:color w:val="auto"/>
        </w:rPr>
        <w:t>” shall mean the sale, transfer, license, lease or other disposition (including any sale and leaseback transaction and any sale or issuance of Equity Interests in a Subsidiary) of any property by any Person, including any sale, assignment, transfer or other disposal, with or without recourse, of any notes or accounts receivable or any rights and claims associated therewith.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20" w:name="page21"/>
    <w:bookmarkEnd w:id="20"/>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Disqualified Equity Interests</w:t>
      </w:r>
      <w:r>
        <w:rPr>
          <w:rFonts w:ascii="Arial" w:cs="Arial" w:eastAsia="Arial" w:hAnsi="Arial"/>
          <w:sz w:val="16"/>
          <w:szCs w:val="16"/>
          <w:color w:val="auto"/>
        </w:rPr>
        <w:t xml:space="preserve">”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in whole or in part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(c) provides for scheduled payments of dividends in cash, or (d) is or becomes convertible into or exchangeable for Indebtedness or any other Equity Interests that would constitute Disqualified Equity Interests, in each case, prior to the date that is ninety-one (91) days after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Equity Interests are issued pursuant to, or in accordance with a plan for the benefit of employees of the Borrower or the Subsidiaries or by any such plan to such employees, such Equity Interests shall not constitute Disqualified Equity Interests solely because they may be required to be repurchased by the Borrower or its Subsidiaries in order to satisfy applicable statutory or regulatory obligations or as a result of such employee’s termination, death or disability.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States of America.</w:t>
      </w:r>
    </w:p>
    <w:p>
      <w:pPr>
        <w:spacing w:after="0" w:line="225"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any Subsidiary that is organized under the Laws of the United States, any state thereof or the District of Columbia.</w:t>
      </w:r>
    </w:p>
    <w:p>
      <w:pPr>
        <w:spacing w:after="0" w:line="162" w:lineRule="exact"/>
        <w:rPr>
          <w:sz w:val="20"/>
          <w:szCs w:val="20"/>
          <w:color w:val="auto"/>
        </w:rPr>
      </w:pPr>
    </w:p>
    <w:p>
      <w:pPr>
        <w:ind w:right="1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 Commitment</w:t>
      </w:r>
      <w:r>
        <w:rPr>
          <w:rFonts w:ascii="Arial" w:cs="Arial" w:eastAsia="Arial" w:hAnsi="Arial"/>
          <w:sz w:val="16"/>
          <w:szCs w:val="16"/>
          <w:color w:val="auto"/>
        </w:rPr>
        <w:t>” means, as to each Lender, its obligations to make Effective Date Loans to the Borrower on the Effective Date pursuant to Section 2.01(a) in an aggregate principal amount not to exceed the amount set forth opposite such Lender’s name on Appendix B under the caption “Effective Date Commitment”. The aggregate amount of the Effective Date Commitments on the Effective Date is $ 11,184,210.53.</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 Loan</w:t>
      </w:r>
      <w:r>
        <w:rPr>
          <w:rFonts w:ascii="Arial" w:cs="Arial" w:eastAsia="Arial" w:hAnsi="Arial"/>
          <w:sz w:val="18"/>
          <w:szCs w:val="18"/>
          <w:color w:val="auto"/>
        </w:rPr>
        <w:t>” means a term loan made on the Effective Date pursuant to Section 2.01(a).</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(or waived in accordance with Section 10.08), which date is September 6, 2023.</w:t>
      </w:r>
    </w:p>
    <w:p>
      <w:pPr>
        <w:spacing w:after="0" w:line="162"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all federal, state, provincial, territorial, local and foreign laws (including common law), treaties, regulations, rules, ordinances, codes, decrees, judgments, directives, orders (including consent orders), and agreements in each case, relating to protection of the environment, natural resources, human health and safety (with respect to exposure to hazardous or toxic substances or wastes) or the presence, Release of, or exposure to, hazardous or toxic substances or wastes, or the generation, manufacture, processing, distribution, use, treatment, storage, transport, recycling or handling of, or the arrangement for such activities with respect to, hazardous or toxic substances or wastes.</w:t>
      </w:r>
    </w:p>
    <w:p>
      <w:pPr>
        <w:spacing w:after="0" w:line="154"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shall mean all liabilities, obligations, damages, losses, claims, actions, suits, judgments, orders, fines, penalties, fees, expenses and costs (including administrative oversight costs, capital and operating costs, injunctive relief, costs associated with financial assurance, permitting or closure requirements, natural resource damages and investigation or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Environmental Permit</w:t>
      </w:r>
      <w:r>
        <w:rPr>
          <w:rFonts w:ascii="Arial" w:cs="Arial" w:eastAsia="Arial" w:hAnsi="Arial"/>
          <w:sz w:val="16"/>
          <w:szCs w:val="16"/>
          <w:color w:val="auto"/>
        </w:rPr>
        <w:t>” means any permit, approval, identification number, license or other authorization required under any Environmental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shall mean,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but excluding in each case any debt security that is convertible into, or exchanged for, Equity Interests.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shall mean any Person, any trade or business (whether or not incorporated) that, together with a Loan Party or any Subsidiary, is or, within the six year period immediately preceding the Closing Date, was treated as a single employer under Section 414(b) or (c) of the Code, or, solely for purposes of Section 302 of ERISA and Section 412 of the Code, is treated as a single employer under Section 414 of the Code.</w:t>
      </w:r>
    </w:p>
    <w:p>
      <w:pPr>
        <w:spacing w:after="0" w:line="142"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shall mean (a) a Reportable Event; (b) the failure to satisfy the minimum funding standard with respect to a Pension Plan within the meaning of Sections 412 or 430 of the Code or Sections 302 or 303 of ERISA, whether or not waived (unless such failure is corrected by the final due date for the plan year for which such failure occurred), (c) a determination that a Pension Plan is, or is expected to be, in “at risk” status (as defined in Section 303(i)(4) of ERISA or Section 430(i)(4) of the Code); (d) the receipt by a Loan Party, any Subsidiary or any of their respective ERISA Affiliates of notice pursuant to Section 305(b)(3)(D) of ERISA that a Multiemployer Plan is or will be in “endangered status” or “critical status” (as defined in Section 305(b) of ERISA), or is, or is expected to be, “insolvent” (within the meaning of Section 4245 of ERISA); (e) the filing pursuant to Section 431 of the Code or Section 304 of ERISA of an application for the extension of any amortization period; (f) the failure to timely make a contribution required to be made with respect to any Pension Plan or Multiemployer Plan; (g) the filing of a notice to terminate any Pension Plan if such termination would require material additional contributions in order to be considered a standard termination within the meaning of Section 4041(b) of ERISA; (h) the filing under Section 4041(c) of ERISA of a notice of intent to terminate any Pension Plan or the termination of any Pension Plan under Section 4041(c) of ERISA; (i) the filing pursuant to Section 412(c) of the Code or Section 302(c) of ERISA of an application for a waiver of the minimum funding standard with respect to any Pension Plan; (j) the incurrence by a Loan Party, any Subsidiary or any of their respective ERISA Affiliates of any liability under Title IV of ERISA with respect to the termination of any Pension Plan; (k) the receipt by a Loan Party, any Subsidiary or any of their respective ERISA Affiliates from the PBGC or a plan administrator of any notice of an intention to terminate any Pension Plan or Pension Plans or to appoint a trustee to administer any Pension Plan under Section 4042 of ERISA; (l) the receipt by a Loan Party, any Subsidiary or any of their respective ERISA Affiliates of any notice, or the receipt by any Multiemployer Plan from a Loan Party, any Subsidiary or any of their respective ERISA Affiliates of any notice, concerning the imposition of Withdrawal Liability; (m) the occurrence of any event or condition that would reasonably be expected to result in the termination of a Pension Plan or the appointment of a trustee to administer a Pension Plan; (n) the occurrence of a nonexempt prohibited transaction (within the meaning of Section 406 of ERISA or Section 4975 of the Code) with respect to any Plan which could result in liability to a Loan Party or any Subsidiary or with respect to which a Loan Party or any Subsidiary is a “disqualified person” (as defined in Section 4975 of the Code) or a “party in interest” (as defined in Section 3(14) of ERISA); (o) the incurrence of any liability with respect to any Pension Plan or Multiemployer Plan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22" w:name="page23"/>
    <w:bookmarkEnd w:id="22"/>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Title IV of ERISA (other than premiums due and not delinquent under Section 4007 of ERISA); or (p) engagement in any transaction that could be subject to Sections 4069 or 4212(c) of ERISA or (q) the PBGC or any Multiemployer Plan indicates its intention to file an action, suit, litigation or proceeding (including in the Chapter 11 Orders) (x) contesting the Transactions, this Agreement or any of the other Loan Documents or the sale of the Collateral in accordance with the Chapter 11 Orders, (y) that materially impairs the value of any Collateral constituting real property interests and Rolling Stock of the Loan Parties or (z) that would reasonably be expected to prevent or materially delay the sale of the Collateral in accordance with the Chapter 11 Orders.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assigned to such term in Article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provided in the DIP Order.</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(i) Yellow Freight Corporation, a Delaware corporation, and (ii) each Subsidiary of the Borrower listed on Schedule 1.01(b);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as of the end of any calendar month, (x) any such Subsidiary, individually, comprises more than 1.0% of the Borrower and its Subsidiaries’ total assets or liquidity as of the end of such calendar month, such Subsidiaries shall no longer constitute Excluded Subsidiaries, and shall be required to become a Loan Party pursuant to Section 6.11 or (y) such Subsidiaries, in the aggregate, comprise more than 3.0% of the Borrower and its Subsidiaries’ total assets or liquidity as of the end of such calendar month, the Borrower shall designate one or more such Subsidiaries as not being Excluded Subsidiaries as may be necessary such that the foregoing aggregate percentage limit shall not be exceeded, and any such Subsidiaries so designated shall be required to become Loan Parties pursuant to Section 6.11.</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Date</w:t>
      </w:r>
      <w:r>
        <w:rPr>
          <w:rFonts w:ascii="Arial" w:cs="Arial" w:eastAsia="Arial" w:hAnsi="Arial"/>
          <w:sz w:val="18"/>
          <w:szCs w:val="18"/>
          <w:color w:val="auto"/>
        </w:rPr>
        <w:t>” shall mean the date on which all outstanding Obligations hereunder are paid in full in cash.</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shall mean the Closing Date Loans, the Effective Date Loans, the Final Loans or the Delayed Draw Term Loans, as the context may require.</w:t>
      </w:r>
    </w:p>
    <w:p>
      <w:pPr>
        <w:spacing w:after="0" w:line="162"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in effect on the Closing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shall mean,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for such transactions received by the Administrative Agent from three Federal funds brokers of recognized standing selected by it.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Commitment</w:t>
      </w:r>
      <w:r>
        <w:rPr>
          <w:rFonts w:ascii="Arial" w:cs="Arial" w:eastAsia="Arial" w:hAnsi="Arial"/>
          <w:sz w:val="18"/>
          <w:szCs w:val="18"/>
          <w:color w:val="auto"/>
        </w:rPr>
        <w:t>” means, as to each Lender, its obligations to make Final Loans to the Borrower pursuant to Section 2.01(a) in an aggregate principal amount not to exceed the amount set forth opposite such Lender’s name on Appendix B under the caption “Final Commitment”. The aggregate amount of the Final Commitments on the Effective Date is $13,421,052.63.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Final Loan</w:t>
      </w:r>
      <w:r>
        <w:rPr>
          <w:rFonts w:ascii="Arial" w:cs="Arial" w:eastAsia="Arial" w:hAnsi="Arial"/>
          <w:sz w:val="18"/>
          <w:szCs w:val="18"/>
          <w:color w:val="auto"/>
        </w:rPr>
        <w:t>” means a term loan made on the Final Order Entry Date pursuant to Section 2.01(a).</w:t>
      </w:r>
    </w:p>
    <w:p>
      <w:pPr>
        <w:spacing w:after="0" w:line="22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Order</w:t>
      </w:r>
      <w:r>
        <w:rPr>
          <w:rFonts w:ascii="Arial" w:cs="Arial" w:eastAsia="Arial" w:hAnsi="Arial"/>
          <w:sz w:val="18"/>
          <w:szCs w:val="18"/>
          <w:color w:val="auto"/>
        </w:rPr>
        <w:t>” means the final order of the Bankruptcy Court pursuant to Section 364 of the Bankruptcy Code approving the Agreement and the other Loan Documents with respect to the Loan Parties, as the same may be amended, modified or supplemented from time to time with the express written joinder or consent of the Lenders and the B-2 Lenders (and with respect to amendments, modifications or supplements that affect the rights or duties of any Agent, such Agent).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Order Entry Date</w:t>
      </w:r>
      <w:r>
        <w:rPr>
          <w:rFonts w:ascii="Arial" w:cs="Arial" w:eastAsia="Arial" w:hAnsi="Arial"/>
          <w:sz w:val="18"/>
          <w:szCs w:val="18"/>
          <w:color w:val="auto"/>
        </w:rPr>
        <w:t>” means the date on which the Final Order shall have been entered on the docket of the Bankruptcy Court.</w:t>
      </w:r>
    </w:p>
    <w:p>
      <w:pPr>
        <w:spacing w:after="0" w:line="225"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Day Orders</w:t>
      </w:r>
      <w:r>
        <w:rPr>
          <w:rFonts w:ascii="Arial" w:cs="Arial" w:eastAsia="Arial" w:hAnsi="Arial"/>
          <w:sz w:val="18"/>
          <w:szCs w:val="18"/>
          <w:color w:val="auto"/>
        </w:rPr>
        <w:t>” shall mean all “first day orders” with respect to the Chapter 11 Cases, including the cash management orders, in form and substance satisfactory to the Lenders (and with respect to any provisions that affect the rights or duties of any Agent, such Agent), as the same may be amended, modified or supplemented from time to time with the express written joinder or consent of the Lenders (and with respect to amendments, modifications or supplements that affect the rights or duties of any Agent, such Agent) (it being agreed that all such orders in effect as of the Effective Date are satisfactory to the Lenders and the Agents).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direct or indirect Subsidiary of the Borrower which is not a Domestic Subsidiary.</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shall mean generally accepted accounting principles in the United States of America, as in effect from time to time, subject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9"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any nation or government, any state, provincial,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without limitation, the U.S. Treasury).</w:t>
      </w:r>
    </w:p>
    <w:p>
      <w:pPr>
        <w:spacing w:after="0" w:line="15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shall mean,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7"/>
          <w:szCs w:val="17"/>
          <w:b w:val="1"/>
          <w:bCs w:val="1"/>
          <w:color w:val="auto"/>
        </w:rPr>
        <w:t>primary obligor</w:t>
      </w:r>
      <w:r>
        <w:rPr>
          <w:rFonts w:ascii="Arial" w:cs="Arial" w:eastAsia="Arial" w:hAnsi="Arial"/>
          <w:sz w:val="17"/>
          <w:szCs w:val="17"/>
          <w:color w:val="auto"/>
        </w:rPr>
        <w:t>”)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(i) endorsements for collection or deposit, in either case in the ordinary course of business, (ii) customary and reasonable indemnity obligations in effect on the Closing Date or entered into in connection with any acquisition or disposition of assets permitted under this Agreement (other than such obligations with respect to Indebtedness) or (iii) product warranties.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6"/>
          <w:szCs w:val="16"/>
          <w:b w:val="1"/>
          <w:bCs w:val="1"/>
          <w:color w:val="auto"/>
        </w:rPr>
        <w:t>Guarantee</w:t>
      </w:r>
      <w:r>
        <w:rPr>
          <w:rFonts w:ascii="Arial" w:cs="Arial" w:eastAsia="Arial" w:hAnsi="Arial"/>
          <w:sz w:val="16"/>
          <w:szCs w:val="16"/>
          <w:color w:val="auto"/>
        </w:rPr>
        <w:t>” as a verb has a corresponding meaning.</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shall mean each Subsidiary of the Borrower as of the Petition Date (other than an Excluded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mean, collectively, the guaranty of the Obligations by the Guarantors pursuant to this Agreement.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shall mean (a) any petroleum products, distillates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Hypothecary Representative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10.27</w:t>
      </w:r>
      <w:r>
        <w:rPr>
          <w:rFonts w:ascii="Arial" w:cs="Arial" w:eastAsia="Arial" w:hAnsi="Arial"/>
          <w:sz w:val="18"/>
          <w:szCs w:val="18"/>
          <w:color w:val="auto"/>
        </w:rPr>
        <w:t>.</w:t>
      </w:r>
    </w:p>
    <w:p>
      <w:pPr>
        <w:spacing w:after="0" w:line="225" w:lineRule="exact"/>
        <w:rPr>
          <w:sz w:val="20"/>
          <w:szCs w:val="20"/>
          <w:color w:val="auto"/>
        </w:rPr>
      </w:pPr>
    </w:p>
    <w:p>
      <w:pPr>
        <w:jc w:val="both"/>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mean, as to any Person at a particular time, without duplication and without reference to what constitutes indebtedness or a liability in accordance with GAAP, all of the following:</w:t>
      </w:r>
    </w:p>
    <w:p>
      <w:pPr>
        <w:spacing w:after="0" w:line="166"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(a) all obligations of such Person for borrowed money and all obligations of such Person evidenced by bonds, debentures, notes, loan agreements or other similar instruments;</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(b) the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(c) net obligations of such Person under any Swap Contract;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(d) all obligations of such Person to pay the deferred purchase price of property or services;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(e) indebtedness (excluding prepaid interest thereon) described in clauses (a) through (d) and (f) through (h)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(f) all Attributable Indebtedness;</w:t>
      </w:r>
    </w:p>
    <w:p>
      <w:pPr>
        <w:spacing w:after="0" w:line="22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(g) all obligations of such Person to purchase, redeem, retire or otherwise acquire for value any Disqualified Equity Interests (but solely to the extent required to occur on or prior to the Maturity Date (other than as a result of a change of control, asset sale or similar event));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(h) to the extent not otherwise included above, all Guarantees of such Person in respect of any of the foregoing.</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For all purposes hereof, the Indebtedness of any Person (i) shall include the Indebtedness of any partnership or joint venture (other than a joint venture that is itself a corporation or limited liability company) in which such Person is a general partner or joint venturer, except to the extent such Person’s liability for such Indebtedness is otherwise expressly contractually limited and only to the extent such Indebtedness would be included in the calculation of Consolidated Total Debt and (ii) shall exclude (A) trade accounts payable in the ordinary course of business, (B) any earn-out obligation until such earn-out obligation has become due and payable, (C) any pension contributions or health and welfare contributions due from such Person and/or its applicable Subsidiaries to any Pension Fund Entity, (D) liabilities accrued in the ordinary course, (E) deferred revenues, liabilities associated with customer prepayments and deposits and any such obligations incurred under ERISA, and other accrued obligations (including transfer pricing), in each case incurred in the ordinary course of business, (F) operating leases, (G) customary obligations under employment agreements and deferred compensation and (H) deferred tax liabilities. The amount of any net obligation under any Swap Contract on any date shall be deemed to be the Swap Termination Value thereof as of such date. The amount of Indebtedness of any Person for purposes of clause (e) that is limited in recourse to the property encumbered thereby shall be deemed to be equal to the lesser of (i) the aggregate unpaid amount of such Indebtedness and (ii) the fair market value of the property encumbered thereby as determined by such Person in good faith.</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Officer</w:t>
      </w:r>
      <w:r>
        <w:rPr>
          <w:rFonts w:ascii="Arial" w:cs="Arial" w:eastAsia="Arial" w:hAnsi="Arial"/>
          <w:sz w:val="18"/>
          <w:szCs w:val="18"/>
          <w:color w:val="auto"/>
        </w:rPr>
        <w:t>” shall mean the information officer appointed by the Canadian Court in the Canadian Recognition Proceedings.</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Budget</w:t>
      </w:r>
      <w:r>
        <w:rPr>
          <w:rFonts w:ascii="Arial" w:cs="Arial" w:eastAsia="Arial" w:hAnsi="Arial"/>
          <w:sz w:val="18"/>
          <w:szCs w:val="18"/>
          <w:color w:val="auto"/>
        </w:rPr>
        <w:t>” shall mean the initial 13-week consolidated weekly operating budget of the Borrower and its Subsidiaries setting forth projected operating receipts, operating disbursements, professional fees, net operating cash flow and Liquidity for the periods described therein prepared by management of the Borrower (and in consultation with the Borrower’s Operational Advisor), covering the period commencing on or about the Closing Date and attached to the Interim Order.</w:t>
      </w:r>
    </w:p>
    <w:p>
      <w:pPr>
        <w:spacing w:after="0" w:line="180"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Commitment</w:t>
      </w:r>
      <w:r>
        <w:rPr>
          <w:rFonts w:ascii="Arial" w:cs="Arial" w:eastAsia="Arial" w:hAnsi="Arial"/>
          <w:sz w:val="16"/>
          <w:szCs w:val="16"/>
          <w:color w:val="auto"/>
        </w:rPr>
        <w:t>” shall mean, with respect to any Lender, such Lender’s Closing Date Commitment, Effective Date Commitment or Final Commitment. The aggregate amount of Initial Term Commitments on the Closing Date was $42,500,000 prior to the making of the Closing Date Loans. The aggregate amount of Initial Term Commitments as of the Effective Date, prior to the making of the Effective Date Loans, is $24,605,263.16.</w:t>
      </w:r>
    </w:p>
    <w:p>
      <w:pPr>
        <w:spacing w:after="0" w:line="14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Loans</w:t>
      </w:r>
      <w:r>
        <w:rPr>
          <w:rFonts w:ascii="Arial" w:cs="Arial" w:eastAsia="Arial" w:hAnsi="Arial"/>
          <w:sz w:val="18"/>
          <w:szCs w:val="18"/>
          <w:color w:val="auto"/>
        </w:rPr>
        <w:t>” shall mean the Closing Date Loans, the Effective Date Loans and the Final Loans but not, for the avoidance of doubt, the Delayed Draw Term Loans.</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Order</w:t>
      </w:r>
      <w:r>
        <w:rPr>
          <w:rFonts w:ascii="Arial" w:cs="Arial" w:eastAsia="Arial" w:hAnsi="Arial"/>
          <w:sz w:val="18"/>
          <w:szCs w:val="18"/>
          <w:color w:val="auto"/>
        </w:rPr>
        <w:t xml:space="preserve">” means the interim order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as the same may be amended, modified or supplemented from time to time with the express written joinder or consent of the Lenders (and with respect to amendments, modifications or supplements that affect the rights or duties of any Agent, such Agent).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Note</w:t>
      </w:r>
      <w:r>
        <w:rPr>
          <w:rFonts w:ascii="Arial" w:cs="Arial" w:eastAsia="Arial" w:hAnsi="Arial"/>
          <w:sz w:val="18"/>
          <w:szCs w:val="18"/>
          <w:color w:val="auto"/>
        </w:rPr>
        <w:t xml:space="preserve">” shall mean a promissory note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Interest Payment Date</w:t>
      </w:r>
      <w:r>
        <w:rPr>
          <w:rFonts w:ascii="Arial" w:cs="Arial" w:eastAsia="Arial" w:hAnsi="Arial"/>
          <w:sz w:val="18"/>
          <w:szCs w:val="18"/>
          <w:color w:val="auto"/>
        </w:rPr>
        <w:t>” shall mean the last Business Day of each calendar month (commencing with Thursday, August 31, 2023).</w:t>
      </w:r>
    </w:p>
    <w:p>
      <w:pPr>
        <w:spacing w:after="0" w:line="22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related transactions) of all or substantially all of the property and assets or business of another Person or assets constituting a business unit, line of business or division of such Person. For purposes of covenant compliance, (i) the amount of any Investment shall equal (A) the amount actually invested, without adjustment for subsequent increases or decreases in the value of such Investment </w:t>
      </w:r>
      <w:r>
        <w:rPr>
          <w:rFonts w:ascii="Arial" w:cs="Arial" w:eastAsia="Arial" w:hAnsi="Arial"/>
          <w:sz w:val="16"/>
          <w:szCs w:val="16"/>
          <w:u w:val="single" w:color="auto"/>
          <w:color w:val="auto"/>
        </w:rPr>
        <w:t>minus</w:t>
      </w:r>
      <w:r>
        <w:rPr>
          <w:rFonts w:ascii="Arial" w:cs="Arial" w:eastAsia="Arial" w:hAnsi="Arial"/>
          <w:sz w:val="16"/>
          <w:szCs w:val="16"/>
          <w:color w:val="auto"/>
        </w:rPr>
        <w:t>, except for purposes of calculating the Cumulative Credit, (B) the aggregate amount of dividends, distributions or other payments received in cash in respect of such Investment (including by way of a sale or other disposition of such Investment) but not in excess of the original amount invested and (ii) the fair market value of any and all Investments (which for the avoidance of doubt shall include all debt, equity and other items described in the foregoing provisions of this definition) held by any Loan Party in any Guarantor that becomes an Excluded Subsidiary pursuant to clause (a) of the definition of “Excluded Subsidiary” shall be deemed to be an Investment incurred on the date such Guarantor becomes an Excluded Subsidiary pursuant to clause (a) of the definition of “Excluded Subsidiary”.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DIP Facility</w:t>
      </w:r>
      <w:r>
        <w:rPr>
          <w:rFonts w:ascii="Arial" w:cs="Arial" w:eastAsia="Arial" w:hAnsi="Arial"/>
          <w:sz w:val="18"/>
          <w:szCs w:val="18"/>
          <w:color w:val="auto"/>
        </w:rPr>
        <w:t>” shall have the meaning assigned to such term in the recitals hereto.</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shall mean, collectively, all international, foreign, federal, state, provincial, territorial and local laws (including common law),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requirements, and agreements with, any Governmental Authority.</w:t>
      </w:r>
    </w:p>
    <w:p>
      <w:pPr>
        <w:spacing w:after="0" w:line="151"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xml:space="preserve">” shall mean each lender from time to time party hereto. As of the Closing Date, </w:t>
      </w:r>
      <w:r>
        <w:rPr>
          <w:rFonts w:ascii="Arial" w:cs="Arial" w:eastAsia="Arial" w:hAnsi="Arial"/>
          <w:sz w:val="18"/>
          <w:szCs w:val="18"/>
          <w:u w:val="single" w:color="auto"/>
          <w:color w:val="auto"/>
        </w:rPr>
        <w:t>Appendices A, B and C</w:t>
      </w:r>
      <w:r>
        <w:rPr>
          <w:rFonts w:ascii="Arial" w:cs="Arial" w:eastAsia="Arial" w:hAnsi="Arial"/>
          <w:sz w:val="18"/>
          <w:szCs w:val="18"/>
          <w:color w:val="auto"/>
        </w:rPr>
        <w:t xml:space="preserve"> set forth the name of each Lender with a commitment for Initial Term Loans. As of the Effective Date,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sets forth the name of each Lender with a commitment for Delayed Draw Term Loans.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Indemnitees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10.05(b)</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shall mean any mortgage, deed of trust, pledge, hypothecation, collateral assignment, deemed trust,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or financing lease having substantially the same economic effect as any of the foregoing).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shall mean, as of any date of determination, the sum of unrestricted cash and Cash Equivalents of the Loan Parties as of such date.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Report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6.02(m)</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Loan</w:t>
      </w:r>
      <w:r>
        <w:rPr>
          <w:rFonts w:ascii="Arial" w:cs="Arial" w:eastAsia="Arial" w:hAnsi="Arial"/>
          <w:sz w:val="18"/>
          <w:szCs w:val="18"/>
          <w:color w:val="auto"/>
        </w:rPr>
        <w:t>” shall mean any Term Loan.</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shall mean this Agreement (including, without limitation, any amendments to and consents and waivers under this Agreement), the DIP Term Sheet, the DIP Order, the Collateral Documents, the Agency Fee Letter and the Term Notes or Delayed Draw Term Notes, if any, executed and delivered pursuant to </w:t>
      </w:r>
      <w:r>
        <w:rPr>
          <w:rFonts w:ascii="Arial" w:cs="Arial" w:eastAsia="Arial" w:hAnsi="Arial"/>
          <w:sz w:val="18"/>
          <w:szCs w:val="18"/>
          <w:u w:val="single" w:color="auto"/>
          <w:color w:val="auto"/>
        </w:rPr>
        <w:t>Section 2.04(e)</w:t>
      </w:r>
      <w:r>
        <w:rPr>
          <w:rFonts w:ascii="Arial" w:cs="Arial" w:eastAsia="Arial" w:hAnsi="Arial"/>
          <w:sz w:val="18"/>
          <w:szCs w:val="18"/>
          <w:color w:val="auto"/>
        </w:rPr>
        <w:t>, and each amendment, restatement, supplement or other modification of any Loan Document and all instruments and documents executed at any time in connection therewith.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shall mean, collectively, the Borrower and each Guarantor.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have the meaning assigned to such term in Regulation U.</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specified in the definition of “</w:t>
      </w:r>
      <w:r>
        <w:rPr>
          <w:rFonts w:ascii="Arial" w:cs="Arial" w:eastAsia="Arial" w:hAnsi="Arial"/>
          <w:sz w:val="18"/>
          <w:szCs w:val="18"/>
          <w:b w:val="1"/>
          <w:bCs w:val="1"/>
          <w:color w:val="auto"/>
        </w:rPr>
        <w:t>Swap Contract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shall mean a (a) material adverse effect on the business, operations, assets, liabilities (actual or contingent), operating results or financial condition, profits or prospects of the Borrower and its Subsidiaries, taken as a whole; (b) material adverse effect on the ability of the Loan Parties (taken as a whole) to fully and timely perform their payment obligations under the Loan Documents to which the Borrower or any of the Loan Parties is a party; or (c) material adverse effect on the rights and remedies available to the Lenders, the Administrative Agent or the Collateral Agent under any Loan Document (other than due to the action or inaction of any Agent or any Lender); </w:t>
      </w:r>
      <w:r>
        <w:rPr>
          <w:rFonts w:ascii="Arial" w:cs="Arial" w:eastAsia="Arial" w:hAnsi="Arial"/>
          <w:sz w:val="18"/>
          <w:szCs w:val="18"/>
          <w:i w:val="1"/>
          <w:iCs w:val="1"/>
          <w:color w:val="auto"/>
        </w:rPr>
        <w:t>provided</w:t>
      </w:r>
      <w:r>
        <w:rPr>
          <w:rFonts w:ascii="Arial" w:cs="Arial" w:eastAsia="Arial" w:hAnsi="Arial"/>
          <w:sz w:val="18"/>
          <w:szCs w:val="18"/>
          <w:color w:val="auto"/>
        </w:rPr>
        <w:t>, that “Material Adverse Effect” shall expressly exclude the effect of the filing of the Chapter 11 Cases, the events and conditions resulting from or leading up thereto, the ceasing of operations, the commencement of the Canadian Recognition Proceedings and any action required to be taken under the Loan Documents, the Chapter 11 Orders or the Canadian Orders.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Real Property</w:t>
      </w:r>
      <w:r>
        <w:rPr>
          <w:rFonts w:ascii="Arial" w:cs="Arial" w:eastAsia="Arial" w:hAnsi="Arial"/>
          <w:sz w:val="18"/>
          <w:szCs w:val="18"/>
          <w:color w:val="auto"/>
        </w:rPr>
        <w:t>” shall mean each Real Property that is owned in fee by a Loan Party.</w:t>
      </w:r>
    </w:p>
    <w:p>
      <w:pPr>
        <w:spacing w:after="0" w:line="225"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shall mean the earliest to occur of the following: (i) February 17, 2024 (the“</w:t>
      </w:r>
      <w:r>
        <w:rPr>
          <w:rFonts w:ascii="Arial" w:cs="Arial" w:eastAsia="Arial" w:hAnsi="Arial"/>
          <w:sz w:val="16"/>
          <w:szCs w:val="16"/>
          <w:b w:val="1"/>
          <w:bCs w:val="1"/>
          <w:color w:val="auto"/>
        </w:rPr>
        <w:t>Scheduled Maturity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Scheduled Maturity Date may be extended by the Lenders to May 17, 2024, with the Debtors’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Scheduled Maturity Date may not be extended unless and until all Obligations (as defined in the Prepetition UST Tranche A Credit Agreement) and all Obligations (as defined in the Prepetition UST Tranche B Credit Agreement) have been paid in full in cash; (ii) the effective date or the date of the substantial consummation (as defined in section 1102(2) of the Bankruptcy Code) of a Plan of Reorganization that has been confirmed by an order of the Bankruptcy Court; (iii) the date the Bankruptcy Court orders the conversion of the Chapter 11 Case of any of the Loan Parties to a liquidation under Chapter 7 of the Bankruptcy Code; (iv) the date the Bankruptcy Court orders the dismissal of the Chapter 11 Case of any of the Loan Parties; (v) the date of acceleration of the Term Loans or early termination of the Initial Term Commitments hereunder, including as a result of the occurrence of an Event of Default; (vi) the date the Canadian Court orders the appointment of a receiver, interim receiver, trustee or any similar official in respect of any of the Canadian Debtors or the Canadian Collateral (which for certainty does not include the appointment of the Information Officer); or (vii) the date that is 45 calendar days after the Petition Date if the Final Order Entry Date shall not have occurred by such date.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thereto.</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28" w:name="page29"/>
    <w:bookmarkEnd w:id="28"/>
    <w:p>
      <w:pPr>
        <w:ind w:right="36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Multiemployer Plan</w:t>
      </w:r>
      <w:r>
        <w:rPr>
          <w:rFonts w:ascii="Arial" w:cs="Arial" w:eastAsia="Arial" w:hAnsi="Arial"/>
          <w:sz w:val="16"/>
          <w:szCs w:val="16"/>
          <w:color w:val="auto"/>
        </w:rPr>
        <w:t>” shall mean any multiemployer plan as defined in Section 4001(a)(3) of ERISA subject to the provisions of Title IV of ERISA to which a Loan Party, any Subsidiary or any of their respective ERISA Affiliates is an “employer” as defined in Section 3(5) of ERISA.</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shall mean:</w:t>
      </w:r>
    </w:p>
    <w:p>
      <w:pPr>
        <w:spacing w:after="0" w:line="229" w:lineRule="exact"/>
        <w:rPr>
          <w:sz w:val="20"/>
          <w:szCs w:val="20"/>
          <w:color w:val="auto"/>
        </w:rPr>
      </w:pPr>
    </w:p>
    <w:p>
      <w:pPr>
        <w:ind w:right="120" w:firstLine="436"/>
        <w:spacing w:after="0" w:line="259"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of the cash proceeds actually received by the Borrower or any Subsidiaries (including any cash payments received by way of deferred payment of principal pursuant to a note or installment receivable or purchase price adjustment receivable or otherwise and including casualty insurance settlements and condemnation and similar awards, but in each case only as and when received) from any Disposition or Casualty Event, net of the following:</w:t>
      </w:r>
    </w:p>
    <w:p>
      <w:pPr>
        <w:spacing w:after="0" w:line="186" w:lineRule="exact"/>
        <w:rPr>
          <w:rFonts w:ascii="Arial" w:cs="Arial" w:eastAsia="Arial" w:hAnsi="Arial"/>
          <w:sz w:val="18"/>
          <w:szCs w:val="18"/>
          <w:color w:val="auto"/>
        </w:rPr>
      </w:pPr>
    </w:p>
    <w:p>
      <w:pPr>
        <w:ind w:right="300" w:firstLine="987"/>
        <w:spacing w:after="0" w:line="277" w:lineRule="auto"/>
        <w:tabs>
          <w:tab w:leader="none" w:pos="1206" w:val="left"/>
        </w:tabs>
        <w:numPr>
          <w:ilvl w:val="1"/>
          <w:numId w:val="4"/>
        </w:numPr>
        <w:rPr>
          <w:rFonts w:ascii="Arial" w:cs="Arial" w:eastAsia="Arial" w:hAnsi="Arial"/>
          <w:sz w:val="18"/>
          <w:szCs w:val="18"/>
          <w:color w:val="auto"/>
        </w:rPr>
      </w:pPr>
      <w:r>
        <w:rPr>
          <w:rFonts w:ascii="Arial" w:cs="Arial" w:eastAsia="Arial" w:hAnsi="Arial"/>
          <w:sz w:val="18"/>
          <w:szCs w:val="18"/>
          <w:color w:val="auto"/>
        </w:rPr>
        <w:t>attorneys’ fees, accountants’ fees, investment banking fees, survey costs, title insurance premiums, and related search and recording charges, transfer taxes, deed or mortgage recording taxes,</w:t>
      </w:r>
    </w:p>
    <w:p>
      <w:pPr>
        <w:spacing w:after="0" w:line="170" w:lineRule="exact"/>
        <w:rPr>
          <w:rFonts w:ascii="Arial" w:cs="Arial" w:eastAsia="Arial" w:hAnsi="Arial"/>
          <w:sz w:val="18"/>
          <w:szCs w:val="18"/>
          <w:color w:val="auto"/>
        </w:rPr>
      </w:pPr>
    </w:p>
    <w:p>
      <w:pPr>
        <w:ind w:firstLine="987"/>
        <w:spacing w:after="0" w:line="273" w:lineRule="auto"/>
        <w:tabs>
          <w:tab w:leader="none" w:pos="1256" w:val="left"/>
        </w:tabs>
        <w:numPr>
          <w:ilvl w:val="1"/>
          <w:numId w:val="4"/>
        </w:numPr>
        <w:rPr>
          <w:rFonts w:ascii="Arial" w:cs="Arial" w:eastAsia="Arial" w:hAnsi="Arial"/>
          <w:sz w:val="17"/>
          <w:szCs w:val="17"/>
          <w:color w:val="auto"/>
        </w:rPr>
      </w:pPr>
      <w:r>
        <w:rPr>
          <w:rFonts w:ascii="Arial" w:cs="Arial" w:eastAsia="Arial" w:hAnsi="Arial"/>
          <w:sz w:val="17"/>
          <w:szCs w:val="17"/>
          <w:color w:val="auto"/>
        </w:rPr>
        <w:t>required debt payments and required payments (including principal amount, premium or penalty, if any, interest, fees and expenses and other amounts) of other obligations that are secured by the applicable asset or property (other than pursuant to the Loan Documents, the Prepetition ABL Facility Documentation (other than, prior to the Discharge of ABL Obligations, in respect of ABL Priority Collateral), the Prepetition UST Tranche A Facility Documentation (other than, prior to the Discharge of UST Tranche A Obligations, in respect of the Prepetition UST Tranche A Only Collateral) and the Prepetition UST Tranche B Facility Documentation (other than, prior to the Discharge of UST Tranche B Obligations, in respect of the Prepetition UST Tranche B Priority Collateral and the Prepetition UST Tranche B Only Collateral)),</w:t>
      </w:r>
    </w:p>
    <w:p>
      <w:pPr>
        <w:spacing w:after="0" w:line="177" w:lineRule="exact"/>
        <w:rPr>
          <w:rFonts w:ascii="Arial" w:cs="Arial" w:eastAsia="Arial" w:hAnsi="Arial"/>
          <w:sz w:val="17"/>
          <w:szCs w:val="17"/>
          <w:color w:val="auto"/>
        </w:rPr>
      </w:pPr>
    </w:p>
    <w:p>
      <w:pPr>
        <w:ind w:left="1300" w:hanging="313"/>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20" w:firstLine="987"/>
        <w:spacing w:after="0" w:line="263"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taxes paid or reasonably estimated to be payable as a result thereof (</w:t>
      </w:r>
      <w:r>
        <w:rPr>
          <w:rFonts w:ascii="Arial" w:cs="Arial" w:eastAsia="Arial" w:hAnsi="Arial"/>
          <w:sz w:val="18"/>
          <w:szCs w:val="18"/>
          <w:i w:val="1"/>
          <w:iCs w:val="1"/>
          <w:color w:val="auto"/>
        </w:rPr>
        <w:t>provided</w:t>
      </w:r>
      <w:r>
        <w:rPr>
          <w:rFonts w:ascii="Arial" w:cs="Arial" w:eastAsia="Arial" w:hAnsi="Arial"/>
          <w:sz w:val="18"/>
          <w:szCs w:val="18"/>
          <w:color w:val="auto"/>
        </w:rPr>
        <w:t>, that if the amount of any such estimated taxes exceeds the amount of taxes actually required to be paid in cash in respect of such Disposition or Casualty Event, the aggregate amount of such excess shall constitute Net Proceeds at the time such taxes are actually paid),</w:t>
      </w:r>
    </w:p>
    <w:p>
      <w:pPr>
        <w:spacing w:after="0" w:line="183" w:lineRule="exact"/>
        <w:rPr>
          <w:rFonts w:ascii="Arial" w:cs="Arial" w:eastAsia="Arial" w:hAnsi="Arial"/>
          <w:sz w:val="18"/>
          <w:szCs w:val="18"/>
          <w:color w:val="auto"/>
        </w:rPr>
      </w:pPr>
    </w:p>
    <w:p>
      <w:pPr>
        <w:ind w:right="140" w:firstLine="987"/>
        <w:spacing w:after="0" w:line="255"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amount of any reasonable reserve established in accordance with GAAP against any adjustment to the sale price or any liabilities (other than any taxes deducted pursuant to clause (i) or (v) above) (x) related to any of the applicable assets and (y) retained by the Borrower or any of the Subsidiaries with respect to the assets subject to the Disposition or Casualty Event including, without limitation,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and</w:t>
      </w:r>
    </w:p>
    <w:p>
      <w:pPr>
        <w:spacing w:after="0" w:line="192" w:lineRule="exact"/>
        <w:rPr>
          <w:rFonts w:ascii="Arial" w:cs="Arial" w:eastAsia="Arial" w:hAnsi="Arial"/>
          <w:sz w:val="18"/>
          <w:szCs w:val="18"/>
          <w:color w:val="auto"/>
        </w:rPr>
      </w:pPr>
    </w:p>
    <w:p>
      <w:pPr>
        <w:ind w:right="460" w:firstLine="987"/>
        <w:spacing w:after="0" w:line="277" w:lineRule="auto"/>
        <w:tabs>
          <w:tab w:leader="none" w:pos="134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funded escrow established pursuant to the documents evidencing any such sale or disposition to secure any indemnification obligations or adjustments to the purchase price associated with any such sale or disposition; and</w:t>
      </w:r>
    </w:p>
    <w:p>
      <w:pPr>
        <w:spacing w:after="0" w:line="170"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of the cash proceeds from the incurrence, issuance or sale by the Borrower or any of the Subsidiaries of any Indebtedness, net of all taxes paid or reasonably estimated to be payable as a result thereof and fees (including investment banking fees and discounts), commissions, costs and other expenses,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9" w:name="page30"/>
    <w:bookmarkEnd w:id="29"/>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each case incurred in connection with such issuance or sale, </w:t>
      </w:r>
      <w:r>
        <w:rPr>
          <w:rFonts w:ascii="Arial" w:cs="Arial" w:eastAsia="Arial" w:hAnsi="Arial"/>
          <w:sz w:val="17"/>
          <w:szCs w:val="17"/>
          <w:i w:val="1"/>
          <w:iCs w:val="1"/>
          <w:color w:val="auto"/>
        </w:rPr>
        <w:t>provided</w:t>
      </w:r>
      <w:r>
        <w:rPr>
          <w:rFonts w:ascii="Arial" w:cs="Arial" w:eastAsia="Arial" w:hAnsi="Arial"/>
          <w:sz w:val="17"/>
          <w:szCs w:val="17"/>
          <w:color w:val="auto"/>
        </w:rPr>
        <w:t>, that if the amount of any estimated taxes exceeds the amount of taxes actually required to be paid in cash, the aggregate amount of such excess shall constitute Net Proceeds at the time such taxes are actually paid.</w:t>
      </w:r>
    </w:p>
    <w:p>
      <w:pPr>
        <w:spacing w:after="0" w:line="146"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For purposes of calculating the amount of Net Proceeds, fees, commissions and other costs and expenses payable to the Borrower or the Subsidiaries shall be disregarded.</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(or would accrue but for the operation of applicable Debtor Relief Laws), regardless of whether such interest and fees are allowed or allowable claims in such proceeding. Without limiting the generality of the foregoing, the Obligations of the Loan Parties under the Loan Documents include (a) the obligation (including guarantee obligations) to pay principal, interest, reimbursement obligations, charges, expenses, fees (including under the Agency Fee Letter, no matter when earned in accordance with the terms thereof), Attorney Costs, indemnities and other amounts payable by any Loan Party under any Loan Document and (b) the obligation of any Loan Party to reimburse any amount in respect of any of the foregoing that any Agent or Lender, in its sole discretion, may elect to pay or advance on behalf of such Loan Party.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assigned to such term in the definition of “Blocked Person”.</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Official Committee</w:t>
      </w:r>
      <w:r>
        <w:rPr>
          <w:rFonts w:ascii="Arial" w:cs="Arial" w:eastAsia="Arial" w:hAnsi="Arial"/>
          <w:sz w:val="18"/>
          <w:szCs w:val="18"/>
          <w:color w:val="auto"/>
        </w:rPr>
        <w:t>” means the official committee of unsecured creditors appointed in the Chapter 11 Cases pursuant to Section 1102 of the Bankruptcy Code.</w:t>
      </w:r>
    </w:p>
    <w:p>
      <w:pPr>
        <w:spacing w:after="0" w:line="16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Operational Advisor</w:t>
      </w:r>
      <w:r>
        <w:rPr>
          <w:rFonts w:ascii="Arial" w:cs="Arial" w:eastAsia="Arial" w:hAnsi="Arial"/>
          <w:sz w:val="16"/>
          <w:szCs w:val="16"/>
          <w:color w:val="auto"/>
        </w:rPr>
        <w:t xml:space="preserve">” means Alvarez and Marsal or another nationally-recognized, reputable financial planning and analysis firm reasonably acceptable to the Lenders and engaged by the Borrower pursuant to an engagement letter meeting the requirements set forth in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The term “Operational Advisor” shall include any replacement nationally-recognized, reputable financial planning and analysis firm selected by the Borrower and reasonably acceptable to the Lenders so long as the Borrower has provided to the Lenders a replacement engagement letter meeting the requirements set forth in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for such engagement letter prior to retaining such replacement Operational Advisor.</w:t>
      </w:r>
    </w:p>
    <w:p>
      <w:pPr>
        <w:spacing w:after="0" w:line="154"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 Documents</w:t>
      </w:r>
      <w:r>
        <w:rPr>
          <w:rFonts w:ascii="Arial" w:cs="Arial" w:eastAsia="Arial" w:hAnsi="Arial"/>
          <w:sz w:val="16"/>
          <w:szCs w:val="16"/>
          <w:color w:val="auto"/>
        </w:rPr>
        <w:t>” shall mean (a) with respect to any corporation or company, the memorandum, certificate or articles of incorporation, amalgamation, continuance or association, the bylaws and any shareholder(s) agreement applicable to such corporation or company (or equivalent or comparable constitutive documents with respect to any non-U.S. jurisdiction); (b) with respect to any limited liability company, the certificate or articles of formation or organization and operating agreement; and (c) with respect to any partnership, limited partnership, joint venture, trust or other form of business entity, the partnership, limited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Pension Fund Entities</w:t>
      </w:r>
      <w:r>
        <w:rPr>
          <w:rFonts w:ascii="Arial" w:cs="Arial" w:eastAsia="Arial" w:hAnsi="Arial"/>
          <w:sz w:val="18"/>
          <w:szCs w:val="18"/>
          <w:color w:val="auto"/>
        </w:rPr>
        <w:t xml:space="preserve">” shall mean those entities identified on </w:t>
      </w:r>
      <w:r>
        <w:rPr>
          <w:rFonts w:ascii="Arial" w:cs="Arial" w:eastAsia="Arial" w:hAnsi="Arial"/>
          <w:sz w:val="18"/>
          <w:szCs w:val="18"/>
          <w:u w:val="single" w:color="auto"/>
          <w:color w:val="auto"/>
        </w:rPr>
        <w:t>Schedule 1.01(d)</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pension benefit plan within the meaning of Section 3(2) of ERISA (other than a Multiemployer Plan) subject to the provisions of Title IV of ERISA or Sections 412 and 430 of the Code or Sections 302 and 303 of ERISA and in respect of which a Loan Party, any Subsidiary or any of their respective ERISA Affiliates is, or if such plan were terminated would under Section 4069 of ERISA be deemed to be, or within the six year period immediately preceding the date hereof was, a “contributing sponsor” as defined in Section 4001(a)(13) of ERISA or an “employer” as defined in Section 3(5) of ERISA.</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Petition Date</w:t>
      </w:r>
      <w:r>
        <w:rPr>
          <w:rFonts w:ascii="Arial" w:cs="Arial" w:eastAsia="Arial" w:hAnsi="Arial"/>
          <w:sz w:val="18"/>
          <w:szCs w:val="18"/>
          <w:color w:val="auto"/>
        </w:rPr>
        <w:t>” shall have the meaning assigned to such term in the recitals to this Agreement.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shall mean all necessary certificates, licenses, permits, franchises, trade names, certificates of occupancy, consents and other approvals required under applicable Laws for the operation of any Real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Variances</w:t>
      </w:r>
      <w:r>
        <w:rPr>
          <w:rFonts w:ascii="Arial" w:cs="Arial" w:eastAsia="Arial" w:hAnsi="Arial"/>
          <w:sz w:val="18"/>
          <w:szCs w:val="18"/>
          <w:color w:val="auto"/>
        </w:rPr>
        <w:t xml:space="preserve">” shall mean any variance from the Approved Budget which would not result in a breach of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Variance Percentage</w:t>
      </w:r>
      <w:r>
        <w:rPr>
          <w:rFonts w:ascii="Arial" w:cs="Arial" w:eastAsia="Arial" w:hAnsi="Arial"/>
          <w:sz w:val="18"/>
          <w:szCs w:val="18"/>
          <w:color w:val="auto"/>
        </w:rPr>
        <w:t>” shall mean:</w:t>
      </w:r>
    </w:p>
    <w:p>
      <w:pPr>
        <w:spacing w:after="0" w:line="229"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(a)  with respect to </w:t>
      </w:r>
      <w:r>
        <w:rPr>
          <w:rFonts w:ascii="Arial" w:cs="Arial" w:eastAsia="Arial" w:hAnsi="Arial"/>
          <w:sz w:val="16"/>
          <w:szCs w:val="16"/>
          <w:u w:val="single" w:color="auto"/>
          <w:color w:val="auto"/>
        </w:rPr>
        <w:t>Section 7.11(a)</w:t>
      </w:r>
      <w:r>
        <w:rPr>
          <w:rFonts w:ascii="Arial" w:cs="Arial" w:eastAsia="Arial" w:hAnsi="Arial"/>
          <w:sz w:val="16"/>
          <w:szCs w:val="16"/>
          <w:color w:val="auto"/>
        </w:rPr>
        <w:t>, (i) with respect to the Budget Variance Test Period ending on August 18, 2023, 80%, (ii) with respect to the Budget Variance Test Period ending on August 25, 2023, 85%, and (iii) with respect to each Budget Variance Test Period ending thereafter, 90%; and</w:t>
      </w:r>
    </w:p>
    <w:p>
      <w:pPr>
        <w:spacing w:after="0" w:line="12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(b) with respect to </w:t>
      </w:r>
      <w:r>
        <w:rPr>
          <w:rFonts w:ascii="Arial" w:cs="Arial" w:eastAsia="Arial" w:hAnsi="Arial"/>
          <w:sz w:val="18"/>
          <w:szCs w:val="18"/>
          <w:u w:val="single" w:color="auto"/>
          <w:color w:val="auto"/>
        </w:rPr>
        <w:t>Sections 7.11(b)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(i) with respect to the Budget Variance Test Period ending on August 18, 2023, 120%, (ii) with respect to the Budget Variance Test Period ending on August 25, 2023, 115%, and (iii) with respect to each Budget Variance Test Period ending thereafter, 110%.</w:t>
      </w:r>
    </w:p>
    <w:p>
      <w:pPr>
        <w:spacing w:after="0" w:line="180"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natural person, corporation, limited liability company, unlimited liability company, trust, joint venture, association, company, partnership, limited partnership, Governmental Authority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of Reorganization</w:t>
      </w:r>
      <w:r>
        <w:rPr>
          <w:rFonts w:ascii="Arial" w:cs="Arial" w:eastAsia="Arial" w:hAnsi="Arial"/>
          <w:sz w:val="18"/>
          <w:szCs w:val="18"/>
          <w:color w:val="auto"/>
        </w:rPr>
        <w:t>” shall mean a plan of reorganization in the Chapter 11 Cases.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B-2 Indebtedness</w:t>
      </w:r>
      <w:r>
        <w:rPr>
          <w:rFonts w:ascii="Arial" w:cs="Arial" w:eastAsia="Arial" w:hAnsi="Arial"/>
          <w:sz w:val="18"/>
          <w:szCs w:val="18"/>
          <w:color w:val="auto"/>
        </w:rPr>
        <w:t>” shall mean Indebtedness (other than Prepetition B-2 Indebtedness) of the Borrower or any Subsidiary outstanding under or secured pursuant to the Postpetition B-2 Loan Documents.</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B-2 Loan Documents</w:t>
      </w:r>
      <w:r>
        <w:rPr>
          <w:rFonts w:ascii="Arial" w:cs="Arial" w:eastAsia="Arial" w:hAnsi="Arial"/>
          <w:sz w:val="18"/>
          <w:szCs w:val="18"/>
          <w:color w:val="auto"/>
        </w:rPr>
        <w:t>” means the B-2 Term Loan Credit Agreement, the “Loan Documents” under and as defined in the B-2 Term Loan Credit Agreement and all instruments and documents executed at any time in connection therewith.</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B-2 Loans</w:t>
      </w:r>
      <w:r>
        <w:rPr>
          <w:rFonts w:ascii="Arial" w:cs="Arial" w:eastAsia="Arial" w:hAnsi="Arial"/>
          <w:sz w:val="18"/>
          <w:szCs w:val="18"/>
          <w:color w:val="auto"/>
        </w:rPr>
        <w:t>” means the Postpetition B-2 Obligations in respect of principal of “New Money Postpetition Loans” under, and as defined in, the B-2 Term Loan Credit Agreement and interest, expenses, fees, premium and other sums payable in respect thereof under the Postpetition B-2 Loan Documents.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0" w:right="519" w:bottom="1440" w:gutter="0" w:footer="0" w:header="0"/>
        </w:sectPr>
      </w:pPr>
    </w:p>
    <w:bookmarkStart w:id="31" w:name="page32"/>
    <w:bookmarkEnd w:id="31"/>
    <w:p>
      <w:pPr>
        <w:ind w:right="7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Postpetition B-2 Obligations</w:t>
      </w:r>
      <w:r>
        <w:rPr>
          <w:rFonts w:ascii="Arial" w:cs="Arial" w:eastAsia="Arial" w:hAnsi="Arial"/>
          <w:sz w:val="18"/>
          <w:szCs w:val="18"/>
          <w:color w:val="auto"/>
        </w:rPr>
        <w:t>” means the “Obligations” as defined in the B-2 Term Loan Credit Agreement (other than Prepetition B-2 Obligations).</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R.S.O 1990, c. P.10;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Canadian Collateral is governed by (i) a Personal Property Security Act as in effect in a Canadian jurisdiction other than Ontario or (ii)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xml:space="preserve">, then “PPSA” means the Personal Property Security Act as in effect from time to time in such other jurisdiction or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as applicable, for purposes of the provisions hereof relating to such perfection, effect of perfection or non-perfection or priority in such Canadian Collateral.</w:t>
      </w:r>
    </w:p>
    <w:p>
      <w:pPr>
        <w:spacing w:after="0" w:line="183"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Agent</w:t>
      </w:r>
      <w:r>
        <w:rPr>
          <w:rFonts w:ascii="Arial" w:cs="Arial" w:eastAsia="Arial" w:hAnsi="Arial"/>
          <w:sz w:val="18"/>
          <w:szCs w:val="18"/>
          <w:color w:val="auto"/>
        </w:rPr>
        <w:t>” shall mean, as the context may require, Citizens Business Capital (a division of Citizens Asset Finance, Inc., a subsidiary of Citizens, N.A.), in its capacity as administrative agent under the Prepetition ABL Facility Documentation, Citizens Business Capital (a division of Citizens Asset Finance, Inc., a subsidiary of Citizens, N.A.), in its capacity as collateral agent under the Prepetition ABL Facility Documentation.</w:t>
      </w:r>
    </w:p>
    <w:p>
      <w:pPr>
        <w:spacing w:after="0" w:line="18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Credit Agreement</w:t>
      </w:r>
      <w:r>
        <w:rPr>
          <w:rFonts w:ascii="Arial" w:cs="Arial" w:eastAsia="Arial" w:hAnsi="Arial"/>
          <w:sz w:val="18"/>
          <w:szCs w:val="18"/>
          <w:color w:val="auto"/>
        </w:rPr>
        <w:t>” shall mean that certain asset-based revolving credit agreement dated as of the February 13, 2014, among the Borrower, YRC Inc., a Delaware corporation, USF Reddaway Inc., an Oregon corporation, USF Holland LLC, a Delaware limited liability company (as successor to USF Holland, Inc., a Michigan corporation) and New Penn Motor Express, LLC, a Delaware limited liability company (as successor to New Penn Motor Express, Inc., a Pennsylvania corporation), the other subsidiaries of the Borrower party thereto, the lenders party thereto and the Prepetition ABL Agent, as amended prior to the Petition Date, provided by lenders who are third party commercial banks or other financial institutions that customarily provide asset based lending credit facilities and other financial institutions consented to by the Administrative Agent (such consent not to be unreasonably withheld or delayed).</w:t>
      </w:r>
    </w:p>
    <w:p>
      <w:pPr>
        <w:spacing w:after="0" w:line="189"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Facility Documentation</w:t>
      </w:r>
      <w:r>
        <w:rPr>
          <w:rFonts w:ascii="Arial" w:cs="Arial" w:eastAsia="Arial" w:hAnsi="Arial"/>
          <w:sz w:val="18"/>
          <w:szCs w:val="18"/>
          <w:color w:val="auto"/>
        </w:rPr>
        <w:t>” shall mean the Prepetition ABL Credit Agreement and all security agreements, guarantees, pledge agreements and other agreements or instruments executed in connection therewith and including all “Loan Documents” (as defined in the Prepetition ABL Credit Agreement) or similar term.</w:t>
      </w:r>
    </w:p>
    <w:p>
      <w:pPr>
        <w:spacing w:after="0" w:line="176"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Facility Indebtedness</w:t>
      </w:r>
      <w:r>
        <w:rPr>
          <w:rFonts w:ascii="Arial" w:cs="Arial" w:eastAsia="Arial" w:hAnsi="Arial"/>
          <w:sz w:val="18"/>
          <w:szCs w:val="18"/>
          <w:color w:val="auto"/>
        </w:rPr>
        <w:t>” shall mean Indebtedness of the Borrower or any Subsidiary outstanding under the ABL Facility Documentation, including Bank Product Debt (as defined in the Prepetition ABL Credit Agreement).</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Facility</w:t>
      </w:r>
      <w:r>
        <w:rPr>
          <w:rFonts w:ascii="Arial" w:cs="Arial" w:eastAsia="Arial" w:hAnsi="Arial"/>
          <w:sz w:val="18"/>
          <w:szCs w:val="18"/>
          <w:color w:val="auto"/>
        </w:rPr>
        <w:t>” shall mean the asset-based revolving credit facility made available to the Borrower and certain of its Subsidiaries pursuant to the Prepetition ABL Credit Agreement.</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Intercreditor Agreement</w:t>
      </w:r>
      <w:r>
        <w:rPr>
          <w:rFonts w:ascii="Arial" w:cs="Arial" w:eastAsia="Arial" w:hAnsi="Arial"/>
          <w:sz w:val="18"/>
          <w:szCs w:val="18"/>
          <w:color w:val="auto"/>
        </w:rPr>
        <w:t>” shall mean the Amended and Restated Intercreditor Agreement dated as of July 7, 2020, among the Administrative Agent and/or Collateral Agent, the Prepetition ABL Agent, the Prepetition UST Tranche A Agent, the Prepetition UST Tranche B Agent and the Loan Parties, and as the same may be further amended, restated, modified, supplemented, extended, renewed, restructured, waived or replaced from time to time.</w:t>
      </w:r>
    </w:p>
    <w:p>
      <w:pPr>
        <w:spacing w:after="0" w:line="180"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Priority Collateral</w:t>
      </w:r>
      <w:r>
        <w:rPr>
          <w:rFonts w:ascii="Arial" w:cs="Arial" w:eastAsia="Arial" w:hAnsi="Arial"/>
          <w:sz w:val="18"/>
          <w:szCs w:val="18"/>
          <w:color w:val="auto"/>
        </w:rPr>
        <w:t>” shall have the meaning assigned to the term “ABL Priority Collateral” in the Prepetition ABL Intercreditor Agreement.</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Secured Parties</w:t>
      </w:r>
      <w:r>
        <w:rPr>
          <w:rFonts w:ascii="Arial" w:cs="Arial" w:eastAsia="Arial" w:hAnsi="Arial"/>
          <w:sz w:val="18"/>
          <w:szCs w:val="18"/>
          <w:color w:val="auto"/>
        </w:rPr>
        <w:t>” shall have the meaning assigned to the term “ABL Secured Parties” in the Prepetition ABL Intercreditor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right="7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Prepetition Agents</w:t>
      </w:r>
      <w:r>
        <w:rPr>
          <w:rFonts w:ascii="Arial" w:cs="Arial" w:eastAsia="Arial" w:hAnsi="Arial"/>
          <w:sz w:val="18"/>
          <w:szCs w:val="18"/>
          <w:color w:val="auto"/>
        </w:rPr>
        <w:t>” shall mean, collectively, the (a) B-2 Agent, (b) Prepetition ABL Agent, (c) Prepetition UST Tranche A Agent and (d) Prepetition UST Tranche B Agent.</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B-2 Indebtedness</w:t>
      </w:r>
      <w:r>
        <w:rPr>
          <w:rFonts w:ascii="Arial" w:cs="Arial" w:eastAsia="Arial" w:hAnsi="Arial"/>
          <w:sz w:val="18"/>
          <w:szCs w:val="18"/>
          <w:color w:val="auto"/>
        </w:rPr>
        <w:t>” shall mean Indebtedness of the Borrower or any Subsidiary outstanding under or secured by the Prepetition B-2 Loan Documents.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B-2 Lenders</w:t>
      </w:r>
      <w:r>
        <w:rPr>
          <w:rFonts w:ascii="Arial" w:cs="Arial" w:eastAsia="Arial" w:hAnsi="Arial"/>
          <w:sz w:val="18"/>
          <w:szCs w:val="18"/>
          <w:color w:val="auto"/>
        </w:rPr>
        <w:t>” means the “Prepetition B-2 Lenders” as defined in the B-2 Term Loan Credit Agreement.</w:t>
      </w:r>
    </w:p>
    <w:p>
      <w:pPr>
        <w:spacing w:after="0" w:line="225"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Prepetition B-2 Loan Documents</w:t>
      </w:r>
      <w:r>
        <w:rPr>
          <w:rFonts w:ascii="Arial" w:cs="Arial" w:eastAsia="Arial" w:hAnsi="Arial"/>
          <w:sz w:val="17"/>
          <w:szCs w:val="17"/>
          <w:color w:val="auto"/>
        </w:rPr>
        <w:t>” means the Prepetition B-2 Term Loan Credit Agreement, the “Loan Documents” under and as defined in the Prepetition B-2 Term Loan Credit Agreement and all instruments and documents executed at any time in connection therewith.</w:t>
      </w:r>
    </w:p>
    <w:p>
      <w:pPr>
        <w:spacing w:after="0" w:line="140" w:lineRule="exact"/>
        <w:rPr>
          <w:sz w:val="20"/>
          <w:szCs w:val="20"/>
          <w:color w:val="auto"/>
        </w:rPr>
      </w:pPr>
    </w:p>
    <w:p>
      <w:pPr>
        <w:jc w:val="both"/>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Prepetition B-2 Loans</w:t>
      </w:r>
      <w:r>
        <w:rPr>
          <w:rFonts w:ascii="Arial" w:cs="Arial" w:eastAsia="Arial" w:hAnsi="Arial"/>
          <w:sz w:val="17"/>
          <w:szCs w:val="17"/>
          <w:color w:val="auto"/>
        </w:rPr>
        <w:t>” means the Prepetition B-2 Obligations in respect of principal of “Loans” under, and as defined in, the Prepetition B-2 Term Loan Credit Agreement and interest, expenses, fees, exit fee, premium and other sums payable in respect thereof under the Prepetition B-2 Loan Documents, in each case, prior to the effectiveness of the B-2 Term Loan Credit Agreement Amendment.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B-2 Obligations</w:t>
      </w:r>
      <w:r>
        <w:rPr>
          <w:rFonts w:ascii="Arial" w:cs="Arial" w:eastAsia="Arial" w:hAnsi="Arial"/>
          <w:sz w:val="18"/>
          <w:szCs w:val="18"/>
          <w:color w:val="auto"/>
        </w:rPr>
        <w:t>” means the “Obligations” as defined in the Prepetition B-2 Term Loan Credit Agreement.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B-2 Term Loan Credit Agreement</w:t>
      </w:r>
      <w:r>
        <w:rPr>
          <w:rFonts w:ascii="Arial" w:cs="Arial" w:eastAsia="Arial" w:hAnsi="Arial"/>
          <w:sz w:val="18"/>
          <w:szCs w:val="18"/>
          <w:color w:val="auto"/>
        </w:rPr>
        <w:t>” means that Amended and Restated Credit Agreement, dated as of September 11, 2019, by and among Borrower, as borrower, the guarantors from time to time party thereto, the B-2 Lenders and the B-2 Agent</w:t>
      </w:r>
      <w:r>
        <w:rPr>
          <w:rFonts w:ascii="Arial" w:cs="Arial" w:eastAsia="Arial" w:hAnsi="Arial"/>
          <w:sz w:val="18"/>
          <w:szCs w:val="18"/>
          <w:b w:val="1"/>
          <w:bCs w:val="1"/>
          <w:color w:val="auto"/>
        </w:rPr>
        <w:t>,</w:t>
      </w:r>
      <w:r>
        <w:rPr>
          <w:rFonts w:ascii="Arial" w:cs="Arial" w:eastAsia="Arial" w:hAnsi="Arial"/>
          <w:sz w:val="18"/>
          <w:szCs w:val="18"/>
          <w:color w:val="auto"/>
        </w:rPr>
        <w:t xml:space="preserve"> as amended, amended and restated, supplemented, or otherwise modified from time to time in accordance with the terms thereof prior to the effectiveness of the B-2 Term Loan Credit Agreement Amendment.</w:t>
      </w:r>
    </w:p>
    <w:p>
      <w:pPr>
        <w:spacing w:after="0" w:line="180" w:lineRule="exact"/>
        <w:rPr>
          <w:sz w:val="20"/>
          <w:szCs w:val="20"/>
          <w:color w:val="auto"/>
        </w:rPr>
      </w:pPr>
    </w:p>
    <w:p>
      <w:pPr>
        <w:ind w:right="8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Prepetition Facility Documentation</w:t>
      </w:r>
      <w:r>
        <w:rPr>
          <w:rFonts w:ascii="Arial" w:cs="Arial" w:eastAsia="Arial" w:hAnsi="Arial"/>
          <w:sz w:val="16"/>
          <w:szCs w:val="16"/>
          <w:color w:val="auto"/>
        </w:rPr>
        <w:t>” shall mean, collectively, the (i) Prepetition B-2 Loan Documents, (ii) Prepetition ABL Facility Documentation, (iii) Prepetition UST Tranche A Facility Documentation and (iv) Prepetition UST Tranche B Facility Documentation.</w:t>
      </w:r>
    </w:p>
    <w:p>
      <w:pPr>
        <w:spacing w:after="0" w:line="116"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Indebtedness</w:t>
      </w:r>
      <w:r>
        <w:rPr>
          <w:rFonts w:ascii="Arial" w:cs="Arial" w:eastAsia="Arial" w:hAnsi="Arial"/>
          <w:sz w:val="18"/>
          <w:szCs w:val="18"/>
          <w:color w:val="auto"/>
        </w:rPr>
        <w:t>” shall mean, collectively, the (i) Prepetition B-2 Indebtedness, (ii) Prepetition ABL Facility Indebtedness, (iii) Prepetition UST Tranche A Facility Indebtedness and (iv) Prepetition UST Tranche B Facility Indebtedness.</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Lenders</w:t>
      </w:r>
      <w:r>
        <w:rPr>
          <w:rFonts w:ascii="Arial" w:cs="Arial" w:eastAsia="Arial" w:hAnsi="Arial"/>
          <w:sz w:val="18"/>
          <w:szCs w:val="18"/>
          <w:color w:val="auto"/>
        </w:rPr>
        <w:t>” shall mean, collectively, the (a) Prepetition B-2 Lenders, (b) Prepetition ABL Lenders, (c) Prepetition UST Tranche A Lenders and (d) Prepetition UST Tranche B Lenders.</w:t>
      </w:r>
    </w:p>
    <w:p>
      <w:pPr>
        <w:spacing w:after="0" w:line="162"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Perfection Certificate</w:t>
      </w:r>
      <w:r>
        <w:rPr>
          <w:rFonts w:ascii="Arial" w:cs="Arial" w:eastAsia="Arial" w:hAnsi="Arial"/>
          <w:sz w:val="18"/>
          <w:szCs w:val="18"/>
          <w:color w:val="auto"/>
        </w:rPr>
        <w:t>” shall mean the Perfection Certificate as of July 7, 2023 delivered by the Borrower pursuant to the Prepetition B-2 Credit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Secured Parties</w:t>
      </w:r>
      <w:r>
        <w:rPr>
          <w:rFonts w:ascii="Arial" w:cs="Arial" w:eastAsia="Arial" w:hAnsi="Arial"/>
          <w:sz w:val="18"/>
          <w:szCs w:val="18"/>
          <w:color w:val="auto"/>
        </w:rPr>
        <w:t>” shall mean, collectively, the (a) Prepetition Agents and (b) the Prepetition Lenders.</w:t>
      </w:r>
    </w:p>
    <w:p>
      <w:pPr>
        <w:spacing w:after="0" w:line="225"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Prepetition Senior Secured Claims</w:t>
      </w:r>
      <w:r>
        <w:rPr>
          <w:rFonts w:ascii="Arial" w:cs="Arial" w:eastAsia="Arial" w:hAnsi="Arial"/>
          <w:sz w:val="16"/>
          <w:szCs w:val="16"/>
          <w:color w:val="auto"/>
        </w:rPr>
        <w:t>” means the Claims and Liens of (a) the B-2 Lenders and B-2 Agent in respect of Prepetition B-2 Obligations, (b) the Prepetition ABL Secured Parties (</w:t>
      </w:r>
      <w:r>
        <w:rPr>
          <w:rFonts w:ascii="Arial" w:cs="Arial" w:eastAsia="Arial" w:hAnsi="Arial"/>
          <w:sz w:val="16"/>
          <w:szCs w:val="16"/>
          <w:i w:val="1"/>
          <w:iCs w:val="1"/>
          <w:color w:val="auto"/>
        </w:rPr>
        <w:t>provided</w:t>
      </w:r>
      <w:r>
        <w:rPr>
          <w:rFonts w:ascii="Arial" w:cs="Arial" w:eastAsia="Arial" w:hAnsi="Arial"/>
          <w:sz w:val="16"/>
          <w:szCs w:val="16"/>
          <w:color w:val="auto"/>
        </w:rPr>
        <w:t>, that, the DIP Proceeds Account shall constitute B-2 Priority Collateral and not Prepetition ABL Priority Collateral), and (c) the UST Secured Parties, including, in each case, their respective adequate protection Claims and Liens.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0" w:right="519" w:bottom="1440" w:gutter="0" w:footer="0" w:header="0"/>
        </w:sectPr>
      </w:pPr>
    </w:p>
    <w:bookmarkStart w:id="33" w:name="page34"/>
    <w:bookmarkEnd w:id="33"/>
    <w:p>
      <w:pPr>
        <w:ind w:right="22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Prepetition UST Tranche A Agent</w:t>
      </w:r>
      <w:r>
        <w:rPr>
          <w:rFonts w:ascii="Arial" w:cs="Arial" w:eastAsia="Arial" w:hAnsi="Arial"/>
          <w:sz w:val="17"/>
          <w:szCs w:val="17"/>
          <w:color w:val="auto"/>
        </w:rPr>
        <w:t>” shall mean, as the context may require, The Bank of New York Mellon, in its capacity as administrative agent and as collateral agent under the Prepetition UST Tranche A Facility Documentation, such agents collectively or any permitted successor or assignee administrative agent or collateral agent under the Prepetition UST Tranche A Facility Documentation.</w:t>
      </w:r>
    </w:p>
    <w:p>
      <w:pPr>
        <w:spacing w:after="0" w:line="158"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Controlled Account</w:t>
      </w:r>
      <w:r>
        <w:rPr>
          <w:rFonts w:ascii="Arial" w:cs="Arial" w:eastAsia="Arial" w:hAnsi="Arial"/>
          <w:sz w:val="18"/>
          <w:szCs w:val="18"/>
          <w:color w:val="auto"/>
        </w:rPr>
        <w:t>” shall have the meaning assigned to the term “UST Tranche A Controlled Account” in the Prepetition UST Tranche A Credit Agreement (as in effect as of the date hereof).</w:t>
      </w:r>
    </w:p>
    <w:p>
      <w:pPr>
        <w:spacing w:after="0" w:line="162"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Credit Agreement</w:t>
      </w:r>
      <w:r>
        <w:rPr>
          <w:rFonts w:ascii="Arial" w:cs="Arial" w:eastAsia="Arial" w:hAnsi="Arial"/>
          <w:sz w:val="18"/>
          <w:szCs w:val="18"/>
          <w:color w:val="auto"/>
        </w:rPr>
        <w:t>” shall mean that certain Prepetition UST Tranche A Term Loan Credit Agreement dated as of July 7, 2020, among the Borrower, the other subsidiaries of the Borrower party thereto, the lenders party thereto and the Prepetition UST Tranche A Agent, and as the same may have been further amended, restated, modified, supplemented, extended, renewed, restructured, refunded, replaced or refinanced from time to time prior to the Petition Date.</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Facility Documentation</w:t>
      </w:r>
      <w:r>
        <w:rPr>
          <w:rFonts w:ascii="Arial" w:cs="Arial" w:eastAsia="Arial" w:hAnsi="Arial"/>
          <w:sz w:val="18"/>
          <w:szCs w:val="18"/>
          <w:color w:val="auto"/>
        </w:rPr>
        <w:t>” shall mean the Prepetition UST Tranche A Credit Agreement and all security agreements, guarantees, pledge agreements and other agreements or instruments executed in connection therewith and including all “Loan Documents” (as defined in the Prepetition UST Tranche A Credit Agreement) or similar term.</w:t>
      </w:r>
    </w:p>
    <w:p>
      <w:pPr>
        <w:spacing w:after="0" w:line="17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Facility Indebtedness</w:t>
      </w:r>
      <w:r>
        <w:rPr>
          <w:rFonts w:ascii="Arial" w:cs="Arial" w:eastAsia="Arial" w:hAnsi="Arial"/>
          <w:sz w:val="18"/>
          <w:szCs w:val="18"/>
          <w:color w:val="auto"/>
        </w:rPr>
        <w:t>” shall mean Indebtedness of the Borrower or any Subsidiary outstanding under or secured by the Prepetition UST Tranche A Facility Documentation.</w:t>
      </w:r>
    </w:p>
    <w:p>
      <w:pPr>
        <w:spacing w:after="0" w:line="162" w:lineRule="exact"/>
        <w:rPr>
          <w:sz w:val="20"/>
          <w:szCs w:val="20"/>
          <w:color w:val="auto"/>
        </w:rPr>
      </w:pPr>
    </w:p>
    <w:p>
      <w:pPr>
        <w:jc w:val="both"/>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Facility</w:t>
      </w:r>
      <w:r>
        <w:rPr>
          <w:rFonts w:ascii="Arial" w:cs="Arial" w:eastAsia="Arial" w:hAnsi="Arial"/>
          <w:sz w:val="18"/>
          <w:szCs w:val="18"/>
          <w:color w:val="auto"/>
        </w:rPr>
        <w:t>” shall mean the credit facility made available to the Borrower pursuant to the Prepetition UST Tranche A Credit Agreement.</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Only Collateral</w:t>
      </w:r>
      <w:r>
        <w:rPr>
          <w:rFonts w:ascii="Arial" w:cs="Arial" w:eastAsia="Arial" w:hAnsi="Arial"/>
          <w:sz w:val="18"/>
          <w:szCs w:val="18"/>
          <w:color w:val="auto"/>
        </w:rPr>
        <w:t>” shall mean the Prepetition UST Tranche A Controlled Account and all Money (as defined in the UCC) and all cash, checks, other negotiable instruments, funds and other evidences of loan proceeds properly held therein. As of the Closing Date, the aggregate amount held in the Prepetition UST Tranche A Controlled Account was $0.</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A Secured Parties</w:t>
      </w:r>
      <w:r>
        <w:rPr>
          <w:rFonts w:ascii="Arial" w:cs="Arial" w:eastAsia="Arial" w:hAnsi="Arial"/>
          <w:sz w:val="18"/>
          <w:szCs w:val="18"/>
          <w:color w:val="auto"/>
        </w:rPr>
        <w:t>” shall have the meaning assigned to the term “UST Tranche A Secured Parties” in the Prepetition ABL Intercreditor Agreement.</w:t>
      </w:r>
    </w:p>
    <w:p>
      <w:pPr>
        <w:spacing w:after="0" w:line="162"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Prepetition UST Tranche B Agent</w:t>
      </w:r>
      <w:r>
        <w:rPr>
          <w:rFonts w:ascii="Arial" w:cs="Arial" w:eastAsia="Arial" w:hAnsi="Arial"/>
          <w:sz w:val="17"/>
          <w:szCs w:val="17"/>
          <w:color w:val="auto"/>
        </w:rPr>
        <w:t>” shall mean, as the context may require, The Bank of New York Mellon, in its capacity as administrative agent and as collateral agent under the Prepetition UST Tranche B Facility Documentation, such agents collectively or any permitted successor or assignee administrative agent or collateral agent under the Prepetition UST Tranche B Facility Documentation.</w:t>
      </w:r>
    </w:p>
    <w:p>
      <w:pPr>
        <w:spacing w:after="0" w:line="158"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Controlled Account</w:t>
      </w:r>
      <w:r>
        <w:rPr>
          <w:rFonts w:ascii="Arial" w:cs="Arial" w:eastAsia="Arial" w:hAnsi="Arial"/>
          <w:sz w:val="18"/>
          <w:szCs w:val="18"/>
          <w:color w:val="auto"/>
        </w:rPr>
        <w:t>” shall have the meaning assigned to the term “UST Tranche B Controlled Account” in the Prepetition UST Tranche B Credit Agreement (as in effect as of the date hereof).</w:t>
      </w:r>
    </w:p>
    <w:p>
      <w:pPr>
        <w:spacing w:after="0" w:line="162"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Credit Agreement</w:t>
      </w:r>
      <w:r>
        <w:rPr>
          <w:rFonts w:ascii="Arial" w:cs="Arial" w:eastAsia="Arial" w:hAnsi="Arial"/>
          <w:sz w:val="18"/>
          <w:szCs w:val="18"/>
          <w:color w:val="auto"/>
        </w:rPr>
        <w:t>” shall mean that certain Prepetition UST Tranche B Term Loan Credit Agreement dated as of July 7, 2020, among the Borrower, the other subsidiaries of the Borrower party thereto, the lenders party thereto and the Prepetition UST B Agent, and as the same may have been further amended, restated, modified, supplemented, extended, renewed, restructured, refunded, replaced or refinanced from time to time prior to the Petition Date.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0" w:right="539" w:bottom="1440" w:gutter="0" w:footer="0" w:header="0"/>
        </w:sectPr>
      </w:pPr>
    </w:p>
    <w:bookmarkStart w:id="34" w:name="page35"/>
    <w:bookmarkEnd w:id="34"/>
    <w:p>
      <w:pPr>
        <w:ind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Prepetition UST Tranche B Facility Documentation</w:t>
      </w:r>
      <w:r>
        <w:rPr>
          <w:rFonts w:ascii="Arial" w:cs="Arial" w:eastAsia="Arial" w:hAnsi="Arial"/>
          <w:sz w:val="18"/>
          <w:szCs w:val="18"/>
          <w:color w:val="auto"/>
        </w:rPr>
        <w:t>” shall mean the Prepetition UST Tranche B Credit Agreement and all security agreements, guarantees, pledge agreements and other agreements or instruments executed in connection therewith and including all “Loan Documents” (as defined in the Prepetition UST Tranche B Credit Agreement) or similar term.</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Facility Indebtedness</w:t>
      </w:r>
      <w:r>
        <w:rPr>
          <w:rFonts w:ascii="Arial" w:cs="Arial" w:eastAsia="Arial" w:hAnsi="Arial"/>
          <w:sz w:val="18"/>
          <w:szCs w:val="18"/>
          <w:color w:val="auto"/>
        </w:rPr>
        <w:t>” shall mean Indebtedness of the Borrower or any Subsidiary outstanding under or secured by the Prepetition UST Tranche B Facility Documentation.</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Facility</w:t>
      </w:r>
      <w:r>
        <w:rPr>
          <w:rFonts w:ascii="Arial" w:cs="Arial" w:eastAsia="Arial" w:hAnsi="Arial"/>
          <w:sz w:val="18"/>
          <w:szCs w:val="18"/>
          <w:color w:val="auto"/>
        </w:rPr>
        <w:t>” shall mean the credit facility made available to the Borrower pursuant to the Prepetition UST Tranche B Credit Agreement.</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Joint Account</w:t>
      </w:r>
      <w:r>
        <w:rPr>
          <w:rFonts w:ascii="Arial" w:cs="Arial" w:eastAsia="Arial" w:hAnsi="Arial"/>
          <w:sz w:val="18"/>
          <w:szCs w:val="18"/>
          <w:color w:val="auto"/>
        </w:rPr>
        <w:t>” shall have the meaning assigned to the term “UST Tranche B Joint Account” in the Prepetition ABL Intercreditor Agreement.</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Joint Collateral</w:t>
      </w:r>
      <w:r>
        <w:rPr>
          <w:rFonts w:ascii="Arial" w:cs="Arial" w:eastAsia="Arial" w:hAnsi="Arial"/>
          <w:sz w:val="18"/>
          <w:szCs w:val="18"/>
          <w:color w:val="auto"/>
        </w:rPr>
        <w:t>” shall have the meaning assigned to the term “UST Tranche B Joint Collateral” in the Prepetition ABL Intercreditor Agreement.</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Only Collateral</w:t>
      </w:r>
      <w:r>
        <w:rPr>
          <w:rFonts w:ascii="Arial" w:cs="Arial" w:eastAsia="Arial" w:hAnsi="Arial"/>
          <w:sz w:val="18"/>
          <w:szCs w:val="18"/>
          <w:color w:val="auto"/>
        </w:rPr>
        <w:t>” shall mean the Prepetition UST Tranche B Controlled Account and all Money (as defined in the UCC) and all cash, checks, other negotiable instruments, funds and other evidences of loan proceeds properly held therein. As of the Closing Date, the aggregate amount held in the Prepetition UST Tranche A Controlled Account was $0.</w:t>
      </w:r>
    </w:p>
    <w:p>
      <w:pPr>
        <w:spacing w:after="0" w:line="17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Priority Collateral</w:t>
      </w:r>
      <w:r>
        <w:rPr>
          <w:rFonts w:ascii="Arial" w:cs="Arial" w:eastAsia="Arial" w:hAnsi="Arial"/>
          <w:sz w:val="18"/>
          <w:szCs w:val="18"/>
          <w:color w:val="auto"/>
        </w:rPr>
        <w:t>” shall have the meaning assigned to the term “UST Tranche B Priority Collateral” in the Prepetition ABL Intercreditor Agreement.</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UST Tranche B Secured Parties</w:t>
      </w:r>
      <w:r>
        <w:rPr>
          <w:rFonts w:ascii="Arial" w:cs="Arial" w:eastAsia="Arial" w:hAnsi="Arial"/>
          <w:sz w:val="18"/>
          <w:szCs w:val="18"/>
          <w:color w:val="auto"/>
        </w:rPr>
        <w:t>” shall have the meaning assigned to the term “UST Tranche B Secured Parties” the Prepetition ABL Intercreditor Agreement.</w:t>
      </w:r>
    </w:p>
    <w:p>
      <w:pPr>
        <w:spacing w:after="0" w:line="16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83"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shall mean, with respect to each Lender at any time a fraction (expressed as a percentage, carried out to the ninth decimal place), the numerator of which is the amount of the Commitments (or, if Commitments have been terminated, the principal amount of the Loans) under the applicable Facility or Facilities of such Lender at such time and the denominator of which is the amount of the aggregate Commitments (or, if the Commitments have been terminated, the principal amount of the Loans) under the applicable Facility or Facilities at such time.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shall mean any Equity Interests that are not Disqualified Equity Interests.</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w:t>
      </w:r>
      <w:r>
        <w:rPr>
          <w:rFonts w:ascii="Arial" w:cs="Arial" w:eastAsia="Arial" w:hAnsi="Arial"/>
          <w:sz w:val="17"/>
          <w:szCs w:val="17"/>
          <w:color w:val="auto"/>
        </w:rPr>
        <w:t>” shall mean,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intangibles and contract rights and other property and rights incidental to the ownership, lease or operation thereof.</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all official rulings and interpretations thereunder or thereof.</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all official rulings and interpretations thereunder or thereof.</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or commingled investment vehicle that invests in loans, any other fund that invests in loans and is managed or advised by the same investment advisor/manager as such Lender or by an Affiliate of such investment advisor/manager.</w:t>
      </w:r>
    </w:p>
    <w:p>
      <w:pPr>
        <w:spacing w:after="0" w:line="176" w:lineRule="exact"/>
        <w:rPr>
          <w:sz w:val="20"/>
          <w:szCs w:val="20"/>
          <w:color w:val="auto"/>
        </w:rPr>
      </w:pPr>
    </w:p>
    <w:p>
      <w:pPr>
        <w:ind w:right="6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Parties</w:t>
      </w:r>
      <w:r>
        <w:rPr>
          <w:rFonts w:ascii="Arial" w:cs="Arial" w:eastAsia="Arial" w:hAnsi="Arial"/>
          <w:sz w:val="17"/>
          <w:szCs w:val="17"/>
          <w:color w:val="auto"/>
        </w:rPr>
        <w:t>” shall mean, with respect to any specified Person, such Person’s Affiliates and the respective directors, trustees, officers, fiduciaries, employees, agents and advisors, attorneys and representatives of such Person and such Person’s Affiliates.</w:t>
      </w:r>
    </w:p>
    <w:p>
      <w:pPr>
        <w:spacing w:after="0" w:line="140"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shall mean any release, spill, emission, leaking, dumping, injection, pouring, deposit, disposal, discharge, dispersal, leaching or migration into or through the environment or from, within or upon any vessel, vehicle, building, structure, facility or fixture.</w:t>
      </w:r>
    </w:p>
    <w:p>
      <w:pPr>
        <w:spacing w:after="0" w:line="14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any of the events set forth in Section 4043(c) of ERISA or the regulations issued thereunder, other than events for which the thirty (30) day notice period has been waived with respect to a Pension Plan.</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xml:space="preserve">” shall mean a request by the Borrower in accordance with the terms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or such other form as shall be approved by the Administrative Agent.</w:t>
      </w:r>
    </w:p>
    <w:p>
      <w:pPr>
        <w:spacing w:after="0" w:line="162"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shall mean the chief executive officer, president, vice president, chief financial officer, treasurer, assistant treasurer, director of treasury or other similar officer of a Loan Party and, as to any document delivered on the Closing Date, any secretary or assistant secretary of such Loan Party. Any document delivered hereunder that is signed by a Responsible Officer of a Loan Party shall be conclusively presumed by the recipient of such document to have been authorized by all necessary corporate, partnership and/or other action on the part of such Loan Party and such Responsible Officer shall be conclusively presumed by the recipient of such document to have acted on behalf of such Loan Party.</w:t>
      </w:r>
    </w:p>
    <w:p>
      <w:pPr>
        <w:spacing w:after="0" w:line="154"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shall mean (i) any dividend or other distribution (whether in cash, securities or other property) with respect to any Equity Interest of the Borrower or any Subsidiary, or any payment (whether in cash, securities or other property), including any sinking fund or similar deposit, on account of the purchase, redemption, retirement, defeasance, acquisition, cancellation or termination of any such Equity Interest of the Borrower or any Subsidiary, or on account of any return of capital to the Borrower’s or a Subsidiary’s stockholders, partners or members (or the equivalent Persons thereof) and (ii) any payment to any board member of any Loan Party or any Subsidiary thereof.</w:t>
      </w:r>
    </w:p>
    <w:p>
      <w:pPr>
        <w:spacing w:after="0" w:line="168"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Rolling Stock</w:t>
      </w:r>
      <w:r>
        <w:rPr>
          <w:rFonts w:ascii="Arial" w:cs="Arial" w:eastAsia="Arial" w:hAnsi="Arial"/>
          <w:sz w:val="18"/>
          <w:szCs w:val="18"/>
          <w:color w:val="auto"/>
        </w:rPr>
        <w:t>” shall mean any vehicles, tractors, trucks, trailers, tank trailer and other trailers, or similar vehicles and trailers, railroad cars, locomotives, stacktrains and other rolling stock and accessories used on such railroad cars, locomotives or other rolling stock (including superstructures and racks).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 or any successor thereto.</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Governmental Authority that is the successor thereto.</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Day Orders</w:t>
      </w:r>
      <w:r>
        <w:rPr>
          <w:rFonts w:ascii="Arial" w:cs="Arial" w:eastAsia="Arial" w:hAnsi="Arial"/>
          <w:sz w:val="18"/>
          <w:szCs w:val="18"/>
          <w:color w:val="auto"/>
        </w:rPr>
        <w:t>” shall mean all “second day orders” with respect to the Chapter 11 Cases in form and substance satisfactory to the Lenders (and with respect to any provisions that affect the rights or duties of any Agent, such Agent), as the same may be amended, modified or supplemented from time to time with the express written joinder or consent of the Lenders (and with respect to amendments, modifications or supplements that affect the rights or duties of any Agent, such Agent).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have the meaning assigned to such term in Section 13.04.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as defined in the UCC or the PPSA,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ICA Provisions</w:t>
      </w:r>
      <w:r>
        <w:rPr>
          <w:rFonts w:ascii="Arial" w:cs="Arial" w:eastAsia="Arial" w:hAnsi="Arial"/>
          <w:sz w:val="17"/>
          <w:szCs w:val="17"/>
          <w:color w:val="auto"/>
        </w:rPr>
        <w:t>” means paragraphs 9(b) through 9(d) of the Interim Order and the corresponding provisions in the Final Order.</w:t>
      </w:r>
    </w:p>
    <w:p>
      <w:pPr>
        <w:spacing w:after="0" w:line="237"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Rolling Stock</w:t>
      </w:r>
      <w:r>
        <w:rPr>
          <w:rFonts w:ascii="Arial" w:cs="Arial" w:eastAsia="Arial" w:hAnsi="Arial"/>
          <w:sz w:val="18"/>
          <w:szCs w:val="18"/>
          <w:color w:val="auto"/>
        </w:rPr>
        <w:t>” shall mean all Rolling Stock that does not constitute Prepetition UST Tranche B Priority Collateral. For the avoidance of doubt, Prepetition UST Tranche B Joint Collateral shall be Specified Rolling Stock.</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 Person shall mean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(ii) the management of which is otherwise Controlled, directly or indirectly, through one or more intermediaries, or both, by such Person. Unless otherwise specified, all references herein to a “</w:t>
      </w:r>
      <w:r>
        <w:rPr>
          <w:rFonts w:ascii="Arial" w:cs="Arial" w:eastAsia="Arial" w:hAnsi="Arial"/>
          <w:sz w:val="17"/>
          <w:szCs w:val="17"/>
          <w:b w:val="1"/>
          <w:bCs w:val="1"/>
          <w:color w:val="auto"/>
        </w:rPr>
        <w:t>Subsidiary</w:t>
      </w:r>
      <w:r>
        <w:rPr>
          <w:rFonts w:ascii="Arial" w:cs="Arial" w:eastAsia="Arial" w:hAnsi="Arial"/>
          <w:sz w:val="17"/>
          <w:szCs w:val="17"/>
          <w:color w:val="auto"/>
        </w:rPr>
        <w:t>” or to “</w:t>
      </w:r>
      <w:r>
        <w:rPr>
          <w:rFonts w:ascii="Arial" w:cs="Arial" w:eastAsia="Arial" w:hAnsi="Arial"/>
          <w:sz w:val="17"/>
          <w:szCs w:val="17"/>
          <w:b w:val="1"/>
          <w:bCs w:val="1"/>
          <w:color w:val="auto"/>
        </w:rPr>
        <w:t>Subsidiaries</w:t>
      </w:r>
      <w:r>
        <w:rPr>
          <w:rFonts w:ascii="Arial" w:cs="Arial" w:eastAsia="Arial" w:hAnsi="Arial"/>
          <w:sz w:val="17"/>
          <w:szCs w:val="17"/>
          <w:color w:val="auto"/>
        </w:rPr>
        <w:t>” shall refer to a Subsidiary or Subsidiaries of the Borrower.</w:t>
      </w:r>
    </w:p>
    <w:p>
      <w:pPr>
        <w:spacing w:after="0" w:line="168"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right="2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shall mean,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0" w:right="49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Taxes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shall mean a Borrowing comprised of Term Loans.</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shall mean (i) a Lender with an Initial Term Loan Commitment or an outstanding Initial Term Loan and (ii) a Lender with a Delayed Draw Term Commitment or an outstanding Delayed Draw Term Loan.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Initial Term Loans or the Delayed Draw Term Loans, as the context may require.</w:t>
      </w:r>
    </w:p>
    <w:p>
      <w:pPr>
        <w:spacing w:after="0" w:line="225"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Note</w:t>
      </w:r>
      <w:r>
        <w:rPr>
          <w:rFonts w:ascii="Arial" w:cs="Arial" w:eastAsia="Arial" w:hAnsi="Arial"/>
          <w:sz w:val="18"/>
          <w:szCs w:val="18"/>
          <w:color w:val="auto"/>
        </w:rPr>
        <w:t xml:space="preserve">” shall mean a promissory note of the Borrower payable to any Term Lender or its registered assigns,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evidencing the aggregate Indebtedness of the Borrower to such Term Lender resulting from the Term Loans made by such Term Lender.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shall mean $10,000,000.</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Expenses</w:t>
      </w:r>
      <w:r>
        <w:rPr>
          <w:rFonts w:ascii="Arial" w:cs="Arial" w:eastAsia="Arial" w:hAnsi="Arial"/>
          <w:sz w:val="18"/>
          <w:szCs w:val="18"/>
          <w:color w:val="auto"/>
        </w:rPr>
        <w:t>” shall mean any costs, fees or expenses incurred or paid by the Borrower or any of its Subsidiaries in connection with the Transactions described in clause (a) of the definition of such term.</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execution and delivery by the Loan Parties of the Loan Documents to which they are a party and the making of the Borrowings hereunder and the consummation of any other transaction in connection with the foregoing and (b) the payment of the Transaction Expenses.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Guarantor</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w:t>
      </w:r>
      <w:r>
        <w:rPr>
          <w:rFonts w:ascii="Arial" w:cs="Arial" w:eastAsia="Arial" w:hAnsi="Arial"/>
          <w:sz w:val="18"/>
          <w:szCs w:val="18"/>
          <w:color w:val="auto"/>
        </w:rPr>
        <w:t>” means the United States Department of the Treasury.</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 Financial Statements</w:t>
      </w:r>
      <w:r>
        <w:rPr>
          <w:rFonts w:ascii="Arial" w:cs="Arial" w:eastAsia="Arial" w:hAnsi="Arial"/>
          <w:sz w:val="18"/>
          <w:szCs w:val="18"/>
          <w:color w:val="auto"/>
        </w:rPr>
        <w:t>” shall mean the unaudited consolidated balance sheets and related statements of operations and cash flows of the Borrower and its consolidated Subsidiaries as at the end of and for the fiscal quarter ended March 31, 2023.</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Assets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5.21(d)</w:t>
      </w:r>
      <w:r>
        <w:rPr>
          <w:rFonts w:ascii="Arial" w:cs="Arial" w:eastAsia="Arial" w:hAnsi="Arial"/>
          <w:sz w:val="18"/>
          <w:szCs w:val="18"/>
          <w:color w:val="auto"/>
        </w:rPr>
        <w:t>.</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Tax Compliance Certificate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shall mean The Uniting and Strengthening America by Providing Appropriate Tools Required to Intercept and Obstruct Terrorism Act of 2001 (Title III of Pub. L. No. 107-56 (signed into law October 26, 2001)).</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0" w:right="499" w:bottom="1440" w:gutter="0" w:footer="0" w:header="0"/>
        </w:sectPr>
      </w:pPr>
    </w:p>
    <w:bookmarkStart w:id="38" w:name="page39"/>
    <w:bookmarkEnd w:id="38"/>
    <w:p>
      <w:pPr>
        <w:ind w:right="42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UST Adequate Protection Order</w:t>
      </w:r>
      <w:r>
        <w:rPr>
          <w:rFonts w:ascii="Arial" w:cs="Arial" w:eastAsia="Arial" w:hAnsi="Arial"/>
          <w:sz w:val="18"/>
          <w:szCs w:val="18"/>
          <w:color w:val="auto"/>
        </w:rPr>
        <w:t xml:space="preserve">” means the interim order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as the same may be amended, modified or supplemented from time to time with the express written joinder or consent of the Lenders (and with respect to amendments, modifications or supplements that affect the rights or duties of any Agent, such Agent) or, upon entry thereof by the Bankruptcy Court, the final order approving the interim order attached hereto as Exhibit 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UST Adequate Protection Payments</w:t>
      </w:r>
      <w:r>
        <w:rPr>
          <w:rFonts w:ascii="Arial" w:cs="Arial" w:eastAsia="Arial" w:hAnsi="Arial"/>
          <w:sz w:val="17"/>
          <w:szCs w:val="17"/>
          <w:color w:val="auto"/>
        </w:rPr>
        <w:t>” shall mean adequate protection payments expressly set forth in the UST Adequate Protection Order.</w:t>
      </w:r>
    </w:p>
    <w:p>
      <w:pPr>
        <w:spacing w:after="0" w:line="23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UST Secured Parties</w:t>
      </w:r>
      <w:r>
        <w:rPr>
          <w:rFonts w:ascii="Arial" w:cs="Arial" w:eastAsia="Arial" w:hAnsi="Arial"/>
          <w:sz w:val="18"/>
          <w:szCs w:val="18"/>
          <w:color w:val="auto"/>
        </w:rPr>
        <w:t>” shall mean, collectively, the Prepetition UST Tranche A Secured Parties and the Prepetition UST Tranche B Secured Parties.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w:t>
      </w:r>
      <w:r>
        <w:rPr>
          <w:rFonts w:ascii="Arial" w:cs="Arial" w:eastAsia="Arial" w:hAnsi="Arial"/>
          <w:sz w:val="18"/>
          <w:szCs w:val="18"/>
          <w:color w:val="auto"/>
        </w:rPr>
        <w:t>” shall mean,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Interpretive Provisions.</w:t>
      </w:r>
      <w:r>
        <w:rPr>
          <w:rFonts w:ascii="Arial" w:cs="Arial" w:eastAsia="Arial" w:hAnsi="Arial"/>
          <w:sz w:val="18"/>
          <w:szCs w:val="18"/>
          <w:color w:val="auto"/>
        </w:rPr>
        <w:t xml:space="preserve"> With reference to this Agreement and each other Loan Document, unless otherwise specified herein or in such other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meanings of defined terms are equally applicable to the singular and plural forms of the defined terms.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(b) (i) The words “herein,” “hereto,” “hereof” and “hereunder” and words of similar import when used in any Loan Document shall refer to such Loan Document as a whole and not to any particular provision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(ii) Article, Section, Exhibit and Schedule references are to the Loan Document in which such reference appears.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(iii) The term “including” is by way of example and not limitation.</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(c) The term “documents” includes any and all instruments, documents, agreements, certificates, notices, reports, financial statements and other writings, however evidenced, whether in physical or electronic form.</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(d) In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(e) The words “asset” and “property” shall be construed to have the same meaning and effect and to refer to any and all tangible and intangible assets and properties, including cash, securities, accounts and contract rights.</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(f) All references to “knowledge” or “awareness” of any Loan Party or a Subsidiary thereof means the actual knowledge of a Responsible Officer of a Loan Party or such Subsidiary.</w:t>
      </w:r>
    </w:p>
    <w:p>
      <w:pPr>
        <w:spacing w:after="0" w:line="170"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(g) Section headings herein and in the other Loan Documents are included for convenience of reference only and shall not affect the interpretation of this Agreement or any other Loan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(h) The word “or” is not exclusive.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(i) The usage of the term “written” includes electronic messages, including e-mail.</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(j) Any reference herein or in any other Loan Document to (i) a transfer, assignment, sale, disposition or transfer, or similar term, shall be deemed to apply to a division of or by a limited liability company, or an allocation of assets to a series of a limited liability company, as if it were a transfer, assignment, sale or transfer, or similar term, as applicable, to a separate Person, and (ii) a merger, consolidation, amalgamation or consolidation, or similar term, shall be deemed to apply to the unwinding of such a division or allocation, as if it were a merger, consolidation, amalgamation or consolidation or similar term, as applicable, with a separate Person.</w:t>
      </w:r>
    </w:p>
    <w:p>
      <w:pPr>
        <w:spacing w:after="0" w:line="188"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Certifications.</w:t>
      </w:r>
      <w:r>
        <w:rPr>
          <w:rFonts w:ascii="Arial" w:cs="Arial" w:eastAsia="Arial" w:hAnsi="Arial"/>
          <w:sz w:val="16"/>
          <w:szCs w:val="16"/>
          <w:color w:val="auto"/>
        </w:rPr>
        <w:t xml:space="preserve"> All certifications to be made hereunder by an officer or representative of a Loan Party shall be made by such a Person in his or her capacity solely as an officer or representative of such Loan Party, on such Loan Party’s behalf and not in such Person’s individual capacity.</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Accounting Terms.</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or therein.</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Rounding.</w:t>
      </w:r>
      <w:r>
        <w:rPr>
          <w:rFonts w:ascii="Arial" w:cs="Arial" w:eastAsia="Arial" w:hAnsi="Arial"/>
          <w:sz w:val="18"/>
          <w:szCs w:val="18"/>
          <w:color w:val="auto"/>
        </w:rPr>
        <w:t xml:space="preserve">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7"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References to Agreements, Laws, Etc.</w:t>
      </w:r>
      <w:r>
        <w:rPr>
          <w:rFonts w:ascii="Arial" w:cs="Arial" w:eastAsia="Arial" w:hAnsi="Arial"/>
          <w:sz w:val="18"/>
          <w:szCs w:val="18"/>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replacements, extensions, renewals, refinancings, restructurings and other modifications thereto, but only to the extent that such amendments, restatements, extensions, supplements, replacements, extensions, renewals, refinancings, restructurings and other modifications are not prohibited by hereby; and (b) references to any Law shall include all statutory and regulatory provisions consolidating, amending, replacing, supplementing or interpreting such Law.</w:t>
      </w:r>
    </w:p>
    <w:p>
      <w:pPr>
        <w:spacing w:after="0" w:line="192"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Times of Day.</w:t>
      </w:r>
      <w:r>
        <w:rPr>
          <w:rFonts w:ascii="Arial" w:cs="Arial" w:eastAsia="Arial" w:hAnsi="Arial"/>
          <w:sz w:val="18"/>
          <w:szCs w:val="18"/>
          <w:color w:val="auto"/>
        </w:rPr>
        <w:t xml:space="preserve"> Unless otherwise specified, all references herein to times of day shall be references to Eastern time (daylight or standard, as applicable).</w:t>
      </w:r>
    </w:p>
    <w:p>
      <w:pPr>
        <w:spacing w:after="0" w:line="170"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Timing of Payment or Performance.</w:t>
      </w:r>
      <w:r>
        <w:rPr>
          <w:rFonts w:ascii="Arial" w:cs="Arial" w:eastAsia="Arial" w:hAnsi="Arial"/>
          <w:sz w:val="18"/>
          <w:szCs w:val="18"/>
          <w:color w:val="auto"/>
        </w:rPr>
        <w:t xml:space="preserve">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84"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i w:val="1"/>
          <w:iCs w:val="1"/>
          <w:color w:val="auto"/>
        </w:rPr>
        <w:t>Certain Accounting Matters.</w:t>
      </w:r>
      <w:r>
        <w:rPr>
          <w:rFonts w:ascii="Arial" w:cs="Arial" w:eastAsia="Arial" w:hAnsi="Arial"/>
          <w:sz w:val="17"/>
          <w:szCs w:val="17"/>
          <w:color w:val="auto"/>
        </w:rPr>
        <w:t xml:space="preserve"> Notwithstanding any other provision contained herein or in any other Loan Document, all terms of an accounting or financial nature used herein shall be construed, and all computations of amounts and ratios referred to herein shall be made, (a) without giving effect to any election under Statement of Financial Accounting Standards 159 or Accounting Standards Codification 825-10-25 (or any other Accounting Standards Codification or Financial Accounting Standard having a similar result or effect) to value any Indebtedness or other liabilities of the Borrower or any of its Subsidiaries at “fair value”, as defined therein; and (b) without giving effect to any treatment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ind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in respect of convertible debt instruments under Accounting Standards Codification 470-20 and/or Statement of Financial Accounting Standards 150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Furthermore, unless the Borrower elects otherwise, notwithstanding any other provision contained herein or in any other Loan Document, for all purposes under this Agreement and the other Loan Documents, including negative covenants, financials covenants and component definitions, operating leases and Capitalized Leases will be deemed to be treated in a manner consistent with their current treatment under GAAP as in effect on December 31, 2018, notwithstanding any modifications or interpretive changes thereto that may occur thereafter. For the avoidance of doubt, the principal amount of any non-interest bearing Indebtedness or other discount security constituting Indebtedness at any date shall be the principal amount thereof that would be shown on a balance sheet of the Borrower dated such date prepared in accordance with GAAP, except as expressly set forth in clauses (a) and (b) of this </w:t>
      </w:r>
      <w:r>
        <w:rPr>
          <w:rFonts w:ascii="Arial" w:cs="Arial" w:eastAsia="Arial" w:hAnsi="Arial"/>
          <w:sz w:val="17"/>
          <w:szCs w:val="17"/>
          <w:u w:val="single" w:color="auto"/>
          <w:color w:val="auto"/>
        </w:rPr>
        <w:t>Section 1.11</w:t>
      </w:r>
      <w:r>
        <w:rPr>
          <w:rFonts w:ascii="Arial" w:cs="Arial" w:eastAsia="Arial" w:hAnsi="Arial"/>
          <w:sz w:val="17"/>
          <w:szCs w:val="17"/>
          <w:color w:val="auto"/>
        </w:rPr>
        <w:t>.</w:t>
      </w:r>
    </w:p>
    <w:p>
      <w:pPr>
        <w:spacing w:after="0" w:line="18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Classification of Loans and Borrowings.</w:t>
      </w:r>
      <w:r>
        <w:rPr>
          <w:rFonts w:ascii="Arial" w:cs="Arial" w:eastAsia="Arial" w:hAnsi="Arial"/>
          <w:sz w:val="18"/>
          <w:szCs w:val="18"/>
          <w:color w:val="auto"/>
        </w:rPr>
        <w:t xml:space="preserve"> For purposes of this Agreement, Loans may be classified and referred to by Class (e.g., a “Initial Term Loan”). Borrowings also may be classified and referred to by Class (e.g., a “Initial Term Borrowing”).</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Currency Equivalents Generally</w:t>
      </w:r>
      <w:r>
        <w:rPr>
          <w:rFonts w:ascii="Arial" w:cs="Arial" w:eastAsia="Arial" w:hAnsi="Arial"/>
          <w:sz w:val="16"/>
          <w:szCs w:val="16"/>
          <w:color w:val="auto"/>
        </w:rPr>
        <w:t xml:space="preserve">. For purposes of determining compliance with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7.08</w:t>
      </w:r>
      <w:r>
        <w:rPr>
          <w:rFonts w:ascii="Arial" w:cs="Arial" w:eastAsia="Arial" w:hAnsi="Arial"/>
          <w:sz w:val="16"/>
          <w:szCs w:val="16"/>
          <w:color w:val="auto"/>
        </w:rPr>
        <w:t xml:space="preserve">, </w:t>
      </w:r>
      <w:r>
        <w:rPr>
          <w:rFonts w:ascii="Arial" w:cs="Arial" w:eastAsia="Arial" w:hAnsi="Arial"/>
          <w:sz w:val="16"/>
          <w:szCs w:val="16"/>
          <w:u w:val="single" w:color="auto"/>
          <w:color w:val="auto"/>
        </w:rPr>
        <w:t>7.09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7.13</w:t>
      </w:r>
      <w:r>
        <w:rPr>
          <w:rFonts w:ascii="Arial" w:cs="Arial" w:eastAsia="Arial" w:hAnsi="Arial"/>
          <w:sz w:val="16"/>
          <w:szCs w:val="16"/>
          <w:color w:val="auto"/>
        </w:rPr>
        <w:t xml:space="preserve"> with respect to any amount of Indebtedness, Lien, Asset Sale, Restricted Payment, Capital Expenditure, affiliate transaction, Contractual Obligation, prepayment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and once incurred or made, the amount of such Indebtedness, Lien, Asset Sale, Restricted Payment, Capital Expenditure, affiliate transaction, Contractual Obligation, prepayment of Indebtedness or Investment, shall be always deemed to be at the Dollar amount on such date, regardless of later changes in currency exchange rates.</w:t>
      </w:r>
    </w:p>
    <w:p>
      <w:pPr>
        <w:spacing w:after="0" w:line="16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Québec Matters.</w:t>
      </w:r>
      <w:r>
        <w:rPr>
          <w:rFonts w:ascii="Arial" w:cs="Arial" w:eastAsia="Arial" w:hAnsi="Arial"/>
          <w:sz w:val="16"/>
          <w:szCs w:val="16"/>
          <w:color w:val="auto"/>
        </w:rPr>
        <w:t xml:space="preserve"> For purposes of any assets, liabilities or entities located in the Province of Québec and for all other purposes pursuant to which the interpretation or construction of this Agreement or any other Loan Document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PPSA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1" w:name="page42"/>
    <w:bookmarkEnd w:id="41"/>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a right of superficies), (t) “accounts” shall include “claims”, (u) “legal title” shall be including “holding title on behalf of an owner as mandatary or prete-nom”, (v) “ground lease” shall include “emphyteusis” or a “lease with a right of superficies, as applicable, (w) “leasehold interest” shall include “rights resulting from a lease”, (x) “lease” shall include a “leasing contract” and (y) “foreclosure” shall include “the exercise of hypothecary recourse”, and (z)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Arial" w:cs="Arial" w:eastAsia="Arial" w:hAnsi="Arial"/>
          <w:sz w:val="16"/>
          <w:szCs w:val="16"/>
          <w:i w:val="1"/>
          <w:iCs w:val="1"/>
          <w:color w:val="auto"/>
        </w:rPr>
        <w:t>Les parties aux</w:t>
      </w:r>
      <w:r>
        <w:rPr>
          <w:rFonts w:ascii="Arial" w:cs="Arial" w:eastAsia="Arial" w:hAnsi="Arial"/>
          <w:sz w:val="16"/>
          <w:szCs w:val="16"/>
          <w:color w:val="auto"/>
        </w:rPr>
        <w:t xml:space="preserve"> </w:t>
      </w:r>
      <w:r>
        <w:rPr>
          <w:rFonts w:ascii="Arial" w:cs="Arial" w:eastAsia="Arial" w:hAnsi="Arial"/>
          <w:sz w:val="16"/>
          <w:szCs w:val="16"/>
          <w:i w:val="1"/>
          <w:iCs w:val="1"/>
          <w:color w:val="auto"/>
        </w:rPr>
        <w:t>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REDITS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Term Loan Commitments</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(a) (i) Subject to the terms and conditions set forth in the DIP Order and DIP Term Sheet, each Lender made, on the Closing Date, a Closing Date Loan to the Borrower in an aggregate amount not exceeding such Lender’s Closing Date Commitment pursuant to the terms of the DIP Term Sheet, and each such Closing Date Loan is now deemed made hereunder as of such date. The aggregate amount of the Closing Date Loan made on the Closing Date and deemed made hereunder is $17,894,736.84. The Closing Date Commitments were terminated as of the funding of the Closing Date Loan on the Closing Date.</w:t>
      </w:r>
    </w:p>
    <w:p>
      <w:pPr>
        <w:spacing w:after="0" w:line="188" w:lineRule="exact"/>
        <w:rPr>
          <w:sz w:val="20"/>
          <w:szCs w:val="20"/>
          <w:color w:val="auto"/>
        </w:rPr>
      </w:pPr>
    </w:p>
    <w:p>
      <w:pPr>
        <w:jc w:val="both"/>
        <w:ind w:left="4" w:right="80" w:firstLine="991"/>
        <w:spacing w:after="0" w:line="301" w:lineRule="auto"/>
        <w:rPr>
          <w:sz w:val="20"/>
          <w:szCs w:val="20"/>
          <w:color w:val="auto"/>
        </w:rPr>
      </w:pPr>
      <w:r>
        <w:rPr>
          <w:rFonts w:ascii="Arial" w:cs="Arial" w:eastAsia="Arial" w:hAnsi="Arial"/>
          <w:sz w:val="16"/>
          <w:szCs w:val="16"/>
          <w:color w:val="auto"/>
        </w:rPr>
        <w:t xml:space="preserve">(ii) Subject to the terms and conditions set forth herein and in the DIP Order, each Lender severally agrees to make to the Borrower, on the Effective Date, an Effective Date Loan in an aggregate amount not to exceed the amount of such Lender’s Effective Date Commitment as indicated next to such Lender’s name on </w:t>
      </w:r>
      <w:r>
        <w:rPr>
          <w:rFonts w:ascii="Arial" w:cs="Arial" w:eastAsia="Arial" w:hAnsi="Arial"/>
          <w:sz w:val="16"/>
          <w:szCs w:val="16"/>
          <w:u w:val="single" w:color="auto"/>
          <w:color w:val="auto"/>
        </w:rPr>
        <w:t>Appendix B</w:t>
      </w:r>
      <w:r>
        <w:rPr>
          <w:rFonts w:ascii="Arial" w:cs="Arial" w:eastAsia="Arial" w:hAnsi="Arial"/>
          <w:sz w:val="16"/>
          <w:szCs w:val="16"/>
          <w:color w:val="auto"/>
        </w:rPr>
        <w:t>. The aggregate amount of the Effective Date Loan to be made on the Effective Date is $11,184,210.53. The Effective Date Commitments shall terminate automatically immediately after the making of the Effective Date Loan on the Effective Date.</w:t>
      </w:r>
    </w:p>
    <w:p>
      <w:pPr>
        <w:spacing w:after="0" w:line="157" w:lineRule="exact"/>
        <w:rPr>
          <w:sz w:val="20"/>
          <w:szCs w:val="20"/>
          <w:color w:val="auto"/>
        </w:rPr>
      </w:pPr>
    </w:p>
    <w:p>
      <w:pPr>
        <w:ind w:left="4" w:firstLine="991"/>
        <w:spacing w:after="0" w:line="301" w:lineRule="auto"/>
        <w:rPr>
          <w:sz w:val="20"/>
          <w:szCs w:val="20"/>
          <w:color w:val="auto"/>
        </w:rPr>
      </w:pPr>
      <w:r>
        <w:rPr>
          <w:rFonts w:ascii="Arial" w:cs="Arial" w:eastAsia="Arial" w:hAnsi="Arial"/>
          <w:sz w:val="16"/>
          <w:szCs w:val="16"/>
          <w:color w:val="auto"/>
        </w:rPr>
        <w:t xml:space="preserve">(iii) Subject to the terms and conditions set forth herein and in the DIP Order, each Lender severally agrees to make to the Borrower, on the Final Order Entry Date, a Final Loan in an aggregate amount not to exceed the amount of such Lender’s Final Commitment as indicated next to such Lender’s name on </w:t>
      </w:r>
      <w:r>
        <w:rPr>
          <w:rFonts w:ascii="Arial" w:cs="Arial" w:eastAsia="Arial" w:hAnsi="Arial"/>
          <w:sz w:val="16"/>
          <w:szCs w:val="16"/>
          <w:u w:val="single" w:color="auto"/>
          <w:color w:val="auto"/>
        </w:rPr>
        <w:t>Appendix C</w:t>
      </w:r>
      <w:r>
        <w:rPr>
          <w:rFonts w:ascii="Arial" w:cs="Arial" w:eastAsia="Arial" w:hAnsi="Arial"/>
          <w:sz w:val="16"/>
          <w:szCs w:val="16"/>
          <w:color w:val="auto"/>
        </w:rPr>
        <w:t>. The aggregate amount of the Final Loan to be made on the Final Order Entry Date is $13,421,052.63. The Final Commitments shall terminate automatically immediately after the making of the Final Loan on the Final Order Entry Date.</w:t>
      </w:r>
    </w:p>
    <w:p>
      <w:pPr>
        <w:spacing w:after="0" w:line="15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(b) Subject to the terms and conditions set forth herein, each Delayed Draw Term Lender severally agrees to make to the Borrower at any time during the Delayed Draw Term Loan Availability Period one or more loans in an aggregate amount not to exceed the amount of such Delayed Term Lender’s Delayed Draw Commitment as indicated next to such Lender’s name on Appendix D (</w:t>
      </w:r>
      <w:r>
        <w:rPr>
          <w:rFonts w:ascii="Arial" w:cs="Arial" w:eastAsia="Arial" w:hAnsi="Arial"/>
          <w:sz w:val="16"/>
          <w:szCs w:val="16"/>
          <w:i w:val="1"/>
          <w:iCs w:val="1"/>
          <w:color w:val="auto"/>
        </w:rPr>
        <w:t>provided</w:t>
      </w:r>
      <w:r>
        <w:rPr>
          <w:rFonts w:ascii="Arial" w:cs="Arial" w:eastAsia="Arial" w:hAnsi="Arial"/>
          <w:sz w:val="16"/>
          <w:szCs w:val="16"/>
          <w:color w:val="auto"/>
        </w:rPr>
        <w:t>, that (x) the amount of the Delayed Draw Term Loans requested by the Borrower at any time shall not exceed the aggregate amount of unfunded Delayed Draw Term Commitments at such time and</w:t>
      </w:r>
    </w:p>
    <w:p>
      <w:pPr>
        <w:spacing w:after="0" w:line="1" w:lineRule="exact"/>
        <w:rPr>
          <w:sz w:val="20"/>
          <w:szCs w:val="20"/>
          <w:color w:val="auto"/>
        </w:rPr>
      </w:pPr>
    </w:p>
    <w:p>
      <w:pPr>
        <w:ind w:left="4" w:right="180" w:hanging="4"/>
        <w:spacing w:after="0" w:line="260"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more than three (3) Borrowings of Delayed Draw Term Loans shall be permitted hereunder unless the Term Lenders holding the Delayed Draw Term Commitments otherwise consent).</w:t>
      </w:r>
    </w:p>
    <w:p>
      <w:pPr>
        <w:spacing w:after="0" w:line="18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(c) The Initial Term Loans and the Delayed Draw Term Loans are sometimes referred to individually as a “Term Loan” and together as the “Term Loans”.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4"/>
          </w:cols>
          <w:pgMar w:left="436" w:top="274" w:right="479" w:bottom="1440" w:gutter="0" w:footer="0" w:header="0"/>
        </w:sectPr>
      </w:pPr>
    </w:p>
    <w:bookmarkStart w:id="42" w:name="page43"/>
    <w:bookmarkEnd w:id="42"/>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(d) Closing Date Loans, Effective Date Loans, Final Loans and Delayed Draw Term Loans which are repaid or prepaid may not be reborrowed. All Term Loans and all other amounts owed hereunder and under any of Loan Document with respect to the Term Loans shall be paid in full in cash not later than the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prepayment, repayment, repurchase, or exchange of borrowings under the Junior DIP Facility shall occur until all B-2 Obligations have first been indefeasibly paid in full in cash and any such prepayment, repayment, repurchase or exchange shall otherwise be consistent with the priorities for liens and claims securing the Junior DIP Facility as set forth in the DIP Order and the Canadian DIP Recognition Order.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Loans</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(a) Each Loan shall be made as part of a Borrowing consisting of Loans made by the Lenders ratably in accordance with their applicable Commitments</w:t>
      </w:r>
      <w:r>
        <w:rPr>
          <w:rFonts w:ascii="Arial" w:cs="Arial" w:eastAsia="Arial" w:hAnsi="Arial"/>
          <w:sz w:val="18"/>
          <w:szCs w:val="18"/>
          <w:i w:val="1"/>
          <w:iCs w:val="1"/>
          <w:color w:val="auto"/>
        </w:rPr>
        <w:t>; provided, however</w:t>
      </w:r>
      <w:r>
        <w:rPr>
          <w:rFonts w:ascii="Arial" w:cs="Arial" w:eastAsia="Arial" w:hAnsi="Arial"/>
          <w:sz w:val="18"/>
          <w:szCs w:val="18"/>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(b) The Borrower may only request Effective Date Loans in an aggregate principal amount not to exceed the Effective Date Commitment. The Borrower may only request Final Loans in an aggregate principal amount not to exceed the Final Commitment. The Borrower may only request Delayed Draw Term Loans in an aggregate principal amount not to exceed the Delayed Draw Term Commitment.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(c) Each Borrowing of Delayed Draw Term Loans shall be comprised entirely of ABR Loans.</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(d) Each Lender shall make (i) each remaining Initial Term Loan to be made by it hereunder on the Effective Date and/or the Final Order Entry Date, as applicable, and (ii) each Delayed Draw Term Loan to be made by it hereunder on each Delayed Draw Term Loan Borrowing Date by wire transfer of immediately available funds to the Administrative Agent’s Office not later than 1:00 p.m., New York City time, and upon receipt of all requested funds the Administrative Agent shall promptly credit the amounts so received to the DIP Proceeds Account.</w:t>
      </w:r>
    </w:p>
    <w:p>
      <w:pPr>
        <w:spacing w:after="0" w:line="17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(e) Unless the Administrative Agent shall have received notice from a Lender prior to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(d)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such Lender and the Borrower severally agree to repay to the Administrative Agent forthwith on demand such corresponding amount together with interest thereon, for each day from the date such amount is made available to the Borrower to but excluding the date such amount is repaid to the Administrative Agent at (i) in the case of the Borrower, a rate per annum equal to the interest rate applicable at the time to the Loans comprising such Borrowing, and (ii) in the case of such Lender, a rate determined by the Administrative Agent to represent its cost of overnight or short-term funds (which determination shall be conclusive absent manifest error). If such Lender shall repay to the Administrative Agent such corresponding amount, such amount shall constitute such Lender’s Loan as part of such Borrowing for purposes of this Agreement.</w:t>
      </w:r>
    </w:p>
    <w:p>
      <w:pPr>
        <w:spacing w:after="0" w:line="172"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Borrowing Procedure.</w:t>
      </w:r>
      <w:r>
        <w:rPr>
          <w:rFonts w:ascii="Arial" w:cs="Arial" w:eastAsia="Arial" w:hAnsi="Arial"/>
          <w:sz w:val="17"/>
          <w:szCs w:val="17"/>
          <w:color w:val="auto"/>
        </w:rPr>
        <w:t xml:space="preserve"> In order to request a Borrowing, the Borrower shall notify the Administrative Agent of such request in writing not later than 1:00 p.m., New York City time, two (2) Business Days before such proposed Borrowing. Each such Request for Credit Extension shall be irrevocable (but may be conditioned upon the prepayment of indebtedness or the consummation of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3" w:name="page44"/>
    <w:bookmarkEnd w:id="43"/>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specified transaction) and shall specify the following information: (i) the Class of Loans to be borrowed; (ii) the date of such Borrowing (which shall be a Business Day); (iii) the wire instructions for the DIP Proceeds Account to which such funds shall be delivered and (iv) the amount of such Borrowing;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any contrary specification in any Request for Credit Extension, each requested Borrowing shall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requirements set forth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shall be subject to satisfaction (or waiver) of the conditions precedent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as applicable. The Administrative Agent shall promptly advise the applicable Lenders of any notice given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the contents thereof), and of each Lender’s portion of the requested Borrowing.</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Evidence of Debt; Repayment of Loans</w:t>
      </w:r>
      <w:r>
        <w:rPr>
          <w:rFonts w:ascii="Arial" w:cs="Arial" w:eastAsia="Arial" w:hAnsi="Arial"/>
          <w:sz w:val="18"/>
          <w:szCs w:val="18"/>
          <w:color w:val="auto"/>
        </w:rPr>
        <w:t>.</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 xml:space="preserve">(a) The Borrower hereby unconditionally promises to pay to the Administrative Agent for the account of each Lender the principal amount of each Term Loan of such Lender as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(b) Each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(c) The Administrative Agent shall maintain accounts in which it will record (i) the amount of each Loan made hereunder and the Class thereof,</w:t>
      </w:r>
    </w:p>
    <w:p>
      <w:pPr>
        <w:spacing w:after="0" w:line="46" w:lineRule="exact"/>
        <w:rPr>
          <w:sz w:val="20"/>
          <w:szCs w:val="20"/>
          <w:color w:val="auto"/>
        </w:rPr>
      </w:pPr>
    </w:p>
    <w:p>
      <w:pPr>
        <w:ind w:left="4" w:right="420" w:hanging="4"/>
        <w:spacing w:after="0" w:line="323" w:lineRule="auto"/>
        <w:tabs>
          <w:tab w:leader="none" w:pos="26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of any principal or interest due and payable or to become due and payable from the Borrower to each Lender hereunder and (iii) the amount of any sum received by the Administrative Agent hereunder from the Borrower or any Guarantor and each Lender’s share thereof.</w:t>
      </w:r>
    </w:p>
    <w:p>
      <w:pPr>
        <w:spacing w:after="0" w:line="138"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(d) The entries made in the accounts maintained pursuant to paragraphs (b) and (c) above shall be prima facie evidence of the existence and amounts of the obligations therein recorded;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 the failure of any Lender or the Administrative Agent to maintain such accounts or any error therein shall not in any manner affect the obligations of the Borrower to repay the Loans in accordance with their terms and (ii) in the event of any conflict between the accounts set forth in paragraphs (b) and (c) above, the amounts set forth in the accounts maintained pursuant to paragraph</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 shall prevail.</w:t>
      </w:r>
    </w:p>
    <w:p>
      <w:pPr>
        <w:spacing w:after="0" w:line="21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(e) Any Lender may request that Loans made by it hereunder be evidenced by a Term Note or a Delayed Draw Term Note, as applicable. In such event, the Borrower shall promptly execute and deliver to such Lender a Term Note or a Delayed Draw Term Note, as applicable, payable to such Lender. Notwithstanding any other provision of this Agreement, in the event any Lender shall request and receive a Term Note or a Delayed Draw Term Note, as applicable, the interests represented by such Term Note or Delayed Draw Term Note, as applicable, shall at all times be represented by one or more promissory notes payable to the payee named therein, unless such Term Note or Delayed Draw Term Note, as applicable, is duly cancelled.</w:t>
      </w:r>
    </w:p>
    <w:p>
      <w:pPr>
        <w:spacing w:after="0" w:line="16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 xml:space="preserve">(f) This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shall at all times be interpreted and administered in such a way that the Term Notes or the Delayed Draw Term Notes, as applicable, will be issued in “registered form” within the meaning of Treasury Regulation Section 5f.163-1(a).</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(a) The Borrower agrees to pay to (i) the Agents, for their own account, the administrative agent and collateral agent fees applicable to the Facilities payable in the amounts and at the times agreed upon between the Borrower and the Administrative Agent as set forth in the Agency Fee Letter, (ii)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4" w:name="page45"/>
    <w:bookmarkEnd w:id="4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for the account of the Lenders according to each Lender’s Pro Rata Share of the Initial Term Loans, a fee (the “</w:t>
      </w:r>
      <w:r>
        <w:rPr>
          <w:rFonts w:ascii="Arial" w:cs="Arial" w:eastAsia="Arial" w:hAnsi="Arial"/>
          <w:sz w:val="18"/>
          <w:szCs w:val="18"/>
          <w:b w:val="1"/>
          <w:bCs w:val="1"/>
          <w:color w:val="auto"/>
        </w:rPr>
        <w:t>Closing Fee</w:t>
      </w:r>
      <w:r>
        <w:rPr>
          <w:rFonts w:ascii="Arial" w:cs="Arial" w:eastAsia="Arial" w:hAnsi="Arial"/>
          <w:sz w:val="18"/>
          <w:szCs w:val="18"/>
          <w:color w:val="auto"/>
        </w:rPr>
        <w:t>”) to be fully earned as of the Closing Date and due and payable on the Maturity Date in an amount equal to 4.00% of the aggregate amount of Initial Term Commitments as of the Closing Date prior to the making of the Closing Date Loans and (iii) the Lenders, according to such Lender’s Pro Rata Share of the Delayed Draw Term Loans, an exit fee (the “</w:t>
      </w:r>
      <w:r>
        <w:rPr>
          <w:rFonts w:ascii="Arial" w:cs="Arial" w:eastAsia="Arial" w:hAnsi="Arial"/>
          <w:sz w:val="18"/>
          <w:szCs w:val="18"/>
          <w:b w:val="1"/>
          <w:bCs w:val="1"/>
          <w:color w:val="auto"/>
        </w:rPr>
        <w:t>DDTL Exit Fee</w:t>
      </w:r>
      <w:r>
        <w:rPr>
          <w:rFonts w:ascii="Arial" w:cs="Arial" w:eastAsia="Arial" w:hAnsi="Arial"/>
          <w:sz w:val="18"/>
          <w:szCs w:val="18"/>
          <w:color w:val="auto"/>
        </w:rPr>
        <w:t>”), to be earned, due and payable on the Exit Date, equal to 7.50% per annum multiplied by the aggregate amount of Delayed Draw Term Loans drawn hereunder (the fees pursuant to the foregoing subclauses (i), (ii) and (iii) of this clause (a), the “</w:t>
      </w:r>
      <w:r>
        <w:rPr>
          <w:rFonts w:ascii="Arial" w:cs="Arial" w:eastAsia="Arial" w:hAnsi="Arial"/>
          <w:sz w:val="18"/>
          <w:szCs w:val="18"/>
          <w:b w:val="1"/>
          <w:bCs w:val="1"/>
          <w:color w:val="auto"/>
        </w:rPr>
        <w:t>Fees</w:t>
      </w:r>
      <w:r>
        <w:rPr>
          <w:rFonts w:ascii="Arial" w:cs="Arial" w:eastAsia="Arial" w:hAnsi="Arial"/>
          <w:sz w:val="18"/>
          <w:szCs w:val="18"/>
          <w:color w:val="auto"/>
        </w:rPr>
        <w:t>”).</w:t>
      </w:r>
    </w:p>
    <w:p>
      <w:pPr>
        <w:spacing w:after="0" w:line="19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(b) All Fees shall be paid on the dates due, in immediately available funds, to the Administrative Agent; provided that the Closing Fee shall payable on the Maturity Date only if the B-2 Obligations shall have been indefeasibly paid in full in cash prior to the payment of such Closing Fee. Once paid, none of the Fees shall be refundable under any circumstances.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Interest on Loans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(a) Subject to the provisions of </w:t>
      </w:r>
      <w:r>
        <w:rPr>
          <w:rFonts w:ascii="Arial" w:cs="Arial" w:eastAsia="Arial" w:hAnsi="Arial"/>
          <w:sz w:val="16"/>
          <w:szCs w:val="16"/>
          <w:u w:val="single" w:color="auto"/>
          <w:color w:val="auto"/>
        </w:rPr>
        <w:t>Section 2.07</w:t>
      </w:r>
      <w:r>
        <w:rPr>
          <w:rFonts w:ascii="Arial" w:cs="Arial" w:eastAsia="Arial" w:hAnsi="Arial"/>
          <w:sz w:val="16"/>
          <w:szCs w:val="16"/>
          <w:color w:val="auto"/>
        </w:rPr>
        <w:t>, (i) the Delayed Draw Term Loans shall bear interest (computed on the basis of the actual number of days elapsed over a year of 365 or 366 days, as the case may be, and calculated from and including the date of such Borrowing to but excluding the date of repayment thereof) at a rate per annum equal to the Alternate Base Rate plus the Applicable Margin and (ii) the Initial Term Loans shall bear interest at a rate per annum equal to 15.00%. For the avoidance of doubt, no date of payment shall be included in the calculation of fees or interest.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(b) [Reserved].</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(c) Interest on each Loan shall be payable in cash on the Interest Payment Dates applicable to such Loan except as otherwise provided in this Agreement. The applicable Alternate Base Rate shall be determined by the Administrative Agent, and such determination shall be conclusive absent manifest error.</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Default Interest.</w:t>
      </w:r>
      <w:r>
        <w:rPr>
          <w:rFonts w:ascii="Arial" w:cs="Arial" w:eastAsia="Arial" w:hAnsi="Arial"/>
          <w:sz w:val="16"/>
          <w:szCs w:val="16"/>
          <w:color w:val="auto"/>
        </w:rPr>
        <w:t xml:space="preserve"> Automatically from and after the occurrence and during the continuance of an Event of Default, the principal amount of all Loans outstanding and, to the extent permitted by applicable law, any interest payments on the Loans or any fees or other amounts owed hereunder, shall thereafter, after as well as before judgment, bear interest (including post-petition interest in any proceeding under Debtor Relief Laws) payable on written demand at a rate that is 2.0% per annum in excess of the interest rate otherwise payable hereunder with respect to the applicable Loans (or, in the case of any such fees and other amounts, at a rate which is 2.0% per annum in excess of the interest rate otherwise payable hereunder).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Repayment of Term Borrowings</w:t>
      </w:r>
      <w:r>
        <w:rPr>
          <w:rFonts w:ascii="Arial" w:cs="Arial" w:eastAsia="Arial" w:hAnsi="Arial"/>
          <w:sz w:val="17"/>
          <w:szCs w:val="17"/>
          <w:color w:val="auto"/>
        </w:rPr>
        <w:t xml:space="preserve">. Subject to the Senior ICA Provisions and the terms and priorities set forth in the DIP Order, the Borrower shall repay to the Administrative Agent, for the ratable account of the Term Lenders on the Maturity Date, the aggregate principal amount of all Term Loans outstanding on such date, together with all accrued and unpaid interest on the principal amount to be paid (to, but excluding, the date of such payment) and all fees and expenses payable under the Loan Documents and other outstanding Obligations, after the B-2 Obligations have been indefeasibly paid in full in cash. All repayments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without premium or penalty.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Arial" w:cs="Arial" w:eastAsia="Arial" w:hAnsi="Arial"/>
          <w:sz w:val="18"/>
          <w:szCs w:val="18"/>
          <w:i w:val="1"/>
          <w:iCs w:val="1"/>
          <w:color w:val="auto"/>
        </w:rPr>
        <w:t>Voluntary Prepayment; Termination or Reduction of Commitments</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(a) Subject to the Senior ICA Provisions and the terms and priorities set forth in the DIP Order, the Borrower shall have the right at any time to prepay the Term Loans in full or in part, in each case without premium or penalty, after the B-2 Obligations have been indefeasibly paid in full in cash. The Borrower shall provide written (email) notice to the Administrative Agent of such prepayment at least one (1) Business Day prior to the date of prepayment, before 1:00 p.m., New York City time.</w:t>
      </w:r>
    </w:p>
    <w:p>
      <w:pPr>
        <w:spacing w:after="0" w:line="18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(b) Such notice of prepayment shall specify the prepayment date, shall be irrevocable and shall specify the principal amount of the Term Loans (or portion thereof) to be prepaid on the date stated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notice of prepayment delivered by the Borrower may state that such notice is conditioned upon the consummation of a sale transaction or any other specified event, in which case such notice may be revoked by the Borrower (by notice to the Administrative Agent on or prior to the specified effective date) if such condition is not satisfied. All prepayments under this Section 2.12 shall be without premium or penalty. All prepayments under this Section 2.12 shall be accompanied by all accrued and unpaid interest on the principal amount to be prepaid to but excluding the date of payment and all fees, expenses and other outstanding Obligations.</w:t>
      </w:r>
    </w:p>
    <w:p>
      <w:pPr>
        <w:spacing w:after="0" w:line="16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(c) The Borrower may, upon written notice to the Administrative Agent, terminate any unused Delayed Draw Term Commitments, or from time to time permanently reduce the unused Delayed Draw Term Commitments, in each case without premium or penalty. The Borrower shall provide written (email) notice to the Administrative Agent of its election to terminate the unused Delayed Draw Term Commitments at least one (1) Business Day prior to the date of such termination, before 1:00 p.m., New York City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Pro Rata Treatment.</w:t>
      </w:r>
      <w:r>
        <w:rPr>
          <w:rFonts w:ascii="Arial" w:cs="Arial" w:eastAsia="Arial" w:hAnsi="Arial"/>
          <w:sz w:val="17"/>
          <w:szCs w:val="17"/>
          <w:color w:val="auto"/>
        </w:rPr>
        <w:t xml:space="preserve"> Each Borrowing, each payment or prepayment of principal of any Borrowing, each payment of interest on the Loans, each reduction of the Term Loan Commitments shall be allocated pro rata among the Lenders of the applicable Class in accordance with their respective applicable Commitments (or, if such Commitments shall have expired or been terminated, in accordance with the respective principal amounts of their outstanding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not be construed to apply to any payment made by the Borrower required to be made on a non pro rata basis pursuant to and in accordance with the express terms of this Agreement as in effect as of the date of this Agreement. Each Lender agrees that in computing such Lender’s portion of any Borrowing to be made hereunder, the Administrative Agent may, in its discretion, round each Lender’s percentage of such Borrowing to the next higher or lower whole Dollar amount.</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i w:val="1"/>
          <w:iCs w:val="1"/>
          <w:color w:val="auto"/>
        </w:rPr>
        <w:t>Sharing of Setoffs.</w:t>
      </w:r>
      <w:r>
        <w:rPr>
          <w:rFonts w:ascii="Arial" w:cs="Arial" w:eastAsia="Arial" w:hAnsi="Arial"/>
          <w:sz w:val="17"/>
          <w:szCs w:val="17"/>
          <w:color w:val="auto"/>
        </w:rPr>
        <w:t xml:space="preserve"> Each Lender agrees that if it shall, through the exercise of a right of banker’s lien, setoff or counterclaim against the Borrower or any other Loan Party, or pursuant to a secured claim under Section 506 of Title 11 of the United States Code or other security or interest arising from, or in lieu of, such secured claim, received by such Lender under any applicable Debtor Relief Laws or other similar law or otherwise, or by any other means, obtain payment (voluntary or involuntary) in respect of any Loan or Loans as a result of which the unpaid principal portion of its Loans shall be proportionately less than the unpaid principal portion 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6" w:name="page47"/>
    <w:bookmarkEnd w:id="4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if any such purchase or purchases or adjustments shall be made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the payment giving rise thereto shall thereafter be recovered, such purchase or purchases or adjustments shall be rescinded to the extent of such recovery and the purchase price or prices or adjustment restored without interest, and (ii)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in accordance with the terms herein.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directly to the Borrower in the amount of such participation.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(a) The Borrower shall make each payment (including principal of or interest on any Borrowing or any Fees or other amounts due and payable) hereunder and under any other Loan Document not later than 2:00 p.m., New York City time, on the date when due in immediately available Dollars, without setoff, defense or counterclaim. Any amounts received after such time on any date may, in the discretion of the Administrative Agent, be deemed to have been received on the next succeeding Business Day for purposes of calculating interest thereon. Each such payment shall be made to the Administrative Agent at the Administrative Agent’s Office. Subject to the Senior ICA Provisions, the Administrative Agent shall promptly distribute to each Lender any payments received by the Administrative Agent on behalf of such Lender.</w:t>
      </w:r>
    </w:p>
    <w:p>
      <w:pPr>
        <w:spacing w:after="0" w:line="17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(b) Except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i w:val="1"/>
          <w:iCs w:val="1"/>
          <w:color w:val="auto"/>
        </w:rPr>
        <w:t>Currency Indemnity.</w:t>
      </w:r>
      <w:r>
        <w:rPr>
          <w:rFonts w:ascii="Arial" w:cs="Arial" w:eastAsia="Arial" w:hAnsi="Arial"/>
          <w:sz w:val="16"/>
          <w:szCs w:val="16"/>
          <w:color w:val="auto"/>
        </w:rPr>
        <w:t xml:space="preserve"> If, for the purposes of obtaining judgment in any court in any jurisdiction with respect to this Agreement or any other Loan Document, it becomes necessary to convert into a particular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xml:space="preserve"> any amount due under this Agreement or under any other Loan Document in any currency other than the Judgment Currency (the “</w:t>
      </w:r>
      <w:r>
        <w:rPr>
          <w:rFonts w:ascii="Arial" w:cs="Arial" w:eastAsia="Arial" w:hAnsi="Arial"/>
          <w:sz w:val="16"/>
          <w:szCs w:val="16"/>
          <w:b w:val="1"/>
          <w:bCs w:val="1"/>
          <w:color w:val="auto"/>
        </w:rPr>
        <w:t>Currency Due”),</w:t>
      </w:r>
      <w:r>
        <w:rPr>
          <w:rFonts w:ascii="Arial" w:cs="Arial" w:eastAsia="Arial" w:hAnsi="Arial"/>
          <w:sz w:val="16"/>
          <w:szCs w:val="16"/>
          <w:color w:val="auto"/>
        </w:rPr>
        <w:t xml:space="preserve"> then conversion shall be made at the rate of exchange prevailing on the Business Day before the day on which judgment is given. For this purpose “rate of exchange” means the rate at which the Lenders are able, on the relevant date, to purchase the Currency Due with the Judgment Currency in accordance with its normal practice at its head office in New York</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there is a change in the rate of exchange prevailing between the Business Day immediately preceding the day on which the judgment is given and the date of receipt by the Administrative Agent of the amount due, the Borrower shall, on the date of receipt by the Administrative Agent, pay such additional amounts, if any, or be entitled to receive reimbursement of such amount, if any, as may be necessary to ensure that the amount received by the Administrative Agent on such date is the amount in the Judgment Currency which when converted at the rate of exchange prevailing on the date of receipt by the Administrative Agent is the amount then due under this Agreement or such other Loan Document in the Currency Due. If the amount of the Currency Due which the Lenders are so able to purchase is less than the amount of the Currency Due originally due to it, the Borrower shall indemnify and save the Administrative Agent and the Lenders harmless from and against all loss or damage arising as a result of such deficiency. This indemnity shall constitute an obligation separate and independent from the other obligations contained in this Agreement and the other Loan Documents, shall give rise to a separate and independent cause of action, shall apply irrespective of any indulgence granted by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from time to time and shall continue in full force and effect notwithstanding any judgment or order for a liquidated sum in respect of an amount due under this Agreement or any other Loan Document or under any judgment or order.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AXES</w:t>
      </w:r>
      <w:r>
        <w:rPr>
          <w:rFonts w:ascii="Arial" w:cs="Arial" w:eastAsia="Arial" w:hAnsi="Arial"/>
          <w:sz w:val="18"/>
          <w:szCs w:val="18"/>
          <w:color w:val="auto"/>
        </w:rPr>
        <w:t>, I</w:t>
      </w:r>
      <w:r>
        <w:rPr>
          <w:rFonts w:ascii="Arial" w:cs="Arial" w:eastAsia="Arial" w:hAnsi="Arial"/>
          <w:sz w:val="14"/>
          <w:szCs w:val="14"/>
          <w:color w:val="auto"/>
        </w:rPr>
        <w:t>NCREASED</w:t>
      </w:r>
      <w:r>
        <w:rPr>
          <w:rFonts w:ascii="Arial" w:cs="Arial" w:eastAsia="Arial" w:hAnsi="Arial"/>
          <w:sz w:val="18"/>
          <w:szCs w:val="18"/>
          <w:color w:val="auto"/>
        </w:rPr>
        <w:t xml:space="preserve"> C</w:t>
      </w:r>
      <w:r>
        <w:rPr>
          <w:rFonts w:ascii="Arial" w:cs="Arial" w:eastAsia="Arial" w:hAnsi="Arial"/>
          <w:sz w:val="14"/>
          <w:szCs w:val="14"/>
          <w:color w:val="auto"/>
        </w:rPr>
        <w:t>OSTS</w:t>
      </w:r>
      <w:r>
        <w:rPr>
          <w:rFonts w:ascii="Arial" w:cs="Arial" w:eastAsia="Arial" w:hAnsi="Arial"/>
          <w:sz w:val="18"/>
          <w:szCs w:val="18"/>
          <w:color w:val="auto"/>
        </w:rPr>
        <w:t xml:space="preserve"> P</w:t>
      </w:r>
      <w:r>
        <w:rPr>
          <w:rFonts w:ascii="Arial" w:cs="Arial" w:eastAsia="Arial" w:hAnsi="Arial"/>
          <w:sz w:val="14"/>
          <w:szCs w:val="14"/>
          <w:color w:val="auto"/>
        </w:rPr>
        <w:t>ROTECTION AND</w:t>
      </w:r>
      <w:r>
        <w:rPr>
          <w:rFonts w:ascii="Arial" w:cs="Arial" w:eastAsia="Arial" w:hAnsi="Arial"/>
          <w:sz w:val="18"/>
          <w:szCs w:val="18"/>
          <w:color w:val="auto"/>
        </w:rPr>
        <w:t xml:space="preserve"> I</w:t>
      </w:r>
      <w:r>
        <w:rPr>
          <w:rFonts w:ascii="Arial" w:cs="Arial" w:eastAsia="Arial" w:hAnsi="Arial"/>
          <w:sz w:val="14"/>
          <w:szCs w:val="14"/>
          <w:color w:val="auto"/>
        </w:rPr>
        <w:t>LLEGALITY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(a) Except as provided in this </w:t>
      </w:r>
      <w:r>
        <w:rPr>
          <w:rFonts w:ascii="Arial" w:cs="Arial" w:eastAsia="Arial" w:hAnsi="Arial"/>
          <w:sz w:val="16"/>
          <w:szCs w:val="16"/>
          <w:u w:val="single" w:color="auto"/>
          <w:color w:val="auto"/>
        </w:rPr>
        <w:t>Section 3.01</w:t>
      </w:r>
      <w:r>
        <w:rPr>
          <w:rFonts w:ascii="Arial" w:cs="Arial" w:eastAsia="Arial" w:hAnsi="Arial"/>
          <w:sz w:val="16"/>
          <w:szCs w:val="16"/>
          <w:color w:val="auto"/>
        </w:rPr>
        <w:t>, any and all payments made by or on account of the Borrower or any Guarantor under any Loan Document to any Lender or Agent shall be made free and clear of and without deduction for any and all present or future taxes, duties, levies, imposts, assessments, withholdings (including backup withholding), fees or similar charges imposed by any Governmental Authority including interest, penalties and additions to tax (collectively “</w:t>
      </w:r>
      <w:r>
        <w:rPr>
          <w:rFonts w:ascii="Arial" w:cs="Arial" w:eastAsia="Arial" w:hAnsi="Arial"/>
          <w:sz w:val="16"/>
          <w:szCs w:val="16"/>
          <w:b w:val="1"/>
          <w:bCs w:val="1"/>
          <w:color w:val="auto"/>
        </w:rPr>
        <w:t>Taxes</w:t>
      </w:r>
      <w:r>
        <w:rPr>
          <w:rFonts w:ascii="Arial" w:cs="Arial" w:eastAsia="Arial" w:hAnsi="Arial"/>
          <w:sz w:val="16"/>
          <w:szCs w:val="16"/>
          <w:color w:val="auto"/>
        </w:rPr>
        <w:t xml:space="preserve">”), excluding (i) Taxes imposed on or measured by net income, however denominated, and franchise (and similar) Taxes imposed on such Lender or Agent in lieu of net income Taxes, (ii) Taxes attributable to the failure by the relevant Lender or Agent to deliver the documentation required to be delivered pursuant to clause (d) of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Taxes imposed by a jurisdiction as a result of any connection between such Lender or Agent and such jurisdiction other than any connection arising from executing, delivering, being a party to, engaging in any transactions pursuant to, performing its obligations under, or enforcing any Loan Document, (iv) any branch profits Taxes imposed by the United States or any similar Tax imposed by any other jurisdiction in which the Borrower or any Guarantor (as appropriate) is located, (v) any U.S. federal withholding tax imposed on amounts payable hereunder pursuant to a law in effect at such time the Lender or Agent becomes a party to this Agreement or designates a new lending office, except in each case to the extent such Lender (or its assignor, if any) was entitled at the time of designation of a new lending office (or assignment) to receive additional amounts with respect to such withholding tax pursuant to this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and (vi) any withholding Tax imposed under FATCA (all such non-excluded Taxes imposed on such payments, being hereinafter referred to as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Taxes</w:t>
      </w:r>
      <w:r>
        <w:rPr>
          <w:rFonts w:ascii="Arial" w:cs="Arial" w:eastAsia="Arial" w:hAnsi="Arial"/>
          <w:sz w:val="16"/>
          <w:szCs w:val="16"/>
          <w:color w:val="auto"/>
        </w:rPr>
        <w:t>”). If the Borrower, any Guarantor or other applicable withholding agent shall be required by any Laws to deduct or withhold any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Taxes or Other Taxes (as defined below) from or in respect of any sum payable under any Loan Document to any Agent or any Lender, (i) the sum payable by the Borrower or Guarantor shall be increased as necessary so that after making all required deductions or withholding (including deductions and withholdings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such Agent or Lender (as the case may be) receives an amount equal to the sum it would have received had no such deductions or withholdings been made, (ii) the applicable withholding agent shall make such deductions or withholdings, (iii) the applicable withholding agent shall pay the full amount deducted or withheld to the relevant Governmental Authority in accordance with applicable Laws, and (iv) within thirty (30) days after the date of such payment (or, if receipts or evidence are not available within thirty (30) days, as soon as possible thereafter), if the Borrower or any Guarantor is the applicable withholding agent, the applicable withholding agent shall furnish to such Agent or Lender (as the case may be) the original or a copy of a receipt evidencing payment thereof or other evidence acceptable to such Agent or Lender.</w:t>
      </w:r>
    </w:p>
    <w:p>
      <w:pPr>
        <w:spacing w:after="0" w:line="394" w:lineRule="exact"/>
        <w:rPr>
          <w:sz w:val="20"/>
          <w:szCs w:val="20"/>
          <w:color w:val="auto"/>
        </w:rPr>
      </w:pPr>
    </w:p>
    <w:p>
      <w:pPr>
        <w:ind w:right="200" w:firstLine="440"/>
        <w:spacing w:after="0" w:line="291" w:lineRule="auto"/>
        <w:rPr>
          <w:sz w:val="20"/>
          <w:szCs w:val="20"/>
          <w:color w:val="auto"/>
        </w:rPr>
      </w:pPr>
      <w:r>
        <w:rPr>
          <w:rFonts w:ascii="Arial" w:cs="Arial" w:eastAsia="Arial" w:hAnsi="Arial"/>
          <w:sz w:val="16"/>
          <w:szCs w:val="16"/>
          <w:color w:val="auto"/>
        </w:rPr>
        <w:t>(b) In addition, the Borrower agrees to pay any and all present or future stamp, court or documentary taxes and any other intangible recording taxes, or charges or levies of the same character, imposed by any Governmental Authority, which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result from an Agent’s or Lender’s transfer or assignment to or designation of a new applicable lending office or other office for receiving payments under any Loan Document (collectively, “</w:t>
      </w:r>
      <w:r>
        <w:rPr>
          <w:rFonts w:ascii="Arial" w:cs="Arial" w:eastAsia="Arial" w:hAnsi="Arial"/>
          <w:sz w:val="16"/>
          <w:szCs w:val="16"/>
          <w:b w:val="1"/>
          <w:bCs w:val="1"/>
          <w:color w:val="auto"/>
        </w:rPr>
        <w:t>Assignment Taxes</w:t>
      </w:r>
      <w:r>
        <w:rPr>
          <w:rFonts w:ascii="Arial" w:cs="Arial" w:eastAsia="Arial" w:hAnsi="Arial"/>
          <w:sz w:val="16"/>
          <w:szCs w:val="16"/>
          <w:color w:val="auto"/>
        </w:rPr>
        <w:t xml:space="preserve">”) except for Assignment Taxes resulting from any assignment or participation that is requested or required in writing by the Borrower (all such non-excluded taxes described in this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being hereinafter referred to as “</w:t>
      </w:r>
      <w:r>
        <w:rPr>
          <w:rFonts w:ascii="Arial" w:cs="Arial" w:eastAsia="Arial" w:hAnsi="Arial"/>
          <w:sz w:val="16"/>
          <w:szCs w:val="16"/>
          <w:b w:val="1"/>
          <w:bCs w:val="1"/>
          <w:color w:val="auto"/>
        </w:rPr>
        <w:t>Other Taxes</w:t>
      </w:r>
      <w:r>
        <w:rPr>
          <w:rFonts w:ascii="Arial" w:cs="Arial" w:eastAsia="Arial" w:hAnsi="Arial"/>
          <w:sz w:val="16"/>
          <w:szCs w:val="16"/>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4" w:right="499" w:bottom="1440" w:gutter="0" w:footer="0" w:header="0"/>
        </w:sectPr>
      </w:pPr>
    </w:p>
    <w:bookmarkStart w:id="48" w:name="page49"/>
    <w:bookmarkEnd w:id="48"/>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(c) Without duplication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Borrower and each Guarantor agree to indemnify each Agent and each Lender for (i) the full amount of Indemnified Taxes and Other Taxes paid by such Agent or Lender (including Indemnified Taxes and Other Taxes imposed or asserted on or attributable to amounts payable under this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and (ii) any reasonable expenses arising therefrom or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Agent or Lender, as the case may be, provides Borrower or Guarantor with a written statement thereof setting forth in reasonable detail the basis and calculation of such amounts.</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(d) Each Lender and Agent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or Agent to an exemption from, or reduction in, withholding tax with respect to any payments to be made to such Lender under the Loan Documents. Each such Lender and Agent shall, whenever a lapse in time or change in circumstances renders such documentation obsolete or inaccurate in any material respect, deliver promptly to the Borrower and the Administrative Agent updated or other appropriate documentation (including any new documentation reasonably requested by the applicable withholding agent) or promptly notify the Borrower and the Administrative Agent of its inability to do so. Unless the applicable withholding agent has received forms or other documents reasonably satisfactory to it indicating that payments under any Loan Document to or for a Lender are not subject to withholding tax or are subject to such Tax at a rate reduced by an applicable tax treaty, the Borrower, the Administrative Agent or other applicable withholding agent shall withhold amounts required to be withheld by applicable Law from such payments at the applicable statutory rate. Notwithstanding the foregoing, a Lender shall not be required to deliver any form pursuant to this clause (d) (other than such documentation set forth in Sections 3.01(d)(i), 3.01(d)(ii) and 3.01(g)) that such Lender is not legally able to deliver. In addition, each Lender and Agent shall deliver to the Borrower and the Administrative Agent such other tax forms or other documents as shall be prescribed by applicable Law or reasonably requested by the Borrower or the Administrative Agent as will enable the Borrower or the Administrative Agent to determine whether or not such Lender or Agent is subject to backup withholding or information reporting requirements. Without limiting the foregoing:</w:t>
      </w:r>
    </w:p>
    <w:p>
      <w:pPr>
        <w:spacing w:after="0" w:line="182"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(i) Each Lender and Agent that is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two properly completed and duly signed executed copies of Internal Revenue Service Form W-9 certifying that such Lender or Agent (as the case may be) is exempt from federal backup withholding.</w:t>
      </w:r>
    </w:p>
    <w:p>
      <w:pPr>
        <w:spacing w:after="0" w:line="171"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(ii) Each Lender and Agent that is not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184"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(A) two properly completed and duly signed executed copies of Internal Revenue Service Form W-8BEN or Internal Revenue Service Form W-8BEN-E (or any successor forms) claiming eligibility for the benefits of an income tax treaty to which the United States is a party, and such other documentation as required under the Code,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49" w:name="page50"/>
    <w:bookmarkEnd w:id="49"/>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(B) two properly completed and duly signed executed copies of Internal Revenue Service Form W-8ECI (or any successor forms) and, in the case of an Agent, a withholding certificate that satisfies the requirements of Treasury Regulation Sections 1.1441-1(b)(2)(iv) and 1.1441-1(e) (3)(v) as applicable to a U.S. branch that has agreed to be treated as a U.S. person for withholding tax purposes(C) in the case of a Lender claiming the benefits of the exemption for portfolio interest under Section 881(c) of the Code, (A) a certificate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w:t>
      </w:r>
      <w:r>
        <w:rPr>
          <w:rFonts w:ascii="Arial" w:cs="Arial" w:eastAsia="Arial" w:hAnsi="Arial"/>
          <w:sz w:val="17"/>
          <w:szCs w:val="17"/>
          <w:u w:val="single" w:color="auto"/>
          <w:color w:val="auto"/>
        </w:rPr>
        <w:t>G-2</w:t>
      </w:r>
      <w:r>
        <w:rPr>
          <w:rFonts w:ascii="Arial" w:cs="Arial" w:eastAsia="Arial" w:hAnsi="Arial"/>
          <w:sz w:val="17"/>
          <w:szCs w:val="17"/>
          <w:color w:val="auto"/>
        </w:rPr>
        <w:t xml:space="preserve">, </w:t>
      </w:r>
      <w:r>
        <w:rPr>
          <w:rFonts w:ascii="Arial" w:cs="Arial" w:eastAsia="Arial" w:hAnsi="Arial"/>
          <w:sz w:val="17"/>
          <w:szCs w:val="17"/>
          <w:u w:val="single" w:color="auto"/>
          <w:color w:val="auto"/>
        </w:rPr>
        <w:t>G-3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G-4</w:t>
      </w:r>
      <w:r>
        <w:rPr>
          <w:rFonts w:ascii="Arial" w:cs="Arial" w:eastAsia="Arial" w:hAnsi="Arial"/>
          <w:sz w:val="17"/>
          <w:szCs w:val="17"/>
          <w:color w:val="auto"/>
        </w:rPr>
        <w:t>, as applicable (any such certificate a “</w:t>
      </w:r>
      <w:r>
        <w:rPr>
          <w:rFonts w:ascii="Arial" w:cs="Arial" w:eastAsia="Arial" w:hAnsi="Arial"/>
          <w:sz w:val="17"/>
          <w:szCs w:val="17"/>
          <w:b w:val="1"/>
          <w:bCs w:val="1"/>
          <w:color w:val="auto"/>
        </w:rPr>
        <w:t>United States Tax Compliance Certificate</w:t>
      </w:r>
      <w:r>
        <w:rPr>
          <w:rFonts w:ascii="Arial" w:cs="Arial" w:eastAsia="Arial" w:hAnsi="Arial"/>
          <w:sz w:val="17"/>
          <w:szCs w:val="17"/>
          <w:color w:val="auto"/>
        </w:rPr>
        <w:t>”) and (B) two properly completed and duly signed executed copies of Internal Revenue Service Form W-8BEN or Internal Revenue Service Form W-8BEN-E, or</w:t>
      </w:r>
    </w:p>
    <w:p>
      <w:pPr>
        <w:spacing w:after="0" w:line="17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(C) to the extent a Lender is not the beneficial owner (for example, where the Lender is a partnership, or is a participant holding a participation granted by a participating Lender), Internal Revenue Service Form W-8IMY (or any successor forms) of the Lender, accompanied by an Internal Revenue Service Form W-8ECI, W-8BEN, W-8BEN-E, United States Tax Compliance Certificate, Internal Revenue Service Form W-9, Internal Revenue Service Form W-8IMY or any other required information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one or more beneficial owners are claiming the portfolio interest exemption, the United States Tax Compliance Certificate may be provided by such Lender on behalf of such beneficial owner). Each Lender and Agent shall deliver to the Borrower and the Administrative Agent two further executed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that it is unable to do so. Each Lender and Agent shall promptly notify the Administrative Agent at any time it determines that it is no longer in a position to provide any previously delivered form or certification to the Borrower or the Administrative Agent.</w:t>
      </w:r>
    </w:p>
    <w:p>
      <w:pPr>
        <w:spacing w:after="0" w:line="18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(e) Any Lender or Agent claiming any additional amounts payable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shall use its reasonable efforts to change the jurisdiction of its lending office (or take any other measures reasonably requested by the Borrower) if such a change or other measures would reduce any such additional amounts (or any similar amount that may thereafter accrue) and would not, in the reasonable, good faith determination of such Lender, result in any unreimbursed cost or expense or be otherwise materially disadvantageous to such Lender.</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(f) If any Lender or Agent determines, in its reasonable, good faith discretion, that it has received a refund in respect of any Taxes as to which indemnification or additional amounts have been paid to it by the Borrower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(including by payment of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promptly remit such refund to the Borrower or Guarantor, net of all out-of-pocket expenses of the Lender or Agent, as the case may be and without interest (other than any interest paid by the relevant Governmental Authority with respect to such refund net of any Taxes payable by any Agent or Lender on such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and Guarantors,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This section shall not be construed to require the Administrative Agent or any Lender to make available its tax returns (or any other information relating to Taxes that it deems confidential) to the Borrower or any other person.</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(g) If a payment made to a Lender or Agent under any Loan Document would be subject to withholding Tax imposed by FATCA if such Lender or Agent were to fail to comply with the applicable reporting requirements of FATCA (including those contained in Section 1471(b) or 1472(b) of the Code, as applicable), such Lender or Agent shall deliver to the Borrower and the Administrative Agent at the time or times prescribed by law and at such time or times reasonably requested by the Borrower 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0" w:name="page51"/>
    <w:bookmarkEnd w:id="50"/>
    <w:p>
      <w:pPr>
        <w:ind w:right="2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Agent has complied with such Lender’s or Agent’s obligations under FATCA or to determine the amount, if any, to deduct and withhold from such payment. Solely for purposes of this </w:t>
      </w:r>
      <w:r>
        <w:rPr>
          <w:rFonts w:ascii="Arial" w:cs="Arial" w:eastAsia="Arial" w:hAnsi="Arial"/>
          <w:sz w:val="17"/>
          <w:szCs w:val="17"/>
          <w:u w:val="single" w:color="auto"/>
          <w:color w:val="auto"/>
        </w:rPr>
        <w:t>Section 3.01(g)</w:t>
      </w:r>
      <w:r>
        <w:rPr>
          <w:rFonts w:ascii="Arial" w:cs="Arial" w:eastAsia="Arial" w:hAnsi="Arial"/>
          <w:sz w:val="17"/>
          <w:szCs w:val="17"/>
          <w:color w:val="auto"/>
        </w:rPr>
        <w:t>, “FATCA” shall include any amendments made to FATCA after the date of this Agreement.</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(h) Each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any assignment of rights by, or the replacement of, a Lender, the termination of the Commitments and the repayment, satisfaction or discharge of all obligations under any Loan Document.</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(i) Each Lender shall indemnify each Agent, within 10 days following written demand therefor, for the full amount of any Indemnified Taxes and Other Taxes attributable to such Lender (but only to the extent that such Agent has not already been indemnified by the Borrower and each Guarantor for such Indemnified Taxes and Other Taxes and without limiting the obligation of the Borrower and each Guarantor to do so) that are payable or paid by such Agent in connection with any Loan Documents, and any expenses arising therefrom or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Agent provides such Lender with a written statement thereof setting forth in reasonable detail the basis and calculation of such amounts.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Increased Cost and Reduced Return; Capital Adequacy</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(a) If any Lender reasonably determines that as a result of the introduction of or any change in or in the interpretation of any Law, in each case after the Closing Date, or such Lender’s compliance therewith, there shall be any material increase in the cost to such Lender of agreeing to make or making, funding or maintaining any Loans, or a material reduction in the amount received or receivable by such Lender in connection with any of the foregoing (excluding for purposes of this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any such increased costs or reduction in amount resulting from (i) Indemnified Taxes or Other Taxes for which additional amounts are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any Taxes excluded from the definition of Indemnified Taxes under exception (iii) thereof to the extent such Taxes are imposed on or measured by net income or profits or are franchise taxes (imposed in lieu of the foregoing taxes) and any Taxes excluded from the definition of Indemnified Taxes under exceptions (i), (ii), (iv), (v) and (vi) thereof or (ii) reserve requirements contemplated by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and the result of any of the foregoing shall be to increase the cost to such Lender of making or maintaining its obligations to make any Loan, or to reduce the amount of any sum received or receivable by such Lender, then from time to time within fifteen (15) days after written demand by such Lender setting forth in reasonable detail such increased costs (with a copy of such written demand to the Administrative Agent given in accordance with </w:t>
      </w:r>
      <w:r>
        <w:rPr>
          <w:rFonts w:ascii="Arial" w:cs="Arial" w:eastAsia="Arial" w:hAnsi="Arial"/>
          <w:sz w:val="17"/>
          <w:szCs w:val="17"/>
          <w:u w:val="single" w:color="auto"/>
          <w:color w:val="auto"/>
        </w:rPr>
        <w:t>Section 3.05</w:t>
      </w:r>
      <w:r>
        <w:rPr>
          <w:rFonts w:ascii="Arial" w:cs="Arial" w:eastAsia="Arial" w:hAnsi="Arial"/>
          <w:sz w:val="17"/>
          <w:szCs w:val="17"/>
          <w:color w:val="auto"/>
        </w:rPr>
        <w:t>), the Borrower shall pay to such Lender such additional amounts as will compensate such Lender for such increased cost or reduction.</w:t>
      </w:r>
    </w:p>
    <w:p>
      <w:pPr>
        <w:spacing w:after="0" w:line="17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(b) If any Lender determines that the introduction of any Law regarding capital adequacy or liquidity or any change therein or in the interpretation thereof, in each case after the Closing Date, or compliance by such Lender (or its lending office) therewith, has the effect of reducing the rate of return on the capital of such Lender or any entity controlling such Lender as a consequence of such Lender’s obligations hereunder (taking into consideration its policies with respect to capital adequacy and liquidity and such Lender’s desired return on capital), then from time to time upon written demand of such Lender setting forth in reasonable detail the charge and the calculation of such reduced rate of return (with a copy of such written demand to the Administrative Agent given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the Borrower shall pay to such Lender such additional amounts as will compensate such Lender or controlling entity for such reduction within fifteen (15) days after receipt of such written demand.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51" w:name="page52"/>
    <w:bookmarkEnd w:id="51"/>
    <w:p>
      <w:pPr>
        <w:ind w:right="6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(c) The Borrower shall pay to each Lender, as long as such Lender shall be required to comply with any reserve ratio requirement or analogous requirement of any other central banking or financial regulatory authority imposed in respect of the maintenance of the Commitments,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Borrower shall have received at least fifteen (15) days’ prior written notice (with a copy to the Administrative Agent) of such additional interest or cost from such Lender. If a Lender fails to give written notice fifteen (15) days prior to the relevant Interest Payment Date, such additional interest or cost shall be due and payable fifteen (15) days from receipt of such written notice.</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(d) Failure or delay on the part of any Lender to demand compensation pursuant to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not constitute a waiver of such Lender’s right to demand such compensation.</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(e) If any Lender requests compensation under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then such Lender will, if requested by the Borrower, use commercially reasonable efforts to designate another lending office for any Loan affected by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3.03(e)</w:t>
      </w:r>
      <w:r>
        <w:rPr>
          <w:rFonts w:ascii="Arial" w:cs="Arial" w:eastAsia="Arial" w:hAnsi="Arial"/>
          <w:sz w:val="18"/>
          <w:szCs w:val="18"/>
          <w:i w:val="1"/>
          <w:iCs w:val="1"/>
          <w:color w:val="auto"/>
        </w:rPr>
        <w:t xml:space="preserve"> </w:t>
      </w:r>
      <w:r>
        <w:rPr>
          <w:rFonts w:ascii="Arial" w:cs="Arial" w:eastAsia="Arial" w:hAnsi="Arial"/>
          <w:sz w:val="18"/>
          <w:szCs w:val="18"/>
          <w:color w:val="auto"/>
        </w:rPr>
        <w:t>shall affect or postpone any of the Obligations of the Borrower or the rights of such Lender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Matters Applicable to all Requests for Compensation</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(a) Any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and customary averaging and attribution methods.</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(b) With respect to any Lender’s claim for compensation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(d) [Reserved].</w:t>
      </w:r>
    </w:p>
    <w:p>
      <w:pPr>
        <w:spacing w:after="0" w:line="22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adopted or made after the Closing Date, regardless of the date enacted or adopted.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3.06.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Survival</w:t>
      </w:r>
      <w:r>
        <w:rPr>
          <w:rFonts w:ascii="Arial" w:cs="Arial" w:eastAsia="Arial" w:hAnsi="Arial"/>
          <w:sz w:val="18"/>
          <w:szCs w:val="18"/>
          <w:color w:val="auto"/>
        </w:rPr>
        <w:t>. All of the Borrower’s obligations under this Article 3 shall survive termination of the Commitments and repayment of all other Obligations hereunder.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E</w:t>
      </w:r>
      <w:r>
        <w:rPr>
          <w:rFonts w:ascii="Arial" w:cs="Arial" w:eastAsia="Arial" w:hAnsi="Arial"/>
          <w:sz w:val="14"/>
          <w:szCs w:val="14"/>
          <w:color w:val="auto"/>
        </w:rPr>
        <w:t>FFECTIVENESS AND EACH</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E</w:t>
      </w:r>
      <w:r>
        <w:rPr>
          <w:rFonts w:ascii="Arial" w:cs="Arial" w:eastAsia="Arial" w:hAnsi="Arial"/>
          <w:sz w:val="14"/>
          <w:szCs w:val="14"/>
          <w:color w:val="auto"/>
        </w:rPr>
        <w:t>XTENSION</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All Credit Extensions.</w:t>
      </w:r>
      <w:r>
        <w:rPr>
          <w:rFonts w:ascii="Arial" w:cs="Arial" w:eastAsia="Arial" w:hAnsi="Arial"/>
          <w:sz w:val="18"/>
          <w:szCs w:val="18"/>
          <w:color w:val="auto"/>
        </w:rPr>
        <w:t xml:space="preserve"> The obligation of each Lender to honor any Request for Credit Extension for a Final Loan or a Delayed Draw Term Loan, as applicable, is subject to satisfaction (or waiver by the Lenders) of the following conditions precedent:</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(a) The representations and warranties set forth in Article 5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of such Credit Extension, with the same effect as though made on and as of such date or such earlier date, as applicable.</w:t>
      </w:r>
    </w:p>
    <w:p>
      <w:pPr>
        <w:spacing w:after="0" w:line="192"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(b) No Default or Event of Default shall exist or would result from such proposed Credit Extension from the application of the proceeds therefrom.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Administrative Agent shall have received a Request for Credit Extension in accordance with the requirements hereof.</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(d) With respect to the Final Loans, the Final Order (i) shall be in form and substance satisfactory to the Agents and the Lenders, (ii) shall have been entered by the Bankruptcy Court within a date which is 45 days following the Petition Date, and the Borrower shall have delivered to the Administrative Agent and the Lenders a true and complete copy of such order and (iii) shall be in full force and effect and shall not have been modified or amended absent prior written consent of the Administrative Agent and the Lenders or reversed, modified, amended, stayed, vacated, appealed or subject to a stay pending appeal or otherwise challenged or subject to any challenge in any respect absent the prior written consent of the Administrative Agent and the Lenders.</w:t>
      </w:r>
    </w:p>
    <w:p>
      <w:pPr>
        <w:spacing w:after="0" w:line="192"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(e) With respect to any Delayed Draw Term Loan, the Prepetition Senior Secured Claims outstanding, shall not exceed, at the time of such Credit Extension, in the aggregate, $1,435,000,000.</w:t>
      </w:r>
    </w:p>
    <w:p>
      <w:pPr>
        <w:spacing w:after="0" w:line="170"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 xml:space="preserve">Each Request for Credit Extension submitted by the Borrower shall be deemed to be a representation and warranty by the Borrower that the conditions specified in </w:t>
      </w:r>
      <w:r>
        <w:rPr>
          <w:rFonts w:ascii="Arial" w:cs="Arial" w:eastAsia="Arial" w:hAnsi="Arial"/>
          <w:sz w:val="16"/>
          <w:szCs w:val="16"/>
          <w:u w:val="single" w:color="auto"/>
          <w:color w:val="auto"/>
        </w:rPr>
        <w:t>Sections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have been satisfied or waived on and as of the date of the applicable Credit Extension.</w:t>
      </w:r>
    </w:p>
    <w:p>
      <w:pPr>
        <w:spacing w:after="0" w:line="124"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Effective Date Credit Extension.</w:t>
      </w:r>
      <w:r>
        <w:rPr>
          <w:rFonts w:ascii="Arial" w:cs="Arial" w:eastAsia="Arial" w:hAnsi="Arial"/>
          <w:sz w:val="16"/>
          <w:szCs w:val="16"/>
          <w:color w:val="auto"/>
        </w:rPr>
        <w:t xml:space="preserve"> The effectiveness of this Agreement and the obligation of each Lender to fund the Effective Date Loans on the Effective Date, shall be subject to satisfaction (or waiver by the Agents and the Lenders) of the following conditions precedent: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(a) The Administrative Agent and the Lenders shall have received the following, each properly executed by a Responsible Officer of the signing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Party, each dated as of the Effective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3" w:name="page54"/>
    <w:bookmarkEnd w:id="5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(i) executed counterparts of this Agreement duly executed by the Borrower and each Guarantor;</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(ii) a Term Note executed by the Borrower in favor of each Lender that has requested a Term Note at least one Business Day in advance of the Effective Date;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(iii) a Request for Credit Extension duly executed by the Borrower in accordance with the requirements hereof.</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(b) The Administrative Agent shall have received a certificate executed by the Secretary (or other equivalent officer, partner or manager) of each Loan Party dated as of the Effective Date certifying: (i) as true and correct a copy of resolutions in form and substance reasonably satisfactory to the Administrative Agent, of the board of directors (or other equivalent governing body, member or partner) of each Loan Party approving and authorizing the execution, delivery and performance by such Loan Party of this Amendment and all documents, instruments and agreements executed and/or delivered in connection herewith (if any) and of the transactions contemplated herein and therein, (ii) as true and correct and in full force and effect, without any amendment except as shown, a copy of the Organization Documents of each Loan Party and that the copies of such Loan Party’s Organizational Documents delivered to Administrative Agent on such date as a part of the “secretary’s certificate” delivered by such Loan Party are true, correct and complete copies of such Organizational Documents as currently in full force and effect, (iii) if available, a true and correct a copy of a good standing certificate/certificate of status for each Loan Party certified by the applicable Governmental Authority of such Loan Party’s jurisdiction of incorporation, organization or formation dated a recent date prior to the date hereof, and (iv) the names and signatures of the officers of such Loan Party authorized to execute and deliver this Agreement and all documents, instruments and agreements executed and/or delivered in connection herewith (if any) on behalf of such Loan Party pursuant to the resolutions referenced in clause (i) above (and such certificate shall be countersigned by another officer of such Loan Party certifying the name, office and signature of the Secretary (or other equivalent officer, partner or manager) of such Loan Party giving such certificate).</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(c) The Administrative Agent and the Lenders shall have received a certificate from an officer of the Borrower certifying as to compliance with the conditions set forth in </w:t>
      </w:r>
      <w:r>
        <w:rPr>
          <w:rFonts w:ascii="Arial" w:cs="Arial" w:eastAsia="Arial" w:hAnsi="Arial"/>
          <w:sz w:val="18"/>
          <w:szCs w:val="18"/>
          <w:u w:val="single" w:color="auto"/>
          <w:color w:val="auto"/>
        </w:rPr>
        <w:t>Sections 4.01(a)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0"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(d) The Administrative Agent and the Lenders shall have received all applicable fees and other amounts, earned, due and payable on or prior to the Effective Date, including, to the extent invoiced prior to the Effective Date (except as otherwise reasonably agreed by the Borrower), reimbursement or payment of all out-of-pocket expenses required to be reimbursed or paid by the Borrower hereunder or under any other Loan Document on or prior to the Effective Date.</w:t>
      </w:r>
    </w:p>
    <w:p>
      <w:pPr>
        <w:spacing w:after="0" w:line="187"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(e) The Interim Order (i) shall have been entered by the Bankruptcy Court and the Borrower shall have delivered to the Administrative Agent and the Lenders a true and complete copy of such order, and (ii) shall be in full force and effect and shall not (in whole or in part) have been reversed, modified, amended, stayed, appealed or vacated, or subject to stay pending appeal, or otherwise challenged or subject to any challenge, absent prior written consent of the Lenders (and with respect to any provisions that affect the rights or duties of any Agent, such Agent).</w:t>
      </w:r>
    </w:p>
    <w:p>
      <w:pPr>
        <w:spacing w:after="0" w:line="15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(f) (i) No trustee, examiner, receiver or interim receiver shall have been appointed or designated with respect to the Debtors or their business, properties or assets and no motion shall be pending seeking any such relief, and (ii) no motion shall be pending seeking any other relief in the Bankruptcy Court or the Canadian Court to exercise control over Collateral with an aggregate fair market value in excess of $100,000 with respect to all such motions;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(ii) shall not apply to any motion that is being contested in good faith by the Debtors and which contest the Debtors reasonably believe will be successful.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4" w:name="page55"/>
    <w:bookmarkEnd w:id="5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(g) The DIP Proceeds Account shall have been established and shall constitute Collateral but not Prepetition ABL Priority Collateral.</w:t>
      </w:r>
    </w:p>
    <w:p>
      <w:pPr>
        <w:spacing w:after="0" w:line="23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Solely for purposes of determining whether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have been satisfied in respect of any Credit Extension, the Agents and each Lender party hereto shall be deemed to have consented to, approved, accepted or be reasonably satisfied with any document delivered prior to such Credit Extension or other matter (in each case, for which such consent, approval, acceptance or satisfaction is expressly required by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4.02</w:t>
      </w:r>
      <w:r>
        <w:rPr>
          <w:rFonts w:ascii="Arial" w:cs="Arial" w:eastAsia="Arial" w:hAnsi="Arial"/>
          <w:sz w:val="17"/>
          <w:szCs w:val="17"/>
          <w:color w:val="auto"/>
        </w:rPr>
        <w:t>, as applicable) by releasing its signature page to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Each of the Borrower and each of the Guarantors party hereto represents and warrants to the Administrative Agent, the Collateral Agent and each of the Lenders that:</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Existence, Qualification and Power; Compliance with Laws.</w:t>
      </w:r>
      <w:r>
        <w:rPr>
          <w:rFonts w:ascii="Arial" w:cs="Arial" w:eastAsia="Arial" w:hAnsi="Arial"/>
          <w:sz w:val="17"/>
          <w:szCs w:val="17"/>
          <w:color w:val="auto"/>
        </w:rPr>
        <w:t xml:space="preserve"> Each Loan Party and each Subsidiary (a) is a Person duly organized or formed, validly existing and in good standing (where relevant) under the Laws of the jurisdiction of its incorporation or organization, (b) has all requisite organizational power and authority to execute, deliver and perform its obligations under the Loan Documents to which it is a party and, in the case of the Borrower, to borrow hereunder,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franchises, licenses, authorizations, qualifications, consents and approvals to operate its business as currently conducted; except in each case, referred to in clause (a) (other than with respect to any Loan Party), (c), (d) or (e), to the extent that failure to do so, individually or in the aggregate, would not reasonably be expected to have a Material Adverse Effect.</w:t>
      </w:r>
    </w:p>
    <w:p>
      <w:pPr>
        <w:spacing w:after="0" w:line="178"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Authorization; No Contravention.</w:t>
      </w:r>
      <w:r>
        <w:rPr>
          <w:rFonts w:ascii="Arial" w:cs="Arial" w:eastAsia="Arial" w:hAnsi="Arial"/>
          <w:sz w:val="16"/>
          <w:szCs w:val="16"/>
          <w:color w:val="auto"/>
        </w:rPr>
        <w:t xml:space="preserve"> Subject to the entry by (and terms of) the Bankruptcy Court of the DIP Order and the Canadian DIP Recognition Order, as applicable, the execution, delivery and performance by each Loan Party of each Loan Document to which such Person is a party, and the consummation of the Transactions, (a) are within such Loan Party’s organizational powers, (b) have been duly authorized by all necessary corporate or other organizational action, and (c) do not (i) contravene the terms of any of such Person’s Organization Documents, (ii) conflict with or result in any breach or contravention of, or the creation of (or the requirement to create) any Lien under (other than as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or require any payment to be made under (x) any post-petition Indebtedness of such Person (y) any post-petition material order, injunction, writ or decree of any Governmental Authority or any arbitral award to which such Person or its property is subject; or (iii) violate any material Law; except with respect to any conflict, breach or contravention or payment (but not creation of Liens) referred to in clause (c)(ii)(x), to the extent that such violation, conflict, breach, contravention or payment, individually or in the aggregate, could not reasonably be expected to have a Material Adverse Effect.</w:t>
      </w:r>
    </w:p>
    <w:p>
      <w:pPr>
        <w:spacing w:after="0" w:line="16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Governmental Authorization; Other Consents. S</w:t>
      </w:r>
      <w:r>
        <w:rPr>
          <w:rFonts w:ascii="Arial" w:cs="Arial" w:eastAsia="Arial" w:hAnsi="Arial"/>
          <w:sz w:val="18"/>
          <w:szCs w:val="18"/>
          <w:color w:val="auto"/>
        </w:rPr>
        <w:t>ubject to the entry by (and terms of) the Bankruptcy Court of the DIP Order, and, in the case of the Canadian Collateral, the applicable Canadian Orders, no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5" w:name="page56"/>
    <w:bookmarkEnd w:id="55"/>
    <w:p>
      <w:pPr>
        <w:ind w:left="4"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for the consummation of the Transactions, (b) the grant by any Loan Party of the Liens granted by it pursuant to the Collateral Documents, (c) the perfection or maintenance of the Liens created under the Collateral Documents (including the priority thereof) to the extent required thereunder or</w:t>
      </w:r>
    </w:p>
    <w:p>
      <w:pPr>
        <w:ind w:left="4" w:right="20" w:hanging="4"/>
        <w:spacing w:after="0" w:line="26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exercise by the Administrative Agent, the Collateral Agent or any Lender of its rights under the Loan Documents or the remedies in respect of the Collateral pursuant to the Collateral Documents, except for (i) approvals, consents, exemptions, authorizations or other actions by, or notices to, or filings necessary to perfect the Liens on the Collateral granted by the Loan Parties in favor of the Secured Parties (or release existing Liens), (ii) 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and Guarantee Requirement) and (iii) those approvals, consents, exemptions, authorizations or other actions, notices or filings, the failure of which to obtain or make, individually or in the aggregate, could not reasonably be expected to have a Material Adverse Effect.</w:t>
      </w:r>
    </w:p>
    <w:p>
      <w:pPr>
        <w:spacing w:after="0" w:line="180"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Binding Effect.</w:t>
      </w:r>
      <w:r>
        <w:rPr>
          <w:rFonts w:ascii="Arial" w:cs="Arial" w:eastAsia="Arial" w:hAnsi="Arial"/>
          <w:sz w:val="16"/>
          <w:szCs w:val="16"/>
          <w:color w:val="auto"/>
        </w:rPr>
        <w:t xml:space="preserve"> This Agreement and each other Loan Document has been duly executed and delivered by each Loan Party that is a party thereto. Upon entry of the DIP Order (and in the case of the Canadian Collateral, the Canadian DIP Recognition Order), this Agreement and each other Loan Document constitutes a legal, valid and binding obligation of each such Loan Party, enforceable against each Loan Party that is a party thereto in accordance with its terms, except as such enforceability may be limited by Debtor Relief Laws and by general principles of equity.</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(a) (i) The 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w:t>
      </w:r>
    </w:p>
    <w:p>
      <w:pPr>
        <w:spacing w:after="0" w:line="184"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(ii) The Unaudited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 and the absence of footnotes.</w:t>
      </w:r>
    </w:p>
    <w:p>
      <w:pPr>
        <w:spacing w:after="0" w:line="184"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(b) The forecasts of income statements of the Borrower and its Subsidiaries which have been furnished to the Administrative Agent and the Lenders prior to the Closing Date have been prepared in good faith on the basis of the assumptions stated therein, which assumptions were believed to be reasonable at the time of preparation of such forecasts it being understood by the Agents and the Lenders that such projections as to future events</w:t>
      </w:r>
    </w:p>
    <w:p>
      <w:pPr>
        <w:spacing w:after="0" w:line="2" w:lineRule="exact"/>
        <w:rPr>
          <w:sz w:val="20"/>
          <w:szCs w:val="20"/>
          <w:color w:val="auto"/>
        </w:rPr>
      </w:pPr>
    </w:p>
    <w:p>
      <w:pPr>
        <w:ind w:left="4" w:right="100" w:hanging="4"/>
        <w:spacing w:after="0" w:line="281" w:lineRule="auto"/>
        <w:tabs>
          <w:tab w:leader="none" w:pos="219" w:val="left"/>
        </w:tabs>
        <w:numPr>
          <w:ilvl w:val="0"/>
          <w:numId w:val="8"/>
        </w:numPr>
        <w:rPr>
          <w:rFonts w:ascii="Arial" w:cs="Arial" w:eastAsia="Arial" w:hAnsi="Arial"/>
          <w:sz w:val="16"/>
          <w:szCs w:val="16"/>
          <w:color w:val="auto"/>
        </w:rPr>
      </w:pPr>
      <w:r>
        <w:rPr>
          <w:rFonts w:ascii="Arial" w:cs="Arial" w:eastAsia="Arial" w:hAnsi="Arial"/>
          <w:sz w:val="16"/>
          <w:szCs w:val="16"/>
          <w:color w:val="auto"/>
        </w:rPr>
        <w:t>are not to be viewed as facts, (ii)(A) are subject to significant uncertainties and contingencies, which may be beyond the control of the Borrower and its Subsidiaries, (B) no assurance is given by the Borrower and its Subsidiaries that the results or forecast in any such projections will be realized and</w:t>
      </w:r>
    </w:p>
    <w:p>
      <w:pPr>
        <w:spacing w:after="0" w:line="1" w:lineRule="exact"/>
        <w:rPr>
          <w:rFonts w:ascii="Arial" w:cs="Arial" w:eastAsia="Arial" w:hAnsi="Arial"/>
          <w:sz w:val="16"/>
          <w:szCs w:val="16"/>
          <w:color w:val="auto"/>
        </w:rPr>
      </w:pPr>
    </w:p>
    <w:p>
      <w:pPr>
        <w:ind w:left="4" w:right="40"/>
        <w:spacing w:after="0" w:line="255" w:lineRule="auto"/>
        <w:rPr>
          <w:rFonts w:ascii="Arial" w:cs="Arial" w:eastAsia="Arial" w:hAnsi="Arial"/>
          <w:sz w:val="16"/>
          <w:szCs w:val="16"/>
          <w:color w:val="auto"/>
        </w:rPr>
      </w:pPr>
      <w:r>
        <w:rPr>
          <w:rFonts w:ascii="Arial" w:cs="Arial" w:eastAsia="Arial" w:hAnsi="Arial"/>
          <w:sz w:val="18"/>
          <w:szCs w:val="18"/>
          <w:color w:val="auto"/>
        </w:rPr>
        <w:t>(C) the actual 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90"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Compliance With Laws</w:t>
      </w:r>
      <w:r>
        <w:rPr>
          <w:rFonts w:ascii="Arial" w:cs="Arial" w:eastAsia="Arial" w:hAnsi="Arial"/>
          <w:sz w:val="18"/>
          <w:szCs w:val="18"/>
          <w:color w:val="auto"/>
        </w:rPr>
        <w:t>. Subject to the entry by (and terms of) the Bankruptcy Court of the DIP Order, neither the Borrower nor any of the Subsidiaries or any of their respective properties or assets is in violation of, nor will the continued operation of their properties and assets as currently conducted violate, any law, rule or regulation (including any zoning, building, ordinance, code or approval or any building permits) or any restrictions of record or agreements affecting any real property interest of the Borrower or any of its Subsidiaries, or is in default with respect to any judgment, writ, injunction, decree or order of any Governmental Authority, where in each case such violation or default, individually or in the aggregate, would reasonably be expected to result in a Material Adverse Effect.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4" w:right="43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Arial" w:cs="Arial" w:eastAsia="Arial" w:hAnsi="Arial"/>
          <w:sz w:val="18"/>
          <w:szCs w:val="18"/>
          <w:i w:val="1"/>
          <w:iCs w:val="1"/>
          <w:color w:val="auto"/>
        </w:rPr>
        <w:t>Ownership of Property; Liens</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(a) Schedule 1.01(c) sets forth a true, complete and correct list of all Real Property owned (whether in fee or through a leasehold estate under any ground lease) by Borrower and the Subsidiaries as of the Effective Date.</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(b) Each of the Borrower and the Subsidiaries has good record title to, or valid leasehold interests in, or easements or other limited property interests in, all its properties and assets, free and clear of all Liens except for minor defects in title that do not materially interfere with its ability to conduct its business or to utilize such assets for their intended purposes and except where the failure to have such title or interest would not reasonably be expected to have, individually or in the aggregate, a Material Adverse Effect.</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would not reasonably be expected to have, individually or in the aggregate, a Material Adverse Effect:</w:t>
      </w:r>
    </w:p>
    <w:p>
      <w:pPr>
        <w:spacing w:after="0" w:line="170"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(a) Each Loan Party and each Subsidiary is and has been in compliance with all Environmental Laws, which includes obtaining and maintaining all Environmental Permits required under such Environmental Laws to carry on the business of the Loan Parties and the Subsidiaries;</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(b) the Loan Parties and the Subsidiaries have not received notice alleging any Environmental Liability or proposing or seeking to revoke, modify or deny the renewal of any Environmental Permit required to be held by the Loan Parties or the Subsidiaries, and neither the Loan Parties nor the Subsidiaries have become subject to any Environmental Liability;</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(c) there has been no Release, discharge or disposal of Hazardous Materials (i) on, to, at, under or from any Real Property or any vehicles or facilities owned or leased by any of the Loan Parties or the Subsidiaries, or, to the knowledge of the Borrower, formerly owned, operated or leased by any Loan Party or any Subsidiary, or (ii) arising out of the conduct of the Loan Parties or the Subsidiaries that, in the case of (i) or (ii), could reasonably be expected to require investigation, remedial activity or corrective action or cleanup by or on behalf of any Loan Party or any Subsidiary or for which any Loan Party or Subsidiary reasonably could be expected to otherwise incur any Environmental Liability; and</w:t>
      </w:r>
    </w:p>
    <w:p>
      <w:pPr>
        <w:spacing w:after="0" w:line="16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(d) there are no facts, circumstances or conditions arising out of or relating to, and there are no pending or reasonably anticipated requirements under Environmental Law associated with, the operations of the Loan Parties or the Subsidiaries or any Real Property, vehicles or facilities currently or, to the knowledge of the Borrower, previously owned or leased by the Loan Parties or any Subsidiary that, in such case, are known to or would reasonably be likely to require investigation, remedial activity or corrective action or cleanup by or on behalf of any Loan Party or any Subsidiary or that are known to or would reasonably be likely to result in the Borrower or any other Loan Party or Subsidiary incurring any Environmental Liability or capital expenditures to achieve or maintain compliance with Environmental Laws.</w:t>
      </w:r>
    </w:p>
    <w:p>
      <w:pPr>
        <w:spacing w:after="0" w:line="17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Taxes.</w:t>
      </w:r>
      <w:r>
        <w:rPr>
          <w:rFonts w:ascii="Arial" w:cs="Arial" w:eastAsia="Arial" w:hAnsi="Arial"/>
          <w:sz w:val="18"/>
          <w:szCs w:val="18"/>
          <w:color w:val="auto"/>
        </w:rPr>
        <w:t xml:space="preserve"> Except as would not, either individually or in the aggregate, reasonably be expected to result in a Material Adverse Effect: each of the Loan Parties and their Subsidiaries have timely filed all tax returns required to be filed (taking into account any extensions), and have paid all Taxes levied or imposed upon them or their properties, that are due and payable (including in their capacity as a withholding agent), except those which are being contested in good faith by appropriate proceedings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7" w:name="page58"/>
    <w:bookmarkEnd w:id="57"/>
    <w:p>
      <w:pPr>
        <w:jc w:val="both"/>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diligently conducted if such contest shall have the effect of suspending enforcement or collection of such Taxes and for which adequate reserves have been provided in accordance with GAAP. There is no proposed Tax deficiency or assessment known to any Loan Party against any Loan Party or any Subsidiary that would, if made, individually or in the aggregate, have a Material Adverse Effect.</w:t>
      </w:r>
    </w:p>
    <w:p>
      <w:pPr>
        <w:spacing w:after="0" w:line="18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Litigation</w:t>
      </w:r>
      <w:r>
        <w:rPr>
          <w:rFonts w:ascii="Arial" w:cs="Arial" w:eastAsia="Arial" w:hAnsi="Arial"/>
          <w:sz w:val="16"/>
          <w:szCs w:val="16"/>
          <w:color w:val="auto"/>
        </w:rPr>
        <w:t>. Except for claims, actions, suits, investigations, litigation or proceedings stayed by Section 362 of the Bankruptcy Code and as set forth on Schedule 5.10 and/or the applicable Canadian Orders, as applicable, there does not exist any action, suit, investigation, litigation or proceeding, pending or to the knowledge of the Loan Parties, threatened in writing in any court or before any arbitrator or Governmental Authority that,</w:t>
      </w:r>
    </w:p>
    <w:p>
      <w:pPr>
        <w:spacing w:after="0" w:line="2" w:lineRule="exact"/>
        <w:rPr>
          <w:sz w:val="20"/>
          <w:szCs w:val="20"/>
          <w:color w:val="auto"/>
        </w:rPr>
      </w:pPr>
    </w:p>
    <w:p>
      <w:pPr>
        <w:jc w:val="both"/>
        <w:ind w:left="4" w:right="460" w:hanging="4"/>
        <w:spacing w:after="0" w:line="255"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individually or in the aggregate, has had or would reasonably be expected to have a Material Adverse Effect with respect to the assets or property of the Loans Parties or (y) is in respect of the Loans or the Loan Documents and either individually or in the aggregate, has had or would reasonably be expected to have a Material Adverse Effect.</w:t>
      </w:r>
    </w:p>
    <w:p>
      <w:pPr>
        <w:spacing w:after="0" w:line="190"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Subsidiaries.</w:t>
      </w:r>
      <w:r>
        <w:rPr>
          <w:rFonts w:ascii="Arial" w:cs="Arial" w:eastAsia="Arial" w:hAnsi="Arial"/>
          <w:sz w:val="17"/>
          <w:szCs w:val="17"/>
          <w:color w:val="auto"/>
        </w:rPr>
        <w:t xml:space="preserve"> As of the Effective Date (after giving effect to the Transactions), no Loan Party has any direct or indirect Subsidiaries other than those specifically disclosed in </w:t>
      </w:r>
      <w:r>
        <w:rPr>
          <w:rFonts w:ascii="Arial" w:cs="Arial" w:eastAsia="Arial" w:hAnsi="Arial"/>
          <w:sz w:val="17"/>
          <w:szCs w:val="17"/>
          <w:u w:val="single" w:color="auto"/>
          <w:color w:val="auto"/>
        </w:rPr>
        <w:t>Schedule 5.11</w:t>
      </w:r>
      <w:r>
        <w:rPr>
          <w:rFonts w:ascii="Arial" w:cs="Arial" w:eastAsia="Arial" w:hAnsi="Arial"/>
          <w:sz w:val="17"/>
          <w:szCs w:val="17"/>
          <w:color w:val="auto"/>
        </w:rPr>
        <w:t xml:space="preserve">, and all of the outstanding Equity Interests owned by the Loan Parties (or a Subsidiary of any Loan Party) in such Subsidiaries have been validly issued and are fully paid and (if applicable) non-assessable and all Equity Interests owned by a Loan Party (or a Subsidiary of any Loan Party) in such Subsidiaries are owned free and clear of all Liens except (a) those created under the Collateral Documents or under the Prepetition ABL Facility Documentation, the Prepetition UST Tranche A Facility Documentation, the Prepetition UST Tranche B Facility Documentation, the Prepetition B-2 Loan Documents and the Postpetition B-2 Loan Documents (which Liens shall be subject to the Prepetition ABL Intercreditor Agreement, the terms and priorities set forth in the DIP Order and the Senior ICA Provisions) and (b) any other Lien that is permitted or granted under the DIP Order or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As of the Effective Date, </w:t>
      </w:r>
      <w:r>
        <w:rPr>
          <w:rFonts w:ascii="Arial" w:cs="Arial" w:eastAsia="Arial" w:hAnsi="Arial"/>
          <w:sz w:val="17"/>
          <w:szCs w:val="17"/>
          <w:u w:val="single" w:color="auto"/>
          <w:color w:val="auto"/>
        </w:rPr>
        <w:t>Schedule 5.11</w:t>
      </w:r>
      <w:r>
        <w:rPr>
          <w:rFonts w:ascii="Arial" w:cs="Arial" w:eastAsia="Arial" w:hAnsi="Arial"/>
          <w:sz w:val="17"/>
          <w:szCs w:val="17"/>
          <w:color w:val="auto"/>
        </w:rPr>
        <w:t xml:space="preserve"> sets forth (i) the name and jurisdiction of each Loan Party and (ii) the direct ownership interest of the Borrower and any Loan Party thereof in each such Subsidiary, including the percentage of such ownership.</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Margin Regulations; Investment Company Act</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(a) No Loan Party or Subsidiary is engaged nor will it engage, principally, or as one of its important activities in the business of purchasing or carrying Margin Stock, or extending credit for the purpose of purchasing or carrying Margin Stock, and no proceeds of any Borrowings will be used, whether directly or indirectly, and whether immediately, incidentally or ultimately, for any purpose that entails a violation of the provisions of the Regulations of the Board, including Regulation T, U or X.</w:t>
      </w:r>
    </w:p>
    <w:p>
      <w:pPr>
        <w:spacing w:after="0" w:line="187"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(b) Neither the Borrower, nor any of the Subsidiaries is or is required to be registered as an “investment company” under the Investment Company Act of 1940.</w:t>
      </w:r>
    </w:p>
    <w:p>
      <w:pPr>
        <w:spacing w:after="0" w:line="170"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i w:val="1"/>
          <w:iCs w:val="1"/>
          <w:color w:val="auto"/>
        </w:rPr>
        <w:t>Disclosure.</w:t>
      </w:r>
      <w:r>
        <w:rPr>
          <w:rFonts w:ascii="Arial" w:cs="Arial" w:eastAsia="Arial" w:hAnsi="Arial"/>
          <w:sz w:val="17"/>
          <w:szCs w:val="17"/>
          <w:color w:val="auto"/>
        </w:rPr>
        <w:t xml:space="preserve"> No report, financial statement, certificate or other written information furnished by or on behalf of any Loan Party (other than projected financial information, pro forma financial information, budgets, estimates and information of a general economic or industry nature) to any Agent or any Lender about the Borrower and its Subsidiaries in connection with the transactions contemplated hereby and the negotiation of this Agreement or delivered hereunder or under any other Loan Document (as modified or supplemented by other information so furnished) when taken as a whole contains or will contain any material misstatement of fact or omits or will omit to state any material fact necessary to make the statements therein (when taken as a whole), in the light of the circumstances under which they were or will be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and agreed by the Agents and the Lenders that such projections as to future events (i) are not to be viewed as facts, (ii) are</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significant uncertainties and contingencies, which may be beyond the control of the Borrower and its Subsidiaries and (iii) are not a guarantee of performance and that actual results during the period or periods covered by any such projections may vary significantly from the projected results and such differences may be material.</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ERISA Compliance</w:t>
      </w:r>
      <w:r>
        <w:rPr>
          <w:rFonts w:ascii="Arial" w:cs="Arial" w:eastAsia="Arial" w:hAnsi="Arial"/>
          <w:sz w:val="18"/>
          <w:szCs w:val="18"/>
          <w:color w:val="auto"/>
        </w:rPr>
        <w:t>. Except as would not, either individually or in the aggregate, reasonably be expected to result in a Material Adverse Effect:</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(a) Each Plan is in compliance with the applicable provisions of ERISA, the Code and other Federal or state Laws (and the regulations and published interpretations thereunder).</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(b) The Loan Parties, their Subsidiaries and their respective ERISA Affiliates may incur liability for ordinary course contributions to (and make payments in satisfaction of such liabilities) which are Multiemployer Plans.</w:t>
      </w:r>
    </w:p>
    <w:p>
      <w:pPr>
        <w:spacing w:after="0" w:line="170"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Upon entry of the Chapter 11 Orders (and in the case of the Canadian Collateral, the applicable Canadian Orders), each of the Borrower and its Subsidiaries maintains, with financially sound and reputable insurance companies, insurance in such amounts and against such risks as are customarily maintained by companies engaged in the same or similar businesses operating in the same or similar locations; </w:t>
      </w:r>
      <w:r>
        <w:rPr>
          <w:rFonts w:ascii="Arial" w:cs="Arial" w:eastAsia="Arial" w:hAnsi="Arial"/>
          <w:sz w:val="16"/>
          <w:szCs w:val="16"/>
          <w:i w:val="1"/>
          <w:iCs w:val="1"/>
          <w:color w:val="auto"/>
        </w:rPr>
        <w:t>provided</w:t>
      </w:r>
      <w:r>
        <w:rPr>
          <w:rFonts w:ascii="Arial" w:cs="Arial" w:eastAsia="Arial" w:hAnsi="Arial"/>
          <w:sz w:val="16"/>
          <w:szCs w:val="16"/>
          <w:color w:val="auto"/>
        </w:rPr>
        <w:t>, that each of the Borrower and its Subsidiaries may self-insure to the same extent as other companies engaged in similar businesses and owning similar properties in the same general areas in which the Borrower or each such Subsidiary, as applicable, operates.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i w:val="1"/>
          <w:iCs w:val="1"/>
          <w:color w:val="auto"/>
        </w:rPr>
        <w:t>No Other Borrowed Money Indebtedness.</w:t>
      </w:r>
      <w:r>
        <w:rPr>
          <w:rFonts w:ascii="Arial" w:cs="Arial" w:eastAsia="Arial" w:hAnsi="Arial"/>
          <w:sz w:val="17"/>
          <w:szCs w:val="17"/>
          <w:color w:val="auto"/>
        </w:rPr>
        <w:t xml:space="preserve"> Immediately after giving effect to the consummation of the Transactions to occur on the Closing Date the Borrower and its Subsidiaries shall have no outstanding Indebtedness for borrowed money other than (a) Indebtedness outstanding under this Agreement and the Prepetition Indebtedness and (b) Indebtedness permitted pursuant to Section 7.03.</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Collateral Documents</w:t>
      </w:r>
      <w:r>
        <w:rPr>
          <w:rFonts w:ascii="Arial" w:cs="Arial" w:eastAsia="Arial" w:hAnsi="Arial"/>
          <w:sz w:val="16"/>
          <w:szCs w:val="16"/>
          <w:color w:val="auto"/>
        </w:rPr>
        <w:t>. The DIP Order (and in the case of the Canadian Collateral, the Canadian DIP Recognition Order) and the Collateral Documents, on execution and delivery thereof by the parties thereto, are effective to create in favor of the Collateral Agent for the benefit of the Secured Parties, legal, valid and enforceable Liens on, and security interests in, the Collateral described therein to the extent intended to be created thereby, and the Liens created by the DIP Order and the Collateral Documents shall constitute fully perfected Liens on, and security interests in, in each case, to the extent available under the Chapter 11 Cases, all right, title and interest of the Loan Parties in such Collateral with the priority set forth herein and otherwise subject in all respects to the terms of the DIP Order and the applicable Canadian Orders. Notwithstanding anything to the contrary herein, nothing in this Section 5.18 is intended to or does conflict with or override the UST Adequate Protection Order and in the event of any inconsistencies between this Section 5.18 and the UST Adequate Protection Order, the UST Adequate Protection Order shall govern.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Compliance with Anti-Terrorism and Corruption Laws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(a) To the extent applicable, the Borrower and the Subsidiaries are in compliance, in all material respects, with (i) the Trading with the Enemy Act and each of the foreign assets control regulations of the United States Treasury Department (31 CFR, Subtitle B, Chapter V) and any other enabling legislation or executive order relating thereto, (ii) the USA PATRIOT Act, and (iii) Canadian AML Legislation and (iv) any other similar anti-terrorism and anti-corruption legislation in other jurisdictions.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59" w:name="page60"/>
    <w:bookmarkEnd w:id="59"/>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(b) None of the Borrower or any Subsidiary nor, to the knowledge of the Borrower, any director, officer, agent, employee or controlled Affiliate of the Borrower or any Subsidiary, (i) is a Blocked Person or (ii) is currently subject to any U.S. sanctions administered or enforced by OFAC or by any Canadian Governmental Authority that is applicable to the Borrower or any Subsidiary at such time that could, individually or in the aggregate, reasonably be expected to have a Material Adverse Effect; and none of the Borrower or any Subsidiary will use the proceeds of the Loans for the purpose of financing the activities of any Person currently subject to any U.S. sanctions administered or enforced by OFAC or any Canadian Governmental Authority that is applicable to the Borrower or any Subsidiary.</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part of the proceeds of the Loans will be used by the Borrower or any of the Subsidiaries,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i w:val="1"/>
          <w:iCs w:val="1"/>
          <w:color w:val="auto"/>
        </w:rPr>
        <w:t>Real Property Permits</w:t>
      </w:r>
      <w:r>
        <w:rPr>
          <w:rFonts w:ascii="Arial" w:cs="Arial" w:eastAsia="Arial" w:hAnsi="Arial"/>
          <w:sz w:val="17"/>
          <w:szCs w:val="17"/>
          <w:color w:val="auto"/>
        </w:rPr>
        <w:t>. Borrower has all Permits, all of which are in full force and effect as of the date hereof required by the applicable Governmental Authorities in connection with the ownership and operation of any Material Real Property, except to the extent that the failure to have any such Permits would not, individually or in the aggregate, reasonably be expected to have a Material Adverse Effect.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Secured, Super-Priority Obligations.</w:t>
      </w:r>
      <w:r>
        <w:rPr>
          <w:rFonts w:ascii="Arial" w:cs="Arial" w:eastAsia="Arial" w:hAnsi="Arial"/>
          <w:sz w:val="18"/>
          <w:szCs w:val="18"/>
          <w:color w:val="auto"/>
        </w:rPr>
        <w:t xml:space="preserve"> On and after the Closing Date, solely with respect to the Initial Term Loans:</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(a) The Chapter 11 Cases were commenced on the Petition Date in accordance with applicable law and proper notice thereof for (x) the motions seeking approval of the Loan Documents, the DIP Order and the applicable Canadian Orders and (y) the hearings for the approval of the DIP Order and the applicable Canadian Orders were given in each case. The Borrower has given, on a timely basis as specified in the DIP Order and the applicable Canadian Orders, all notices required to be given to all parties specified in the DIP Order and the applicable Canadian Orders.</w:t>
      </w:r>
    </w:p>
    <w:p>
      <w:pPr>
        <w:spacing w:after="0" w:line="17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(b) The provisions of the Loan Documents and the DIP Order (and, in the case of the Canadian Collateral, the applicable Canadian Orders), are effective to create in favor of the Collateral Agent, for the benefit of the Secured Parties, legal, valid and perfected Liens on and security interests in all right, title and interest in the Collateral, having the priority provided for herein and in the DIP Order and the applicable Canadian Orders, and enforceable against the Loan Parties, in each case, subject to the terms and conditions of the DIP Order (and, in the case of the Canadian Collateral, the applicable Canadian Orders).</w:t>
      </w:r>
    </w:p>
    <w:p>
      <w:pPr>
        <w:spacing w:after="0" w:line="18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(c) Pursuant to Section 364(c)(1) of the Bankruptcy Code, all Obligations relating to or arising under the Initial Term Loans and all other obligations of the Loan Parties under the Loan Documents relating to or arising under the Initial Term Loans at all times shall be entitled to joint and several superpriority administrative expense claim status against each Debtor in the Chapter 11 Cases, which claims shall be superior to all other claims except as otherwise set forth herein and in the DIP Order, and subject to the Carve-Out and the Canadian Priority Charges pursuant to the applicable Canadian Orders to the extent set forth in the Canadian DIP Recognition Order and the other applicable Canadian Orders.</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(d) Pursuant to Section 364(c)(2) of the Bankruptcy Code and DIP Order (and, in the case of the Canadian Collateral, the applicable Canadian Orders), all Obligations relating to or arising under the Initial Term Loans are secured by a first priority perfected Lien on (i) the DIP Proceeds Account and (ii) all unencumbered assets of the Loan Parties (other than Excluded Property) (now existing or hereafter acquired) and all proceeds thereof that were not subject to a perfected, non-avoidable Lien as of the Petition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60" w:name="page61"/>
    <w:bookmarkEnd w:id="60"/>
    <w:p>
      <w:pPr>
        <w:ind w:right="6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(the “</w:t>
      </w:r>
      <w:r>
        <w:rPr>
          <w:rFonts w:ascii="Arial" w:cs="Arial" w:eastAsia="Arial" w:hAnsi="Arial"/>
          <w:sz w:val="17"/>
          <w:szCs w:val="17"/>
          <w:b w:val="1"/>
          <w:bCs w:val="1"/>
          <w:color w:val="auto"/>
        </w:rPr>
        <w:t>Unencumbered Assets</w:t>
      </w:r>
      <w:r>
        <w:rPr>
          <w:rFonts w:ascii="Arial" w:cs="Arial" w:eastAsia="Arial" w:hAnsi="Arial"/>
          <w:sz w:val="17"/>
          <w:szCs w:val="17"/>
          <w:color w:val="auto"/>
        </w:rPr>
        <w:t>”), which Lien is (i) pari passu with the Lien securing the Postpetition B-2 Indebtedness on such DIP Proceeds Account (it being understood that the Prepetition Secured Parties have no Lien on the DIP Proceeds Account) and (ii) senior to the Liens securing the Postpetition B-2 Indebtedness and the adequate protection Liens of the Prepetition Secured Parties solely on such Unencumbered Assets, in each case, subject to the Carve-Out and the Canadian Priority Charges (in a maximum amount not to exceed CDN$4,200,000) pursuant to the applicable Canadian Orders to the extent set forth in the Canadian DIP Recognition Order and the applicable Canadian Orders.</w:t>
      </w:r>
    </w:p>
    <w:p>
      <w:pPr>
        <w:spacing w:after="0" w:line="172"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(e) Pursuant to Section 364(c)(3) and 364(d)(1) of the Bankruptcy Code and the DIP Order (and, in the case of the Canadian Collateral, the applicable Canadian Orders), all Obligations relating to or arising under the Initial Term Loans are secured by a Lien on the B-2 Priority Collateral that is junior to the B-2 Secured Parties’ Lien on such Collateral, including any B-2 Adequate Protections Liens (as defined in the DIP Order), but senior to the Prepetition ABL Secured Parties’ and UST Secured Parties’ Lien on such Collateral, subject to the Carve-Out and the Canadian Priority Charges pursuant to the applicable Canadian Orders to the extent set forth in the Canadian DIP Recognition Order and the other applicable Canadian Orders.</w:t>
      </w:r>
    </w:p>
    <w:p>
      <w:pPr>
        <w:spacing w:after="0" w:line="16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(f) Pursuant to Section 364(c)(3) of the Bankruptcy Code and the DIP Order (and, in the case of the Canadian Collateral, the applicable Canadian Orders), all Obligations relating to or arising under the Initial Term Loans are secured by junior Liens on the Collateral securing the obligations of the Prepetition Secured Parties (other than as expressly set forth above with respect to the B-2 Priority Collateral); provided, however, that such Lien on any Canadian Collateral is also junior to the Canadian Priority Charges and, for greater certainty, the Canadian DIP Charge does not apply to the Prepetition UST Tranche B Priority Collateral.</w:t>
      </w:r>
    </w:p>
    <w:p>
      <w:pPr>
        <w:spacing w:after="0" w:line="18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(g) The DIP Order and the Canadian Interim DIP Recognition Order are in full force and effect and have not been vacated, reversed, modified, amended or stayed without the prior written consent of Lenders.</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(h) The Initial Budget and each Updated Budget were prepared in good faith by the management of the Borrower (and in consultation with the Borrower’s Operational Advisor), based on assumptions believed by the management of the Borrower to be reasonable at the time made and upon information believed by the management of the Borrower to have been accurate based upon the information available to the management of Borrower at the time such Initial Budget or Updated Budget was furnished.</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Notwithstanding anything to the contrary herein, the provisions of this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shall apply only to the Obligations relating to or arising under the Initial Term Loans and all other obligations of the Loan Parties under the Loan Documents that relate to or arise under the Initial Term Loans. The term “Obligations” or “obligations” under this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shall not include any “Obligations” or “obligations” relating to or arising under the Delayed Draw Term Loans.</w:t>
      </w:r>
    </w:p>
    <w:p>
      <w:pPr>
        <w:spacing w:after="0" w:line="187"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i w:val="1"/>
          <w:iCs w:val="1"/>
          <w:color w:val="auto"/>
        </w:rPr>
        <w:t>Prepetition UST Joint and Priority Collateral.</w:t>
      </w:r>
      <w:r>
        <w:rPr>
          <w:rFonts w:ascii="Arial" w:cs="Arial" w:eastAsia="Arial" w:hAnsi="Arial"/>
          <w:sz w:val="16"/>
          <w:szCs w:val="16"/>
          <w:color w:val="auto"/>
        </w:rPr>
        <w:t xml:space="preserve"> As of the Effective Date, Schedule 5.22(a) lists all Rolling Stock that constitutes Prepetition UST Tranche B Joint Collateral and Schedule 5.22(b) lists all Rolling Stock that constitutes Prepetition UST Tranche B Priority Collateral.</w:t>
      </w:r>
    </w:p>
    <w:p>
      <w:pPr>
        <w:spacing w:after="0" w:line="12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Delayed Draw Term Commitment Priority.</w:t>
      </w:r>
      <w:r>
        <w:rPr>
          <w:rFonts w:ascii="Arial" w:cs="Arial" w:eastAsia="Arial" w:hAnsi="Arial"/>
          <w:sz w:val="18"/>
          <w:szCs w:val="18"/>
          <w:color w:val="auto"/>
        </w:rPr>
        <w:t xml:space="preserve"> Notwithstanding anything herein to the contrary or in the other Loan Documents or the DIP Order to the contrary, it is expressly understood and agreed that the Liens and Claims in respect of the Delayed Draw Term Commitment shall be junior and subordinated (including in right of payment) in all respects to the Liens and Claims (including any adequate protections Liens and Claims) of the Prepetition Secured Parties and to the Liens and Claims of the B-2 Lenders and B-2 Agent under the Postpetition B-2 Loan Documents, including, for the avoidance of doubt,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61" w:name="page62"/>
    <w:bookmarkEnd w:id="6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payment and enforcement of rights of each of the B-2 Secured Parties, the Prepetition ABL Secured Parties and the UST Secured Parties, which rights with respect to the B-2 Secured Parties shall be consistent with and no less favorable than those set forth in the Postpetition B-2 Loan Documents, the Prepetition B-2 Loan Documents and the DIP Order.</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No Canadian Pension Plans.</w:t>
      </w:r>
      <w:r>
        <w:rPr>
          <w:rFonts w:ascii="Arial" w:cs="Arial" w:eastAsia="Arial" w:hAnsi="Arial"/>
          <w:sz w:val="18"/>
          <w:szCs w:val="18"/>
          <w:color w:val="auto"/>
        </w:rPr>
        <w:t xml:space="preserve"> No Loan Party maintains, sponsors, administrates, contributes to, participates in or has any obligations or any actual or contingent liability in respect of a Canadian Defined Benefit Pension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211" w:lineRule="exact"/>
        <w:rPr>
          <w:sz w:val="20"/>
          <w:szCs w:val="20"/>
          <w:color w:val="auto"/>
        </w:rPr>
      </w:pPr>
    </w:p>
    <w:p>
      <w:pPr>
        <w:jc w:val="both"/>
        <w:ind w:right="680" w:firstLine="440"/>
        <w:spacing w:after="0" w:line="311" w:lineRule="auto"/>
        <w:rPr>
          <w:sz w:val="20"/>
          <w:szCs w:val="20"/>
          <w:color w:val="auto"/>
        </w:rPr>
      </w:pPr>
      <w:r>
        <w:rPr>
          <w:rFonts w:ascii="Arial" w:cs="Arial" w:eastAsia="Arial" w:hAnsi="Arial"/>
          <w:sz w:val="16"/>
          <w:szCs w:val="16"/>
          <w:color w:val="auto"/>
        </w:rPr>
        <w:t xml:space="preserve">So long as any Lender shall have any Commitment hereunder or any Loan or other Obligation (other than contingent indemnification or reimbursement obligations) hereunder which is accrued or payable shall remain unpaid or unsatisfied, then from and after the Closing Date, the Borrower shall and shall (except in the case of the covenants set forth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6.02</w:t>
      </w:r>
      <w:r>
        <w:rPr>
          <w:rFonts w:ascii="Arial" w:cs="Arial" w:eastAsia="Arial" w:hAnsi="Arial"/>
          <w:sz w:val="16"/>
          <w:szCs w:val="16"/>
          <w:color w:val="auto"/>
        </w:rPr>
        <w:t>) cause each of the Subsidiaries to:</w:t>
      </w:r>
    </w:p>
    <w:p>
      <w:pPr>
        <w:spacing w:after="0" w:line="149"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Financial Statements, Reports, Etc.</w:t>
      </w:r>
      <w:r>
        <w:rPr>
          <w:rFonts w:ascii="Arial" w:cs="Arial" w:eastAsia="Arial" w:hAnsi="Arial"/>
          <w:sz w:val="17"/>
          <w:szCs w:val="17"/>
          <w:color w:val="auto"/>
        </w:rPr>
        <w:t xml:space="preserve"> In the case of the Borrower, deliver to the Administrative Agent for prompt further distribution to each Lender, within 45 days after the end of each fiscal quarter of each fiscal year of the Borrower (commencing with the fiscal quarter ended June 30, 2023), a consolidated balance sheet of the Borrower and its Subsidiaries as of the end of such fiscal quarter, and the related (x) consolidated statements of income or operations for such fiscal quarter and for the portion of the fiscal year then ended and (y) consolidated statements of cash flows for such fiscal quarter and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 and accompanied by customary management discussion and analysis.</w:t>
      </w:r>
    </w:p>
    <w:p>
      <w:pPr>
        <w:spacing w:after="0" w:line="18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Notwithstanding the foregoing, the obligations in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may be satisfied with respect to information of the Borrower and the Subsidiaries by furnishing within the time period specified in the applicable paragraph (A) the applicable financial statements of the Borrower or (B) the Borrower’s Form 10-K or 10-Q, as applicable, filed with the SEC.</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may be delivered electronically and if so delivered, shall be deemed to have been delivered on the earliest date on which (i) Borrower posts such documents, or provides a link thereto on Borrower’s website on the Internet and provides notice thereof to the Administrative Agent; (ii) such documents are posted on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promptly following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2" w:name="page63"/>
    <w:bookmarkEnd w:id="62"/>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xml:space="preserve"> Deliver to the Administrative Agent for prompt further distribution to each Lender (or, with respect to clauses (k) through (o), deliver directly to the Lenders and their advisors):</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(a) concurrently with the delivery of the financial statements referred to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(or the date on which such delivery is required), commencing with the first fiscal quarter ended after the Closing Date, a duly completed Compliance Certificate signed by a Responsible Officer of the Borrower;</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(b) promptly after the same are publicly available, copies of all annual, regular, periodic and special reports and registration statements which the Borrower or any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(c) promptly after the furnishing thereof, copies of any material notices received by any Loan Party or Subsidiary (other than in the ordinary course of business) or furnished to any holder of Indebtedness or debt securities of any Loan Party or of any of its Subsidiaries (including pursuant to the terms of any Prepetition Indebtedness) (and solely in the case of Indebtedness or debt securities incurred or issued prior to the Petition Date, to the extent the principal amount thereof exceeds the Threshold Amount);</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(d) together with the delivery of each Compliance Certificate pursuant to Section 6.02(a), (i) a report setting forth the information required by sections of the Prepetition Perfection Certificate describing the legal name and the jurisdiction of organization or formation of each Loan Party and the location of the chief executive office of each Loan Party or confirming that there has been no change in such information since the Closing Date or the date of the last such report, (ii) a description of each Disposition of owned Real Property and (iii) a list of each Subsidiary of the Borrower as of the date of delivery of such Compliance Certificate;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(e) [reserved];</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(f) promptly after the written request by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(g) promptly after the receipt thereof by the Borrower or any of the Subsidiaries, a copy of any final “management letter” received by any such Person from its certified public accountants and the management’s response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(h) the proposed service list in connection with any Order or relief sought by any Loan Party from the Canadian Court;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(i) promptly after the furnishing thereof (and in no event later than three Business Days after the delivery thereof), a copy of each borrowing base certificate delivered under the Prepetition ABL Credit Agreement;</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(j) at least two (2) days in advance of such filing or as promptly as practicable, (i) drafts of all pleadings, motions, applications, judicial information, financial information, notices, reports, orders and other documents intended to be filed by or on behalf of the Borrower or any other Loan Party with the Bankruptcy Court in the Chapter 11 Cases, or distributed by or on behalf of the Borrower or any other Loan Party to any official committee appointed in the Chapter 11 Cases and (ii) drafts of all filings, motions,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3" w:name="page64"/>
    <w:bookmarkEnd w:id="63"/>
    <w:p>
      <w:pPr>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pleadings, other papers or material notices intended to be filed by or on behalf of the Borrower, in its capacity as “foreign representative” of the Debtors, or any other Loan Party with the Canadian Court in the Canadian Recognition Proceedings, including all motions for all Canadian Orders;</w:t>
      </w:r>
    </w:p>
    <w:p>
      <w:pPr>
        <w:spacing w:after="0" w:line="146" w:lineRule="exact"/>
        <w:rPr>
          <w:sz w:val="20"/>
          <w:szCs w:val="20"/>
          <w:color w:val="auto"/>
        </w:rPr>
      </w:pPr>
    </w:p>
    <w:p>
      <w:pPr>
        <w:ind w:left="4" w:right="640" w:firstLine="440"/>
        <w:spacing w:after="0" w:line="308" w:lineRule="auto"/>
        <w:rPr>
          <w:sz w:val="20"/>
          <w:szCs w:val="20"/>
          <w:color w:val="auto"/>
        </w:rPr>
      </w:pPr>
      <w:r>
        <w:rPr>
          <w:rFonts w:ascii="Arial" w:cs="Arial" w:eastAsia="Arial" w:hAnsi="Arial"/>
          <w:sz w:val="17"/>
          <w:szCs w:val="17"/>
          <w:color w:val="auto"/>
        </w:rPr>
        <w:t>(k) promptly after the occurrence thereof (and in no event later than one Business Day thereafter (or such longer period as agreed by the Lenders)), notice of any Loan Party entering into any new material agreement or incurring any new material obligation;</w:t>
      </w:r>
    </w:p>
    <w:p>
      <w:pPr>
        <w:spacing w:after="0" w:line="146"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(l) not later than 5:00 p.m. New York time on the third Business Day of the last full calendar week of each month (commencing with August 30, 2023) occurring after the Closing Date (the “</w:t>
      </w:r>
      <w:r>
        <w:rPr>
          <w:rFonts w:ascii="Arial" w:cs="Arial" w:eastAsia="Arial" w:hAnsi="Arial"/>
          <w:sz w:val="16"/>
          <w:szCs w:val="16"/>
          <w:b w:val="1"/>
          <w:bCs w:val="1"/>
          <w:color w:val="auto"/>
        </w:rPr>
        <w:t>Updated Budget Deadline</w:t>
      </w:r>
      <w:r>
        <w:rPr>
          <w:rFonts w:ascii="Arial" w:cs="Arial" w:eastAsia="Arial" w:hAnsi="Arial"/>
          <w:sz w:val="16"/>
          <w:szCs w:val="16"/>
          <w:color w:val="auto"/>
        </w:rPr>
        <w:t>”), a supplement to, for the first such supplement, the Initial Budget, and for each supplement thereafter, the most-recently delivered Updated Budget (each such supplement which is approved in accordance with the terms of this clause (l), an “</w:t>
      </w:r>
      <w:r>
        <w:rPr>
          <w:rFonts w:ascii="Arial" w:cs="Arial" w:eastAsia="Arial" w:hAnsi="Arial"/>
          <w:sz w:val="16"/>
          <w:szCs w:val="16"/>
          <w:b w:val="1"/>
          <w:bCs w:val="1"/>
          <w:color w:val="auto"/>
        </w:rPr>
        <w:t>Updated Budget</w:t>
      </w:r>
      <w:r>
        <w:rPr>
          <w:rFonts w:ascii="Arial" w:cs="Arial" w:eastAsia="Arial" w:hAnsi="Arial"/>
          <w:sz w:val="16"/>
          <w:szCs w:val="16"/>
          <w:color w:val="auto"/>
        </w:rPr>
        <w:t>”), prepared by management of the Borrower in consultation with the Borrower’s Operational Advisor covering the</w:t>
      </w:r>
    </w:p>
    <w:p>
      <w:pPr>
        <w:spacing w:after="0" w:line="1"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 xml:space="preserve">13-week period that commences with the Saturday of the calendar week that includes such Updated Budget Deadline, consistent with the form and level of details set forth in the Initial Budget. Each Updated Budget shall be, in each case, subject to the written approval of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Lenders shall have not provided written approval of any proposed budget supplement prior to 5:00 (New York City time) on the third Business Day after receipt thereof (the “</w:t>
      </w:r>
      <w:r>
        <w:rPr>
          <w:rFonts w:ascii="Arial" w:cs="Arial" w:eastAsia="Arial" w:hAnsi="Arial"/>
          <w:sz w:val="16"/>
          <w:szCs w:val="16"/>
          <w:b w:val="1"/>
          <w:bCs w:val="1"/>
          <w:color w:val="auto"/>
        </w:rPr>
        <w:t>Budget Review Time</w:t>
      </w:r>
      <w:r>
        <w:rPr>
          <w:rFonts w:ascii="Arial" w:cs="Arial" w:eastAsia="Arial" w:hAnsi="Arial"/>
          <w:sz w:val="16"/>
          <w:szCs w:val="16"/>
          <w:color w:val="auto"/>
        </w:rPr>
        <w:t xml:space="preserve">”), the Lenders shall be deemed to have accepted such proposed budget supplement;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2" w:lineRule="exact"/>
        <w:rPr>
          <w:sz w:val="20"/>
          <w:szCs w:val="20"/>
          <w:color w:val="auto"/>
        </w:rPr>
      </w:pPr>
    </w:p>
    <w:p>
      <w:pPr>
        <w:ind w:left="224" w:hanging="224"/>
        <w:spacing w:after="0"/>
        <w:tabs>
          <w:tab w:leader="none" w:pos="2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Lenders object in writing to any proposed budget supplement prior to the Budget Review Time, no proposed budget supplement covering the</w:t>
      </w:r>
    </w:p>
    <w:p>
      <w:pPr>
        <w:spacing w:after="0" w:line="32" w:lineRule="exact"/>
        <w:rPr>
          <w:rFonts w:ascii="Arial" w:cs="Arial" w:eastAsia="Arial" w:hAnsi="Arial"/>
          <w:sz w:val="16"/>
          <w:szCs w:val="16"/>
          <w:color w:val="auto"/>
        </w:rPr>
      </w:pPr>
    </w:p>
    <w:p>
      <w:pPr>
        <w:ind w:left="4" w:right="200"/>
        <w:spacing w:after="0" w:line="253" w:lineRule="auto"/>
        <w:rPr>
          <w:rFonts w:ascii="Arial" w:cs="Arial" w:eastAsia="Arial" w:hAnsi="Arial"/>
          <w:sz w:val="16"/>
          <w:szCs w:val="16"/>
          <w:color w:val="auto"/>
        </w:rPr>
      </w:pPr>
      <w:r>
        <w:rPr>
          <w:rFonts w:ascii="Arial" w:cs="Arial" w:eastAsia="Arial" w:hAnsi="Arial"/>
          <w:sz w:val="18"/>
          <w:szCs w:val="18"/>
          <w:color w:val="auto"/>
        </w:rPr>
        <w:t>13-week period covered by such rejected budget supplement shall become an Updated Budget until and unless the Lenders approve thereof in writing (in their sole and absolute discretion), and (ii) the prior Approved Budget shall remain in effect until such time as the Lenders so approve a revised budget supplement in accordance with the foregoing sub-clause (i). As used herein, the “</w:t>
      </w:r>
      <w:r>
        <w:rPr>
          <w:rFonts w:ascii="Arial" w:cs="Arial" w:eastAsia="Arial" w:hAnsi="Arial"/>
          <w:sz w:val="18"/>
          <w:szCs w:val="18"/>
          <w:b w:val="1"/>
          <w:bCs w:val="1"/>
          <w:color w:val="auto"/>
        </w:rPr>
        <w:t>Approved Budget</w:t>
      </w:r>
      <w:r>
        <w:rPr>
          <w:rFonts w:ascii="Arial" w:cs="Arial" w:eastAsia="Arial" w:hAnsi="Arial"/>
          <w:sz w:val="18"/>
          <w:szCs w:val="18"/>
          <w:color w:val="auto"/>
        </w:rPr>
        <w:t>” shall mean (i) initially, the Initial Budget and (ii) thereafter, upon (and subject to) the approval (or deemed approval) of any Updated Budget by the Lenders in accordance with the foregoing procedures, such Updated Budget.</w:t>
      </w:r>
    </w:p>
    <w:p>
      <w:pPr>
        <w:spacing w:after="0" w:line="187" w:lineRule="exact"/>
        <w:rPr>
          <w:sz w:val="20"/>
          <w:szCs w:val="20"/>
          <w:color w:val="auto"/>
        </w:rPr>
      </w:pPr>
    </w:p>
    <w:p>
      <w:pPr>
        <w:ind w:left="4" w:right="280" w:firstLine="440"/>
        <w:spacing w:after="0" w:line="266" w:lineRule="auto"/>
        <w:rPr>
          <w:sz w:val="20"/>
          <w:szCs w:val="20"/>
          <w:color w:val="auto"/>
        </w:rPr>
      </w:pPr>
      <w:r>
        <w:rPr>
          <w:rFonts w:ascii="Arial" w:cs="Arial" w:eastAsia="Arial" w:hAnsi="Arial"/>
          <w:sz w:val="18"/>
          <w:szCs w:val="18"/>
          <w:color w:val="auto"/>
        </w:rPr>
        <w:t>(m) not later than 5:00 p.m. New York time, on each Business Day, a liquidity update (each, a “</w:t>
      </w:r>
      <w:r>
        <w:rPr>
          <w:rFonts w:ascii="Arial" w:cs="Arial" w:eastAsia="Arial" w:hAnsi="Arial"/>
          <w:sz w:val="18"/>
          <w:szCs w:val="18"/>
          <w:b w:val="1"/>
          <w:bCs w:val="1"/>
          <w:color w:val="auto"/>
        </w:rPr>
        <w:t>Liquidity Report</w:t>
      </w:r>
      <w:r>
        <w:rPr>
          <w:rFonts w:ascii="Arial" w:cs="Arial" w:eastAsia="Arial" w:hAnsi="Arial"/>
          <w:sz w:val="18"/>
          <w:szCs w:val="18"/>
          <w:color w:val="auto"/>
        </w:rPr>
        <w:t>”), which may be sent by email, specifying the aggregate amount of Liquidity of the Loan Parties and their Subsidiaries as of the end of business of the immediately preceding Business Day;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(n) not later than 5:00 p.m. New York time on each Budget Variance Test Date, the following:</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(i) a Budget Variance Report for the most recently ended Budget Variance Test Period; and</w:t>
      </w:r>
    </w:p>
    <w:p>
      <w:pPr>
        <w:spacing w:after="0" w:line="225" w:lineRule="exact"/>
        <w:rPr>
          <w:sz w:val="20"/>
          <w:szCs w:val="20"/>
          <w:color w:val="auto"/>
        </w:rPr>
      </w:pPr>
    </w:p>
    <w:p>
      <w:pPr>
        <w:jc w:val="both"/>
        <w:ind w:left="4" w:right="60" w:firstLine="991"/>
        <w:spacing w:after="0" w:line="263" w:lineRule="auto"/>
        <w:rPr>
          <w:sz w:val="20"/>
          <w:szCs w:val="20"/>
          <w:color w:val="auto"/>
        </w:rPr>
      </w:pPr>
      <w:r>
        <w:rPr>
          <w:rFonts w:ascii="Arial" w:cs="Arial" w:eastAsia="Arial" w:hAnsi="Arial"/>
          <w:sz w:val="18"/>
          <w:szCs w:val="18"/>
          <w:color w:val="auto"/>
        </w:rPr>
        <w:t>(ii) an updated budget prepared by management of the Borrower (in consultation with the Borrower’s Operational Advisor) covering the 13-week period that commences with the calendar week that includes such Wednesday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(n)(ii) may be satisfied, for each week on which an Updated Budget Deadline occurs, by delivery of the Updated Budget);</w:t>
      </w:r>
    </w:p>
    <w:p>
      <w:pPr>
        <w:spacing w:after="0" w:line="184"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(o) not later than 5:00 p.m. New York time on the Friday of each calendar week, with information for the immediately preceding calendar week ending on a Friday (</w:t>
      </w:r>
      <w:r>
        <w:rPr>
          <w:rFonts w:ascii="Arial" w:cs="Arial" w:eastAsia="Arial" w:hAnsi="Arial"/>
          <w:sz w:val="17"/>
          <w:szCs w:val="17"/>
          <w:i w:val="1"/>
          <w:iCs w:val="1"/>
          <w:color w:val="auto"/>
        </w:rPr>
        <w:t>provided</w:t>
      </w:r>
      <w:r>
        <w:rPr>
          <w:rFonts w:ascii="Arial" w:cs="Arial" w:eastAsia="Arial" w:hAnsi="Arial"/>
          <w:sz w:val="17"/>
          <w:szCs w:val="17"/>
          <w:color w:val="auto"/>
        </w:rPr>
        <w:t>, that the Lenders confirm receipt of the following items as of Friday, August 25, 2023, and each Friday thereafter leading up to the Effective Date as required by the DIP Term Sheet and confirm such items received prior to the Effective Date were satisfactory to the Lenders), the following, in the case of clauses (i) and (iii) consistent with the form delivered prior to the Effective Date: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4" w:name="page65"/>
    <w:bookmarkEnd w:id="64"/>
    <w:p>
      <w:pPr>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 written report (each, a “</w:t>
      </w:r>
      <w:r>
        <w:rPr>
          <w:rFonts w:ascii="Arial" w:cs="Arial" w:eastAsia="Arial" w:hAnsi="Arial"/>
          <w:sz w:val="18"/>
          <w:szCs w:val="18"/>
          <w:b w:val="1"/>
          <w:bCs w:val="1"/>
          <w:color w:val="auto"/>
        </w:rPr>
        <w:t>Disbursement Report</w:t>
      </w:r>
      <w:r>
        <w:rPr>
          <w:rFonts w:ascii="Arial" w:cs="Arial" w:eastAsia="Arial" w:hAnsi="Arial"/>
          <w:sz w:val="18"/>
          <w:szCs w:val="18"/>
          <w:color w:val="auto"/>
        </w:rPr>
        <w:t>”) of disbursements made during the period since delivery of the last Disbursement Report (or, for the first Disbursement Report delivered hereunder, since the Petition Date), including payroll payments made by department, payments to directors, and payments to professionals;</w:t>
      </w:r>
    </w:p>
    <w:p>
      <w:pPr>
        <w:spacing w:after="0" w:line="176"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(ii) a written report in reasonable detail (each, a “</w:t>
      </w:r>
      <w:r>
        <w:rPr>
          <w:rFonts w:ascii="Arial" w:cs="Arial" w:eastAsia="Arial" w:hAnsi="Arial"/>
          <w:sz w:val="18"/>
          <w:szCs w:val="18"/>
          <w:b w:val="1"/>
          <w:bCs w:val="1"/>
          <w:color w:val="auto"/>
        </w:rPr>
        <w:t>Sale Report</w:t>
      </w:r>
      <w:r>
        <w:rPr>
          <w:rFonts w:ascii="Arial" w:cs="Arial" w:eastAsia="Arial" w:hAnsi="Arial"/>
          <w:sz w:val="18"/>
          <w:szCs w:val="18"/>
          <w:color w:val="auto"/>
        </w:rPr>
        <w:t xml:space="preserve">”) setting out updates in the monetization strategy of the Borrower, including an update on the status of the sale of each Real Property and other assets of the Loan Parties contemplated by the Bidding Procedures Order, a description of inbound interests and outbound solicitations, and updates on the status of diligence and bids since delivery of the last Sale Report (or, for the first Sale Report delivered hereunder, since the Petition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entitled to restrict and/or redact commercially sensitive information to protect the competitive sales process as determined in its good faith judgment;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Lender is or becomes a potential bidder, the Loan Parties shall not be required to provide information to such Lender regarding the sale process that is not available to all potential bidders; and</w:t>
      </w:r>
    </w:p>
    <w:p>
      <w:pPr>
        <w:spacing w:after="0" w:line="193" w:lineRule="exact"/>
        <w:rPr>
          <w:sz w:val="20"/>
          <w:szCs w:val="20"/>
          <w:color w:val="auto"/>
        </w:rPr>
      </w:pPr>
    </w:p>
    <w:p>
      <w:pPr>
        <w:ind w:right="360" w:firstLine="991"/>
        <w:spacing w:after="0" w:line="342" w:lineRule="auto"/>
        <w:rPr>
          <w:sz w:val="20"/>
          <w:szCs w:val="20"/>
          <w:color w:val="auto"/>
        </w:rPr>
      </w:pPr>
      <w:r>
        <w:rPr>
          <w:rFonts w:ascii="Arial" w:cs="Arial" w:eastAsia="Arial" w:hAnsi="Arial"/>
          <w:sz w:val="16"/>
          <w:szCs w:val="16"/>
          <w:color w:val="auto"/>
        </w:rPr>
        <w:t>(iii) a list of (A) current information with respect to all accounts receivable owed to the Loan Parties, including all collections, sales, reconciliations and payments in respect thereof, and (B) current information with respect to all accounts payable owed by the Loan Parties.</w:t>
      </w:r>
    </w:p>
    <w:p>
      <w:pPr>
        <w:spacing w:after="0" w:line="12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Notwithstanding anything to the contrary, neither the Borrower nor any Subsidiary will be required to disclose or permit the inspection of any document, information or other matter pursuant to this Section 6.02 (i) that is subject to attorney client or similar privilege or constitutes attorney work product or (ii) in respect of which disclosure to the Administrative Agent or any Lender (or their representative or contractors) is prohibited by law or any binding agreement (to the extent not created in contemplation of such Loan Party’s obligations under this Agreement).</w:t>
      </w:r>
    </w:p>
    <w:p>
      <w:pPr>
        <w:spacing w:after="0" w:line="17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Promptly after the Borrower or any Guarantor has obtained knowledge thereof, notify the Administrative Agent (which shall provide notice to the Lenders):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(a) of the occurrence of any Default or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(b) of any matter that has resulted or could reasonably be expected to result in a Material Adverse Effect;</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(c) of the filing or commencement of, or any written threat or written notice of intention of any person to file or commence any action, suit, litigation or proceeding, whether at law or in equity by or before any Governmental Authority, against the Borrower or any of its Subsidiaries that has a reasonable likelihood of adverse determination and such determination could reasonably be expected to result in a Material Adverse Effect and any material developments in any of the foregoing;</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(d) of any material developments in any material action, suit, litigation or proceeding, whether at law or in equity, commenced by the Borrower or any of its Subsidiaries; and</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(e) of the occurrence of any ERISA Event that, alone or together with any other ERISA Events that have occurred, could reasonably be expected to result in a Material Adverse Effect.</w:t>
      </w:r>
    </w:p>
    <w:p>
      <w:pPr>
        <w:spacing w:after="0" w:line="170" w:lineRule="exact"/>
        <w:rPr>
          <w:sz w:val="20"/>
          <w:szCs w:val="20"/>
          <w:color w:val="auto"/>
        </w:rPr>
      </w:pPr>
    </w:p>
    <w:p>
      <w:pPr>
        <w:ind w:right="440" w:firstLine="440"/>
        <w:spacing w:after="0" w:line="311" w:lineRule="auto"/>
        <w:rPr>
          <w:sz w:val="20"/>
          <w:szCs w:val="20"/>
          <w:color w:val="auto"/>
        </w:rPr>
      </w:pPr>
      <w:r>
        <w:rPr>
          <w:rFonts w:ascii="Arial" w:cs="Arial" w:eastAsia="Arial" w:hAnsi="Arial"/>
          <w:sz w:val="16"/>
          <w:szCs w:val="16"/>
          <w:color w:val="auto"/>
        </w:rPr>
        <w:t xml:space="preserve">(f) Each notice pursuant to this Section shall be accompanied by a written statement of a Responsible Officer of the Borrower (x) that such notice is being delivered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(as applicable) and (y) setting forth details of the occurrence referred to in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as applicable, and stating what action the Borrower has taken and proposes to take with respect thereto.</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0" w:right="459" w:bottom="1440" w:gutter="0" w:footer="0" w:header="0"/>
        </w:sectPr>
      </w:pPr>
    </w:p>
    <w:bookmarkStart w:id="65" w:name="page66"/>
    <w:bookmarkEnd w:id="65"/>
    <w:p>
      <w:pPr>
        <w:ind w:right="1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neither the Borrower nor any Subsidiary will be required to disclose or permit the inspection of any document, information or other matter pursuant to this Section 6.03 (i) that is subject to attorney client or similar privilege or constitutes attorney work product, or (ii) in respect of which disclosure to the Administrative Agent or any Lender (or their representative or contractors) is prohibited by law or any binding agreement (to the extent not created in contemplation of such Loan Party’s obligations under this Agreement).</w:t>
      </w:r>
    </w:p>
    <w:p>
      <w:pPr>
        <w:spacing w:after="0" w:line="17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Payment of Taxes.</w:t>
      </w:r>
      <w:r>
        <w:rPr>
          <w:rFonts w:ascii="Arial" w:cs="Arial" w:eastAsia="Arial" w:hAnsi="Arial"/>
          <w:sz w:val="16"/>
          <w:szCs w:val="16"/>
          <w:color w:val="auto"/>
        </w:rPr>
        <w:t xml:space="preserve"> Promptly pay, discharge or otherwise satisfy as the same shall become due and payable in the normal conduct of its business, all its obligations and liabilities in respect of Taxes imposed upon it or upon its income or profits or in respect of its property, except, to the extent any such Tax is being contested in good faith and by appropriate proceedings for which appropriate reserves have been established in accordance with GAAP if such contest shall have the effect of suspending enforcement or collection of such Taxes or, where the failure to pay, discharge or otherwise satisfy the same would not reasonably be expected to have, individually or in the aggregate, a Material Adverse Effect.</w:t>
      </w:r>
    </w:p>
    <w:p>
      <w:pPr>
        <w:spacing w:after="0" w:line="16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Preservation of Existence, Etc.</w:t>
      </w:r>
      <w:r>
        <w:rPr>
          <w:rFonts w:ascii="Arial" w:cs="Arial" w:eastAsia="Arial" w:hAnsi="Arial"/>
          <w:sz w:val="17"/>
          <w:szCs w:val="17"/>
          <w:color w:val="auto"/>
        </w:rPr>
        <w:t xml:space="preserve"> (a) Preserve, renew and maintain in full force and effect its legal existence under the Laws of the 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(b) obtain, maintain, renew, extend and keep in full force and effect all rights, privileges (including its good standing where applicable in the relevant jurisdiction), permits, licenses and franchises necessary in the normal conduct of its business, except, in the case of clause (a) (other than with respect to the Borrower) or (b), to the extent that failure to do so would not reasonably be expected to have, individually or in the aggregate, a Material Adverse Effect.</w:t>
      </w:r>
    </w:p>
    <w:p>
      <w:pPr>
        <w:spacing w:after="0" w:line="17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xml:space="preserve"> Except if the failure to do so could not reasonably be expected to have, individually or in the aggregate, a Material Adverse Effect, (a) maintain, preserve and protect all of its properties and equipment necessary in the operation of its business in satisfactory working order, repair and condition, ordinary wear and tear excepted and fire, casualty or condemnation excepted, and (b) make all necessary renewals, replacements, modifications, improvements, upgrades, extensions and additions thereof or thereto in accordance with prudent industry practice and in the normal conduct of its business.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Maintenance of Insurance</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Generally</w:t>
      </w:r>
      <w:r>
        <w:rPr>
          <w:rFonts w:ascii="Arial" w:cs="Arial" w:eastAsia="Arial" w:hAnsi="Arial"/>
          <w:sz w:val="18"/>
          <w:szCs w:val="18"/>
          <w:color w:val="auto"/>
        </w:rPr>
        <w:t>. Maintain with financially sound and reputable insurance companies, insurance with respect to its properties and business consistent in all material respects with the insurance maintained by Borrower and/or such Subsidiaries (as applicable) as of the Closing Date, which insurance shall insure against loss or damage of the kinds customarily insured against by Persons engaged in the same or similar business, and which insurance shall be of such types and in such amounts (after giving effect to any self-insurance reasonable and customary for similarly situated Persons engaged in the same or similar businesses as the Borrower and the Subsidiaries) as are customarily carried under similar circumstances by such other Persons in such similar or same locations.</w:t>
      </w:r>
    </w:p>
    <w:p>
      <w:pPr>
        <w:spacing w:after="0" w:line="19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Requirements of Insurance</w:t>
      </w:r>
      <w:r>
        <w:rPr>
          <w:rFonts w:ascii="Arial" w:cs="Arial" w:eastAsia="Arial" w:hAnsi="Arial"/>
          <w:sz w:val="18"/>
          <w:szCs w:val="18"/>
          <w:color w:val="auto"/>
        </w:rPr>
        <w:t xml:space="preserve">. Including as required by the Chapter 11 Orders, (A) use commercially reasonable efforts to cause, not later than 30 days after the Closing Date (or such longer period as the Lenders may agree in writing in their reasonable discretion), all insurance required pursuant to </w:t>
      </w:r>
      <w:r>
        <w:rPr>
          <w:rFonts w:ascii="Arial" w:cs="Arial" w:eastAsia="Arial" w:hAnsi="Arial"/>
          <w:sz w:val="18"/>
          <w:szCs w:val="18"/>
          <w:u w:val="single" w:color="auto"/>
          <w:color w:val="auto"/>
        </w:rPr>
        <w:t>Section 6.07(a)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(x) to provide (and to continue to provide at all times thereafter) that it shall not be canceled, materially modified or not renewed (i) by reason of nonpayment of premium upon not less than 10 days’ prior written notice thereof by the insurer to the Administrative Agent and the Collateral Agent or (ii) for any other reason upon not less than 20 days’ prior written notice thereof by the insurer to the Administrative Agent and the Collateral Agent and (y) to name the Collateral Agent as additional insured on behalf of the Secured Parties (in the case of liability insurance) or loss payee (in the case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66" w:name="page67"/>
    <w:bookmarkEnd w:id="6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insurance), as applicable (and to continue to so name the Collateral Agent at all times thereafter), (B) use commercially reasonable efforts to deliver, not later than 30 days after the Closing Date (or such longer period as the Administrative Agent, with the consent of the Lenders, may agree in writing in its reasonable discretion), a copy of the policy (and to the extent any such policy is cancelled or not renewed, a renewal or replacement policy) or other evidence thereof to the Administrative Agent and the Collateral Agent, or insurance certificate with respect thereto, and (C) in the case of all property insurance policies located in the United States, not later than 30 days after the Closing Date (or such longer period as the Administrative Agent may agree in writing in its reasonable discretion) cause such policies to be endorsed or otherwise amended to include a “standard” or “New York” lender’s loss payable endorsement, in form and substance reasonably satisfactory to the Administrative Agent and the Collateral Agent, which endorsement shall provide that, from and after such date, if the insurance carrier shall have received written notice from the Administrative Agent or the Collateral Agent of the occurrence of an Event of Default, the insurance carrier shall pay all proceeds otherwise payable to the Borrower or the Loan Parties under such policies directly to the Collateral Agent during the continuance of such Event of Default.</w:t>
      </w:r>
    </w:p>
    <w:p>
      <w:pPr>
        <w:spacing w:after="0" w:line="16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Flood Insurance</w:t>
      </w:r>
      <w:r>
        <w:rPr>
          <w:rFonts w:ascii="Arial" w:cs="Arial" w:eastAsia="Arial" w:hAnsi="Arial"/>
          <w:sz w:val="18"/>
          <w:szCs w:val="18"/>
          <w:color w:val="auto"/>
        </w:rPr>
        <w:t>. Following the Closing Date, the Borrower shall deliver to the Collateral Agent and the Lenders annual renewals of the flood insurance policy under the property policy or annual renewals of a force-placed flood insurance policy.</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Environmental Insurance.</w:t>
      </w:r>
      <w:r>
        <w:rPr>
          <w:rFonts w:ascii="Arial" w:cs="Arial" w:eastAsia="Arial" w:hAnsi="Arial"/>
          <w:sz w:val="17"/>
          <w:szCs w:val="17"/>
          <w:color w:val="auto"/>
        </w:rPr>
        <w:t xml:space="preserve"> Maintain with financially sound and reputable insurance companies, a premises pollution liability portfolio insurance and storage tank third-party liability, corrective and clean-up insurance policy with respect to its properties and business for an initial three year policy period commencing on the date hereof and with limits not less than, and with terms and conditions comparable to, the limits, terms and conditions in such policies that are in effect as of the date hereof, and subject to annual renewals after such initial three year policy period, which insurance shall be reasonably satisfactory to the Lenders. The Borrower shall purchase such insurance required under this </w:t>
      </w:r>
      <w:r>
        <w:rPr>
          <w:rFonts w:ascii="Arial" w:cs="Arial" w:eastAsia="Arial" w:hAnsi="Arial"/>
          <w:sz w:val="17"/>
          <w:szCs w:val="17"/>
          <w:u w:val="single" w:color="auto"/>
          <w:color w:val="auto"/>
        </w:rPr>
        <w:t>Section 6.07(d)</w:t>
      </w:r>
      <w:r>
        <w:rPr>
          <w:rFonts w:ascii="Arial" w:cs="Arial" w:eastAsia="Arial" w:hAnsi="Arial"/>
          <w:sz w:val="17"/>
          <w:szCs w:val="17"/>
          <w:color w:val="auto"/>
        </w:rPr>
        <w:t xml:space="preserve"> within 30 days following the Closing Date and provide evidence thereof to the Administrative Agent.</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(e) Notify the Administrative Agent and the Collateral Agent (for distribution to the Lenders) promptly whenever any separate insurance concurrent in form or contributing in the event of material loss with that required to be maintained under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is taken out by the Borrower or another Loan Party; and promptly deliver to the Administrative Agent and the Collateral Agent a duplicate original copy of such policy or policies, or an insurance certificate with respect thereto once available.</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Compliance with Laws.</w:t>
      </w:r>
      <w:r>
        <w:rPr>
          <w:rFonts w:ascii="Arial" w:cs="Arial" w:eastAsia="Arial" w:hAnsi="Arial"/>
          <w:sz w:val="18"/>
          <w:szCs w:val="18"/>
          <w:color w:val="auto"/>
        </w:rPr>
        <w:t xml:space="preserve"> Subject to the terms of the Orders,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Maintain proper books of record and account, in which entries are made that are full, true and correct in all material respects and are in conformity with GAAP (except as noted therein) and which reflect all material financial transactions and matters involving the assets and business of the Borrower or a Subsidiary, as the case may be.</w:t>
      </w:r>
    </w:p>
    <w:p>
      <w:pPr>
        <w:spacing w:after="0" w:line="18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Inspection Rights</w:t>
      </w:r>
      <w:r>
        <w:rPr>
          <w:rFonts w:ascii="Arial" w:cs="Arial" w:eastAsia="Arial" w:hAnsi="Arial"/>
          <w:sz w:val="16"/>
          <w:szCs w:val="16"/>
          <w:color w:val="auto"/>
        </w:rPr>
        <w:t>. Permit representatives and independent contractors of the Administrative Agent or any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subject to bona fide confidentiality obligations, limitations imposed by law and attorney-client privilege and at such reasonable times during normal business hours and as often as may be reasonably desired, upon reasonable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7" w:name="page68"/>
    <w:bookmarkEnd w:id="67"/>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advance notice to the Borrower and at the expense of the Borrower at any time during normal business hours;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entitled to restrict and/or redact information in order to protect the competitive sales process as determined in its good faith judgment;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if any Lender is or becomes a potential bidder, the Loan Parties shall not be required to provide information to such Lender regarding the sale process that is not available to all potential bidders. The Administrative Agent and the Lenders shall give the Borrower the opportunity to participate in any discussions with the Borrower’s independent public accountants.</w:t>
      </w:r>
    </w:p>
    <w:p>
      <w:pPr>
        <w:spacing w:after="0" w:line="188"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Additional Collateral; Additional Guarantors.</w:t>
      </w:r>
      <w:r>
        <w:rPr>
          <w:rFonts w:ascii="Arial" w:cs="Arial" w:eastAsia="Arial" w:hAnsi="Arial"/>
          <w:sz w:val="16"/>
          <w:szCs w:val="16"/>
          <w:color w:val="auto"/>
        </w:rPr>
        <w:t xml:space="preserve"> At the Borrower’s expense, take all reasonable actions which are necessary or reasonably requested by the Administrative Agent or the Collateral Agent to ensure that the Collateral and Guarantee Requirement continues to be satisfied, including: upon any Subsidiary that constitutes an Excluded Subsidiary on the Closing Date ceasing to be an Excluded Subsidiary, within ten</w:t>
      </w:r>
    </w:p>
    <w:p>
      <w:pPr>
        <w:spacing w:after="0" w:line="2" w:lineRule="exact"/>
        <w:rPr>
          <w:sz w:val="20"/>
          <w:szCs w:val="20"/>
          <w:color w:val="auto"/>
        </w:rPr>
      </w:pPr>
    </w:p>
    <w:p>
      <w:pPr>
        <w:ind w:left="4" w:hanging="4"/>
        <w:spacing w:after="0" w:line="288" w:lineRule="auto"/>
        <w:tabs>
          <w:tab w:leader="none" w:pos="3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Business Days thereafter, or such longer period as the administrative Agent, with the consent of the Lenders (in their sole discretion), may agree, causing such Subsidiary to duly execute and deliver to the Administrative Agent or the Collateral Agent (as appropriate) joinders to this Agreement as Guarantors, a counterpart of the Intercompany Note and other security agreements and documents, in each case granting Liens required by the Collateral and Guarantee Requirement, and to take such action (including the filing of UCC or PPSA financing statements, as applicable), in each case, as may be reasonably requested by the Collateral Agent or the Lenders from time to time to maintain the validity, perfection, enforceability and priority of the security interest and Liens of the Collateral Agent in the Collateral, or to enable the Collateral Agent to protect, exercise or enforce its rights hereunder, under the DIP Order and in the Collateral (and, in the case of Canadian Collateral, the Canadian DIP Recognition Order).</w:t>
      </w:r>
    </w:p>
    <w:p>
      <w:pPr>
        <w:spacing w:after="0" w:line="168"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Compliance with Environmental Laws.</w:t>
      </w:r>
      <w:r>
        <w:rPr>
          <w:rFonts w:ascii="Arial" w:cs="Arial" w:eastAsia="Arial" w:hAnsi="Arial"/>
          <w:sz w:val="17"/>
          <w:szCs w:val="17"/>
          <w:color w:val="auto"/>
        </w:rPr>
        <w:t xml:space="preserve"> Subject to the terms of the Chapter 11 Orders, except, in each case, to the extent that the failure to do so could not reasonably be expected to have, individually or in the aggregate, a Material Adverse Effect: (a) comply, and take all reasonable actions to cause all lessees and other Persons operating or occupying its properties to comply, with all applicable Environmental Laws and Environmental Permits; (b) obtain and renew all Environmental Permits necessary for its operations and properties; and, (c) in each case to the extent the Loan Parties or the Subsidiaries are required to do so by Environmental Laws, conduct any investigation, remedial or other corrective action necessary to address Hazardous Materials at any property or facility in accordance with applicable Environmental Laws.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Further Assurances and Post-Closing Conditions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(a) [Reserved].</w:t>
      </w:r>
    </w:p>
    <w:p>
      <w:pPr>
        <w:spacing w:after="0" w:line="225"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(b) Promptly upon reasonable request by the Lenders, Administrative Agent or the Collateral Agent (i) correct any material defect or error that may be discovered in the execution, acknowledgment, filing or recordation of any Collateral Document or other document or instrument relating to any Collateral (including, without limitation, any defect or error related to certificates of title for vehicles and other rolling stock) as to which the Borrower reasonably agrees is a defect or error, (ii) notwithstanding that all of the security interests described herein with respect to the Collateral shall be effective and perfected by the DIP Order (and, in the case of Canadian Collateral, the Canadian DIP Recognition Order) and without the necessity of the execution of mortgages, security agreements, pledge agreements or other agreements, take all action that may be necessary or desirable to maintain the validity, perfection, enforceability and priority of the security interest and Liens of the Collateral Agent in the Collateral, or to enable the Collateral Agent to protect, exercise or enforce its rights hereunder, under the DIP Order and in the Collateral (and, in the case of Canadian Collateral, the Canadian DIP Recognition Order) and (iii) do, execute, acknowledge, deliver, record, re-record, file, re-file, register and re-register any and all such further acts, deeds,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68" w:name="page69"/>
    <w:bookmarkEnd w:id="68"/>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assurances and other instruments as the Lenders, the Administrative Agent or the Collateral Agent may reasonably request from time to time in order to carry out more effectively the purposes of the Loan Documents and to cause the Collateral and Guarantee Requirement to be and remain satisfied.</w:t>
      </w:r>
    </w:p>
    <w:p>
      <w:pPr>
        <w:spacing w:after="0" w:line="184"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(c) At all times engage, at the cost of the Borrower, the Operational Advisor for financial planning and analysis services, including assistance in preparation of cash flow forecasting and budget variance reporting under this Agreement pursuant to an engagement letter in form and substance reasonably satisfactory to the Lenders (it being agreed that the engagement letter in effect on the Closing Date is reasonably satisfactory);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for any reason the Operational Advisor becomes unavailable or unable to perform its duties under this Agreement, the Borrower shall have five</w:t>
      </w:r>
    </w:p>
    <w:p>
      <w:pPr>
        <w:spacing w:after="0" w:line="1" w:lineRule="exact"/>
        <w:rPr>
          <w:sz w:val="20"/>
          <w:szCs w:val="20"/>
          <w:color w:val="auto"/>
        </w:rPr>
      </w:pPr>
    </w:p>
    <w:p>
      <w:pPr>
        <w:ind w:left="4" w:right="240" w:hanging="4"/>
        <w:spacing w:after="0" w:line="260"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days (or such longer timeframe as the Lenders may agree in its sole discretion) to replace the Operational Advisor in accordance with the terms of this Agreement.</w:t>
      </w:r>
    </w:p>
    <w:p>
      <w:pPr>
        <w:spacing w:after="0" w:line="2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Lender Calls; Access; Diligence Requests</w:t>
      </w:r>
      <w:r>
        <w:rPr>
          <w:rFonts w:ascii="Arial" w:cs="Arial" w:eastAsia="Arial" w:hAnsi="Arial"/>
          <w:sz w:val="18"/>
          <w:szCs w:val="18"/>
          <w:color w:val="auto"/>
        </w:rPr>
        <w:t>.</w:t>
      </w:r>
    </w:p>
    <w:p>
      <w:pPr>
        <w:spacing w:after="0" w:line="117" w:lineRule="exact"/>
        <w:rPr>
          <w:sz w:val="20"/>
          <w:szCs w:val="20"/>
          <w:color w:val="auto"/>
        </w:rPr>
      </w:pPr>
    </w:p>
    <w:p>
      <w:pPr>
        <w:ind w:left="4" w:right="180" w:firstLine="440"/>
        <w:spacing w:after="0" w:line="272" w:lineRule="auto"/>
        <w:rPr>
          <w:sz w:val="20"/>
          <w:szCs w:val="20"/>
          <w:color w:val="auto"/>
        </w:rPr>
      </w:pPr>
      <w:r>
        <w:rPr>
          <w:rFonts w:ascii="Arial" w:cs="Arial" w:eastAsia="Arial" w:hAnsi="Arial"/>
          <w:sz w:val="17"/>
          <w:szCs w:val="17"/>
          <w:color w:val="auto"/>
        </w:rPr>
        <w:t>(a) The Borrower shall, and shall cause the other Loan Parties to, make the members of its senior management and its professional advisors (including the Operational Advisor) available for update calls at least once per calendar week (unless the Lenders request a lesser frequency) with the Lenders and the Lenders’ respective professional advisors, at times reasonably acceptable to the Lenders to discuss the Chapter 11 Cases and the Canadian Recognition Proceedings, the then-current Approved Budget, the Budget Variance Reports, the Liquidity Reports, Sale Reports, other reporting delivered hereunder, union matters, the quantum of any obligations secured by the Canadian Priority Charges, the status of any monetization strategies being pursued by the Borrower and its Subsidiaries, including pursuant to the Bidding Procedures Order, and any other matters (including business, operational and due diligence matters) reasonably requested by the Lenders.</w:t>
      </w:r>
    </w:p>
    <w:p>
      <w:pPr>
        <w:spacing w:after="0" w:line="177"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(b) The Borrower shall, and shall cause the other Loan Parties to, make the members of its senior management and its professional advisors (including the Operational Advisor) available from time to time, at reasonable times, and during normal business hours, upon the reasonable request of the Lenders to provide, discuss, inform and/or confer on (i) the matters described in clause (a) above, strategic planning, cash and Liquidity management, operational and restructuring activities and other matters reasonably related thereto and (ii) if reasonably necessary, any reasonable diligence requests, which may include access to books and records (including historical information) and real property assets of the Borrower and its Subsidiaries.</w:t>
      </w:r>
    </w:p>
    <w:p>
      <w:pPr>
        <w:spacing w:after="0" w:line="192"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(c) The Borrower shall, and shall cause the members of its senior management and its professional advisors (including the Operational Advisor) to promptly provide such additional information regarding any of the matters described in clauses (a) and (b) above, and the business, legal, financial or corporate affairs of the Loan Parties or any of their respective Subsidiaries, including the business performance and tax and collateral due diligence of the Borrower and its Subsidiaries, as the Administrative Agent or any Lender may from time to time reasonably request.</w:t>
      </w:r>
    </w:p>
    <w:p>
      <w:pPr>
        <w:spacing w:after="0" w:line="157"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Notwithstanding anything to the contrary, neither the Borrower nor any Subsidiary will be required to disclose any matter pursuant to this Section 6.14 (i) that is subject to attorney client or similar privilege or constitutes attorney work product, or (ii) in respect of which disclosure to the Administrative Agent or any Lender (or their representative or contractors) is prohibited by law or any binding agreement (to the extent not created in contemplation of such Loan Party’s obligations under this Agreement). Additionally, notwithstanding anything to the contrary in this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the Borrower shall be entitled to restrict and/or redact information in order to protect the competitive sales process as determined in its good faith judgment;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if any Lender is or becomes a potential bidder, the Loan Parties shall not be required to provide information to such Lender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process that is not available to all potential bidders.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6.15. </w:t>
      </w:r>
      <w:r>
        <w:rPr>
          <w:rFonts w:ascii="Arial" w:cs="Arial" w:eastAsia="Arial" w:hAnsi="Arial"/>
          <w:sz w:val="18"/>
          <w:szCs w:val="18"/>
          <w:i w:val="1"/>
          <w:iCs w:val="1"/>
          <w:color w:val="auto"/>
        </w:rPr>
        <w:t>Use of Proceeds and Collateral</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(a) The proceeds of the Initial Term Loans and the Delayed Draw Term Loans shall be applied in accordance with the Approved Budget (subject to Permitted Variances). No part of the proceeds of any Loan will be used, whether directly or indirectly in any manner that causes such Loan or the application of such proceeds to violate the Regulations of the Board, including Regulation T, Regulation U and Regulation X, or any other regulation thereof, or to violate the Exchange Act;</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(b) No part of the proceeds of any Loan, the Debtors’ Cash Collateral, the Collateral or the Carve-Out will be used, whether directly or indirectly: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(i) for any purpose that is prohibited under the Bankruptcy Code, the DIP Order or the applicable Canadian Orders and not in accordance with the Approved Budget (subject to Permitted Variances);</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(ii) to finance or reimburse for expenses incurred or to be incurred, in both instances, in any way (A) any adversary action, suit, arbitration, proceeding, application, motion or other litigation of any type adverse to the interests of any or all of the Secured Parties, the B-2 Secured Parties, the Prepetition Secured Parties, or their respective rights and remedies under the Loan Documents, the Postpetition B-2 Loan Documents, the DIP Order, or the Prepetition Facility Documentation; or (B) any other action which with the giving of notice or passing of time would result in an Event of Default hereunder or under the Postpetition B-2 Loan Documents;</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(iii) other than in respect to UST Adequate Protection Payments or Prepetition ABL Secured Parties as set forth in the DIP Order, for the payment of fees, expenses, interest or principal or any other payment with respect to the Prepetition ABL Facility, Prepetition UST Tranche A Credit Agreement or Prepetition UST Tranche B Credit Agreement;</w:t>
      </w:r>
    </w:p>
    <w:p>
      <w:pPr>
        <w:spacing w:after="0" w:line="184"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(iv) other than for payments for director fees included in and permitted by the Approved Budget, subject to the Debtors’ ability to make UST Adequate Protection Payments pursuant to the UST Adequate Protection Order, to make any payment to any board member or shareholder of any Loan Party in their capacity as such; or</w:t>
      </w:r>
    </w:p>
    <w:p>
      <w:pPr>
        <w:spacing w:after="0" w:line="184"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(v) except as permitted by the Approved Budget (subject to Permitted Variances) to make any payment in settlement of any claim, action or proceeding without the prior written consent of the Lenders. For the avoidance of doubt, no accrued vacation payment obligations on account of employees terminated prior to the Petition Date shall be paid until all Prepetition Indebtedness has been indefeasibly paid in full in cash.</w:t>
      </w:r>
    </w:p>
    <w:p>
      <w:pPr>
        <w:spacing w:after="0" w:line="149"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Nothing herein shall in any way prejudice or prevent the Administrative Agent or the Lenders from objecting, for any reason, to any requests, motions, or applications made in the Bankruptcy Court or the Canadian Court, including any application of final allowances of compensation for services rendered or reimbursement of expenses incurred under Sections 105(a), 330 or 331 of the Bankruptcy Code, by any party in interest (and each such order shall preserve the Administrative Agent’s and the Lenders’ right to review and object to any such requests, motions or applications).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i w:val="1"/>
          <w:iCs w:val="1"/>
          <w:color w:val="auto"/>
        </w:rPr>
        <w:t>Chapter 11 Cases and Canadian Recognition Proceedings</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(a) Except where such failure is cured within two (2) Business Days of the earlier of the Borrower having knowledge thereof and any written notice by the Administrative Agent (at the direction of the Lenders), comply in all material respects with each Chapter 11 Order and the orders of the Canadian Court in the Canadian Recognition Proceedings.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0" w:name="page71"/>
    <w:bookmarkEnd w:id="70"/>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(b) Promptly provide to and discuss with the Administrative Agent and each Lender any and all information and developments in connection with (i) any proposed conveyance, sale, assignment, transfer or other disposition of all or any part of the assets of the Loan Parties or their Subsidiaries or (ii) the sale or other disposition or issuance of any Equity Interests of the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entitled to restrict and/or redact commercially sensitive information to protect the competitive sales process as determined in its good faith judgment;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Lender is or becomes a potential bidder, the Loan Parties shall not be required to provide information to such Lender regarding the sale process that is not available to all potential bidders.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(c) [Reserved].</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(d) Timely pay all material obligations arising after the Petition Date in accordance with their terms after giving effect to any applicable grace and cure periods (including all reasonable and documented fees and out of pocket expenses of estate professionals when due in accordance with the interim compensation procedures approved in the Chapter 11 Cases) and timely pay and discharge promptly all material taxes, assessments and governmental charges or levies imposed upon any Loan Party or upon its income or profits or in respect of its property arising after the Petition Date, as well as all material lawful claims for labor, materials and supplies or otherwise arising after the Petition Date which, if unpaid, would become a Lien or charge upon such properties or any part thereof, before the same shall become in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and each of its Subsidiaries shall not be required to pay and discharge or to cause to be paid and discharged any such obligation, tax, assessment, charge, levy or claim so long as (i) the validity or amount thereof shall be contested in good faith by appropriate proceedings (if the Borrower or its Subsidiaries shall have set aside on their books adequate reserves therefor) or (ii) non-payment and discharge thereof is permitted or required under the Bankruptcy Code, the CCAA, or order of the Bankruptcy Court or order of the Canadian Court.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103" w:lineRule="exact"/>
        <w:rPr>
          <w:sz w:val="20"/>
          <w:szCs w:val="20"/>
          <w:color w:val="auto"/>
        </w:rPr>
      </w:pPr>
    </w:p>
    <w:p>
      <w:pPr>
        <w:ind w:right="720" w:firstLine="440"/>
        <w:spacing w:after="0" w:line="342" w:lineRule="auto"/>
        <w:rPr>
          <w:sz w:val="20"/>
          <w:szCs w:val="20"/>
          <w:color w:val="auto"/>
        </w:rPr>
      </w:pPr>
      <w:r>
        <w:rPr>
          <w:rFonts w:ascii="Arial" w:cs="Arial" w:eastAsia="Arial" w:hAnsi="Arial"/>
          <w:sz w:val="16"/>
          <w:szCs w:val="16"/>
          <w:color w:val="auto"/>
        </w:rPr>
        <w:t>So long as any Lender shall have any Commitment hereunder or any Loan or other Obligation (other than contingent indemnification or reimbursement obligations) hereunder which is accrued or payable shall remain unpaid or unsatisfied, then from and after the Closing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Liens.</w:t>
      </w:r>
      <w:r>
        <w:rPr>
          <w:rFonts w:ascii="Arial" w:cs="Arial" w:eastAsia="Arial" w:hAnsi="Arial"/>
          <w:sz w:val="16"/>
          <w:szCs w:val="16"/>
          <w:color w:val="auto"/>
        </w:rPr>
        <w:t xml:space="preserve"> The Borrower shall not, nor shall it permit any Subsidiary to, directly or indirectly, create, incur, assume or suffer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Lien upon any of its property, assets or revenues, whether now owned or hereafter acquired, other than the following:</w:t>
      </w:r>
    </w:p>
    <w:p>
      <w:pPr>
        <w:spacing w:after="0" w:line="10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(a) Liens (i) created pursuant to any Loan Document, (ii) securing any Prepetition Indebtedness and (iii) subject to the terms and conditions of the DIP Order and the applicable Canadian Orders, securing any Postpetition B-2 Indebtedness;</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(b) Liens existing immediately prior to the Petition Date and listed on </w:t>
      </w:r>
      <w:r>
        <w:rPr>
          <w:rFonts w:ascii="Arial" w:cs="Arial" w:eastAsia="Arial" w:hAnsi="Arial"/>
          <w:sz w:val="17"/>
          <w:szCs w:val="17"/>
          <w:u w:val="single" w:color="auto"/>
          <w:color w:val="auto"/>
        </w:rPr>
        <w:t>Schedule 7.01(b)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Lien does not extend to any additional property other than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Subsidiary and the proceeds and the products thereof and customary security deposits in respect thereof and in the case of multiple financings of equipment provided by any lender, other equipment financed by such lender);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440" w:top="274" w:right="499" w:bottom="1440" w:gutter="0" w:footer="0" w:header="0"/>
        </w:sectPr>
      </w:pPr>
    </w:p>
    <w:bookmarkStart w:id="71" w:name="page72"/>
    <w:bookmarkEnd w:id="71"/>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(c) Liens for unpaid utilities, taxes, assessments or governmental charges that are (i) not overdue for a period of more than thirty (30) days and are not otherwise delinquent, securing obligations in an amount not to exceed $500,000, or that are being contested in good faith and by appropriate actions, if adequate reserves with respect thereto are maintained on the books of the applicable Person in accordance with GAAP or (ii) otherwise not required to be paid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(d) statutory, lease or common law Liens of landlords, sublandlords, carriers, warehousemen, mechanics, materialmen, repairmen, construction contractors or other like Liens, or other customary Liens (other than in respect of Indebtedness) in favor of landlords, in each case arising in the ordinary course of business that secure amounts not overdue for a period of more than thirty (30) days or if more than thirty (30) days overdue, that either secure obligations in an amount not to exceed $100,000, are being contested in good faith and by appropriate actions, if adequate reserves with respect thereto are maintained on the books of the applicable Person in accordance with GAAP or stayed by the Chapter 11 Cases or the Canadian Recognition Proceedings;</w:t>
      </w:r>
    </w:p>
    <w:p>
      <w:pPr>
        <w:spacing w:after="0" w:line="192"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(e) (i) Liens in the ordinary course of business in connection with workers’ compensation, unemployment insurance and other social security legislation and (ii) Liens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7.01(e)</w:t>
      </w:r>
      <w:r>
        <w:rPr>
          <w:rFonts w:ascii="Arial" w:cs="Arial" w:eastAsia="Arial" w:hAnsi="Arial"/>
          <w:sz w:val="17"/>
          <w:szCs w:val="17"/>
          <w:color w:val="auto"/>
        </w:rPr>
        <w:t xml:space="preserve"> shall not permit liens securing letters of credit;</w:t>
      </w:r>
    </w:p>
    <w:p>
      <w:pPr>
        <w:spacing w:after="0" w:line="17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(f) Liens to secure the performance of bids, trade contracts, governmental contracts and leases (in the case of each of the foregoing, other than for Indebtedness for borrowed money), statutory obligations, surety, stay, customs and appeal bonds, performance bonds and other obligations of a like nature (including those to secure health, safety and environmental obligations), in each case incurred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permit liens securing letters of credit;</w:t>
      </w:r>
    </w:p>
    <w:p>
      <w:pPr>
        <w:spacing w:after="0" w:line="18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(g) (i) easements, rights-of-way, restrictions (including zoning restrictions and other land use regulations), encroachments, protrusions, reservations and other similar encumbrances and minor title defects affecting Real Property that do not in the aggregate materially interfere with the ordinary conduct of the business of the Borrower and the Subsidiaries, taken as a whole and (ii) ground leases in respect of Real Property on which facilities owned or leased by the Borrower or any of the Subsidiaries are located;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the case of this clause (ii) that such ground leases do not confer rights on the counter-party(ies) thereto superior to those of the Collateral Agent in the relevant property;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(h) Liens securing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(i) leases, licenses, subleases or sublicenses granted to others in the ordinary course of business which do not (i) interfere in any material respect with the business of the Borrower and the Subsidiaries, taken as a whole, or (ii) secure any Indebtedness</w:t>
      </w:r>
      <w:r>
        <w:rPr>
          <w:rFonts w:ascii="Arial" w:cs="Arial" w:eastAsia="Arial" w:hAnsi="Arial"/>
          <w:sz w:val="18"/>
          <w:szCs w:val="18"/>
          <w:i w:val="1"/>
          <w:iCs w:val="1"/>
          <w:color w:val="auto"/>
        </w:rPr>
        <w:t>;</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(j) Liens (i) in favor of customs and revenue authorities arising as a matter of Law to secure payment of customs duties in connection with the importation of goods in the ordinary course of business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72" w:name="page73"/>
    <w:bookmarkEnd w:id="72"/>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(k) Liens (i) of a collection bank arising under Section 4-210 of the Uniform Commercial Code on items in the course of collection and</w:t>
      </w:r>
    </w:p>
    <w:p>
      <w:pPr>
        <w:spacing w:after="0" w:line="35" w:lineRule="exact"/>
        <w:rPr>
          <w:sz w:val="20"/>
          <w:szCs w:val="20"/>
          <w:color w:val="auto"/>
        </w:rPr>
      </w:pPr>
    </w:p>
    <w:p>
      <w:pPr>
        <w:jc w:val="both"/>
        <w:ind w:left="4" w:right="140" w:hanging="4"/>
        <w:spacing w:after="0" w:line="302" w:lineRule="auto"/>
        <w:tabs>
          <w:tab w:leader="none" w:pos="2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arising in the ordinary course of business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the general terms and conditions of such banking institutions;</w:t>
      </w:r>
    </w:p>
    <w:p>
      <w:pPr>
        <w:spacing w:after="0" w:line="155"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 xml:space="preserve">(l) Liens consisting of an agreement to Dispose of any property in a Disposition permitted under </w:t>
      </w:r>
      <w:r>
        <w:rPr>
          <w:rFonts w:ascii="Arial" w:cs="Arial" w:eastAsia="Arial" w:hAnsi="Arial"/>
          <w:sz w:val="17"/>
          <w:szCs w:val="17"/>
          <w:u w:val="single" w:color="auto"/>
          <w:color w:val="auto"/>
        </w:rPr>
        <w:t>Section 7.05</w:t>
      </w:r>
      <w:r>
        <w:rPr>
          <w:rFonts w:ascii="Arial" w:cs="Arial" w:eastAsia="Arial" w:hAnsi="Arial"/>
          <w:sz w:val="17"/>
          <w:szCs w:val="17"/>
          <w:color w:val="auto"/>
        </w:rPr>
        <w:t>, in each case, solely to the extent such Investment or Disposition, as the case may be, would have been permitted on the date of the creation of such Lien;</w:t>
      </w:r>
    </w:p>
    <w:p>
      <w:pPr>
        <w:spacing w:after="0" w:line="146"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(m) Liens (i) in favor of the Borrower or a Subsidiary on assets of a Subsidiary that is not a Loan Party securing Indebtedness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(ii) in favor of the Borrower or any Guarantor;</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(n) any interest or title (and all encumbrances and other matters affecting such interest or title) of a lessor, sublessor, licensor or sublicensor under leases, subleases, licenses or sublicenses entered into by the Borrower or any of the Subsidiaries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that no such lease or sublease shall constitute a Capitalized Lease;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(o) junior Liens relating to any Multiemployer Plan or Pension Plan;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(q) [reserved];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(t) [reserved];</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(u) Liens on insurance policies and the proceeds thereof securing the financing of the premiums with respect thereto in the ordinary course of business;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(v) [reserved];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(x) [reserved];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(z) [reserved];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(aa) [reserved];</w:t>
      </w:r>
    </w:p>
    <w:p>
      <w:pPr>
        <w:spacing w:after="0" w:line="225" w:lineRule="exact"/>
        <w:rPr>
          <w:sz w:val="20"/>
          <w:szCs w:val="20"/>
          <w:color w:val="auto"/>
        </w:rPr>
      </w:pPr>
    </w:p>
    <w:p>
      <w:pPr>
        <w:jc w:val="center"/>
        <w:ind w:right="76"/>
        <w:spacing w:after="0" w:line="449" w:lineRule="auto"/>
        <w:rPr>
          <w:sz w:val="20"/>
          <w:szCs w:val="20"/>
          <w:color w:val="auto"/>
        </w:rPr>
      </w:pPr>
      <w:r>
        <w:rPr>
          <w:rFonts w:ascii="Arial" w:cs="Arial" w:eastAsia="Arial" w:hAnsi="Arial"/>
          <w:sz w:val="18"/>
          <w:szCs w:val="18"/>
          <w:color w:val="auto"/>
        </w:rPr>
        <w:t>(bb) Liens expressly permitted to be granted pursuant to (i) the First Day Orders or Second Day Orders or (ii) pursuant to the DIP Order; 63</w:t>
      </w:r>
    </w:p>
    <w:p>
      <w:pPr>
        <w:sectPr>
          <w:pgSz w:w="11900" w:h="16838" w:orient="portrait"/>
          <w:cols w:equalWidth="0" w:num="1">
            <w:col w:w="10944"/>
          </w:cols>
          <w:pgMar w:left="436" w:top="274" w:right="51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(cc) utility and similar deposits in the ordinary course of business; and</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(dd) other Liens with respect to property or assets securing obligations other than for borrowed money of the Borrower or any Subsidiary in an aggregate principal amount not to exceed, together with all Investments made pursuant to Section 7.02(p) and Indebtedness incurred pursuant to Section 7.03(cc), $350,000 in the aggregate during the term of this Agreement;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(ee) the CCAA Charges.</w:t>
      </w:r>
    </w:p>
    <w:p>
      <w:pPr>
        <w:spacing w:after="0" w:line="333"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The Borrower shall not, nor shall it permit any Subsidiary to, directly or indirectly, make or hold any Investments, except:</w:t>
      </w:r>
    </w:p>
    <w:p>
      <w:pPr>
        <w:spacing w:after="0" w:line="62"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(a) Investments by the Borrower or any of the Subsidiaries in cash or Cash Equivalents in accordance with the Approved Budget (subject to Permitted Variances);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(b) [reserved];</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(c) Investments (i) by and among Loan Parties and (ii) by any Loan Party in a Subsidiary that is not a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Investments under this clause (ii) shall not exceed $350,000 during the term of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(d) Investments consisting of extensions of credit in the nature of accounts receivable or notes receivable arising from the grant of trade credit or other credits to suppliers in the ordinary course of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(e) Investments existing on the Petition Date and set forth on </w:t>
      </w:r>
      <w:r>
        <w:rPr>
          <w:rFonts w:ascii="Arial" w:cs="Arial" w:eastAsia="Arial" w:hAnsi="Arial"/>
          <w:sz w:val="18"/>
          <w:szCs w:val="18"/>
          <w:u w:val="single" w:color="auto"/>
          <w:color w:val="auto"/>
        </w:rPr>
        <w:t>Schedule 7.02(e)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(f) Investments in Swap Contracts as in effect immediately prior to the Petition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(h) [reserved];</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(i) Investments in the ordinary course of business consisting of UCC Article 3 endorsements for collection or deposit and UCC Article 4 customary trade arrangements with customers consistent with past practices;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(j) Investments (including debt obligations and Equity Interests) received in connection with the bankruptcy or reorganization of suppliers and customers or in settlement of delinquent obligations of, or other disputes with, customers and suppliers;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(k) advances of payroll payments to employees (other than senior management) in the ordinary course of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(n) [reserved];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4" w:name="page75"/>
    <w:bookmarkEnd w:id="74"/>
    <w:p>
      <w:pPr>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(o) Guarantees by the Borrower or any Subsidiary of operating leases (other than Capitalized Leases) or of other obligations that do not constitute Indebtedness, in each case, which leases or other obligations are entered into by the Borrower or any Guarantor in the ordinary course of business;</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(p) other Investments in an aggregate amount not to exceed, together with all Liens incurred pursuant to Section 7.01(dd) and Indebtedness incurred pursuant to Section 7.03(cc), $350,000 in the aggregate during the term of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(q) make lease, utility and other similar deposits or any other advance or deposit permitted by this Agreement, in the ordinary course of business and in accordance with the Approved Budget (subject to Permitted Variances);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(s) Investments in Deposit Accounts or Securities Accounts opened in the ordinary course of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(u) [reserved]; and</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(v) Investments consisting of or resulting from (i) Indebtedness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(ii)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(iii) Restricted Payments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(iv) Dispositions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(v) fundamental changes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(w) Investments expressly permitted to be made pursuant to (i) the First Day Orders or Second Day Orders, or (ii) the DIP Order.</w:t>
      </w:r>
    </w:p>
    <w:p>
      <w:pPr>
        <w:spacing w:after="0" w:line="33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The Borrower shall not, nor shall it permit any Subsidiary to, directly or indirectly, create, incur, assume or suffer to exist any Indebtedness, except the following:</w:t>
      </w:r>
    </w:p>
    <w:p>
      <w:pPr>
        <w:spacing w:after="0" w:line="6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(a) Indebtedness of any Loan Party under (i) the Loan Documents and (ii) subject to the terms and conditions of the DIP Order, the Postpetition B-2 Loan Documents;</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 xml:space="preserve">(b) (i) Indebtedness existing immediately prior to the Petition Date and listed on </w:t>
      </w:r>
      <w:r>
        <w:rPr>
          <w:rFonts w:ascii="Arial" w:cs="Arial" w:eastAsia="Arial" w:hAnsi="Arial"/>
          <w:sz w:val="18"/>
          <w:szCs w:val="18"/>
          <w:u w:val="single" w:color="auto"/>
          <w:color w:val="auto"/>
        </w:rPr>
        <w:t>Schedule 7.03(b)</w:t>
      </w:r>
      <w:r>
        <w:rPr>
          <w:rFonts w:ascii="Arial" w:cs="Arial" w:eastAsia="Arial" w:hAnsi="Arial"/>
          <w:sz w:val="18"/>
          <w:szCs w:val="18"/>
          <w:color w:val="auto"/>
        </w:rPr>
        <w:t xml:space="preserve"> and (ii) intercompany Indebtedness outstanding on the Petition Date;</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(c) Prepetition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the Borrower shall not redraw or reborrow any amounts under the Prepetition ABL Facility after the Petition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(e) [reserved];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(f) Indebtedness in respect of Swap Contracts that were designed to hedge against the Borrower’s or any Subsidiary’s exposure to interest rates, foreign exchange rates or commodities (including fuel) pricing risks incurred not for speculative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(g) [reserved];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274" w:right="499" w:bottom="1440" w:gutter="0" w:footer="0" w:header="0"/>
        </w:sectPr>
      </w:pPr>
    </w:p>
    <w:bookmarkStart w:id="75" w:name="page76"/>
    <w:bookmarkEnd w:id="75"/>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(h) Indebtedness representing deferred compensation to employees of the Borrower or any of its Subsidiaries incurred in the ordinary course of business and other obligations and liabilities arising under employee benefit plans in the ordinary course of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(j) [reserved];</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(k) Indebtedness in respect of treasury, depository, credit card, debit card and cash management services or automated clearinghouse transfer of funds, overdraft or any similar services incurred in the ordinary course of business and in accordance with the DIP Order or any cash management order filed in connection with the Chapter 11 Cases and acceptable to the Lenders;</w:t>
      </w:r>
    </w:p>
    <w:p>
      <w:pPr>
        <w:spacing w:after="0" w:line="184"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(l) Indebtedness consisting of the financing of insurance premiums or take-or-pay obligations contained in supply arrangements that do not constitute Guarantees, in each case, in the ordinary course of business and in accordance with the DIP Order and the Approved Budget (subject to Permitted Variances);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(m) [reserved];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(n) indebtedness of the Borrower or any of its Subsidiaries to the extent outstanding immediately prior to the Petition Date in respect of letters of credit, bank guarantees, bankers’ acceptances or similar instruments issued or created in the ordinary course of business and not in connection with the borrowing of money, including in respect of workers compensation claims, health, disability or other employee benefits or property, casualty or liability insurance or self-insurance or other Indebtedness incurred in the ordinary course of business with respect to reimbursement-type obligations regarding workers compensation claims;</w:t>
      </w:r>
    </w:p>
    <w:p>
      <w:pPr>
        <w:spacing w:after="0" w:line="18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(o) obligations in respect of performance, bid, appeal and surety bonds and performance and completion guarantees and similar obligations provided by the Borrower or any of its Subsidiaries or obligations in respect of letters of credit, bank guarantees or similar instruments related thereto, in each case in the ordinary course of business or consistent with past practice, not in connection with the borrowing of money or Swap Contracts and as in effect immediately prior to the Petition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(s) [reserved];</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(t) all premiums (if any), interest (including post-petition interest and interest paid in kind), fees, expenses, charges and additional or contingent interest on obligations described in the other clauses under this Section 7.03;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(w) [reserved];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6" w:name="page77"/>
    <w:bookmarkEnd w:id="76"/>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(x) Indebtedness in respect of taxes, assessments or governmental charges to the extent that payment thereof shall not at the time be required to be made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(z) [reserved];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(aa) [reserved];</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(bb) Indebtedness expressly permitted to be incurred pursuant to (i) the First Day Orders or Second Day Orders, (ii) the Approved Budget (subject to Permitted Variances) or (iii) pursuant to the DIP Order;</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(cc) other Indebtedness (other than for borrowed money) of the Borrower or any of its Subsidiaries, in an aggregate principal amount not to exceed, together with all Liens incurred pursuant to Section 7.01(dd) and Investments made pursuant to Section 7.02(p), $350,000 in the aggregate during the term of this Agreement; and</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(dd) Indebtedness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124"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Without limiting the foregoing, in no event shall any Loan Party incur any additional Indebtedness, other than the Carve-Out and the Canadian Priority Charges, that (x) ranks pari passu with or senior to the Loans (except for the Postpetition B-2 Obligations) or (y) benefits from a first priority Lien under Section 364 of the Bankruptcy Code or any other Debtor Relief Law (except for the Postpetition B-2 Obligations).</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Fundamental Changes.</w:t>
      </w:r>
      <w:r>
        <w:rPr>
          <w:rFonts w:ascii="Arial" w:cs="Arial" w:eastAsia="Arial" w:hAnsi="Arial"/>
          <w:sz w:val="18"/>
          <w:szCs w:val="18"/>
          <w:color w:val="auto"/>
        </w:rPr>
        <w:t xml:space="preserve"> The Borrower shall not, nor shall it permit any Subsidiary to, directly or indirectly, merge, dissolve, liquidate, consolidate with or into another Person, or Dispose of (whether in one transaction or in a series of related transactions) all or substantially all of its assets (whether now owned or hereafter acquired) to or in favor of any Person, except (i) with the prior written consent of the Lenders (ii) as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(iii) pursuant to (A) the First Day Orders or Second Day Orders, (B) the Bidding Procedures Order, (C) the DIP Order or (D) the applicable Canadian Orders.</w:t>
      </w:r>
    </w:p>
    <w:p>
      <w:pPr>
        <w:spacing w:after="0" w:line="29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Dispositions.</w:t>
      </w:r>
      <w:r>
        <w:rPr>
          <w:rFonts w:ascii="Arial" w:cs="Arial" w:eastAsia="Arial" w:hAnsi="Arial"/>
          <w:sz w:val="18"/>
          <w:szCs w:val="18"/>
          <w:color w:val="auto"/>
        </w:rPr>
        <w:t xml:space="preserve"> The Borrower shall not, nor shall it permit any Subsidiary to, directly or indirectly, make any Disposition (including, without limitation, abandoning any assets), except: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(a) Dispositions of cash and Cash Equivalents in accordance with the Approved Budget (subject to Permitted Variances);</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(b) Dispositions of property to the extent (i) such Disposition is for no less than the fair market value of such property, (ii) except pursuant to a credit bid by the B-2 Lenders (or the B-2 Agent on behalf of the B-2 Lenders), 100% of the proceeds thereof are in the form of cash or Cash Equivalents, (iii) [reserved] and (iv) such Disposition is in accordance with the Bidding Procedures Order;</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(c) Dispositions of property to and among Loan Parties or from a non-Loan Party to a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transfer of any property by the Borrower or any Domestic Subsidiary of the Borrower to a Foreign Subsidiary of the Borrower after the Petition Date shall require the prior written consent of the Lenders;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00"/>
          </w:cols>
          <w:pgMar w:left="440" w:top="274" w:right="559" w:bottom="1440" w:gutter="0" w:footer="0" w:header="0"/>
        </w:sectPr>
      </w:pPr>
    </w:p>
    <w:bookmarkStart w:id="77" w:name="page78"/>
    <w:bookmarkEnd w:id="77"/>
    <w:p>
      <w:pPr>
        <w:ind w:left="4"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(d) Dispositions (including write-offs, discounts, and compromises) or discounts without recourse of accounts receivable and related assets in connection with the compromise or collection thereof in the ordinary course of business;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(e) the unwinding of any Swap Contract or cash management agreement, in each case, in effect on the Petition Date;</w:t>
      </w:r>
    </w:p>
    <w:p>
      <w:pPr>
        <w:spacing w:after="0" w:line="225"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(f) the Disposition of any account receivable in connection with the collection or compromise thereof in the ordinary course of business and consistent with past practice;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(g) the incurrence of Liens or making of Investments permitted 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(h) transfers of property subject to Casualty Events upon the receipt (where practical) of the Net Proceeds of such Casualty Event;</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(i) Dispositions (including the abandonment thereof) of immaterial assets (i) in an aggregate amount not exceeding $250,000 during the term or (ii) subject to Chapter 11 Orders satisfactory to the Lenders; and</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(j) Dispositions (i) made in connection with the First Day Orders or Second Day Orders, (ii) made in connection with the DIP Order or the Bidding Procedures Order, (iii) made in connection with the applicable Canadian Orders, or (iv) consented to by the Lenders and, to the extent involving B-2 Priority Collateral, the B-2 Lenders.</w:t>
      </w:r>
    </w:p>
    <w:p>
      <w:pPr>
        <w:spacing w:after="0" w:line="18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Restricted Payments.</w:t>
      </w:r>
      <w:r>
        <w:rPr>
          <w:rFonts w:ascii="Arial" w:cs="Arial" w:eastAsia="Arial" w:hAnsi="Arial"/>
          <w:sz w:val="18"/>
          <w:szCs w:val="18"/>
          <w:color w:val="auto"/>
        </w:rPr>
        <w:t xml:space="preserve"> The Borrower shall not, nor shall it permit any Subsidiary to, directly or indirectly, declare or make, directly or indirectly, any Restricted Payment, except (a) each Subsidiary may make Restricted Payments to (i) the Borrower or any other Domestic Subsidiary or Canadian Subsidiary and (ii) any other Subsidiary (and, in the case of a Restricted Payment by a non-wholly owned Subsidiary, to the Borrower and any other Subsidiary and to each other owner of Equity Interests of such Subsidiary based on their relative ownership interests of the relevant class of Equity Interests), in the case of this clause (ii), solely if required to comply with this Agreement and (b) payments of directors fees included and as permitted by the Approved Budget (subject to Permitted Variances), in each case other than UST Adequate Protection Payments pursuant to the UST Adequate Protection Order.</w:t>
      </w:r>
    </w:p>
    <w:p>
      <w:pPr>
        <w:spacing w:after="0" w:line="195"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Organization Documents</w:t>
      </w:r>
      <w:r>
        <w:rPr>
          <w:rFonts w:ascii="Arial" w:cs="Arial" w:eastAsia="Arial" w:hAnsi="Arial"/>
          <w:sz w:val="18"/>
          <w:szCs w:val="18"/>
          <w:color w:val="auto"/>
        </w:rPr>
        <w:t>. Except as required by the Bankruptcy Code, the Borrower shall not, nor shall the Borrower permit any of the Subsidiaries to, amend, restate, supplement or otherwise modify, or waive any of its rights under, its Organization Documents to the extent adverse in any material respect to the Lenders (in their capacities as such).</w:t>
      </w:r>
    </w:p>
    <w:p>
      <w:pPr>
        <w:spacing w:after="0" w:line="184"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i w:val="1"/>
          <w:iCs w:val="1"/>
          <w:color w:val="auto"/>
        </w:rPr>
        <w:t>Transactions with Affiliates.</w:t>
      </w:r>
      <w:r>
        <w:rPr>
          <w:rFonts w:ascii="Arial" w:cs="Arial" w:eastAsia="Arial" w:hAnsi="Arial"/>
          <w:sz w:val="16"/>
          <w:szCs w:val="16"/>
          <w:color w:val="auto"/>
        </w:rPr>
        <w:t xml:space="preserve"> The Borrower shall not, nor shall it permit any Subsidiary to, directly or indirectly, enter into any transaction of any kind with any of its Affiliates, whether or not in the ordinary course of business, other than (a) transactions between or among Loan Parties or any entity that becomes a Loan Party as a result of such transaction and transactions between or among Subsidiaries that are not Loan Parties,</w:t>
      </w:r>
    </w:p>
    <w:p>
      <w:pPr>
        <w:spacing w:after="0" w:line="2" w:lineRule="exact"/>
        <w:rPr>
          <w:sz w:val="20"/>
          <w:szCs w:val="20"/>
          <w:color w:val="auto"/>
        </w:rPr>
      </w:pPr>
    </w:p>
    <w:p>
      <w:pPr>
        <w:ind w:left="4" w:right="60" w:hanging="4"/>
        <w:spacing w:after="0" w:line="252"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pursuant to the Approved Budget (subject to Permitted Variances), (i) Investments made pursuant to Section 7.02 and Restricted Payments permitted under Section 7.06, (ii) customary employment, consulting and severance arrangements between the Borrower and the Subsidiaries and their respective officers and employees in the ordinary course of business and transactions pursuant employee benefit plans and similar arrangements in the ordinary course of business to the extent permitted under the DIP Order, (iii) the payment of customary fees and reasonable out of pocket costs to, and customary indemnities provided on behalf of, directors, officers, employees and consultants of the Borrower and the Subsidiaries in the ordinary course of business, (iv) transactions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78" w:name="page79"/>
    <w:bookmarkEnd w:id="78"/>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agreements in existence on the Closing Date and set forth on Schedule 7.08, (v) transactions made in connection with the First Day Orders or Second Day Orders, (vi) pursuant to the Approved Budget (subject to Permitted Variances), and (vii) transactions made pursuant to the DIP Order or otherwise permitted hereunder and under the Postpetition B-2 Loan Documents.</w:t>
      </w:r>
    </w:p>
    <w:p>
      <w:pPr>
        <w:spacing w:after="0" w:line="184"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Burdensome Agreements.</w:t>
      </w:r>
      <w:r>
        <w:rPr>
          <w:rFonts w:ascii="Arial" w:cs="Arial" w:eastAsia="Arial" w:hAnsi="Arial"/>
          <w:sz w:val="17"/>
          <w:szCs w:val="17"/>
          <w:color w:val="auto"/>
        </w:rPr>
        <w:t xml:space="preserve"> The Borrower shall not, nor shall it permit any Subsidiary to, directly or indirectly, enter into or permit to exist any Contractual Obligation after the Closing Date (other than the Loan Documents, the Postpetition B-2 Loan Documents, pursuant to the Prepetition Indebtedness, or agreements entered into as permitted by the First Day Orders or Second Day Orders, the DIP Order or the Bidding Procedures Order, in each case, to the extent such orders are acceptable to the Lenders) that limits the ability of (a) any Subsidiary that is not a Guarantor to make Restricted Payments to the Borrower or any Guarantor or to make or repay loans or advances to or otherwise transfer assets to or make Investments in the Borrower or any Subsidiary that is a Guarantor or (b) any Loan Party to create, incur, assume or suffer to exist Liens on property of such Person to secure the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clauses (a) and (b) shall not apply to Contractual Obligations which exist on the Petition Date and are listed on Schedule 7.09 hereto.</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Budget Variance Covenants</w:t>
      </w:r>
      <w:r>
        <w:rPr>
          <w:rFonts w:ascii="Arial" w:cs="Arial" w:eastAsia="Arial" w:hAnsi="Arial"/>
          <w:sz w:val="16"/>
          <w:szCs w:val="16"/>
          <w:color w:val="auto"/>
        </w:rPr>
        <w:t>. Commencing with the Budget Variance Test Date occurring on Friday, August 25, 2023, and on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Budget Variance Test Date occurring thereafter, the Borrower shall not, nor shall it permit any of its Subsidiaries to, permit:</w:t>
      </w:r>
    </w:p>
    <w:p>
      <w:pPr>
        <w:spacing w:after="0" w:line="211" w:lineRule="exact"/>
        <w:rPr>
          <w:sz w:val="20"/>
          <w:szCs w:val="20"/>
          <w:color w:val="auto"/>
        </w:rPr>
      </w:pPr>
    </w:p>
    <w:p>
      <w:pPr>
        <w:jc w:val="both"/>
        <w:ind w:right="320" w:firstLine="440"/>
        <w:spacing w:after="0" w:line="286" w:lineRule="auto"/>
        <w:rPr>
          <w:sz w:val="20"/>
          <w:szCs w:val="20"/>
          <w:color w:val="auto"/>
        </w:rPr>
      </w:pPr>
      <w:r>
        <w:rPr>
          <w:rFonts w:ascii="Arial" w:cs="Arial" w:eastAsia="Arial" w:hAnsi="Arial"/>
          <w:sz w:val="17"/>
          <w:szCs w:val="17"/>
          <w:color w:val="auto"/>
        </w:rPr>
        <w:t>(a) the sum of the actual aggregate cash receipts of the Borrower and its Subsidiaries (excluding proceeds of the Term Loans) for the Budget Variance Test Period ending immediately prior to such Budget Variance Test Date to be less than the Permitted Variance Percentage of the aggregate amount set forth for the line item in the Approved Budget entitled “Total Receipts” for such Budget Variance Test Period; or</w:t>
      </w:r>
    </w:p>
    <w:p>
      <w:pPr>
        <w:spacing w:after="0" w:line="16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(b) the sum of the actual aggregate operating disbursements of the Borrower and its Subsidiaries for the Budget Variance Test Period ending immediately prior to such Budget Variance Test Date to be greater than Permitted Variance Percentage of the aggregate amount set forth for the line item in the Approved Budget entitled “Total Operating Disbursements” for such Budget Variance Test Period; or</w:t>
      </w:r>
    </w:p>
    <w:p>
      <w:pPr>
        <w:spacing w:after="0" w:line="165"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(c) the sum of the actual aggregate amounts paid by the Borrower and its Subsidiaries with respect to severance and accrued pre-petition wages for the Budget Variance Test Period ending immediately prior to such Budget Variance Test Date to be greater than Permitted Variance Percentage of the aggregate amount set forth for the line items in the Approved Budget entitled “Severance” and “Accrued Pre-Petition Wages” for such Budget Variance Test Period; or</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(d) the sum of the actual aggregate disbursements of the Borrower and its Subsidiaries with respect to lienholders and on account of taxes and other restructuring costs for the Budget Variance Test Period ending immediately prior to such Budget Variance Test Date to be greater than Permitted Variance Percentage of the aggregate amount set forth for the line item in the Approved Budget entitled “Prepetition Vendors &amp; Taxes” for such Budget Variance Test Period.</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To the extent that any Budget Variance Test Period encompasses a period that is covered in more than one Approved Budget, the applicable weeks from each applicable Approved Budget shall be utilized in making the calculations pursuant to this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9" w:name="page80"/>
    <w:bookmarkEnd w:id="79"/>
    <w:p>
      <w:pPr>
        <w:ind w:left="4"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7.12. </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The Borrower shall not make any change in its fiscal year or fiscal quarters (it being understood that the Borrower’s fiscal year ends on December 31 of each year, and that each of the first three fiscal quarters of each fiscal year of the Borrower ends on the March 31, June 30 and September 30, respectively);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Borrower may, upon written notice to the Administrative Agent and the Lenders, change its fiscal year and fiscal quarters to any other fiscal year (and any other fiscal quarters) reasonably acceptable to the Administrative Agent and the Lenders, in which case, the Borrower and the Administrative Agent will, and are hereby authorized by the Lenders to, make any adjustments to this Agreement that are necessary to reflect such changes.</w:t>
      </w:r>
    </w:p>
    <w:p>
      <w:pPr>
        <w:spacing w:after="0" w:line="192"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i w:val="1"/>
          <w:iCs w:val="1"/>
          <w:color w:val="auto"/>
        </w:rPr>
        <w:t>Prepayments, Etc. of Indebtedness</w:t>
      </w:r>
      <w:r>
        <w:rPr>
          <w:rFonts w:ascii="Arial" w:cs="Arial" w:eastAsia="Arial" w:hAnsi="Arial"/>
          <w:sz w:val="16"/>
          <w:szCs w:val="16"/>
          <w:color w:val="auto"/>
        </w:rPr>
        <w:t>. (a) Except as set forth in the Approved Budget (subject to Permitted Variances), the DIP Order, the applicable Canadian Orders, the Bidding Procedures Order, the First Day Order, the Second Day Order or the UST Adequate Protection Order, until the Initial Term Loans have been paid in full in cash, the Borrower shall not, nor shall it permit any Subsidiary to, directly or indirectly from proceeds of the B-2 Priority Collateral, voluntarily pay, prepay, redeem, purchase, defease or otherwise satisfy any principal, interest or other amounts, in any manner, with respect to any Prepetition ABL Facility Indebtedness, Prepetition UST Tranche A Facility Indebtedness or Prepetition UST Tranche B Facility Indebtedness or payables, other than (i) payments set forth in the Approved Budget (subject to Permitted Variances), (ii) UST Adequate Protection Payments, (iii) ABL Adequate Protection Fees and Expenses (as defined in the DIP Order), (iv) adequate protection payments for the B-2 Lenders, (v) any other payments contemplated by the DIP Order (including prepayments and repayments of the B-2 Obligations), and (vi) other payments agreed in writing by the Lenders and authorized by the Bankruptcy Court or the Canadian Court.</w:t>
      </w:r>
    </w:p>
    <w:p>
      <w:pPr>
        <w:spacing w:after="0" w:line="166" w:lineRule="exact"/>
        <w:rPr>
          <w:sz w:val="20"/>
          <w:szCs w:val="20"/>
          <w:color w:val="auto"/>
        </w:rPr>
      </w:pPr>
    </w:p>
    <w:p>
      <w:pPr>
        <w:ind w:left="4" w:right="300" w:firstLine="440"/>
        <w:spacing w:after="0" w:line="311" w:lineRule="auto"/>
        <w:rPr>
          <w:sz w:val="20"/>
          <w:szCs w:val="20"/>
          <w:color w:val="auto"/>
        </w:rPr>
      </w:pPr>
      <w:r>
        <w:rPr>
          <w:rFonts w:ascii="Arial" w:cs="Arial" w:eastAsia="Arial" w:hAnsi="Arial"/>
          <w:sz w:val="16"/>
          <w:szCs w:val="16"/>
          <w:color w:val="auto"/>
        </w:rPr>
        <w:t>(b) Except as permitted by the DIP Order, the Borrower shall not, nor shall it permit any Subsidiary to, directly or indirectly, amend, modify, change, terminate or release in any manner materially adverse to the interests of the Lenders, any term or condition of any document comprising Prepetition Facility Documentation or any Postpetition B-2 Loan Document, in each case without the prior written consent of the Lenders.</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Leases and Other Executory Contracts; Exclusivity Period.</w:t>
      </w:r>
      <w:r>
        <w:rPr>
          <w:rFonts w:ascii="Arial" w:cs="Arial" w:eastAsia="Arial" w:hAnsi="Arial"/>
          <w:sz w:val="18"/>
          <w:szCs w:val="18"/>
          <w:color w:val="auto"/>
        </w:rPr>
        <w:t xml:space="preserve"> The Borrower shall not (i) assume or reject any executory contract or unexpired lease or (b) consent to termination or reduction of the exclusivity period to file and solicit a Plan of Reorganization or fail to object to any motion seeking to terminate or reduce such exclusivity period, in each case, without the consent of the Lenders and, to the extent constituting or impacting any B-2 Priority Collateral, the B-2 Lenders.</w:t>
      </w:r>
    </w:p>
    <w:p>
      <w:pPr>
        <w:spacing w:after="0" w:line="187" w:lineRule="exact"/>
        <w:rPr>
          <w:sz w:val="20"/>
          <w:szCs w:val="20"/>
          <w:color w:val="auto"/>
        </w:rPr>
      </w:pPr>
    </w:p>
    <w:p>
      <w:pPr>
        <w:ind w:left="4" w:right="480" w:firstLine="440"/>
        <w:spacing w:after="0" w:line="291"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i w:val="1"/>
          <w:iCs w:val="1"/>
          <w:color w:val="auto"/>
        </w:rPr>
        <w:t>DIP Proceeds Account; Use of Cash</w:t>
      </w:r>
      <w:r>
        <w:rPr>
          <w:rFonts w:ascii="Arial" w:cs="Arial" w:eastAsia="Arial" w:hAnsi="Arial"/>
          <w:sz w:val="16"/>
          <w:szCs w:val="16"/>
          <w:color w:val="auto"/>
        </w:rPr>
        <w:t>. The Borrower shall maintain the DIP Proceeds Account at all times and ensure that only proceeds of Initial Term Loans, Postpetition B-2 Loans and Delayed Draw Term Loans are deposited in the DIP Proceeds Account. The Borrower</w:t>
      </w:r>
    </w:p>
    <w:p>
      <w:pPr>
        <w:ind w:left="4" w:right="80" w:hanging="4"/>
        <w:spacing w:after="0" w:line="287" w:lineRule="auto"/>
        <w:tabs>
          <w:tab w:leader="none" w:pos="2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shall not, nor shall it permit any Subsidiary who holds such DIP Proceeds Account, to withdraw any cash in the DIP Proceeds Account, or otherwise make any other payments during the pendency of the Chapter 11 Cases (notwithstanding the source of cash), except consistent with the Approved Budget (subject to Permitted Variances) and unless each of the following shall be true on the date of such withdrawal: (x) The representations and warranties set forth in Article 5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that any such representation and warranty that is qualified by “materiality”, “material adverse effect” or similar language shall be true and correct in all respects (after giving effect to such qualification therein) on and as of the date of such Credit Extension with the same effect as though made on and as of</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4"/>
          </w:cols>
          <w:pgMar w:left="436" w:top="274" w:right="479" w:bottom="1440" w:gutter="0" w:footer="0" w:header="0"/>
        </w:sectPr>
      </w:pPr>
    </w:p>
    <w:bookmarkStart w:id="80" w:name="page81"/>
    <w:bookmarkEnd w:id="80"/>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date or such earlier date, as applicable, and (y) no Default or Event of Default shall exist or would result from such proposed Credit Extension or from the application of the proceeds therefrom and (ii) for the avoidance of doubt, shall not permit any cash in such DIP Proceeds Account to be subject to any zero-balance or other similar automatic sweep. For the avoidance of doubt, none of the DIP Proceeds Account, any funds therein, or any proceeds of Initial Term Loans, Postpetition B-2 Loans or Delayed Draw Term Loans shall be subject to any terms or provisions in the DIP Order governing cash that constitutes Prepetition ABL Priority Collateral.</w:t>
      </w:r>
    </w:p>
    <w:p>
      <w:pPr>
        <w:spacing w:after="0" w:line="18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No Canadian Pension Plans.</w:t>
      </w:r>
      <w:r>
        <w:rPr>
          <w:rFonts w:ascii="Arial" w:cs="Arial" w:eastAsia="Arial" w:hAnsi="Arial"/>
          <w:sz w:val="18"/>
          <w:szCs w:val="18"/>
          <w:color w:val="auto"/>
        </w:rPr>
        <w:t xml:space="preserve"> No Loan Party shall maintain, sponsor, administer, contribute to, participate in, or have any obligations or any actual or contingent liability in respect of any Canadian Defined Benefit Pension Plan.</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Events of Default.</w:t>
      </w:r>
      <w:r>
        <w:rPr>
          <w:rFonts w:ascii="Arial" w:cs="Arial" w:eastAsia="Arial" w:hAnsi="Arial"/>
          <w:sz w:val="16"/>
          <w:szCs w:val="16"/>
          <w:color w:val="auto"/>
        </w:rPr>
        <w:t xml:space="preserve"> Any of the following from and after the Closing Date shall constitute an event of default (an “</w:t>
      </w:r>
      <w:r>
        <w:rPr>
          <w:rFonts w:ascii="Arial" w:cs="Arial" w:eastAsia="Arial" w:hAnsi="Arial"/>
          <w:sz w:val="16"/>
          <w:szCs w:val="16"/>
          <w:b w:val="1"/>
          <w:bCs w:val="1"/>
          <w:color w:val="auto"/>
        </w:rPr>
        <w:t>Event of Default</w:t>
      </w:r>
      <w:r>
        <w:rPr>
          <w:rFonts w:ascii="Arial" w:cs="Arial" w:eastAsia="Arial" w:hAnsi="Arial"/>
          <w:sz w:val="16"/>
          <w:szCs w:val="16"/>
          <w:color w:val="auto"/>
        </w:rPr>
        <w:t>”):</w:t>
      </w:r>
    </w:p>
    <w:p>
      <w:pPr>
        <w:spacing w:after="0" w:line="252" w:lineRule="exact"/>
        <w:rPr>
          <w:sz w:val="20"/>
          <w:szCs w:val="20"/>
          <w:color w:val="auto"/>
        </w:rPr>
      </w:pPr>
    </w:p>
    <w:p>
      <w:pPr>
        <w:ind w:left="4" w:right="260" w:firstLine="440"/>
        <w:spacing w:after="0" w:line="28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Non-Payment</w:t>
      </w:r>
      <w:r>
        <w:rPr>
          <w:rFonts w:ascii="Arial" w:cs="Arial" w:eastAsia="Arial" w:hAnsi="Arial"/>
          <w:sz w:val="17"/>
          <w:szCs w:val="17"/>
          <w:color w:val="auto"/>
        </w:rPr>
        <w:t>. Any Loan Party fails to pay (i) when and as required to be paid herein or in any other Loan Document, any amount of principal of any Loan, (ii) within three (3) Business Days after the same becomes due, any interest on any Loan or (iii) within five (5) Business Days after the same becomes due, any other amount payable hereunder or with respect to any other Loan Document; or</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Specific Covenants.</w:t>
      </w:r>
      <w:r>
        <w:rPr>
          <w:rFonts w:ascii="Arial" w:cs="Arial" w:eastAsia="Arial" w:hAnsi="Arial"/>
          <w:sz w:val="17"/>
          <w:szCs w:val="17"/>
          <w:color w:val="auto"/>
        </w:rPr>
        <w:t xml:space="preserve"> The Borrower fails to perform or observe any term, covenant or agreement contained in any of (i) </w:t>
      </w:r>
      <w:r>
        <w:rPr>
          <w:rFonts w:ascii="Arial" w:cs="Arial" w:eastAsia="Arial" w:hAnsi="Arial"/>
          <w:sz w:val="17"/>
          <w:szCs w:val="17"/>
          <w:u w:val="single" w:color="auto"/>
          <w:color w:val="auto"/>
        </w:rPr>
        <w:t>Sections 6.03(a)</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delivery of a notice of Default or Event of Default at any time will cure an Event of Default under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arising from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failure of the Borrower to timely deliver such notice of Default or Event of Default), </w:t>
      </w:r>
      <w:r>
        <w:rPr>
          <w:rFonts w:ascii="Arial" w:cs="Arial" w:eastAsia="Arial" w:hAnsi="Arial"/>
          <w:sz w:val="16"/>
          <w:szCs w:val="16"/>
          <w:u w:val="single" w:color="auto"/>
          <w:color w:val="auto"/>
        </w:rPr>
        <w:t>6.05(a)</w:t>
      </w:r>
      <w:r>
        <w:rPr>
          <w:rFonts w:ascii="Arial" w:cs="Arial" w:eastAsia="Arial" w:hAnsi="Arial"/>
          <w:sz w:val="16"/>
          <w:szCs w:val="16"/>
          <w:color w:val="auto"/>
        </w:rPr>
        <w:t xml:space="preserve"> (solely with respect to the Borrower), </w:t>
      </w:r>
      <w:r>
        <w:rPr>
          <w:rFonts w:ascii="Arial" w:cs="Arial" w:eastAsia="Arial" w:hAnsi="Arial"/>
          <w:sz w:val="16"/>
          <w:szCs w:val="16"/>
          <w:u w:val="single" w:color="auto"/>
          <w:color w:val="auto"/>
        </w:rPr>
        <w:t>6.13(c)</w:t>
      </w:r>
      <w:r>
        <w:rPr>
          <w:rFonts w:ascii="Arial" w:cs="Arial" w:eastAsia="Arial" w:hAnsi="Arial"/>
          <w:sz w:val="16"/>
          <w:szCs w:val="16"/>
          <w:color w:val="auto"/>
        </w:rPr>
        <w:t xml:space="preserve">,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w:t>
      </w:r>
      <w:r>
        <w:rPr>
          <w:rFonts w:ascii="Arial" w:cs="Arial" w:eastAsia="Arial" w:hAnsi="Arial"/>
          <w:sz w:val="16"/>
          <w:szCs w:val="16"/>
          <w:u w:val="single" w:color="auto"/>
          <w:color w:val="auto"/>
        </w:rPr>
        <w:t>6.15</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6.16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or (ii) Section 6.01 or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 in the case solely of this clause (ii), such failure continues for two Business Days after the earlier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-4445</wp:posOffset>
            </wp:positionV>
            <wp:extent cx="228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2" w:lineRule="exact"/>
        <w:rPr>
          <w:sz w:val="20"/>
          <w:szCs w:val="20"/>
          <w:color w:val="auto"/>
        </w:rPr>
      </w:pPr>
    </w:p>
    <w:p>
      <w:pPr>
        <w:ind w:left="4" w:right="780" w:hanging="4"/>
        <w:spacing w:after="0" w:line="260" w:lineRule="auto"/>
        <w:tabs>
          <w:tab w:leader="none" w:pos="2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Responsible Officer of the Borrower becoming aware of such default and (B) receipt by the Borrower of written notice thereof from the Administrative Agent or the Lenders; or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Other Defaults.</w:t>
      </w:r>
      <w:r>
        <w:rPr>
          <w:rFonts w:ascii="Arial" w:cs="Arial" w:eastAsia="Arial" w:hAnsi="Arial"/>
          <w:sz w:val="17"/>
          <w:szCs w:val="17"/>
          <w:color w:val="auto"/>
        </w:rPr>
        <w:t xml:space="preserve"> Any Loan Party fails to perform or observe any other term, covenant or agreement (not specified in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above) contained in any Loan Document on its part to be performed or observed and such failure continues for fifteen (15) days after receipt by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 of written notice thereof from the Administrative Agent or the Lenders; or</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xml:space="preserve"> Any representation, warranty, certification or statement of fact made or deemed made by or on behalf of the Borrower or any other Loan Party herein, in any other Loan Document, or in any Compliance Certificate or other document required to be delivered in connection herewith or therewith shall be incorrect or misleading in any material respect when made or deemed made; or</w:t>
      </w:r>
    </w:p>
    <w:p>
      <w:pPr>
        <w:spacing w:after="0" w:line="165"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i w:val="1"/>
          <w:iCs w:val="1"/>
          <w:color w:val="auto"/>
        </w:rPr>
        <w:t>Cross-Default</w:t>
      </w:r>
      <w:r>
        <w:rPr>
          <w:rFonts w:ascii="Arial" w:cs="Arial" w:eastAsia="Arial" w:hAnsi="Arial"/>
          <w:sz w:val="17"/>
          <w:szCs w:val="17"/>
          <w:color w:val="auto"/>
        </w:rPr>
        <w:t>. Except as a result of the events leading up to or resulting from the commencement of the Chapter 11 Cases, the ceasing of operations, the commencement of the Chapter 11 Cases, the Canadian Recognition Proceedings or entry into this Agreement and unless the payment, acceleration and/or the exercise of remedies with respect to any such Indebtedness is stayed by the Bankruptcy Court or the Canadian Court, any Loan Party or any Subsidiary (i) fails to make any payment after the applicable grace period with respect thereto, if any, (whether by scheduled maturity, required prepayment, acceleration, demand, or otherwise) in respect of any other prepetition Indebtedness (other than Indebtedness hereunder and, for the avoidance of doubt, excluding Prepetition Indebtedness) having</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4"/>
          </w:cols>
          <w:pgMar w:left="436" w:top="274" w:right="479" w:bottom="1440" w:gutter="0" w:footer="0" w:header="0"/>
        </w:sectPr>
      </w:pPr>
    </w:p>
    <w:bookmarkStart w:id="81" w:name="page82"/>
    <w:bookmarkEnd w:id="8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outstanding aggregate principal amount of not less than the Threshold Amount or (ii) fails to observe or perform any other agreement or condition relating to any such prepetition Indebtedness, or any other event occurs (other than, with respect to Indebtedness consisting of Swap Contracts, termination events or equivalent events pursuant to the terms of such Swap Contracts and not as a result of any other default thereunder by any Loan Party), after all grace periods having expired and all required notices having been given, the effect of which default or other event is to cause, or to permit the holder or holders of such Indebtedness (or a trustee or agent on behalf of such holder or holders or beneficiary or beneficiaries) to cause, after all grace periods having expired and all required notices having been given, such prepetition Indebtedness to become due or to be repurchased, prepaid, defeased or redeemed (automatically or otherwise), or an offer to repurchase, prepay, defease or redeem such Indebtedness to be made, prior to its stated maturity; or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color w:val="auto"/>
        </w:rPr>
        <w:t>Judgments</w:t>
      </w:r>
      <w:r>
        <w:rPr>
          <w:rFonts w:ascii="Arial" w:cs="Arial" w:eastAsia="Arial" w:hAnsi="Arial"/>
          <w:sz w:val="18"/>
          <w:szCs w:val="18"/>
          <w:color w:val="auto"/>
        </w:rPr>
        <w:t>. Except as a result of the events leading up to or resulting from the commencement of the Chapter 11 Cases or the Canadian Recognition Proceedings, the commencement of the Chapter 11 Cases or the Canadian Recognition Proceedings or entry into this Agreement and unless any such judgment is stayed by the Bankruptcy Court or the Canadian Court, there is entered against any Loan Party or any Subsidiary a final judgment or order for the payment of money in an aggregate amount exceeding the Threshold Amount (to the extent not covered by independent third-party insurance or indemnity as to which the insurer or third party indemnitor has been notified of such judgment or order and has not denied coverage) and such judgment or order shall not have been satisfied, vacated, discharged or stayed or bonded pending an appeal for a period of sixty (60) consecutive days; or</w:t>
      </w:r>
    </w:p>
    <w:p>
      <w:pPr>
        <w:spacing w:after="0" w:line="195"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Invalidity of Loan Documents</w:t>
      </w:r>
      <w:r>
        <w:rPr>
          <w:rFonts w:ascii="Arial" w:cs="Arial" w:eastAsia="Arial" w:hAnsi="Arial"/>
          <w:sz w:val="16"/>
          <w:szCs w:val="16"/>
          <w:color w:val="auto"/>
        </w:rPr>
        <w:t xml:space="preserve">. Any material provision of the Loan Documents, at any time after their execution and delivery and for any reason other than as expressly permitted hereunder or thereunder (including as a result of a transaction permitted under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or as a result of acts or omissions by the Administrative Agent or Collateral Agent or any Lender or the satisfaction in full of all the Obligations (other than other than contingent obligations), ceases to be in full force and effect; or any Loan Party contests in writing the validity or enforceability of any provision of any Loan Document; or any Loan Party denies in writing that it has any or further liability or obligation under any Loan Document (other than as a result of repayment in full of the Obligations), or purports in writing to revoke or rescind any Loan Document; or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i w:val="1"/>
          <w:iCs w:val="1"/>
          <w:color w:val="auto"/>
        </w:rPr>
        <w:t>Collateral Documents</w:t>
      </w:r>
      <w:r>
        <w:rPr>
          <w:rFonts w:ascii="Arial" w:cs="Arial" w:eastAsia="Arial" w:hAnsi="Arial"/>
          <w:sz w:val="16"/>
          <w:szCs w:val="16"/>
          <w:color w:val="auto"/>
        </w:rPr>
        <w:t xml:space="preserve">. The DIP Order, the Canadian DIP Recognition Order and the Collateral Documents after delivery thereof pursuant to </w:t>
      </w:r>
      <w:r>
        <w:rPr>
          <w:rFonts w:ascii="Arial" w:cs="Arial" w:eastAsia="Arial" w:hAnsi="Arial"/>
          <w:sz w:val="16"/>
          <w:szCs w:val="16"/>
          <w:u w:val="single" w:color="auto"/>
          <w:color w:val="auto"/>
        </w:rPr>
        <w:t>Sections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shall for any reason (other than pursuant to the terms hereof or thereof including as a result of a transaction permitted under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cease to create, or shall be asserted by any Loan Party not to create, a valid and perfected Lien, on and security interest in the Collateral, with the priority required herein and in the DIP Order, subject to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or</w:t>
      </w:r>
    </w:p>
    <w:p>
      <w:pPr>
        <w:spacing w:after="0" w:line="15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i w:val="1"/>
          <w:iCs w:val="1"/>
          <w:color w:val="auto"/>
        </w:rPr>
        <w:t>ERISA.</w:t>
      </w:r>
      <w:r>
        <w:rPr>
          <w:rFonts w:ascii="Arial" w:cs="Arial" w:eastAsia="Arial" w:hAnsi="Arial"/>
          <w:sz w:val="18"/>
          <w:szCs w:val="18"/>
          <w:color w:val="auto"/>
        </w:rPr>
        <w:t xml:space="preserve"> The occurrence of an ERISA Event pursuant to clause (r) of the definition of such term that has resulted or could reasonably be expected to result in a Material Adverse Effect; 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 </w:t>
      </w:r>
      <w:r>
        <w:rPr>
          <w:rFonts w:ascii="Arial" w:cs="Arial" w:eastAsia="Arial" w:hAnsi="Arial"/>
          <w:sz w:val="18"/>
          <w:szCs w:val="18"/>
          <w:i w:val="1"/>
          <w:iCs w:val="1"/>
          <w:color w:val="auto"/>
        </w:rPr>
        <w:t>The Chapter 11 Cases</w:t>
      </w:r>
      <w:r>
        <w:rPr>
          <w:rFonts w:ascii="Arial" w:cs="Arial" w:eastAsia="Arial" w:hAnsi="Arial"/>
          <w:sz w:val="18"/>
          <w:szCs w:val="18"/>
          <w:color w:val="auto"/>
        </w:rPr>
        <w:t>.</w:t>
      </w:r>
    </w:p>
    <w:p>
      <w:pPr>
        <w:spacing w:after="0" w:line="225"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(i) A Final Order shall not have been entered by the Bankruptcy Court on or before the date that is 45 days after the Petition Date, which Final Order shall be in full force and effect and shall not have been reversed, modified, amended, stayed, vacated, appealed or subject to pending appeal or otherwise challenged or subject to any challenge in any respect without prior consent of the Lenders; or</w:t>
      </w:r>
    </w:p>
    <w:p>
      <w:pPr>
        <w:spacing w:after="0" w:line="184"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(ii) Any Chapter 11 Cases or Canadian Recognition Proceedings shall be dismissed (or the Bankruptcy Court or Canadian Court, as applicable, shall make a ruling requiring the dismissal of any Chapter 11 Case or Canadian Recognition Proceedings), suspended or converted to a case under chapter 7 of the Bankruptcy Code, or any Loan Party shall file any pleading, application or motion requesting any such relief; or a motion shall be filed by any Loan Party for the approval of, or there shall arise, (x) any other Claim (other than a Claim of the B-2 Lenders) having priority senior to or pari passu with the claims of the Administrative Agent and Lenders under the Loan Documents or any other claim having priority over any or all administrative expenses of the kind specified in clause (b) of Section 503 or clause (b) of Section 507 of the Bankruptcy Code (other than the Carve-Out and the Canadian Priority Charges pursuant to the applicable Canadian Orders to the extent set forth in the Canadian DIP Recognition Order and the other Canadian Orders or the adequate protection obligations under the DIP Order) or (y) any Lien on the Collateral having a priority senior to or pari passu with the Liens and security interests granted to the Collateral Agent pursuant to this Agreement, the DIP Order and/or the applicable Canadian Orders (other than Liens granted under the Prepetition B-2 Loan Documents and the Postpetition B-2 Loan Documents), except as expressly provided herein and in the DIP Order, the UST Adequate Protection Order and in the applicable Canadian Orders; or</w:t>
      </w:r>
    </w:p>
    <w:p>
      <w:pPr>
        <w:spacing w:after="0" w:line="17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(iii) Any Loan Party shall file a motion in the Chapter 11 Cases or the Canadian Recognition Proceedings to obtain additional or replacement financing from a party other than the Lenders or the B-2 Lenders under Section 364(d) of the Bankruptcy Code or the CCAA or to use Cash Collateral of a Lender under Section 363(c) of the Bankruptcy Code, except to the extent any such financing shall provide for the payment in full in cash of the Obligations or with the prior written consent of the Lenders; or</w:t>
      </w:r>
    </w:p>
    <w:p>
      <w:pPr>
        <w:spacing w:after="0" w:line="187" w:lineRule="exact"/>
        <w:rPr>
          <w:sz w:val="20"/>
          <w:szCs w:val="20"/>
          <w:color w:val="auto"/>
        </w:rPr>
      </w:pPr>
    </w:p>
    <w:p>
      <w:pPr>
        <w:ind w:right="160" w:firstLine="991"/>
        <w:spacing w:after="0" w:line="270" w:lineRule="auto"/>
        <w:rPr>
          <w:sz w:val="20"/>
          <w:szCs w:val="20"/>
          <w:color w:val="auto"/>
        </w:rPr>
      </w:pPr>
      <w:r>
        <w:rPr>
          <w:rFonts w:ascii="Arial" w:cs="Arial" w:eastAsia="Arial" w:hAnsi="Arial"/>
          <w:sz w:val="17"/>
          <w:szCs w:val="17"/>
          <w:color w:val="auto"/>
        </w:rPr>
        <w:t>(iv) Any Loan Party shall file a motion seeking, or the Bankruptcy Court or the Canadian Court shall enter, an order (A) approving payment of any pre-petition claim (or the Loan Party shall otherwise make a payment on any prepetition claim) other than (x) as provided for in (i) the First Day Orders, Second Day Orders, the UST Adequate Protection Order or the applicable Canadian Orders, (ii) the Approved Budget (subject to Permitted Variances) or (iii) the DIP Order or (y) otherwise consented to by the Lenders in writing, (B) granting relief from the automatic stay applicable under section 362 of the Bankruptcy Code or the stay of proceedings provided for in the applicable Canadian Orders to any holder of any security interest to permit foreclosure on any assets with a fair market value in excess of $250,000; or (C) except as provided in the DIP Order, and the other adequate protections set forth in the DIP Order and the UST Adequate Protection Order, approving any settlement or other stipulation not approved by the Lenders and not included in the Approved Budget with any secured creditor of any Loan Party providing for payments as adequate protection or otherwise to such secured creditor; or</w:t>
      </w:r>
    </w:p>
    <w:p>
      <w:pPr>
        <w:spacing w:after="0" w:line="181"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(v) (A) Any Chapter 11 Order or order granted in the Canadian Recognition Proceedings shall be amended, supplemented, stayed, reversed, vacated or otherwise modified (or any Loan Party shall apply for authority to do so), in each case, in a manner adverse to the Lenders, without the written consent of the Lenders (or any Loan Party shall file, or otherwise support, any pleading, application or motion seeking such relief described in this clause (v)) or (B) any Chapter 11 Order or order granted in the Canadian Recognition Proceedings shall cease to be in full force and effect;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3" w:name="page84"/>
    <w:bookmarkEnd w:id="83"/>
    <w:p>
      <w:pPr>
        <w:ind w:right="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(vi) An order with respect to any of the Chapter 11 Cases or Canadian Recognition Proceedings shall be entered by the Bankruptcy Court or Canadian Court, as applicable, without the express prior written consent of the Lenders (and, with respect to any provisions that adversely affect the rights or duties of any Agent, such Agent) (i) to revoke, reverse, stay, modify, supplement, vacate or amend any of the DIP Order or Canadian Orders in a manner inconsistent with this Agreement, in a manner adverse to the Lenders, or that is not otherwise consented to by the Lenders (and with respect to amendments, modifications, or supplements that adversely affect the rights or duties of any Agent, such Agent); (ii) to permit any administrative expense or any claim (other than a Claim of the B-2 Lenders) (now existing or hereafter arising, of any kind or nature whatsoever) to have administrative priority as to the Loan Parties equal or superior to the priority of the Loans (other than the Carve-Out and the Canadian Priority Charges pursuant to the applicable Canadian Orders to the extent set forth in the Canadian DIP Recognition Order and the other Canadian Orders)) or the adequate protection Claims (other than the Carve-Out and the Canadian Priority Charges pursuant to the applicable Canadian Orders to the extent set forth in the Canadian DIP Recognition Order and the other Canadian Orders or the administrative expense claims on account of the Junior DIP Facility); or (iii) to grant or permit the grant of a Lien on the Collateral (other than Liens granted under the Postpetition B-2 Loan Documents, as expressly provided or permitted herein and in the DIP Order, the UST Adequate Protection Order and in the applicable Canadian Orders); or</w:t>
      </w:r>
    </w:p>
    <w:p>
      <w:pPr>
        <w:spacing w:after="0" w:line="16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(vii) An application for any of the orders described in subclauses (ii), (iv), (vi), (x), (xvii) and (xviii) of this clause (o) shall be made by a Person other than the Loan Parties, and such application is not contested by the Loan Parties in good faith or any Person obtains a non-appealable final order charging any of the Collateral under section 506(c) of the Bankruptcy Code against any Agent or the Lenders or obtains a final order adverse to any Agent or the Lenders; or</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(viii) The Canadian Final DIP Recognition Order shall not have been entered by the Canadian Court on or before the date that is 15 calendar days after the date on which the Final Order is entered by the Bankruptcy Court, which Canadian Final DIP Recognition Order shall be in full force and effect and shall not have been reversed, modified, amended, stayed, vacated, appealed or subject to pending appeal or otherwise challenged or subject to any challenge in any respect without prior consent of the Lenders; or</w:t>
      </w:r>
    </w:p>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(ix) Any of the Loan Parties shall fail to comply with the terms and conditions of any Chapter 11 Order or order granted in the Canadian Recognition Proceedings in any material respect and such failure is not cured within two (2) Business Days of the earlier of the Borrower having knowledge thereof and any written notice by the Administrative Agent (at the direction of the Lenders); or</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(x) The Bankruptcy Court shall enter an order appointing a trustee under Chapter 7 or Chapter 11 of the Bankruptcy Code, or a responsible officer or an examiner with enlarged powers relating to the operation of the business (powers beyond those set forth in subclauses (3) and (4) of clause (a) of Section 1106 of the Bankruptcy Code) under clause (b) of Section 1106 of the Bankruptcy Code in the Chapter 11 Cases (or any Loan Party or any of its Subsidiaries or Affiliates shall file, or otherwise support, any pleading, application or motion seeking such relief described in this clause (x)); or</w:t>
      </w:r>
    </w:p>
    <w:p>
      <w:pPr>
        <w:spacing w:after="0" w:line="188"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(xi) The entry of an order by the Bankruptcy Court terminating or modifying the exclusive right of any Debtor to file a Plan of Reorganization pursuant to section 1121 of the Bankruptcy Code, without the prior written consent of the Lenders; or</w:t>
      </w:r>
    </w:p>
    <w:p>
      <w:pPr>
        <w:spacing w:after="0" w:line="170" w:lineRule="exact"/>
        <w:rPr>
          <w:sz w:val="20"/>
          <w:szCs w:val="20"/>
          <w:color w:val="auto"/>
        </w:rPr>
      </w:pPr>
    </w:p>
    <w:p>
      <w:pPr>
        <w:ind w:right="380" w:firstLine="991"/>
        <w:spacing w:after="0" w:line="301" w:lineRule="auto"/>
        <w:rPr>
          <w:sz w:val="20"/>
          <w:szCs w:val="20"/>
          <w:color w:val="auto"/>
        </w:rPr>
      </w:pPr>
      <w:r>
        <w:rPr>
          <w:rFonts w:ascii="Arial" w:cs="Arial" w:eastAsia="Arial" w:hAnsi="Arial"/>
          <w:sz w:val="16"/>
          <w:szCs w:val="16"/>
          <w:color w:val="auto"/>
        </w:rPr>
        <w:t>(xii) The Loan Parties or any of their controlled Affiliates shall support (in any such case by way of any motion, application or other pleading filed with the Bankruptcy Court or Canadian Court or any other writing to another party-in-interest executed by or on behalf of the Loan Parties or any of their Subsidiaries) any other Person’s opposition of any motion made in the Bankruptcy Court or Canadian Court by the Lenders seeking confirmation of the amount of the Lenders’ claim or the validity and enforceability of the Liens in favor of the Collateral Agent;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84" w:name="page85"/>
    <w:bookmarkEnd w:id="84"/>
    <w:p>
      <w:pPr>
        <w:ind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(xiii)  (A) The Loan Parties or any of their Affiliates shall seek to, or shall support (in any such case by way of any motion, application or other pleading filed with the Bankruptcy Court or Canadian Court or any other writing to another party-in-interest executed by or on behalf of the Loan Parties or any of their Subsidiaries) any other Person’s motion to, disallow in whole or in part the Lenders’ claim in respect of the Obligations or to challenge the validity and enforceability of the Liens in favor of the Collateral Agent or contest any material provision of any Loan Document, (B) any Loan Party shall attempt to invalidate, reduce or otherwise impair the Liens or security interests of the Collateral Agent or the Lenders or to subject any Collateral to assessment pursuant to section 506(c) of the Bankruptcy Code, (C) any Liens on the Collateral securing the Obligations and/or super-priority claims shall otherwise, for any reason, cease to be valid, perfected and enforceable in all respects, (D) any action is commenced by the Loan Parties that contests the validity, perfection or enforceability of any of the Liens and security interests of the Collateral Agent or the Lenders created by the DIP Order, the applicable Canadian Orders or the Loan Documents, or (E) any material provision of any Loan Document shall cease to be effective; or</w:t>
      </w:r>
    </w:p>
    <w:p>
      <w:pPr>
        <w:spacing w:after="0" w:line="19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(xiv) Any judgments which are in the aggregate in excess of $2,500,000 as to any postpetition obligation shall be rendered against any of the Loan Parties and the enforcement thereof shall not be stayed; or</w:t>
      </w:r>
    </w:p>
    <w:p>
      <w:pPr>
        <w:spacing w:after="0" w:line="170"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(xv)  (A) The Loan Parties or any of their Affiliates shall file any pleading, application, motion or proceeding which results in a material impairment of the rights or interests of the Lenders or (B) entry of an order of the Bankruptcy Court or Canadian Court with respect to any pleading, application, motion or proceeding brought by any other Person which results in such a material impairment of the rights or interests of the Lenders; or</w:t>
      </w:r>
    </w:p>
    <w:p>
      <w:pPr>
        <w:spacing w:after="0" w:line="14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(xvi) Any Loan Party or any of their Affiliates shall have filed a motion seeking the entry of, or the Bankruptcy Court or Canadian Court shall have entered, an order approving a payment to any Person (whether in cash or other property or whether as adequate protection, settlement of a dispute, or otherwise) that would be materially inconsistent with the treatment of any such Person under the Approved Budget or First Day Orders or Second Day Orders, without the prior written consent of the Lenders; or</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(xvii) Any Loan Party files or publicly announces its intention to file a Plan of Reorganization that is not an Acceptable Plan, without the prior written consent of the Lenders; 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(xviii) An order shall be entered by the Bankruptcy Court transferring the Chapter 11 Cases to any other court; or</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(xix) The Canadian Court shall enter an order appointing a receiver, interim receiver, trustee or similar official in respect of any of the Canadian Debtors or Canadian Collateral (other than, for certainty, the appointment of the Information Officer); 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(xx) [Reserved]; 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(xxi) [Reserved]; 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(xxii) The Bidding Procedures Order is amended, supplemented or otherwise modified without the prior written consent of the Lenders;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5" w:name="page86"/>
    <w:bookmarkEnd w:id="85"/>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(xxiii) The occurrence of a “Cash Collateral Termination Event” (or similar event) under the UST Adequate Protection Order or the DIP</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Order; or</w:t>
      </w:r>
    </w:p>
    <w:p>
      <w:pPr>
        <w:spacing w:after="0" w:line="211"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(xxiv)  Any Loan Party or any of their Affiliates shall have filed a motion seeking the entry of, or the Bankruptcy Court or Canadian Court shall have entered, an order approving a payment to any person that would be inconsistent with the Approved Budget (subject to Permitted Variances); or the proceeds of any Loan shall have been expended in a manner that is not in accordance with the Approved Budget (subject to Permitted Variances); or</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(xxv) The filing of any Plan of Reorganization that does not propose to indefeasibly repay the Obligations and the B-2 Obligations in full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cash; or</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(xxvi) [Reserved]; or</w:t>
      </w:r>
    </w:p>
    <w:p>
      <w:pPr>
        <w:spacing w:after="0" w:line="221" w:lineRule="exact"/>
        <w:rPr>
          <w:sz w:val="20"/>
          <w:szCs w:val="20"/>
          <w:color w:val="auto"/>
        </w:rPr>
      </w:pPr>
    </w:p>
    <w:p>
      <w:pPr>
        <w:ind w:left="4" w:right="140" w:firstLine="991"/>
        <w:spacing w:after="0" w:line="282" w:lineRule="auto"/>
        <w:rPr>
          <w:sz w:val="20"/>
          <w:szCs w:val="20"/>
          <w:color w:val="auto"/>
        </w:rPr>
      </w:pPr>
      <w:r>
        <w:rPr>
          <w:rFonts w:ascii="Arial" w:cs="Arial" w:eastAsia="Arial" w:hAnsi="Arial"/>
          <w:sz w:val="18"/>
          <w:szCs w:val="18"/>
          <w:color w:val="auto"/>
        </w:rPr>
        <w:t>(xxvii) Failure to meet any milestone set forth on Appendix E hereto (the “</w:t>
      </w:r>
      <w:r>
        <w:rPr>
          <w:rFonts w:ascii="Arial" w:cs="Arial" w:eastAsia="Arial" w:hAnsi="Arial"/>
          <w:sz w:val="18"/>
          <w:szCs w:val="18"/>
          <w:b w:val="1"/>
          <w:bCs w:val="1"/>
          <w:color w:val="auto"/>
        </w:rPr>
        <w:t>Chapter 11 Milestones</w:t>
      </w:r>
      <w:r>
        <w:rPr>
          <w:rFonts w:ascii="Arial" w:cs="Arial" w:eastAsia="Arial" w:hAnsi="Arial"/>
          <w:sz w:val="18"/>
          <w:szCs w:val="18"/>
          <w:color w:val="auto"/>
        </w:rPr>
        <w:t>”) when required, unless extended or waived in writing (which may be via email) by the Lenders.</w:t>
      </w:r>
    </w:p>
    <w:p>
      <w:pPr>
        <w:spacing w:after="0" w:line="166"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Remedies Upon Event of Default.</w:t>
      </w:r>
      <w:r>
        <w:rPr>
          <w:rFonts w:ascii="Arial" w:cs="Arial" w:eastAsia="Arial" w:hAnsi="Arial"/>
          <w:sz w:val="18"/>
          <w:szCs w:val="18"/>
          <w:color w:val="auto"/>
        </w:rPr>
        <w:t xml:space="preserve"> Subject to the terms and conditions of the DIP Order, the Senior ICA Provisions, the Prepetition ABL Intercreditor Agreement and, solely in the case of Canadian Debtors, the applicable Canadian Orders, if any Event of Default occurs and is continuing the Administrative Agent may, at the request of the Lenders, take any or all of the following actions: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(i) declare the commitment of each Lender to make Loans to be terminated, whereupon such commitments shall be terminated;</w:t>
      </w:r>
    </w:p>
    <w:p>
      <w:pPr>
        <w:spacing w:after="0" w:line="23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(ii) declare the unpaid principal amount of all outstanding Loans, all interest accrued and unpaid thereon, premium and all other amounts owing or payable or accrued hereunder or under any other Loan Document to be immediately due and payable, without presentment, demand, protest or other notice of any kind, all of which are hereby expressly waived (to the extent permitted by applicable law) by the Borrower and each other Loan Party; and</w:t>
      </w:r>
    </w:p>
    <w:p>
      <w:pPr>
        <w:spacing w:after="0" w:line="187"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(iii) exercise on behalf of itself and the Lenders all rights and remedies available to it and the Lenders under the Loan Documents or applicable Law (including, for greater certainty, seeking the appointment of a receiver).</w:t>
      </w:r>
    </w:p>
    <w:p>
      <w:pPr>
        <w:spacing w:after="0" w:line="170" w:lineRule="exact"/>
        <w:rPr>
          <w:sz w:val="20"/>
          <w:szCs w:val="20"/>
          <w:color w:val="auto"/>
        </w:rPr>
      </w:pPr>
    </w:p>
    <w:p>
      <w:pPr>
        <w:ind w:left="4" w:right="60"/>
        <w:spacing w:after="0" w:line="284" w:lineRule="auto"/>
        <w:rPr>
          <w:sz w:val="20"/>
          <w:szCs w:val="20"/>
          <w:color w:val="auto"/>
        </w:rPr>
      </w:pPr>
      <w:r>
        <w:rPr>
          <w:rFonts w:ascii="Arial" w:cs="Arial" w:eastAsia="Arial" w:hAnsi="Arial"/>
          <w:sz w:val="16"/>
          <w:szCs w:val="16"/>
          <w:color w:val="auto"/>
        </w:rPr>
        <w:t>In addition, subject to the giving of five (5) calendar days’ written notice as set forth below and to the terms and conditions of the DIP Order and the Senior ICA Provisions in all respects, (i) the use by the Borrower and its Subsidiaries of Cash Collateral shall terminate and (ii) the automatic stay provided in Section 362 of the Bankruptcy Code shall be deemed automatically vacated without further action or order of the Bankruptcy Court and the Administrative Agent and the Lenders shall be entitled to exercise all of their respective rights and remedies under the Loan Documents and the DIP Order, including all rights and remedies with respect to the Collateral and the Guarantors. In addition to the remedies set forth above, the Administrative Agent may exercise any other remedies provided for by this Agreement and the other Loan Documents in accordance with the terms hereof and thereof or any other remedies provided by the DIP Order or applicable law, subject to the Senior ICA Provisions and the terms and conditions of the DIP Order and the applicable Canadian Orders. Notwithstanding the foregoing, any exercise of remedies is subject to the requirement of the giving of five</w:t>
      </w:r>
    </w:p>
    <w:p>
      <w:pPr>
        <w:spacing w:after="0" w:line="1" w:lineRule="exact"/>
        <w:rPr>
          <w:sz w:val="20"/>
          <w:szCs w:val="20"/>
          <w:color w:val="auto"/>
        </w:rPr>
      </w:pPr>
    </w:p>
    <w:p>
      <w:pPr>
        <w:ind w:left="4" w:hanging="4"/>
        <w:spacing w:after="0" w:line="302" w:lineRule="auto"/>
        <w:tabs>
          <w:tab w:leader="none" w:pos="2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calendar days’ prior written notice (which may be via e-mail) to counsel for the Loan Parties (including Canadian counsel), the Office of the U.S. Trustee, lead restructuring counsel for the B-2 Lenders, lead restructuring counsel for the B-2 Agent, counsel for the Official Committee and counsel to the Information Officer, in accordance with the terms of the DIP Order and solely in the case of the Canadian Collateral, the applicable Canadian Orders.</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4"/>
          </w:cols>
          <w:pgMar w:left="436" w:top="274" w:right="4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Application of Funds</w:t>
      </w:r>
      <w:r>
        <w:rPr>
          <w:rFonts w:ascii="Arial" w:cs="Arial" w:eastAsia="Arial" w:hAnsi="Arial"/>
          <w:sz w:val="17"/>
          <w:szCs w:val="17"/>
          <w:color w:val="auto"/>
        </w:rPr>
        <w:t xml:space="preserve">. Subject to the terms, conditions, priorities and provisions of the DIP Order, the applicable Canadian Orders (solely in the case of Canadian Collateral, and for certainty, subject to the Canadian Priority Charges), the Senior ICA Provisions and the Prepetition ABL Intercreditor Agreement, after the exercise of remedies provided for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any amounts received on account of the Obligations shall be applied by the Administrative Agent in the following order (to the fullest extent permitted by mandatory provisions of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prepayment, repayment, repurchase, or exchange of borrowings under the Junior DIP Facility shall occur until all B-2 Obligations have first been indefeasibly paid in full in cash and any such prepayment, repayment, repurchase or exchange shall otherwise be consistent with the priorities for liens and claims securing the Junior DIP Facility as set forth in the DIP Order):</w:t>
      </w:r>
    </w:p>
    <w:p>
      <w:pPr>
        <w:spacing w:after="0" w:line="69"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but including Attorney Costs payable under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Article 3</w:t>
      </w:r>
      <w:r>
        <w:rPr>
          <w:rFonts w:ascii="Arial" w:cs="Arial" w:eastAsia="Arial" w:hAnsi="Arial"/>
          <w:sz w:val="18"/>
          <w:szCs w:val="18"/>
          <w:color w:val="auto"/>
        </w:rPr>
        <w:t>) payable to the Administrative Agent or the Collateral Agent in its capacity as such;</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Obligations constituting fees, indemnities, premium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payable to the Lenders (including Attorney Costs payable under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ratably among them in proportion to the amounts described in this clause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payable to them;</w:t>
      </w:r>
    </w:p>
    <w:p>
      <w:pPr>
        <w:spacing w:after="0" w:line="184"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accrued and unpaid interest on the Loans, ratably among the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Parties in proportion to the respective amounts described in this clause </w:t>
      </w:r>
      <w:r>
        <w:rPr>
          <w:rFonts w:ascii="Arial" w:cs="Arial" w:eastAsia="Arial" w:hAnsi="Arial"/>
          <w:sz w:val="18"/>
          <w:szCs w:val="18"/>
          <w:i w:val="1"/>
          <w:iCs w:val="1"/>
          <w:color w:val="auto"/>
        </w:rPr>
        <w:t>Third</w:t>
      </w:r>
      <w:r>
        <w:rPr>
          <w:rFonts w:ascii="Arial" w:cs="Arial" w:eastAsia="Arial" w:hAnsi="Arial"/>
          <w:sz w:val="18"/>
          <w:szCs w:val="18"/>
          <w:color w:val="auto"/>
        </w:rPr>
        <w:t xml:space="preserve"> payable to them;</w:t>
      </w:r>
    </w:p>
    <w:p>
      <w:pPr>
        <w:spacing w:after="0" w:line="17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unpaid principal of the Loans, ratably among the Secured Parties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proportion to the respective amounts described in this clause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held by them;</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the payment of all other Obligations of the Borrower that are due and payable to the Administrative Agent and the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on such date, ratably based upon the respective aggregate amounts of all such Obligations owing to the Administrative Agent and the other Secured Parties on such date; and</w:t>
      </w:r>
    </w:p>
    <w:p>
      <w:pPr>
        <w:spacing w:after="0" w:line="184"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i w:val="1"/>
          <w:iCs w:val="1"/>
          <w:color w:val="auto"/>
        </w:rPr>
        <w:t>Last</w:t>
      </w:r>
      <w:r>
        <w:rPr>
          <w:rFonts w:ascii="Arial" w:cs="Arial" w:eastAsia="Arial" w:hAnsi="Arial"/>
          <w:sz w:val="18"/>
          <w:szCs w:val="18"/>
          <w:color w:val="auto"/>
        </w:rPr>
        <w:t>, the balance, if any, after all of the Obligations (other than contingent obligations) have been paid in full, to the Borrower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required by Law.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 AND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p>
    <w:p>
      <w:pPr>
        <w:spacing w:after="0" w:line="21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Each Lender hereby irrevocably appoints the Administrative Agent and the Collateral Agent (for purposes of this Article 9, the Administrative Agent and the Collateral Agent are referred to collectively as the “</w:t>
      </w:r>
      <w:r>
        <w:rPr>
          <w:rFonts w:ascii="Arial" w:cs="Arial" w:eastAsia="Arial" w:hAnsi="Arial"/>
          <w:sz w:val="17"/>
          <w:szCs w:val="17"/>
          <w:b w:val="1"/>
          <w:bCs w:val="1"/>
          <w:color w:val="auto"/>
        </w:rPr>
        <w:t>Agents</w:t>
      </w:r>
      <w:r>
        <w:rPr>
          <w:rFonts w:ascii="Arial" w:cs="Arial" w:eastAsia="Arial" w:hAnsi="Arial"/>
          <w:sz w:val="17"/>
          <w:szCs w:val="17"/>
          <w:color w:val="auto"/>
        </w:rPr>
        <w:t>”) its agent and authorizes the Agents to take such actions on its behalf and to exercise such powers as are delegated to such Agent by the terms of the Loan Documents, together with such actions and powers as are reasonably incidental or related thereto. Without limiting the generality of the foregoing, the Agents are hereby expressly authorized to (i) execute any and all documents with respect to the Collateral and the rights of the Secured Parties with respect thereto, as contemplated by and in accordance with the provisions of this Agreement and the other Loan Documents and (ii) negotiate, enforce or settle any claim, action or proceeding affecting the Lenders in their capacity as such, at the direction of the Lenders, which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87" w:name="page88"/>
    <w:bookmarkEnd w:id="87"/>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negotiation, enforcement or settlement will be binding upon each Lender. The institution serving as the Administrative Agent and/or the Collateral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Borrower or any Subsidiary or other Affiliate thereof as if it were not an Agent hereunder. The Agents shall not, except as expressly set forth herein and in the other Loan Documents, have any duty to disclose, and shall not be liable for the failure to disclose, any information relating to the Borrower or any Loan Party that is communicated or obtained by the Person serving as Administrative Agent or Collateral Agent, as applicable, or any of their Affiliates in any capacity.</w:t>
      </w:r>
    </w:p>
    <w:p>
      <w:pPr>
        <w:spacing w:after="0" w:line="195"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Neither Agent shall have any duties or obligations except those expressly set forth in the Loan Documents. Without limiting the generality of the foregoing, (a) neither Agent shall be subject to any fiduciary or other implied duties, regardless of whether an Event of Default or Default has occurred and is continuing, (b) neither Agent shall have any duty to take any discretionary action or exercise any discretionary powers, except discretionary rights and powers expressly contemplated hereby that such Agent is instructed in writing to exercise by the Lenders, and (c) except as expressly set forth in the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Lenders or in the absence of its own gross negligence or willful misconduct as determined by the final non-appealable judgment of a court of competent jurisdiction. Notwithstanding the foregoing, no action nor any omission to act, taken by either Agent at the direction of the Lenders shall constitute gross negligence or willful misconduct. Neither Agent shall be deemed to have knowledge of any Event of Default or Default unless and until written notice thereof, conspicuously labeled as a “notice of default” and specifically describing such Event of Default or Default, is given to such Agent by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w:t>
      </w:r>
    </w:p>
    <w:p>
      <w:pPr>
        <w:spacing w:after="0" w:line="2" w:lineRule="exact"/>
        <w:rPr>
          <w:sz w:val="20"/>
          <w:szCs w:val="20"/>
          <w:color w:val="auto"/>
        </w:rPr>
      </w:pPr>
    </w:p>
    <w:p>
      <w:pPr>
        <w:ind w:left="4" w:right="200" w:hanging="4"/>
        <w:spacing w:after="0" w:line="253"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elsewhere in any Loan Document, other than to confirm receipt of items expressly required to be delivered to such Agent.</w:t>
      </w:r>
    </w:p>
    <w:p>
      <w:pPr>
        <w:spacing w:after="0" w:line="193"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jc w:val="both"/>
        <w:ind w:left="4" w:right="100" w:firstLine="440"/>
        <w:spacing w:after="0" w:line="301" w:lineRule="auto"/>
        <w:rPr>
          <w:sz w:val="20"/>
          <w:szCs w:val="20"/>
          <w:color w:val="auto"/>
        </w:rPr>
      </w:pPr>
      <w:r>
        <w:rPr>
          <w:rFonts w:ascii="Arial" w:cs="Arial" w:eastAsia="Arial" w:hAnsi="Arial"/>
          <w:sz w:val="16"/>
          <w:szCs w:val="16"/>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arrangement of the Facilities as well as activities as Agent.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88" w:name="page89"/>
    <w:bookmarkEnd w:id="88"/>
    <w:p>
      <w:pPr>
        <w:ind w:left="4" w:right="1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Agent may resign at any time by notifying the Lenders and the Borrower in writing, and either Agent may be removed at any time with or without cause by an instrument or concurrent instruments in writing delivered to the Borrower and such Agent and signed by the Lenders. Upon any such resignation or removal, the Lenders shall have the right, without the consent of the Borrower, to appoint a successor. If no successor shall have been so appointed by the Lenders and shall have accepted such appointment within 30 days after (i) the retiring Agent gives notice of its resignation or</w:t>
      </w:r>
    </w:p>
    <w:p>
      <w:pPr>
        <w:spacing w:after="0" w:line="1" w:lineRule="exact"/>
        <w:rPr>
          <w:sz w:val="20"/>
          <w:szCs w:val="20"/>
          <w:color w:val="auto"/>
        </w:rPr>
      </w:pPr>
    </w:p>
    <w:p>
      <w:pPr>
        <w:ind w:left="4" w:hanging="4"/>
        <w:spacing w:after="0" w:line="268"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Lenders deliver removal instructions, then the retiring or removed Agent may, on behalf of the Lenders, appoint a successor Agent which shall be a bank with an office in New York, New York, or an Affiliate of any such bank. If no successor Agent has been appointed pursuant to the immediately preceding, such Agent’s resignation or removal shall become effective and the Lenders shall thereafter perform all the duties of such Agent hereunder and/or under any other Loan Document until such time, if any, as the Lenders appoint a 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shall continue in effect for the benefit of such retiring Agent, its sub-agents and their respective Related Parties in respect of any actions taken or omitted to be taken by any of them while acting as Agent.</w:t>
      </w:r>
    </w:p>
    <w:p>
      <w:pPr>
        <w:spacing w:after="0" w:line="179"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76" w:lineRule="exact"/>
        <w:rPr>
          <w:sz w:val="20"/>
          <w:szCs w:val="20"/>
          <w:color w:val="auto"/>
        </w:rPr>
      </w:pPr>
    </w:p>
    <w:p>
      <w:pPr>
        <w:ind w:left="4" w:right="220" w:firstLine="440"/>
        <w:spacing w:after="0" w:line="279" w:lineRule="auto"/>
        <w:rPr>
          <w:sz w:val="20"/>
          <w:szCs w:val="20"/>
          <w:color w:val="auto"/>
        </w:rPr>
      </w:pPr>
      <w:r>
        <w:rPr>
          <w:rFonts w:ascii="Arial" w:cs="Arial" w:eastAsia="Arial" w:hAnsi="Arial"/>
          <w:sz w:val="17"/>
          <w:szCs w:val="17"/>
          <w:color w:val="auto"/>
        </w:rPr>
        <w:t>Each Lender acknowledges and agrees that Alter Domus Products Corp. or one or more of its Affiliates may (but is not obligated to) act as collateral agent or representative for the holders of B-2 Indebtedness and/or under the collateral agreements with respect thereto. Each Lender waives any conflict of interest, now contemplated or arising hereafter, in connection therewith and agrees not to assert against Alter Domus Products Corp. or any of its Affiliates any claims, causes of action, damages or liabilities of whatever kind or nature relating thereto.</w:t>
      </w:r>
    </w:p>
    <w:p>
      <w:pPr>
        <w:spacing w:after="0" w:line="171"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 xml:space="preserve">In case of the pendency of any case or proceeding under any Debtor Relief Law or other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the Agents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10.05</w:t>
      </w:r>
      <w:r>
        <w:rPr>
          <w:rFonts w:ascii="Arial" w:cs="Arial" w:eastAsia="Arial" w:hAnsi="Arial"/>
          <w:sz w:val="17"/>
          <w:szCs w:val="17"/>
          <w:color w:val="auto"/>
        </w:rPr>
        <w:t>) allowed in such judicial proceeding; and (b) to collect and receive any monies or other property payable or deliverable on any such claims and to distribute the same; and any custodian, receiver, interim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Agents any amount due for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4"/>
          </w:cols>
          <w:pgMar w:left="436" w:top="274" w:right="439" w:bottom="1440" w:gutter="0" w:footer="0" w:header="0"/>
        </w:sectPr>
      </w:pPr>
    </w:p>
    <w:bookmarkStart w:id="89" w:name="page90"/>
    <w:bookmarkEnd w:id="89"/>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reasonable compensation, expenses, disbursements and advances of the Administrative Agent and its agents and counsel, and any other amounts due to the Agents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10.05</w:t>
      </w:r>
      <w:r>
        <w:rPr>
          <w:rFonts w:ascii="Arial" w:cs="Arial" w:eastAsia="Arial" w:hAnsi="Arial"/>
          <w:sz w:val="16"/>
          <w:szCs w:val="16"/>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5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provisions of this Section shall survive the resignation or replacement of the Administrative Agent or Collateral Agent, the termination of the Loan Documents, the termination of the Commitments and the repayment, satisfaction or discharge of all obligations under any Loan Document.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1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Notices; Electronic Communications.</w:t>
      </w:r>
      <w:r>
        <w:rPr>
          <w:rFonts w:ascii="Arial" w:cs="Arial" w:eastAsia="Arial" w:hAnsi="Arial"/>
          <w:sz w:val="18"/>
          <w:szCs w:val="18"/>
          <w:color w:val="auto"/>
        </w:rPr>
        <w:t xml:space="preserve"> Notices and other communications provided for herein shall be in writing and shall be delivered by hand or overnight courier service, mailed by certified or registered mail or sent by email or fax, as follows:</w:t>
      </w:r>
    </w:p>
    <w:p>
      <w:pPr>
        <w:spacing w:after="0" w:line="197"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to the Borrower or any other Loan Party, to it at:</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Yellow Corporation</w:t>
      </w:r>
    </w:p>
    <w:p>
      <w:pPr>
        <w:spacing w:after="0" w:line="23" w:lineRule="exact"/>
        <w:rPr>
          <w:rFonts w:ascii="Arial" w:cs="Arial" w:eastAsia="Arial" w:hAnsi="Arial"/>
          <w:sz w:val="18"/>
          <w:szCs w:val="18"/>
          <w:color w:val="auto"/>
        </w:rPr>
      </w:pPr>
    </w:p>
    <w:p>
      <w:pPr>
        <w:ind w:left="980" w:right="5820"/>
        <w:spacing w:after="0" w:line="250" w:lineRule="auto"/>
        <w:rPr>
          <w:rFonts w:ascii="Arial" w:cs="Arial" w:eastAsia="Arial" w:hAnsi="Arial"/>
          <w:sz w:val="18"/>
          <w:szCs w:val="18"/>
          <w:color w:val="auto"/>
        </w:rPr>
      </w:pPr>
      <w:r>
        <w:rPr>
          <w:rFonts w:ascii="Arial" w:cs="Arial" w:eastAsia="Arial" w:hAnsi="Arial"/>
          <w:sz w:val="18"/>
          <w:szCs w:val="18"/>
          <w:color w:val="auto"/>
        </w:rPr>
        <w:t>Attention of Chief Financial Officer and General Counsel 10990 Roe Avenue</w:t>
      </w:r>
    </w:p>
    <w:p>
      <w:pPr>
        <w:ind w:left="980" w:right="7840"/>
        <w:spacing w:after="0" w:line="281" w:lineRule="auto"/>
        <w:rPr>
          <w:rFonts w:ascii="Arial" w:cs="Arial" w:eastAsia="Arial" w:hAnsi="Arial"/>
          <w:sz w:val="18"/>
          <w:szCs w:val="18"/>
          <w:color w:val="auto"/>
        </w:rPr>
      </w:pPr>
      <w:r>
        <w:rPr>
          <w:rFonts w:ascii="Arial" w:cs="Arial" w:eastAsia="Arial" w:hAnsi="Arial"/>
          <w:sz w:val="16"/>
          <w:szCs w:val="16"/>
          <w:color w:val="auto"/>
        </w:rPr>
        <w:t>Overland Park, Kansas 66211 Fax No. 913-696-6116</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Tel. No. 913-696-6529 or 913-696-6132</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Dan.Olivier@myYellow.com and Leah.Dawson@myYellow.com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of Michelle Kilkenney, Esq. and Patrick Nash,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300 North LaSalle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No. 312-862-2200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 No. 312-862-2487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michelle.kilkenney@kirkland.com; Patrick.nash@kirkland.com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Goodmans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of Robert J. Chadwick and Caroline Descours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Bay Adelaide Centre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Bay Street, Suite 3400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Toronto, ON M5H 2S7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rchadwick@goodmans.ca; cdescours@goodmans.ca</w:t>
      </w:r>
    </w:p>
    <w:p>
      <w:pPr>
        <w:spacing w:after="0" w:line="238" w:lineRule="exact"/>
        <w:rPr>
          <w:sz w:val="20"/>
          <w:szCs w:val="20"/>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to the Administrative Agent, to:</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Alter Domus Products Corp.</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225 W. Washington Street,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90" w:name="page91"/>
    <w:bookmarkEnd w:id="90"/>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Chicago, Illinois 60606</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Legal Department – Agency, Emily Ergang Pappas and Chris Capezuti</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Fax No.: 312-376-0751</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Tel. No.: 312-564-5100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legal_agency@alterdomus.com, emily.ergangpappas@alterdomus.com and cpcagency@alterdomus.com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Holland &amp; Knight LLP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150 N. Riverside Plaza, Suite 2700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Fax No.: 312-578-6666</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Tel. No.: 312-263-3600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Joshua M. Spencer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joshua.spencer@hklaw.com and alterdomus@hklaw.com</w:t>
      </w:r>
    </w:p>
    <w:p>
      <w:pPr>
        <w:spacing w:after="0" w:line="238" w:lineRule="exact"/>
        <w:rPr>
          <w:sz w:val="20"/>
          <w:szCs w:val="20"/>
          <w:color w:val="auto"/>
        </w:rPr>
      </w:pPr>
    </w:p>
    <w:p>
      <w:pPr>
        <w:ind w:left="964" w:hanging="532"/>
        <w:spacing w:after="0"/>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to a Lender, to it at its address (email address or fax number) set forth on Appendices A and B.</w:t>
      </w:r>
    </w:p>
    <w:p>
      <w:pPr>
        <w:spacing w:after="0" w:line="225"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on the date three Business Days after dispatch by certified or registered mail if mailed, in each case delivered, sent or mailed (properly addressed) to such party as provided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in accordance with the latest unrevoked direction from such party given in accordance with this </w:t>
      </w:r>
      <w:r>
        <w:rPr>
          <w:rFonts w:ascii="Arial" w:cs="Arial" w:eastAsia="Arial" w:hAnsi="Arial"/>
          <w:sz w:val="17"/>
          <w:szCs w:val="17"/>
          <w:u w:val="single" w:color="auto"/>
          <w:color w:val="auto"/>
        </w:rPr>
        <w:t>Section 10.01</w:t>
      </w:r>
      <w:r>
        <w:rPr>
          <w:rFonts w:ascii="Arial" w:cs="Arial" w:eastAsia="Arial" w:hAnsi="Arial"/>
          <w:sz w:val="17"/>
          <w:szCs w:val="17"/>
          <w:color w:val="auto"/>
        </w:rPr>
        <w:t>. As agreed to among the Borrower, the Administrative Agent and the applicable Lenders from time to time, notices and other communications may also be delivered by e-mail to the e-mail address of a representative of the applicable Person provided from time to time by such Person.</w:t>
      </w:r>
    </w:p>
    <w:p>
      <w:pPr>
        <w:spacing w:after="0" w:line="178" w:lineRule="exact"/>
        <w:rPr>
          <w:sz w:val="20"/>
          <w:szCs w:val="20"/>
          <w:color w:val="auto"/>
        </w:rPr>
      </w:pPr>
    </w:p>
    <w:p>
      <w:pPr>
        <w:ind w:left="4" w:right="200" w:firstLine="440"/>
        <w:spacing w:after="0" w:line="284" w:lineRule="auto"/>
        <w:rPr>
          <w:sz w:val="20"/>
          <w:szCs w:val="20"/>
          <w:color w:val="auto"/>
        </w:rPr>
      </w:pPr>
      <w:r>
        <w:rPr>
          <w:rFonts w:ascii="Arial" w:cs="Arial" w:eastAsia="Arial" w:hAnsi="Arial"/>
          <w:sz w:val="16"/>
          <w:szCs w:val="16"/>
          <w:color w:val="auto"/>
        </w:rPr>
        <w:t xml:space="preserve">The Borrower hereby agrees, unless directed otherwise by the Lenders or Administrative Agent or unless the electronic mail address referred to below has not been provided by the Administrative Agent to the Borrower, that it will, or will cause its Subsidiaries to, provide to the Administrative Agent and/or the Lenders all information, documents and other materials that it is obligated to furnish to the Administrative Agent and/or the Lenders pursuant to the Loan Documents or to the Lenders under Article 6, including all notices, requests, financial statements, financial and other reports, certificates and other information materials, but excluding any such communication that (i) is or relates to a Request for Credit Extension or a notice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(ii) relates to the payment of any principal or other amount due under this Agreement prior to the scheduled date therefor, or</w:t>
      </w:r>
    </w:p>
    <w:p>
      <w:pPr>
        <w:spacing w:after="0" w:line="4" w:lineRule="exact"/>
        <w:rPr>
          <w:sz w:val="20"/>
          <w:szCs w:val="20"/>
          <w:color w:val="auto"/>
        </w:rPr>
      </w:pPr>
    </w:p>
    <w:p>
      <w:pPr>
        <w:ind w:left="4" w:right="100" w:hanging="4"/>
        <w:spacing w:after="0" w:line="252"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provides notice of any Default or Event of Default under this Agreement or any other Loan Document, (all such non-excluded communications being referred to herein collectively as “</w:t>
      </w:r>
      <w:r>
        <w:rPr>
          <w:rFonts w:ascii="Arial" w:cs="Arial" w:eastAsia="Arial" w:hAnsi="Arial"/>
          <w:sz w:val="18"/>
          <w:szCs w:val="18"/>
          <w:b w:val="1"/>
          <w:bCs w:val="1"/>
          <w:color w:val="auto"/>
        </w:rPr>
        <w:t>Communications</w:t>
      </w:r>
      <w:r>
        <w:rPr>
          <w:rFonts w:ascii="Arial" w:cs="Arial" w:eastAsia="Arial" w:hAnsi="Arial"/>
          <w:sz w:val="18"/>
          <w:szCs w:val="18"/>
          <w:color w:val="auto"/>
        </w:rPr>
        <w:t>”), by transmitting the Communications in an electronic/soft medium that is properly identified in a format reasonably acceptable to the Administrative Agent and/or the Lenders to an electronic mail address as directed by the Administrative Agent and/or the Lenders. In addition, the Borrower agrees, and agrees to cause its Subsidiaries, to continue to provide the Communications to the Administrative Agent, the Lenders or the Lenders, as the case may be, in the manner specified in the Loan Documents but only to the extent requested by the Administrative Agent.</w:t>
      </w:r>
    </w:p>
    <w:p>
      <w:pPr>
        <w:spacing w:after="0" w:line="194"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The Borrower hereby acknowledges that (a) the Administrative Agent will make available to the Lenders materials and/or information provided by or on behalf of the Borrower hereunder (collectively, the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may be “public</w:t>
      </w:r>
      <w:r>
        <w:rPr>
          <w:rFonts w:ascii="Arial" w:cs="Arial" w:eastAsia="Arial" w:hAnsi="Arial"/>
          <w:sz w:val="17"/>
          <w:szCs w:val="17"/>
          <w:b w:val="1"/>
          <w:bCs w:val="1"/>
          <w:color w:val="auto"/>
        </w:rPr>
        <w:t>-</w:t>
      </w:r>
      <w:r>
        <w:rPr>
          <w:rFonts w:ascii="Arial" w:cs="Arial" w:eastAsia="Arial" w:hAnsi="Arial"/>
          <w:sz w:val="17"/>
          <w:szCs w:val="17"/>
          <w:color w:val="auto"/>
        </w:rPr>
        <w:t>side” Lenders (i.e., Lenders that do</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4"/>
          </w:cols>
          <w:pgMar w:left="436" w:top="274" w:right="479" w:bottom="1440" w:gutter="0" w:footer="0" w:header="0"/>
        </w:sectPr>
      </w:pPr>
    </w:p>
    <w:bookmarkStart w:id="91" w:name="page92"/>
    <w:bookmarkEnd w:id="9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wish to receive material non-public information with respect to the Borrower, its Subsidiaries or any of their respective securities) (each, a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The Borrower hereby agrees (w) to use commercially reasonable effort to make all Borrower Materials that are to be made available to Public</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clearly and conspicuously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with respect to the Borrower or any of its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(y) all Borrower Materials marked “PUBLIC” are permitted to be made available through a portion of the Platform designated as “Public Investor;” and (z) the Administrative Agent shall be entitled to treat any Borrower Materials that are not marked “PUBLIC” as being suitable only for posting on a portion of the Platform not marked as “Public Investor.” Notwithstanding the foregoing, the following Borrower Materials shall be marked “PUBLIC”, unless the Borrower notifies the Administrative Agent promptly that any such document contains material non-public information: (1) the Loan Documents, (2) financial statements and related documentation, in each case, provided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(3) notification of changes in the terms of the Facilities.</w:t>
      </w:r>
    </w:p>
    <w:p>
      <w:pPr>
        <w:spacing w:after="0" w:line="18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its Subsidiaries or any of their respective securities for purposes of United States Federal or state securities laws.</w:t>
      </w:r>
    </w:p>
    <w:p>
      <w:pPr>
        <w:spacing w:after="0" w:line="192" w:lineRule="exact"/>
        <w:rPr>
          <w:sz w:val="20"/>
          <w:szCs w:val="20"/>
          <w:color w:val="auto"/>
        </w:rPr>
      </w:pPr>
    </w:p>
    <w:p>
      <w:pPr>
        <w:ind w:right="60" w:firstLine="440"/>
        <w:spacing w:after="0" w:line="252" w:lineRule="auto"/>
        <w:rPr>
          <w:sz w:val="20"/>
          <w:szCs w:val="20"/>
          <w:color w:val="auto"/>
        </w:rPr>
      </w:pPr>
      <w:r>
        <w:rPr>
          <w:rFonts w:ascii="Arial" w:cs="Arial" w:eastAsia="Arial" w:hAnsi="Arial"/>
          <w:sz w:val="18"/>
          <w:szCs w:val="18"/>
          <w:color w:val="auto"/>
        </w:rPr>
        <w:t>THE PLATFORM IS PROVIDED “AS IS” AND “AS AVAILABLE”. NEITHER THE ADMINISTRATIVE AGENT NOR ANY OF ITS RELATED PARTIES WARRANTS THE ACCURACY OR COMPLETENESS OF THE COMMUNICATIONS OR THE ADEQUACY OF THE PLATFORM AND EACH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NON-APPEALABLE RULING BY A COURT OF COMPETENT JURISDICTION TO HAVE RESULTED FROM SUCH PERSON’S OR ITS RELATED PARTIES’ GROSS NEGLIGENCE, WILLFUL MISCONDUCT OR BAD FAITH, IN EACH CASE, AS DETERMINED BY THE FINAL NON-APPEALABLE JUDGMENT OF A COURT OF COMPETENT JURISDICTION.</w:t>
      </w:r>
    </w:p>
    <w:p>
      <w:pPr>
        <w:spacing w:after="0" w:line="19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0" w:right="459" w:bottom="1440" w:gutter="0" w:footer="0" w:header="0"/>
        </w:sectPr>
      </w:pPr>
    </w:p>
    <w:bookmarkStart w:id="92" w:name="page93"/>
    <w:bookmarkEnd w:id="92"/>
    <w:p>
      <w:pPr>
        <w:jc w:val="both"/>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for purposes of the Loan Documents. Each Lender agrees that receipt of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e-mail address to which the foregoing notice may be sent by electronic transmission and that the foregoing notice may be sent to such e-mail address.</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Nothing herein shall prejudice the right of the Administrative Agent or any Lender to give any notice or other communication pursuant to any Loan Document in any other manner specified in such Loan Document.</w:t>
      </w:r>
    </w:p>
    <w:p>
      <w:pPr>
        <w:spacing w:after="0" w:line="17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Survival of Agreement.</w:t>
      </w:r>
      <w:r>
        <w:rPr>
          <w:rFonts w:ascii="Arial" w:cs="Arial" w:eastAsia="Arial" w:hAnsi="Arial"/>
          <w:sz w:val="17"/>
          <w:szCs w:val="17"/>
          <w:color w:val="auto"/>
        </w:rPr>
        <w:t xml:space="preserve"> All covenants, agreements, representations and warranties made by the Borrower herein and in the certificates or other instruments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or that any Agent or Lender may have had notice of any Default or Event of Default at the time of any Credit Extension, and shall continue in full force and effect as long as the principal of or any accrued interest on any Loan or any Fee or any other amount payable under this Agreement or any other Loan Document is outstanding and unpaid and so long as the Commitments have not been terminated. The provisions of </w:t>
      </w:r>
      <w:r>
        <w:rPr>
          <w:rFonts w:ascii="Arial" w:cs="Arial" w:eastAsia="Arial" w:hAnsi="Arial"/>
          <w:sz w:val="17"/>
          <w:szCs w:val="17"/>
          <w:u w:val="single" w:color="auto"/>
          <w:color w:val="auto"/>
        </w:rPr>
        <w:t>Section 3.01</w:t>
      </w:r>
      <w:r>
        <w:rPr>
          <w:rFonts w:ascii="Arial" w:cs="Arial" w:eastAsia="Arial" w:hAnsi="Arial"/>
          <w:sz w:val="17"/>
          <w:szCs w:val="17"/>
          <w:color w:val="auto"/>
        </w:rPr>
        <w:t>, Section 3.03 Article 9 and Section 10.05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-447040</wp:posOffset>
            </wp:positionV>
            <wp:extent cx="2286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-447040</wp:posOffset>
            </wp:positionV>
            <wp:extent cx="2857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This Agreement shall become effective when it shall have been executed and delivered by the Borrower, each other Loan Party hereto on the Closing Date and the Administrative Agent and when the Administrative Agent shall have received counterparts hereof which, when taken together, bear the signatures of each of the other parties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Whenever in this Agreement any of the parties hereto is referred to, such reference shall be deemed to include the permitted successors and assigns of such party; and all covenants, promises and agreements by or on behalf of the Borrower, the Administrative Agent, the Collateral Agent or the Lenders that are contained in this Agreement shall bind and inure to the benefit of their respective permitted successors and assigns.</w:t>
      </w:r>
    </w:p>
    <w:p>
      <w:pPr>
        <w:spacing w:after="0" w:line="165" w:lineRule="exact"/>
        <w:rPr>
          <w:rFonts w:ascii="Arial" w:cs="Arial" w:eastAsia="Arial" w:hAnsi="Arial"/>
          <w:sz w:val="17"/>
          <w:szCs w:val="17"/>
          <w:color w:val="auto"/>
        </w:rPr>
      </w:pPr>
    </w:p>
    <w:p>
      <w:pPr>
        <w:jc w:val="both"/>
        <w:ind w:right="160" w:firstLine="436"/>
        <w:spacing w:after="0" w:line="311"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Commitments of the Lenders described herein and the Loans issued hereunder may not be assigned by the Lenders and the Lenders may not sell or grant participations in the Loans or Commitments. No Lender shall assign or delegate any of its rights or duties hereunder without the prior written consent of the Administrative Agent and the Borrower, and any attempted assignment without such consent shall be null and void.</w:t>
      </w:r>
    </w:p>
    <w:p>
      <w:pPr>
        <w:spacing w:after="0" w:line="148" w:lineRule="exact"/>
        <w:rPr>
          <w:rFonts w:ascii="Arial" w:cs="Arial" w:eastAsia="Arial" w:hAnsi="Arial"/>
          <w:sz w:val="16"/>
          <w:szCs w:val="16"/>
          <w:color w:val="auto"/>
        </w:rPr>
      </w:pPr>
    </w:p>
    <w:p>
      <w:pPr>
        <w:ind w:firstLine="436"/>
        <w:spacing w:after="0" w:line="257"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register for the recordation of the names and addresses of the Lenders, and the Commitment of, and principal amount of and the interest on the Loans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absent manifest error and the Borrower, the Administrative Agent, the Collateral Agent and the Lenders shall treat each Person whose name is recorded in the Register pursuant to the terms hereof as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3" w:name="page94"/>
    <w:bookmarkEnd w:id="9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hereunder for all purposes of this Agreement, notwithstanding notice to the contrary. The Register shall be available for inspection by the Borrower, the Collateral Agent and, as to entries pertaining to it, any Lender, at any reasonable time and from time to time upon reasonable prior written notice. This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shall be construed so that all Loans are at all times maintained in “registered form” within the meaning of Section 163(f), 871(h)(2) and 881(c)(2) of the Code and any related Treasury regulations (or any other relevant or successor provisions of the Code or of such Treasury regulations).</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(d) The Borrower shall not assign or delegate any of its rights or duties hereunder without the prior written consent of the Administrative Agent and each Lender, and any attempted assignment without such consent shall be null and void.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Expenses; Indemnity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(a) The Borrower agrees (i) promptly following (and in any event within the period set forth in the DIP Order) written demand (including documentation reasonably supporting such request) therefor, to pay or reimburse the Administrative Agent, the Collateral Agent and the Lenders for all reasonable and documented out-of-pocket costs and expenses (including the documented fees and expenses of Holland &amp; Knight LLP, Ropes &amp; Gray LLP and Blake, Cassels &amp; Graydon LLP) incurred in connection with the preparation, negotiation and execution of the DIP Term Sheet,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Attorney Costs which in the case of the Agents, shall be limited to Attorney Costs of one counsel to the Agents and one local counsel in each applicable jurisdiction for the Agents) and (ii) from and after the Closing Date, promptly following (and in any event within the period set forth in the DIP Order) written demand (including documentation reasonably supporting such request) therefor, to pay or reimburse the Administrative Agent, the Collateral Agent and each Lender promptly following written demand for all reasonable and documented out-of-pocket costs and expenses (including the documented fees and expenses of Holland &amp; Knight LLP, Ropes &amp; Gray LLP and Blake, Cassels &amp; Graydon LLP) incurred in connection with the enforcement (whether through negotiations, legal proceedings or otherwise) of any rights or remedies under the DIP Term Sheet, this Agreement or the other Loan Documents (including all such out-of-pocket costs and expenses incurred during any legal proceeding, including any proceeding under any Debtor Relief Law, and including Attorney Costs). To the extent otherwise reimbursable by the foregoing sentence of this section, the foregoing costs and expenses shall include all reasonable search, filing, recording, title insurance, survey, environmental, property condition report and zoning report charges and fees related thereto, and other reasonable and documented out of pocket expenses incurred by any Agent. The foregoing costs and expenses shall also include all recording and filing fees charged by governmental authorities to record and/or file Collateral Documents.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(b)  Whether or not the transactions contemplated hereby are consummated, the Loan Parties shall, jointly and severally, indemnify and hold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harmless the Administrative Agent, the Collateral Agent and their respective Affiliates, successors and permitted assigns (or the directors, officers,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agents, advisors and members of each of the foregoing) (each an “</w:t>
      </w:r>
      <w:r>
        <w:rPr>
          <w:rFonts w:ascii="Arial" w:cs="Arial" w:eastAsia="Arial" w:hAnsi="Arial"/>
          <w:sz w:val="16"/>
          <w:szCs w:val="16"/>
          <w:b w:val="1"/>
          <w:bCs w:val="1"/>
          <w:color w:val="auto"/>
        </w:rPr>
        <w:t>Agent Indemnitee</w:t>
      </w:r>
      <w:r>
        <w:rPr>
          <w:rFonts w:ascii="Arial" w:cs="Arial" w:eastAsia="Arial" w:hAnsi="Arial"/>
          <w:sz w:val="16"/>
          <w:szCs w:val="16"/>
          <w:color w:val="auto"/>
        </w:rPr>
        <w:t>” and collectively, the “</w:t>
      </w:r>
      <w:r>
        <w:rPr>
          <w:rFonts w:ascii="Arial" w:cs="Arial" w:eastAsia="Arial" w:hAnsi="Arial"/>
          <w:sz w:val="16"/>
          <w:szCs w:val="16"/>
          <w:b w:val="1"/>
          <w:bCs w:val="1"/>
          <w:color w:val="auto"/>
        </w:rPr>
        <w:t>Agent Indemnitees</w:t>
      </w:r>
      <w:r>
        <w:rPr>
          <w:rFonts w:ascii="Arial" w:cs="Arial" w:eastAsia="Arial" w:hAnsi="Arial"/>
          <w:sz w:val="16"/>
          <w:szCs w:val="16"/>
          <w:color w:val="auto"/>
        </w:rPr>
        <w:t>”) and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and their respective Affiliates, successors and permitted assigns (or the directors, officers, employees, agents, advisors and members of each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foregoing) (each a “</w:t>
      </w:r>
      <w:r>
        <w:rPr>
          <w:rFonts w:ascii="Arial" w:cs="Arial" w:eastAsia="Arial" w:hAnsi="Arial"/>
          <w:sz w:val="17"/>
          <w:szCs w:val="17"/>
          <w:b w:val="1"/>
          <w:bCs w:val="1"/>
          <w:color w:val="auto"/>
        </w:rPr>
        <w:t>Lender Indemnitee</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 Indemnitees</w:t>
      </w:r>
      <w:r>
        <w:rPr>
          <w:rFonts w:ascii="Arial" w:cs="Arial" w:eastAsia="Arial" w:hAnsi="Arial"/>
          <w:sz w:val="17"/>
          <w:szCs w:val="17"/>
          <w:color w:val="auto"/>
        </w:rPr>
        <w:t>”; together with, the Agent Indemnitees,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actual losses, damages, claims, liabilities and reasonable documented out-of-pocket costs and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Attorney Costs which shall be limited to Attorney Costs of one outside counsel for the Agent Indemnitees and Attorney Costs of one outside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counsel for the Lender Indemnitees (and, if necessary, one local counsel in each applicable jurisdiction and, in the event of any actual or reasonably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perceived conflict of interest, one additional counsel for each type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similarly situated affected Indemnitees)) of any kind or nature whatsoever which may at any time be imposed on, incurred by or asserted against any Agent Indemnitee or Lender Indemnitee in any way relating to or arising out of or in connection with (i) the execution, delivery, enforcement, performance or administration of any Loan Document or any other agreement, letter or instrument delivered in connection with the transactions contemplated thereby or the consummation of the Transactions or the other transactions contemplated thereby, (ii) any Commitment or Loan or the use or proposed use of the proceeds therefrom, (iii) any actual or alleged presence or Release of Hazardous Materials at, on, under or from any property, vehicle or facility currently or formerly owned, leased or operated by the Loan Parties or any Subsidiary, or any other Environmental Liability related in any way to any Loan Parties or any Subsidiary,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Agent Indemnitee or Lender Indemnitee is a party thereto and regardless of whether such matter is initiated by a third party or by the Borrower or any of its Affiliates or equityholders in all cases, whether or not caused by or arising, in whole or in part, out of the negligence of any such Agent Indemnitee or Lender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such indemnity shall not, as to any Indemnitee, be available to the extent that such losses, damages, claims, liabilities and expenses resulted from (x) the gross negligence, bad faith or willful misconduct of such Indemnitee or of any affiliate, director, officer, employee, counsel, agent or attorney-in-fact of such Indemnitee, as determined by the final non-appealable judgment of a court of competent jurisdiction or (y) any dispute solely among the Indemnitees other than (1) any claim against an Indemnitee in its capacity or in fulfilling its role as Administrative Agent, Collateral Agent or similar role and (2) any claim arising out of any act or omission of the Borrower or any of its Affiliates. No Indemnitee or any other party hereto shall be liable for any damages arising from the use by others of any information or other materials obtained through IntraLinks or other similar information transmission systems in connection with this Agreement except to the extent that such damages resulted from the (A) gross negligence, bad faith or willful misconduct of such Indemnitee or of any affiliate, director, officer, employee, counsel, agent or attorney-in-fact of such Indemnitee, as determined by the final non-appealable judgment of a court of competent jurisdiction or (B) the material breach by such Indemnitee of its or of any affiliate, director, officer, employee, counsel, agent or attorney-in-fact of such Indemnitee’s obligations under the Loan Documents, as determined by the final non-appealable judgment of a court of competent jurisdiction. In the case of a claim, investigation, litigation or other proceeding to which the indemnity in this Section 10.05 applies, such indemnity shall be effective whether or not such claim, investigation, litigation or proceeding is brought by any Loan Party, any Subsidiary of any Loan Party, any Loan Party’s directors, stockholders or creditors or other Affiliates or an Indemnitee or any other Person, whether or not any Indemnitee is otherwise a party thereto and whether or not any of the transactions contemplated hereunder or under any of the other Loan Documents are consummated. For the avoidance of doubt, this paragraph shall not apply with respect to Taxes other than any Taxes that represent losses, claims, damages, etc. arising from any non-Tax claim.</w:t>
      </w:r>
    </w:p>
    <w:p>
      <w:pPr>
        <w:spacing w:after="0" w:line="3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(c) To the extent the Agent Indemnitees are not reimbursed and indemnified by the Loan Parties, and without limiting the obligation of the Loan Parties to do so, the Lenders shall indemnify and hold harmless the Agent Indemnities, based on and to the extent of such Lender’s pro rata share (determined as of the time that the applicable unreimbursed expense or indemnity payment is sought), from and against any and all losses, claims, damages, liabilities and related expenses (including Attorney Costs) of any kind or nature whatsoever which may at any time be imposed on, incurred by or asserted against any Agent Indemnitee in any way relating to or arising out of or in connection with this Agreement or any other Loan Document or in the performance by the Agents in its duties under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be liable for any portion of such losses, claims, damages, liabilities and related expenses resulting from any Agent Indemnitees gross negligence, bad faith or willful misconduct (as determined by a court of competent jurisdiction in a final and non-appealable decision). Without limiting the foregoing, to the extent not paid or reimbursed by the Loan Parties, each Lender shall pay or reimburse the Agent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5" w:name="page96"/>
    <w:bookmarkEnd w:id="95"/>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Indemnitees based on and to the extent of such Lender’s pro rata share of all reasonable and documented out-of-pocket costs and expenses reimbursable pursuant to Section 10.05, incurred in connection with the enforcement (whether through negotiations, legal proceedings or otherwise) of any rights or remedies under this Agreement or the other Loan Documents (including all such out-of-pocket costs and expenses incurred during any legal proceeding, including any proceeding under any Debtor Relief Law, and including all Attorney Costs). For purposes hereof, if the Term Loans have been paid in full prior to such determination pursuant to the immediately preceding sentence, then each such Lender’s “pro rata share” shall be determined as of the last date the Term Loans were in effect immediately prior to such payment in full. The provisions of this Section shall survive the resignation or replacement of the Administrative Agent or Collateral Agent, the termination of the Loan Documents, the termination of the Commitments and the repayment, satisfaction or discharge of all obligations under any Loan Document.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(d) To the extent permitted by applicable Law, (i) no Loan Party shall assert, and each hereby waives, any claim against any Indemnitee and</w:t>
      </w:r>
    </w:p>
    <w:p>
      <w:pPr>
        <w:spacing w:after="0" w:line="46" w:lineRule="exact"/>
        <w:rPr>
          <w:sz w:val="20"/>
          <w:szCs w:val="20"/>
          <w:color w:val="auto"/>
        </w:rPr>
      </w:pPr>
    </w:p>
    <w:p>
      <w:pPr>
        <w:ind w:left="4" w:right="20" w:hanging="4"/>
        <w:spacing w:after="0" w:line="253"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 Indemnitee shall assert, and each hereby waives, any claim against any Loan Party, on any theory of liability, for special, indirect, consequential or punitive damages (as opposed to direct or actual damages) arising out of, in connection with, or as a result of, the DIP Term Sheet, this Agreement, any other Loan Document or any agreement or instrument contemplated hereby or thereby, the Transactions or any Loan or the use of the proceeds thereof (whether before or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in no event limit the Loan Parties’ indemnification obligations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w:t>
      </w:r>
    </w:p>
    <w:p>
      <w:pPr>
        <w:spacing w:after="0" w:line="19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(e) The provisions of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w:t>
      </w:r>
    </w:p>
    <w:p>
      <w:pPr>
        <w:spacing w:after="0" w:line="18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i w:val="1"/>
          <w:iCs w:val="1"/>
          <w:color w:val="auto"/>
        </w:rPr>
        <w:t>Right of Setoff.</w:t>
      </w:r>
      <w:r>
        <w:rPr>
          <w:rFonts w:ascii="Arial" w:cs="Arial" w:eastAsia="Arial" w:hAnsi="Arial"/>
          <w:sz w:val="17"/>
          <w:szCs w:val="17"/>
          <w:color w:val="auto"/>
        </w:rPr>
        <w:t xml:space="preserve"> In addition to any rights and remedies of the Lenders provided by Law, upon the occurrence and during the continuance of any Event of Default, each Lender and its Affiliates (and the Agents, in respect of any unpaid fees, costs and expenses payable hereunder) is authorized at any time and from time to time (with the prior consent of the Administrative Agent), without prior notice to any Loan Party, any such notice being waived by each Loan Party (on its own behalf and on behalf of each of its Subsidiaries), to the fullest extent permitted by applicable Law, to set off and apply any and all deposits (general or special, time or demand, provisional or final) (other than payroll accounts, trust and tax accounts, escrow accounts, employee benefits accounts or petty cash accounts) at any time held by, and other indebtedness at any time owing by, such Lender and its Affiliates or the Collateral Agent to or for the credit or the account of the respective Loan Parties against any and all matured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denominated in a currency different from that of the applicable deposit or Indebtedness. Each Lender agrees promptly to notify the Borrower and the Administrative Agent after any such set off and application made by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 The rights of the Administrative Agent, the Collateral Agent and each Lender under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are in addition to other rights and remedies (including other rights of setoff) that the Administrative Agent, the Collateral Agent and such Lender may have at Law.</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Applicable Law.</w:t>
      </w:r>
      <w:r>
        <w:rPr>
          <w:rFonts w:ascii="Arial" w:cs="Arial" w:eastAsia="Arial" w:hAnsi="Arial"/>
          <w:sz w:val="18"/>
          <w:szCs w:val="18"/>
          <w:color w:val="auto"/>
        </w:rPr>
        <w:t xml:space="preserve"> This Agreement and the other Loan Documents shall be governed by, and construed in accordance with, the law of the State of New York, except to the extent New York law is superseded by the Bankruptcy Code.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4"/>
          </w:cols>
          <w:pgMar w:left="436" w:top="274" w:right="439" w:bottom="1440" w:gutter="0" w:footer="0" w:header="0"/>
        </w:sectPr>
      </w:pPr>
    </w:p>
    <w:bookmarkStart w:id="96" w:name="page97"/>
    <w:bookmarkEnd w:id="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10.08. </w:t>
      </w:r>
      <w:r>
        <w:rPr>
          <w:rFonts w:ascii="Arial" w:cs="Arial" w:eastAsia="Arial" w:hAnsi="Arial"/>
          <w:sz w:val="18"/>
          <w:szCs w:val="18"/>
          <w:i w:val="1"/>
          <w:iCs w:val="1"/>
          <w:color w:val="auto"/>
        </w:rPr>
        <w:t>Waivers; Amendment</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(a) No failure or delay of the Administrative Agent, the Collateral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paragraph (b) below, and then such waiver or consent shall be effective only in the specific instance and for the purpose for which given. No notice or demand on the Borrower in any case shall entitle the Borrower to any other or further notice or demand in similar or other circumstances.</w:t>
      </w:r>
    </w:p>
    <w:p>
      <w:pPr>
        <w:spacing w:after="0" w:line="16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(b) Neither this Agreement nor any other Loan Document nor any provision hereof or thereof may be waived, amended or modified except pursuant to an agreement or agreements in writing entered into by the Administrative Agent, the Borrower and the Lenders.</w:t>
      </w:r>
    </w:p>
    <w:p>
      <w:pPr>
        <w:spacing w:after="0" w:line="14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b w:val="1"/>
          <w:bCs w:val="1"/>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which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 participation but were not payable as a result of the operation of this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spacing w:after="0" w:line="19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This Agreement, the Agency Fee Letter and the other Loan Documents constitute the entire contract between the parties relative to the subject matter hereof. Any other previous agreement among the parties with respect to the subject matter hereof is superseded by this Agreement and the other Loan Documents. Nothing in this Agreement or in the other Loan Documents, expressed or implied, is intended to confer upon any Person (other than the parties hereto and thereto, their respective successors and assigns permitted hereunder and, to the extent expressly contemplated hereby, the Related Parties of each of the Lenders, Administrative Agent, the Collateral Agent and the Lenders) any rights, remedies, obligations or liabilities under or by reason of this Agreement or the other Loan Documents.</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7" w:name="page98"/>
    <w:bookmarkEnd w:id="97"/>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2"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and shall become effective as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 Delivery of an executed signature page to this Agreement by facsimile or other electronic imaging transmission shall be as effective as delivery of a manually signed counterpart of this Agreement.</w:t>
      </w:r>
    </w:p>
    <w:p>
      <w:pPr>
        <w:spacing w:after="0" w:line="187"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Jurisdiction; Consent to Service of Process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(a) Each of the parties hereto hereby irrevocably and unconditionally submits, for itself and its property, to the non-exclusive jurisdiction of the Bankruptcy Court or, in the event that the Bankruptcy Court does not have or does not exercise jurisdiction, any New York State court or Federal court of the United States of America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the Bankruptcy Court or, in the event that the Bankruptcy Court does not have or does not exercise jurisdiction, such New York State or, to the extent permitted by law, such Federal court. Each of the parties hereto agrees that a final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the Bankruptcy Court. Each of the parties hereto hereby irrevocably waives, to the fullest extent permitted by law, the defense of an inconvenient forum to the maintenance of such action or proceeding in any such court.</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(c) Each party to this Agreement irrevocably consents to service of process in the manner provided for notices in </w:t>
      </w:r>
      <w:r>
        <w:rPr>
          <w:rFonts w:ascii="Arial" w:cs="Arial" w:eastAsia="Arial" w:hAnsi="Arial"/>
          <w:sz w:val="18"/>
          <w:szCs w:val="18"/>
          <w:u w:val="single" w:color="auto"/>
          <w:color w:val="auto"/>
        </w:rPr>
        <w:t>Section 10.01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(d) Notwithstanding anything to the contrary herein, the Canadian Recognition Proceedings and the orders of the Canadian Court granted therein shall be subject to the exclusive jurisdiction of the Canadian Court.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98" w:name="page99"/>
    <w:bookmarkEnd w:id="98"/>
    <w:p>
      <w:pPr>
        <w:ind w:left="4" w:right="16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10.16. </w:t>
      </w:r>
      <w:r>
        <w:rPr>
          <w:rFonts w:ascii="Arial" w:cs="Arial" w:eastAsia="Arial" w:hAnsi="Arial"/>
          <w:sz w:val="16"/>
          <w:szCs w:val="16"/>
          <w:i w:val="1"/>
          <w:iCs w:val="1"/>
          <w:color w:val="auto"/>
        </w:rPr>
        <w:t>Confidentiality.</w:t>
      </w:r>
      <w:r>
        <w:rPr>
          <w:rFonts w:ascii="Arial" w:cs="Arial" w:eastAsia="Arial" w:hAnsi="Arial"/>
          <w:sz w:val="16"/>
          <w:szCs w:val="16"/>
          <w:color w:val="auto"/>
        </w:rPr>
        <w:t xml:space="preserve"> Each of the Administrative Agent, the Collateral Agent, and the Lenders agrees to maintain the confidentiality of the Information (as defined below), except that Information may be disclosed (a) to its and its Affiliates’ officers, directors, employees and agents, including accountants, financing sources, legal counsel and other advisors involved in the Transaction on a “need to know” basis (it being understood that the Persons to whom such disclosure is made will be informed of the confidential nature of such Information and instructed to keep such Information confidential), (b) to the extent requested by any regulatory authority or quasi-regulatory authority (such as the National Association of Insurance Commissioners), (c) to the extent required by applicable Laws or regulations or by any subpoena or similar legal process (and in such case, such Person shall promptly notify the Borrower of such disclosure), (d) in connection with the exercise of any remedies hereunder or under the other Loan Documents or any suit, action or proceeding relating to the enforcement of its rights hereunder or thereunder, (e) subject to an agreement containing provisions substantially the same as those of this </w:t>
      </w:r>
      <w:r>
        <w:rPr>
          <w:rFonts w:ascii="Arial" w:cs="Arial" w:eastAsia="Arial" w:hAnsi="Arial"/>
          <w:sz w:val="16"/>
          <w:szCs w:val="16"/>
          <w:u w:val="single" w:color="auto"/>
          <w:color w:val="auto"/>
        </w:rPr>
        <w:t>Section 10.16</w:t>
      </w:r>
      <w:r>
        <w:rPr>
          <w:rFonts w:ascii="Arial" w:cs="Arial" w:eastAsia="Arial" w:hAnsi="Arial"/>
          <w:sz w:val="16"/>
          <w:szCs w:val="16"/>
          <w:color w:val="auto"/>
        </w:rPr>
        <w:t>, to (i) any actual or prospective assignee of or participant in any of its rights or obligations under this Agreement and the other Loan Documents or (ii) any actual or prospective counterparty (or its advisors) to any swap or derivative transaction relating to the Borrower or any Subsidiary or of their respective obligations, (f) with the prior written consent of the Borrower,</w:t>
      </w:r>
    </w:p>
    <w:p>
      <w:pPr>
        <w:spacing w:after="0" w:line="4" w:lineRule="exact"/>
        <w:rPr>
          <w:sz w:val="20"/>
          <w:szCs w:val="20"/>
          <w:color w:val="auto"/>
        </w:rPr>
      </w:pPr>
    </w:p>
    <w:p>
      <w:pPr>
        <w:ind w:left="4" w:hanging="4"/>
        <w:spacing w:after="0" w:line="285" w:lineRule="auto"/>
        <w:tabs>
          <w:tab w:leader="none" w:pos="25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on a confidential basis to (x) any rating agency in connection with rating the Borrower or its Subsidiaries or the Facility or (y) the CUSIP Service Bureau or any similar agency in connection with the issuance and monitoring of CUSIP numbers with respect to the Facility, or (h) to the extent such Information becomes publicly available other than as a result of a material breach of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or other confidentiality obligation owed to the Borrower or any of its Subsidiaries. For the purposes of this Article, “</w:t>
      </w:r>
      <w:r>
        <w:rPr>
          <w:rFonts w:ascii="Arial" w:cs="Arial" w:eastAsia="Arial" w:hAnsi="Arial"/>
          <w:sz w:val="16"/>
          <w:szCs w:val="16"/>
          <w:b w:val="1"/>
          <w:bCs w:val="1"/>
          <w:color w:val="auto"/>
        </w:rPr>
        <w:t>Information</w:t>
      </w:r>
      <w:r>
        <w:rPr>
          <w:rFonts w:ascii="Arial" w:cs="Arial" w:eastAsia="Arial" w:hAnsi="Arial"/>
          <w:sz w:val="16"/>
          <w:szCs w:val="16"/>
          <w:color w:val="auto"/>
        </w:rPr>
        <w:t xml:space="preserve">” shall mean all information received from the Borrower and related to the Borrower, its business, other than any such information that was available to the Administrative Agent, the Collateral Agent or any Lender on a nonconfidential basis prior to its disclosure by the Borrower not in violation of any confidentiality or obligation owed to the Borrower and the Subsidiaries.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Any Person required to maintain the confidentiality of Information as provided in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shall be considered to have complied with its obligation to do so if such Person has exercised the same degree of care to maintain the confidentiality of such Information as such Person would accord its own confidential information.</w:t>
      </w:r>
    </w:p>
    <w:p>
      <w:pPr>
        <w:spacing w:after="0" w:line="2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USA PATRIOT Act Notice.</w:t>
      </w:r>
      <w:r>
        <w:rPr>
          <w:rFonts w:ascii="Arial" w:cs="Arial" w:eastAsia="Arial" w:hAnsi="Arial"/>
          <w:sz w:val="18"/>
          <w:szCs w:val="18"/>
          <w:color w:val="auto"/>
        </w:rPr>
        <w:t xml:space="preserve"> Each Lender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Collateral And Guaranty Matters</w:t>
      </w:r>
      <w:r>
        <w:rPr>
          <w:rFonts w:ascii="Arial" w:cs="Arial" w:eastAsia="Arial" w:hAnsi="Arial"/>
          <w:sz w:val="18"/>
          <w:szCs w:val="18"/>
          <w:color w:val="auto"/>
        </w:rPr>
        <w:t>. The Lenders irrevocably agree:</w:t>
      </w:r>
    </w:p>
    <w:p>
      <w:pPr>
        <w:spacing w:after="0" w:line="117"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(a) that any Lien on any property granted to or held by the Administrative Agent or the Collateral Agent under any Loan Document shall be automatically released (i) upon termination of all Commitments hereunder and payment in full of all Obligations (other than contingent obligations not yet accrued or payable), (ii) at the time the property subject to such Lien is disposed as part of or in connection with any disposition permitted hereunder or under any other Loan Document to any Person other than a Person required to grant a Lien to the Administrative Agent or the Collateral Agent under the Loan Documents, (iii) subject to </w:t>
      </w:r>
      <w:r>
        <w:rPr>
          <w:rFonts w:ascii="Arial" w:cs="Arial" w:eastAsia="Arial" w:hAnsi="Arial"/>
          <w:sz w:val="17"/>
          <w:szCs w:val="17"/>
          <w:u w:val="single" w:color="auto"/>
          <w:color w:val="auto"/>
        </w:rPr>
        <w:t>Section 10.08</w:t>
      </w:r>
      <w:r>
        <w:rPr>
          <w:rFonts w:ascii="Arial" w:cs="Arial" w:eastAsia="Arial" w:hAnsi="Arial"/>
          <w:sz w:val="17"/>
          <w:szCs w:val="17"/>
          <w:color w:val="auto"/>
        </w:rPr>
        <w:t>, if the release of such Lien is approved, authorized or ratified in</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99" w:name="page100"/>
    <w:bookmarkEnd w:id="99"/>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writing by the Lenders, (iv) if the property subject to such Lien is owned by a Guarantor, upon release of such Guarantor from its obligations under its Guaranty pursuant to </w:t>
      </w:r>
      <w:r>
        <w:rPr>
          <w:rFonts w:ascii="Arial" w:cs="Arial" w:eastAsia="Arial" w:hAnsi="Arial"/>
          <w:sz w:val="18"/>
          <w:szCs w:val="18"/>
          <w:u w:val="single" w:color="auto"/>
          <w:color w:val="auto"/>
        </w:rPr>
        <w:t>Section 11.10</w:t>
      </w:r>
      <w:r>
        <w:rPr>
          <w:rFonts w:ascii="Arial" w:cs="Arial" w:eastAsia="Arial" w:hAnsi="Arial"/>
          <w:sz w:val="18"/>
          <w:szCs w:val="18"/>
          <w:color w:val="auto"/>
        </w:rPr>
        <w:t>, (v) any such property constitutes Excluded Property or (vi) in accordance with the Prepetition ABL Intercreditor Agreement or any Chapter 11 Order;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(b) [reserved];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(c) that any Guarantor shall be automatically released from its obligations under the Guaranty as provided in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Upon request by the Administrative Agent or the Collateral Agent at any time, the Lenders will confirm in writing the Administrative Agent’s or the Collateral Agent’s authority to release or subordinate its interest in particular types or items of property, or to release any Guarantor from its obligations under the Guaranty pursuant to this </w:t>
      </w:r>
      <w:r>
        <w:rPr>
          <w:rFonts w:ascii="Arial" w:cs="Arial" w:eastAsia="Arial" w:hAnsi="Arial"/>
          <w:sz w:val="16"/>
          <w:szCs w:val="16"/>
          <w:u w:val="single" w:color="auto"/>
          <w:color w:val="auto"/>
        </w:rPr>
        <w:t>Section 10.19</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10.19</w:t>
      </w:r>
      <w:r>
        <w:rPr>
          <w:rFonts w:ascii="Arial" w:cs="Arial" w:eastAsia="Arial" w:hAnsi="Arial"/>
          <w:sz w:val="16"/>
          <w:szCs w:val="16"/>
          <w:color w:val="auto"/>
        </w:rPr>
        <w:t xml:space="preserve">, the Administrative Agent or the Collateral Agent will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6"/>
          <w:szCs w:val="16"/>
          <w:u w:val="single" w:color="auto"/>
          <w:color w:val="auto"/>
        </w:rPr>
        <w:t>Section 10.19</w:t>
      </w:r>
      <w:r>
        <w:rPr>
          <w:rFonts w:ascii="Arial" w:cs="Arial" w:eastAsia="Arial" w:hAnsi="Arial"/>
          <w:sz w:val="16"/>
          <w:szCs w:val="16"/>
          <w:color w:val="auto"/>
        </w:rPr>
        <w:t>.</w:t>
      </w:r>
    </w:p>
    <w:p>
      <w:pPr>
        <w:spacing w:after="0" w:line="166" w:lineRule="exact"/>
        <w:rPr>
          <w:sz w:val="20"/>
          <w:szCs w:val="20"/>
          <w:color w:val="auto"/>
        </w:rPr>
      </w:pPr>
    </w:p>
    <w:p>
      <w:pPr>
        <w:ind w:firstLine="440"/>
        <w:spacing w:after="0" w:line="252"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i w:val="1"/>
          <w:iCs w:val="1"/>
          <w:color w:val="auto"/>
        </w:rPr>
        <w:t>Limitation on Liability</w:t>
      </w:r>
      <w:r>
        <w:rPr>
          <w:rFonts w:ascii="Arial" w:cs="Arial" w:eastAsia="Arial" w:hAnsi="Arial"/>
          <w:sz w:val="18"/>
          <w:szCs w:val="18"/>
          <w:color w:val="auto"/>
        </w:rPr>
        <w:t xml:space="preserve">. TO THE EXTENT PERMITTED BY APPLICABLE LAW, AND NOTWITHSTANDING ANY OTHER PROVISION OF THIS AGREEMENT OR THE OTHER LOAN DOCUMENTS: (A) NO INDEMNITEE SHALL BE LIABLE TO ANY PARTY FOR ANY INDIRECT, SPECIAL, PUNITIVE OR CONSEQUENTIAL DAMAGES IN CONNECTION WITH THEIR RESPECTIVE ACTIVITIES RELATED TO THIS AGREEMENT, THE OTHER LOAN DOCUMENTS, THE TRANSACTIONS CONTEMPLATED THEREBY, THE TERM LOANS, OR OTHERWISE IN CONNECTION WITH THE FOREGOING; (B) WITHOUT LIMITING THE FOREGOING, NO INDEMNITEE SHALL BE SUBJECT TO ANY EQUITABLE REMEDY OR RELIEF, INCLUDING SPECIFIC PERFORMANCE OR INJUNCTION ARISING OUT OF OR RELATING TO THIS AGREEMENT, THE OTHER LOAN DOCUMENTS, OR THE TRANSACTIONS CONTEMPLATED THEREBY; (C) NO INDEMNITEE SHALL HAVE ANY LIABILITY TO THE LOAN PARTIES, FOR DAMAGES OR OTHERWISE, ARISING OUT OF OR RELATING TO THIS AGREEMENT, THE OTHER LOAN DOCUMENTS, OR THE TRANSACTIONS CONTEMPLATED THEREBY; AND (D) IN NO EVENT SHALL ANY INDEMNITEE’S LIABILITY TO THE LOAN PARTIES ARISING OUT OF OR RELATING TO THIS AGREEMENT, THE OTHER LOAN DOCUMENTS, OR THE TRANSACTIONS CONTEMPLATED THEREBY EXCEED ACTUAL DIRECT DAMAGES INCURRED BY THE LOAN PARTIES OF UP TO $10,000,000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IN NO EVENT LIMIT THE LENDERS’ INDEMNIFICATION OBLIGATIONS TO THE AGENT INDEMNITEES UNDER SECTION 10.05 OF THIS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LIMITATION OF LIABILITY SHALL NOT APPLY TO LIABILITY RESULTING FROM FRAUD BY THE INDEMNITEES.</w:t>
      </w:r>
    </w:p>
    <w:p>
      <w:pPr>
        <w:spacing w:after="0" w:line="19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10.21. </w:t>
      </w:r>
      <w:r>
        <w:rPr>
          <w:rFonts w:ascii="Arial" w:cs="Arial" w:eastAsia="Arial" w:hAnsi="Arial"/>
          <w:sz w:val="17"/>
          <w:szCs w:val="17"/>
          <w:i w:val="1"/>
          <w:iCs w:val="1"/>
          <w:color w:val="auto"/>
        </w:rPr>
        <w:t>Payments Set Aside.</w:t>
      </w:r>
      <w:r>
        <w:rPr>
          <w:rFonts w:ascii="Arial" w:cs="Arial" w:eastAsia="Arial" w:hAnsi="Arial"/>
          <w:sz w:val="17"/>
          <w:szCs w:val="17"/>
          <w:color w:val="auto"/>
        </w:rPr>
        <w:t xml:space="preserve"> To the extent that any payment by or on behalf of the Borrower or any other Loan Party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0" w:name="page101"/>
    <w:bookmarkEnd w:id="100"/>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Federal Funds Effective Rate from time to time in effect.</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No Advisory or Fiduciary Responsibility</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Agents and the Lenders, on the other hand, and the Borrower and its Subsidiaries are capable of evaluating and understanding and understands and accepts the terms, risks and conditions of the transactions contemplated hereby and by the other Loan Documents (including any amendment, waiver or other modification hereof or thereof), (ii) the Agents, the Lenders and their respective Affiliates may be engaged in a broad range of transactions that involve interests that differ from, and may conflict with, those of the Borrower and its Affiliates, and none of the Agents or the Lenders has any obligation to disclose any of such interests by virtue of any advisory, agency or fiduciary relationship, and (iii) the Agents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72" w:lineRule="exact"/>
        <w:rPr>
          <w:sz w:val="20"/>
          <w:szCs w:val="20"/>
          <w:color w:val="auto"/>
        </w:rPr>
      </w:pPr>
    </w:p>
    <w:p>
      <w:pPr>
        <w:ind w:right="240" w:firstLine="440"/>
        <w:spacing w:after="0" w:line="293" w:lineRule="auto"/>
        <w:rPr>
          <w:sz w:val="20"/>
          <w:szCs w:val="20"/>
          <w:color w:val="auto"/>
        </w:rPr>
      </w:pPr>
      <w:r>
        <w:rPr>
          <w:rFonts w:ascii="Arial" w:cs="Arial" w:eastAsia="Arial" w:hAnsi="Arial"/>
          <w:sz w:val="16"/>
          <w:szCs w:val="16"/>
          <w:color w:val="auto"/>
        </w:rPr>
        <w:t>(b) Each Loan Party acknowledges and agrees that each Lender and any of its affiliates may lend money to, invest in, and generally engage in any kind of business with, the Borrower, any of its Affiliates or any other person or entity that may do business with or own securities of any of the foregoing, all as if such Lender or Affiliate thereof were not a Lender (or an agent or any other person with any similar role under the Facilities) and without any duty to account therefor to any other Lender, the Borrower or any Affiliate of the foregoing. Each Lender and any of its Affiliates may accept fees and other consideration from the Borrower or any of its Affiliates for services in connection with this Agreement, the Facilities, the commitment letter or otherwise without having to account for the same to any other Lender, the Borrower or any Affiliate of the foregoing.</w:t>
      </w:r>
    </w:p>
    <w:p>
      <w:pPr>
        <w:spacing w:after="0" w:line="16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10.23. </w:t>
      </w:r>
      <w:r>
        <w:rPr>
          <w:rFonts w:ascii="Arial" w:cs="Arial" w:eastAsia="Arial" w:hAnsi="Arial"/>
          <w:sz w:val="17"/>
          <w:szCs w:val="17"/>
          <w:i w:val="1"/>
          <w:iCs w:val="1"/>
          <w:color w:val="auto"/>
        </w:rPr>
        <w:t>Release</w:t>
      </w:r>
      <w:r>
        <w:rPr>
          <w:rFonts w:ascii="Arial" w:cs="Arial" w:eastAsia="Arial" w:hAnsi="Arial"/>
          <w:sz w:val="17"/>
          <w:szCs w:val="17"/>
          <w:color w:val="auto"/>
        </w:rPr>
        <w:t>. Each of the Loan Parties and each of their estates, on its own behalf and on behalf of its and their respective predecessors, successors, heirs, and past, present and future subsidiaries and assigns, hereby absolutely, unconditionally, and irrevocably releases and forever discharges and acquits the Secured Parties and each of their respective Related Parties (solely in their capacities as such) (collectively, the “</w:t>
      </w:r>
      <w:r>
        <w:rPr>
          <w:rFonts w:ascii="Arial" w:cs="Arial" w:eastAsia="Arial" w:hAnsi="Arial"/>
          <w:sz w:val="17"/>
          <w:szCs w:val="17"/>
          <w:b w:val="1"/>
          <w:bCs w:val="1"/>
          <w:color w:val="auto"/>
        </w:rPr>
        <w:t>Released</w:t>
      </w:r>
      <w:r>
        <w:rPr>
          <w:rFonts w:ascii="Arial" w:cs="Arial" w:eastAsia="Arial" w:hAnsi="Arial"/>
          <w:sz w:val="17"/>
          <w:szCs w:val="17"/>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from any and all liability to the Loan Parties (and their successors and assigns) and from any and all claims, counterclaims, demands,</w:t>
      </w:r>
      <w:r>
        <w:rPr>
          <w:rFonts w:ascii="Arial" w:cs="Arial" w:eastAsia="Arial" w:hAnsi="Arial"/>
          <w:sz w:val="17"/>
          <w:szCs w:val="17"/>
          <w:b w:val="1"/>
          <w:bCs w:val="1"/>
          <w:color w:val="auto"/>
        </w:rPr>
        <w:t xml:space="preserve"> </w:t>
      </w:r>
      <w:r>
        <w:rPr>
          <w:rFonts w:ascii="Arial" w:cs="Arial" w:eastAsia="Arial" w:hAnsi="Arial"/>
          <w:sz w:val="17"/>
          <w:szCs w:val="17"/>
          <w:color w:val="auto"/>
        </w:rPr>
        <w:t>defenses, offsets, debts, accounts, contracts, liabilities, actions and causes of action of any kind, nature and description, whether matured or unmatured, known or unknown, asserted or unasserted, foreseen or unforeseen, accrued or unaccrued, suspected or unsuspected, liquidated or unliquidated, pending or threatened, arising in law or equity, in contract or tort, in each case arising out of or related to the Loan Documents, the Loans, the negotiation thereof, and the transactions and agreements reflected thereby, that the Debtors at any time had, now have or may have, or that their predecessors, successors or assigns at any time had or hereafter may have against any of the Released Parties for or by reason of any act, omission, matter, or cause arising at any time on or prior to the date of this Agreement; provided that the release set forth in this section shall not release (i) any claims against or liabilities of a Released Party that a court of competent jurisdiction determines by a final non-appealable order to have directly and primarily resulted from such Released Party’s bad faith, fraud, gross negligence, or willful misconduct, or (ii) any Secured Party from honoring its/their obligations to the Loan Parties under the Loan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01" w:name="page102"/>
    <w:bookmarkEnd w:id="101"/>
    <w:p>
      <w:pPr>
        <w:ind w:right="1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10.24. </w:t>
      </w:r>
      <w:r>
        <w:rPr>
          <w:rFonts w:ascii="Arial" w:cs="Arial" w:eastAsia="Arial" w:hAnsi="Arial"/>
          <w:sz w:val="18"/>
          <w:szCs w:val="18"/>
          <w:i w:val="1"/>
          <w:iCs w:val="1"/>
          <w:color w:val="auto"/>
        </w:rPr>
        <w:t>Process Agent</w:t>
      </w:r>
      <w:r>
        <w:rPr>
          <w:rFonts w:ascii="Arial" w:cs="Arial" w:eastAsia="Arial" w:hAnsi="Arial"/>
          <w:sz w:val="18"/>
          <w:szCs w:val="18"/>
          <w:color w:val="auto"/>
        </w:rPr>
        <w:t>. Each Guarantor irrevocably appoints Borrower, and Borrower hereby accepts such irrevocable appointment, as its agent and true and lawful attorney-in-fact in its name, place and stead to accept on behalf of such Guarantor and its Property and revenues service of copies of the summons and complaint and any other process which may be served in any such suit, action or proceeding brought in the Bankruptcy Court and/or the State of New York, and such Guarantor agrees that the failure of Borrower to give any notice of any such service of process to such Guarantor shall not impair or affect the validity of such service or, to the extent permitted by applicable law, the enforcement of any judgment based thereon.</w:t>
      </w:r>
    </w:p>
    <w:p>
      <w:pPr>
        <w:spacing w:after="0" w:line="19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10.25. </w:t>
      </w:r>
      <w:r>
        <w:rPr>
          <w:rFonts w:ascii="Arial" w:cs="Arial" w:eastAsia="Arial" w:hAnsi="Arial"/>
          <w:sz w:val="18"/>
          <w:szCs w:val="18"/>
          <w:i w:val="1"/>
          <w:iCs w:val="1"/>
          <w:color w:val="auto"/>
        </w:rPr>
        <w:t>Waiver of Immunity.</w:t>
      </w:r>
      <w:r>
        <w:rPr>
          <w:rFonts w:ascii="Arial" w:cs="Arial" w:eastAsia="Arial" w:hAnsi="Arial"/>
          <w:sz w:val="18"/>
          <w:szCs w:val="18"/>
          <w:color w:val="auto"/>
        </w:rPr>
        <w:t xml:space="preserve"> To the extent that any Guarantor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Guarantor hereby irrevocably agrees not to claim and hereby irrevocably waives such immunity with respect to its obligations under this Agreement and the other Loan Documents to which it is a party.</w:t>
      </w:r>
    </w:p>
    <w:p>
      <w:pPr>
        <w:spacing w:after="0" w:line="188"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10.26. </w:t>
      </w:r>
      <w:r>
        <w:rPr>
          <w:rFonts w:ascii="Arial" w:cs="Arial" w:eastAsia="Arial" w:hAnsi="Arial"/>
          <w:sz w:val="16"/>
          <w:szCs w:val="16"/>
          <w:i w:val="1"/>
          <w:iCs w:val="1"/>
          <w:color w:val="auto"/>
        </w:rPr>
        <w:t>DIP Order, Prepetition ABL Intercreditor Agreement and Senior ICA Provisions Control.</w:t>
      </w:r>
      <w:r>
        <w:rPr>
          <w:rFonts w:ascii="Arial" w:cs="Arial" w:eastAsia="Arial" w:hAnsi="Arial"/>
          <w:sz w:val="16"/>
          <w:szCs w:val="16"/>
          <w:color w:val="auto"/>
        </w:rPr>
        <w:t xml:space="preserve"> To the fullest extent possible, the terms and provisions of this Agreement and the other Loan Documents shall be read together with the terms and provisions of the DIP Order, the Prepetition ABL Intercreditor Agreement and the Senior ICA Provisions, as applicable, so that the terms and provisions of this Agreement and the Loan Documents do not conflict with the terms and provisions of the DIP Order, the Prepetition ABL Intercreditor Agreement or the Senior ICA Provisions;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or anything herein to the contrary in this Agreement or the Loan Documents, (i) in the event of any conflict or inconsistency between the terms and provisions of this Agreement or any other Loan Document (on the one hand) and the DIP Order (on the other hand), the applicable terms and provisions of the DIP Order shall govern and control to the extent of such conflict or inconsistency, (ii) in the event of any conflict or inconsistency between the terms and provisions of this Agreement or any other Loan Document (on the one hand) and the terms and provisions of the Prepetition ABL Intercreditor Agreement (on the other hand), the applicable terms and provisions of the Prepetition ABL Intercreditor Agreement shall govern and control to the extent of such conflict or inconsistency and (iii) in the event of any conflict or inconsistency between the terms and provisions of this Agreement or any other Loan Document (on the one hand) and the Senior ICA Provisions (on the other hand), the applicable Senior ICA Provisions shall govern and control to the extent of such conflict or inconsistency; it being expressly understood and agreed that the inclusion in any Loan Document of terms and provisions or supplemental rights or remedies in favor of the Administrative Agent, Collateral Agent or Lenders not addressed in the DIP Order , the Prepetition ABL Intercreditor Agreement or the Senior ICA Provisions shall not be deemed to be in conflict with the DIP Order, the Prepetition ABL Intercreditor Agreement or the Senior ICA Provisions and all such additional terms, provisions, supplemental rights or remedies contained herein shall be given full force and effect.</w:t>
      </w:r>
    </w:p>
    <w:p>
      <w:pPr>
        <w:spacing w:after="0" w:line="17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10.27. </w:t>
      </w:r>
      <w:r>
        <w:rPr>
          <w:rFonts w:ascii="Arial" w:cs="Arial" w:eastAsia="Arial" w:hAnsi="Arial"/>
          <w:sz w:val="16"/>
          <w:szCs w:val="16"/>
          <w:i w:val="1"/>
          <w:iCs w:val="1"/>
          <w:color w:val="auto"/>
        </w:rPr>
        <w:t>Québec Security.</w:t>
      </w:r>
      <w:r>
        <w:rPr>
          <w:rFonts w:ascii="Arial" w:cs="Arial" w:eastAsia="Arial" w:hAnsi="Arial"/>
          <w:sz w:val="16"/>
          <w:szCs w:val="16"/>
          <w:color w:val="auto"/>
        </w:rPr>
        <w:t xml:space="preserve"> For the purposes of the grant of security under the laws of the Province of Quebec which may now or in the future be required to be provided by any Loan Party, the Administrative Agent is hereby irrevocably authorized and appointed by each of the Lenders hereto to act as hypothecary representative (within the meaning of Article 2692 of the Civil Code of Quebec) for all present and future Lenders (in such capacity, the “</w:t>
      </w:r>
      <w:r>
        <w:rPr>
          <w:rFonts w:ascii="Arial" w:cs="Arial" w:eastAsia="Arial" w:hAnsi="Arial"/>
          <w:sz w:val="16"/>
          <w:szCs w:val="16"/>
          <w:b w:val="1"/>
          <w:bCs w:val="1"/>
          <w:color w:val="auto"/>
        </w:rPr>
        <w:t>Hypothecary Representative</w:t>
      </w:r>
      <w:r>
        <w:rPr>
          <w:rFonts w:ascii="Arial" w:cs="Arial" w:eastAsia="Arial" w:hAnsi="Arial"/>
          <w:sz w:val="16"/>
          <w:szCs w:val="16"/>
          <w:color w:val="auto"/>
        </w:rPr>
        <w:t>”) in order to hold any hypothec granted under the laws of the Province of Quebec and to exercise such rights and duties as are conferred upon the Hypothecary Representative under the relevant deed of hypothec and applicable Laws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2" w:name="page103"/>
    <w:bookmarkEnd w:id="102"/>
    <w:p>
      <w:pPr>
        <w:ind w:right="1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power to delegate any such rights or duties). The execution prior to the date hereof by the Administrative Agent in its capacity as the Hypothecary Representative of any deed of hypothec or other security documents made pursuant to the laws of the Province of Quebec, is hereby ratified and confirmed. Any Person who becomes a Lender or successor Administrative Agent shall be deemed to have consented to and ratified the foregoing appointment of the Administrative Agent as the Hypothecary Representative on behalf of all Secured Parties,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mutatis mutandis. In the event of the resignation of the Administrative Agent (which shall include its resignation as the Hypothecary Representative) and appointment of a successor Administrative Agent, such successor Administrative Agent shall also act as the Hypothecary Representative, as contemplated above.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w:t>
      </w:r>
    </w:p>
    <w:p>
      <w:pPr>
        <w:spacing w:after="0" w:line="21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The Guarantee.</w:t>
      </w:r>
      <w:r>
        <w:rPr>
          <w:rFonts w:ascii="Arial" w:cs="Arial" w:eastAsia="Arial" w:hAnsi="Arial"/>
          <w:sz w:val="16"/>
          <w:szCs w:val="16"/>
          <w:color w:val="auto"/>
        </w:rPr>
        <w:t xml:space="preserve"> Each Guarantor hereby jointly and severally with the other Guarantors guarantees, as a primary obligor and not as a surety to each Secured Party and their respective permitted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whether or not such items are allowed or allowable as a claim in any applicable proceeding) on the Loans made by the Lenders to, and the Term Notes or Delayed Draw Term Notes (if any) issued hereunder and held by each Lender of, the Borrower, and all other Obligations from time to time owing to the Secured Parties by any other Loan Party under any Loan Document strictly in accordance with the terms thereof (such obligations being herein collectively called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6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Obligations Unconditional.</w:t>
      </w:r>
      <w:r>
        <w:rPr>
          <w:rFonts w:ascii="Arial" w:cs="Arial" w:eastAsia="Arial" w:hAnsi="Arial"/>
          <w:sz w:val="16"/>
          <w:szCs w:val="16"/>
          <w:color w:val="auto"/>
        </w:rPr>
        <w:t xml:space="preserve"> The obligations of the Guarantors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constitute a guaranty of payment and to the fullest extent permitted by applicable Law, are absolute, irrevocable and unconditional, joint and several, irrespective of the value, genuineness, validity, regularity or enforceability of the Guaranteed Obligations of the Borrower or any other Guarantor under this Agreement, any Term Notes or Delayed Draw Term Notes, as applicable, issued under this Agreement,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65"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(a) at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3" w:name="page104"/>
    <w:bookmarkEnd w:id="103"/>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(b) any of the acts mentioned in any of the provisions of this Agreement, the Term Notes or the Delayed Draw Term Notes, if any, or any other agreement or instrument referred to herein or therein shall be done or omitted;</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(c) the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(d) any Lien or security interest granted to, or in favor of, any Secured Party or Agent as security for any of the Guaranteed Obligations shall fail to be perfected; 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(e) the release of any other Guarantor pursuant to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Certain Waivers, Etc.</w:t>
      </w:r>
      <w:r>
        <w:rPr>
          <w:rFonts w:ascii="Arial" w:cs="Arial" w:eastAsia="Arial" w:hAnsi="Arial"/>
          <w:sz w:val="16"/>
          <w:szCs w:val="16"/>
          <w:color w:val="auto"/>
        </w:rPr>
        <w:t xml:space="preserve"> The Guarantors hereby expressly waive (to the extent permitted by applicable Law) diligence, presentment, demand of payment, protest and, to the extent permitted by Law, all notices whatsoever, and any requirement that any Secured Party exhaust any right, power or remedy or proceed against the Borrower under this Agreement, the Term Notes or the Delayed Draw Term Notes issued hereunder,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permitted assigns thereof, and shall inure to the benefit of the Secured Parties, and their respective successors and permitted assigns, notwithstanding that from time to time during the term of this Agreement there may be no Guaranteed Obligations outstanding. Each Guarantor waives (to the extent permitted by Law) any rights and defenses that are or may become available to it by reason of §§ 2787 to 2855, inclusive, and §§ 2899 and 3433 of the California Civil Code. As provided in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shall be governed by, and construed in accordance with, the laws of the State of New York. The foregoing waivers and the provisions hereinafter set forth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which pertain to California law are included solely out of an abundance of caution, and shall not be construed to mean that any of the above-referenced provisions of California law are in any way applicable to this </w:t>
      </w:r>
      <w:r>
        <w:rPr>
          <w:rFonts w:ascii="Arial" w:cs="Arial" w:eastAsia="Arial" w:hAnsi="Arial"/>
          <w:sz w:val="16"/>
          <w:szCs w:val="16"/>
          <w:u w:val="single" w:color="auto"/>
          <w:color w:val="auto"/>
        </w:rPr>
        <w:t>Article 11</w:t>
      </w:r>
      <w:r>
        <w:rPr>
          <w:rFonts w:ascii="Arial" w:cs="Arial" w:eastAsia="Arial" w:hAnsi="Arial"/>
          <w:sz w:val="16"/>
          <w:szCs w:val="16"/>
          <w:color w:val="auto"/>
        </w:rPr>
        <w:t>, to any other provision of this Agreement or to the Obligations.</w:t>
      </w:r>
    </w:p>
    <w:p>
      <w:pPr>
        <w:spacing w:after="0" w:line="180"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The obligations of the Guarantors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04" w:name="page105"/>
    <w:bookmarkEnd w:id="104"/>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11.05. </w:t>
      </w:r>
      <w:r>
        <w:rPr>
          <w:rFonts w:ascii="Arial" w:cs="Arial" w:eastAsia="Arial" w:hAnsi="Arial"/>
          <w:sz w:val="16"/>
          <w:szCs w:val="16"/>
          <w:i w:val="1"/>
          <w:iCs w:val="1"/>
          <w:color w:val="auto"/>
        </w:rPr>
        <w:t>Subrogation; Subordination.</w:t>
      </w:r>
      <w:r>
        <w:rPr>
          <w:rFonts w:ascii="Arial" w:cs="Arial" w:eastAsia="Arial" w:hAnsi="Arial"/>
          <w:sz w:val="16"/>
          <w:szCs w:val="16"/>
          <w:color w:val="auto"/>
        </w:rPr>
        <w:t xml:space="preserve"> Each Guarantor hereby agrees that until the indefeasible payment and satisfaction in full in cash of all Guaranteed Obligations (other than contingent obligations) and the expiration and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whether by subrogation, contribution or otherwise, against the Borrower or any other Guarantor of any of the Guaranteed Obligations or any security for any of the Guaranteed Obligations. Any Indebtedness of any Loan Party to any Person that is not a Loan Party permitted pursuant to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7.03(d)</w:t>
      </w:r>
      <w:r>
        <w:rPr>
          <w:rFonts w:ascii="Arial" w:cs="Arial" w:eastAsia="Arial" w:hAnsi="Arial"/>
          <w:sz w:val="16"/>
          <w:szCs w:val="16"/>
          <w:color w:val="auto"/>
        </w:rPr>
        <w:t xml:space="preserve"> shall be subordinated to such Loan Party’s Obligations in a manner reasonably acceptable to the Lenders.</w:t>
      </w:r>
    </w:p>
    <w:p>
      <w:pPr>
        <w:spacing w:after="0" w:line="164"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i w:val="1"/>
          <w:iCs w:val="1"/>
          <w:color w:val="auto"/>
        </w:rPr>
        <w:t>Remedies.</w:t>
      </w:r>
      <w:r>
        <w:rPr>
          <w:rFonts w:ascii="Arial" w:cs="Arial" w:eastAsia="Arial" w:hAnsi="Arial"/>
          <w:sz w:val="17"/>
          <w:szCs w:val="17"/>
          <w:color w:val="auto"/>
        </w:rPr>
        <w:t xml:space="preserve"> The Guarantors jointly and severally agree that, as between the Guarantors and the Lenders, the obligations of the Borrower under this Agreement, the Term Notes or the Delayed Draw Term Notes issued hereunder, if any, may be declared to be forthwith due and payable as provided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7"/>
          <w:szCs w:val="17"/>
          <w:u w:val="single" w:color="auto"/>
          <w:color w:val="auto"/>
        </w:rPr>
        <w:t>Section 11.01</w:t>
      </w:r>
      <w:r>
        <w:rPr>
          <w:rFonts w:ascii="Arial" w:cs="Arial" w:eastAsia="Arial" w:hAnsi="Arial"/>
          <w:sz w:val="17"/>
          <w:szCs w:val="17"/>
          <w:color w:val="auto"/>
        </w:rPr>
        <w:t>, subject to the terms and conditions of the DIP Order, the applicable Canadian Orders, the Senior ICA Provisions and the Prepetition ABL Intercreditor Agreement.</w:t>
      </w:r>
    </w:p>
    <w:p>
      <w:pPr>
        <w:spacing w:after="0" w:line="178"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i w:val="1"/>
          <w:iCs w:val="1"/>
          <w:color w:val="auto"/>
        </w:rPr>
        <w:t>Instrument for the Payment of Money.</w:t>
      </w:r>
      <w:r>
        <w:rPr>
          <w:rFonts w:ascii="Arial" w:cs="Arial" w:eastAsia="Arial" w:hAnsi="Arial"/>
          <w:sz w:val="16"/>
          <w:szCs w:val="16"/>
          <w:color w:val="auto"/>
        </w:rPr>
        <w:t xml:space="preserve"> Each Guarantor hereby acknowledges that the guarantee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constitutes an instrument for the payment of money, and consents and agrees that any Secured Party or Agent, at its sole option, in the event of a dispute by such Guarantor in the payment of any moneys due hereunder, shall have the right to bring a motion-action under New York CPLR Section 3213.</w:t>
      </w:r>
    </w:p>
    <w:p>
      <w:pPr>
        <w:spacing w:after="0" w:line="14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Continuing Guarantee.</w:t>
      </w:r>
      <w:r>
        <w:rPr>
          <w:rFonts w:ascii="Arial" w:cs="Arial" w:eastAsia="Arial" w:hAnsi="Arial"/>
          <w:sz w:val="18"/>
          <w:szCs w:val="18"/>
          <w:color w:val="auto"/>
        </w:rPr>
        <w:t xml:space="preserve"> The guarantee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is a continuing guarantee of payment, and shall apply to all Guaranteed Obligations whenever arising.</w:t>
      </w:r>
    </w:p>
    <w:p>
      <w:pPr>
        <w:spacing w:after="0" w:line="170" w:lineRule="exact"/>
        <w:rPr>
          <w:sz w:val="20"/>
          <w:szCs w:val="20"/>
          <w:color w:val="auto"/>
        </w:rPr>
      </w:pPr>
    </w:p>
    <w:p>
      <w:pPr>
        <w:ind w:right="300" w:firstLine="440"/>
        <w:spacing w:after="0" w:line="291"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i w:val="1"/>
          <w:iCs w:val="1"/>
          <w:color w:val="auto"/>
        </w:rPr>
        <w:t>General Limitation on Guarantee Obligations.</w:t>
      </w:r>
      <w:r>
        <w:rPr>
          <w:rFonts w:ascii="Arial" w:cs="Arial" w:eastAsia="Arial" w:hAnsi="Arial"/>
          <w:sz w:val="16"/>
          <w:szCs w:val="16"/>
          <w:color w:val="auto"/>
        </w:rPr>
        <w:t xml:space="preserve"> In any action or proceeding involving any state corporate, limited partnership or limited liability company law, or any applicable state, provincial, territorial, federal or foreign bankruptcy, insolvency, reorganization or other Law affecting the rights of creditors generally, if the obligations of any Guarantor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Arial" w:cs="Arial" w:eastAsia="Arial" w:hAnsi="Arial"/>
          <w:sz w:val="16"/>
          <w:szCs w:val="16"/>
          <w:u w:val="single" w:color="auto"/>
          <w:color w:val="auto"/>
        </w:rPr>
        <w:t>Section 11.11</w:t>
      </w:r>
      <w:r>
        <w:rPr>
          <w:rFonts w:ascii="Arial" w:cs="Arial" w:eastAsia="Arial" w:hAnsi="Arial"/>
          <w:sz w:val="16"/>
          <w:szCs w:val="16"/>
          <w:color w:val="auto"/>
        </w:rPr>
        <w:t>) that is valid and enforceable and not subordinated to the claims of other creditors as determined in such action or proceeding.</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Release of Guarantors.</w:t>
      </w:r>
      <w:r>
        <w:rPr>
          <w:rFonts w:ascii="Arial" w:cs="Arial" w:eastAsia="Arial" w:hAnsi="Arial"/>
          <w:sz w:val="18"/>
          <w:szCs w:val="18"/>
          <w:color w:val="auto"/>
        </w:rPr>
        <w:t xml:space="preserve"> If, in compliance with the terms and provisions of the Loan Documents, all or substantially all of the Equity Interests or property of any Guarantor are sold or otherwise transferred to a Person or Persons none of which is a Loan Party (any such Guarantor, a “</w:t>
      </w:r>
      <w:r>
        <w:rPr>
          <w:rFonts w:ascii="Arial" w:cs="Arial" w:eastAsia="Arial" w:hAnsi="Arial"/>
          <w:sz w:val="18"/>
          <w:szCs w:val="18"/>
          <w:b w:val="1"/>
          <w:bCs w:val="1"/>
          <w:color w:val="auto"/>
        </w:rPr>
        <w:t>Transferred Guarantor</w:t>
      </w:r>
      <w:r>
        <w:rPr>
          <w:rFonts w:ascii="Arial" w:cs="Arial" w:eastAsia="Arial" w:hAnsi="Arial"/>
          <w:sz w:val="18"/>
          <w:szCs w:val="18"/>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hereof) and its obligations to pledge and grant any Collateral owned by it pursuant to any Collateral Document and, in the case of a sale of all or substantially all of the Equity Interests of the Transferred Guarantor, the pledge of such Equity Interests to the Collateral Agent pursuant to the Collateral Documents shall be automatically released, and, the Collateral Agent shall take such actions as are necessary to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5" w:name="page106"/>
    <w:bookmarkEnd w:id="105"/>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release described in this </w:t>
      </w:r>
      <w:r>
        <w:rPr>
          <w:rFonts w:ascii="Arial" w:cs="Arial" w:eastAsia="Arial" w:hAnsi="Arial"/>
          <w:sz w:val="17"/>
          <w:szCs w:val="17"/>
          <w:u w:val="single" w:color="auto"/>
          <w:color w:val="auto"/>
        </w:rPr>
        <w:t>Section 11.10</w:t>
      </w:r>
      <w:r>
        <w:rPr>
          <w:rFonts w:ascii="Arial" w:cs="Arial" w:eastAsia="Arial" w:hAnsi="Arial"/>
          <w:sz w:val="17"/>
          <w:szCs w:val="17"/>
          <w:color w:val="auto"/>
        </w:rPr>
        <w:t xml:space="preserve"> in accordance with the relevant provisions of the Collateral Documents; </w:t>
      </w:r>
      <w:r>
        <w:rPr>
          <w:rFonts w:ascii="Arial" w:cs="Arial" w:eastAsia="Arial" w:hAnsi="Arial"/>
          <w:sz w:val="17"/>
          <w:szCs w:val="17"/>
          <w:i w:val="1"/>
          <w:iCs w:val="1"/>
          <w:color w:val="auto"/>
        </w:rPr>
        <w:t>provided</w:t>
      </w:r>
      <w:r>
        <w:rPr>
          <w:rFonts w:ascii="Arial" w:cs="Arial" w:eastAsia="Arial" w:hAnsi="Arial"/>
          <w:sz w:val="17"/>
          <w:szCs w:val="17"/>
          <w:color w:val="auto"/>
        </w:rPr>
        <w:t>, that no Guarantor shall be released as provided in this paragraph if such Guarantor continues to be a guarantor in respect of any Prepetition Indebtedness.</w:t>
      </w:r>
    </w:p>
    <w:p>
      <w:pPr>
        <w:spacing w:after="0" w:line="14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When all Commitments hereunder have terminated, and all Loans or other Obligations hereunder which are accrued and payable have been paid or satisfied, this Agreement and the Guarantees made herein shall automatically terminate with respect to all Obligations, except with respect to Obligations that expressly survive such repayment pursuant to the terms of this Agreement.</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Right of Contribution.</w:t>
      </w:r>
      <w:r>
        <w:rPr>
          <w:rFonts w:ascii="Arial" w:cs="Arial" w:eastAsia="Arial" w:hAnsi="Arial"/>
          <w:sz w:val="18"/>
          <w:szCs w:val="18"/>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shall in no respect limit the obligations and liabilities of any Guarantor to the Administrative Agent and the Secured Parties, and each Guarantor shall remain liable to the Administrative Agent and the Secured Parties for the full amount guaranteed by such Guarantor hereunder.</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Additional Guarantor Waivers and Agreements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(a) Each Guarantor understands and acknowledges that if the Collateral Agent or any other Secured Party forecloses judicially or nonjudicially against any real property security for the Obligations, that foreclosure could impair or destroy any ability that such Guarantor may have to seek reimbursement, contribution, or indemnification from the Borrower or others based on any right such Guarantor may have of subrogation, reimbursement, contribution, or indemnification for any amounts paid by such Guarantor under the Guaranty. Each Guarantor further understands and acknowledges that in the absence of this paragraph, such potential impairment or destruction of such Guarantor’s rights, if any, may entitle such Guarantor to assert a defense to this Guaranty based on Section 580d of the California Code of Civil Procedure as interpreted in </w:t>
      </w:r>
      <w:r>
        <w:rPr>
          <w:rFonts w:ascii="Arial" w:cs="Arial" w:eastAsia="Arial" w:hAnsi="Arial"/>
          <w:sz w:val="17"/>
          <w:szCs w:val="17"/>
          <w:u w:val="single" w:color="auto"/>
          <w:color w:val="auto"/>
        </w:rPr>
        <w:t>Union Bank v. Gradsky</w:t>
      </w:r>
      <w:r>
        <w:rPr>
          <w:rFonts w:ascii="Arial" w:cs="Arial" w:eastAsia="Arial" w:hAnsi="Arial"/>
          <w:sz w:val="17"/>
          <w:szCs w:val="17"/>
          <w:color w:val="auto"/>
        </w:rPr>
        <w:t>, 265 Cal. App. 2d 40 (1968). By executing this Guaranty, each Guarantor freely, irrevocably, and unconditionally: (i) waives (to the extent permitted by Law) and relinquishes that defense and agrees that such Guarantor will be fully liable under this Guaranty even though the Collateral Agent or any other Secured Party may foreclose, either by judicial foreclosure or by exercise of power of sale, any deed of trust securing the Obligations; (ii) agrees that such Guarantor will not assert that defense in any action or proceeding which the Administrative Agent, the Collateral Agent or any other Secured Party may commence to enforce this Guaranty; (iii) acknowledges and agrees that the rights and defenses waived by such Guarantor in this Guaranty include any right or defense that such Guarantor may have or be entitled to assert based upon or arising out of any one or more of §§ 580a, 580b, 580d, or 726 of the California Code of Civil Procedure or § 2848 of the California Civil Code; and (iv) acknowledges and agrees that the Secured Parties are relying on this waiver in creating the Obligations, and that this waiver is a material part of the consideration which the Secured Parties are receiving for creating the Obligations.</w:t>
      </w:r>
    </w:p>
    <w:p>
      <w:pPr>
        <w:spacing w:after="0" w:line="18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(b) Each Guarantor waives (to the extent permitted by Law) all rights and defenses that such Guarantor may have because any of the Obligations is secured by real property. This means, among other things: (i) the Administrative Agent, the Collateral Agent and the other Secured Parties may collect from such Guarantor without first foreclosing on any real or personal property Collateral pledged by the other Loan Parties; and (ii) if the Collateral Agent or any other Secured Party forecloses on any real property Collateral pledged by the other Loan Parties: (A) the amount of the Obligations may be reduced only by the price for which that Collateral is sold at the foreclosure sale, even if the collateral is worth more than the sale price, and (B) the Administrative Agent, the Collateral Agent and the other Secured Parties may collect from such Guarantor even if the Secured Parties, by foreclosing on the real property Collateral, have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06" w:name="page107"/>
    <w:bookmarkEnd w:id="10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destroyed any right such Guarantor may have to collect from the Borrower. This is an unconditional and irrevocable waiver of any rights and defenses such Guarantor may have because any of the Obligations is secured by real property. These rights and defenses include, but are not limited to, any rights or defenses based upon § 580a, 580b, 580d, or 726 of the California Code of Civil Procedure.</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(c) Each Guarantor waives (to the extent permitted by Law) any right or defense it may have at law or equity, including California Code of Civil Procedure § 580a, to a fair market value hearing or action to determine a deficiency judgment after a foreclosure.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ESERVED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P</w:t>
      </w:r>
      <w:r>
        <w:rPr>
          <w:rFonts w:ascii="Arial" w:cs="Arial" w:eastAsia="Arial" w:hAnsi="Arial"/>
          <w:sz w:val="14"/>
          <w:szCs w:val="14"/>
          <w:color w:val="auto"/>
        </w:rPr>
        <w:t>RIORITY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Collateral; Grant of Lien and Security Interest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(i) Pursuant to the DIP Order and in accordance with the terms thereof, and, in the case of the Canadian Collateral, the Canadian DIP Recognition Order, as security for the full and timely payment and performance of all of the Obligations, each of the Loan Parties hereby collaterally assigns, pledges and grants to the Collateral Agent, for the benefit of itself, the Administrative Agent, the Lenders, the Indemnitees and any other holders of the Obligations (collectively, the “</w:t>
      </w:r>
      <w:r>
        <w:rPr>
          <w:rFonts w:ascii="Arial" w:cs="Arial" w:eastAsia="Arial" w:hAnsi="Arial"/>
          <w:sz w:val="16"/>
          <w:szCs w:val="16"/>
          <w:b w:val="1"/>
          <w:bCs w:val="1"/>
          <w:color w:val="auto"/>
        </w:rPr>
        <w:t>Secured Parties</w:t>
      </w:r>
      <w:r>
        <w:rPr>
          <w:rFonts w:ascii="Arial" w:cs="Arial" w:eastAsia="Arial" w:hAnsi="Arial"/>
          <w:sz w:val="16"/>
          <w:szCs w:val="16"/>
          <w:color w:val="auto"/>
        </w:rPr>
        <w:t>”), a security interest in, and Lien on, the Collateral, which is hereby acknowledged to include all of the property, assets or interests in property or assets of such Person, of any kind or nature whatsoever, real or personal, tangible and intangible now existing or hereafter acquired or created, including all property of the “estate” (within the meaning of the Bankruptcy Code) of the Loan Parties, and all accounts, inventory, goods, contract rights, instruments, documents, chattel paper, patents, trademarks, copyrights and licenses therefor, general intangibles, payment intangibles, intangibles, letters of credit, letter-of-credit rights, supporting obligations, machinery and equipment, real property, fixtures, leases, all of the issued and outstanding Equity Interests entitled to vote (within the meaning of Treas. Reg. Section 1.956-2(c)(2)) and all of the issued and outstanding Equity Interests not entitled to vote (within the meaning of Treas. Reg. Section 1.956-2(c)(2)) of each Subsidiary of the Borrower, all of the Equity Interests of all other Persons that are not Subsidiaries directly owned by the Borrower, money, investment property, deposit accounts, all commercial tort claims and other causes of action other than Avoidance Actions, the proceeds of all Avoidance Actions (excluding for the avoidance of doubt, any claims and the causes of actions themselves), all Cash Collateral, and all cash and non-cash proceeds, rents, products, substitutions, accessions and profits of any of Collateral described above, in each case, other than Excluded Property, but including the proceeds thereof.</w:t>
      </w:r>
    </w:p>
    <w:p>
      <w:pPr>
        <w:spacing w:after="0" w:line="17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(ii) The security interests and Liens in favor of the Collateral Agent in the Collateral shall be effective immediately upon the entry of the Interim Order and shall continue in effect (or be effective, if applicable) upon the entry of the Final Order and subject and subordinate only to (i) the Carve Out, (ii) solely with respect to the Canadian Collateral, the Canadian Priority Charges (in a maximum amount not to exceed CDN $4,200,000) pursuant to the applicable Canadian Orders, and (iii) the Liens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107" w:name="page108"/>
    <w:bookmarkEnd w:id="10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described in the DIP Order and the Canadian DIP Recognition Order and the other applicable Canadian Orders. For the avoidance of doubt, the security interests and Liens in favor of the Collateral Agent in the Collateral shall be junior in all respects to the Liens securing the Prepetition B-2 Obligations and the Postpetition B-2 Obligations and to any B-2 Adequate Protection Liens (as defined in the DIP Order) (other than with respect to Unencumbered Assets, on which the Liens of the Collateral Agent shall be senior to the Liens securing the Postpetition B-2 Indebtedness and the adequate protection Liens of the Prepetition Secured Parties, and the DIP Proceeds Account, on which the Liens in favor of the Collateral Agent shall be pari passu with the Lien securing the Postpetition B-2 Indebtedness on such DIP Proceeds Account (it being understood that the Prepetition Secured Parties have no Lien on the DIP Proceeds Account)). Such Liens and security interests and their priority shall remain in effect until the Commitments shall have been terminated and all Obligations (other than contingent obligations not claimed) shall have been paid in full. Notwithstanding anything to the contrary herein, nothing in this Section 13.04(ii) is intended to or does conflict with or override the UST Adequate Protection Order and in the event of any inconsistencies between this Section 13.04(ii) and the UST Adequate Protection Order, the UST Adequate Protection Order shall govern.</w:t>
      </w:r>
    </w:p>
    <w:p>
      <w:pPr>
        <w:spacing w:after="0" w:line="16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(iii) Notwithstanding anything herein to the contrary or in the other Loan Documents or the DIP Order to the contrary, it is expressly understood and agreed that the Liens and Claims in respect of the Delayed Draw Term Commitment shall be junior and subordinated (including in right of payment) in all respects to the Liens and Claims (including any adequate protections Liens and Claims) of the Prepetition Secured Parties and to the Liens and Claims of the B-2 Lenders and B-2 Agent under the Postpetition B-2 Loan Documents, including, for the avoidance of doubt, to the payment and enforcement of rights of each of the B-2 Secured Parties, the Prepetition ABL Secured Parties and the UST Secured Parties, which right with respect to the B-2 Secured Parties shall be consistent with and no less favorable than those set forth in the Postpetition B-2 Loan Documents, the Prepetition B-2 Loan Documents and the DIP Order. For the avoidance of doubt, the administrative expense claims of the Collateral Agent and the Secured Parties shall be junior in all respects to the administrative expenses claims of the B-2 Secured Parties in respect of the Postpetition B-2 Obligations (other than solely with respect to proceeds in the DIP Proceeds Account, with respect to which the administrative expense claims of the Collateral Agent and the Secured Parties shall be pari passu with those B-2 Secured Parties).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(iv) [Reserved].</w:t>
      </w:r>
    </w:p>
    <w:p>
      <w:pPr>
        <w:spacing w:after="0" w:line="225"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i w:val="1"/>
          <w:iCs w:val="1"/>
          <w:color w:val="auto"/>
        </w:rPr>
        <w:t>Administrative Priority.</w:t>
      </w:r>
      <w:r>
        <w:rPr>
          <w:rFonts w:ascii="Arial" w:cs="Arial" w:eastAsia="Arial" w:hAnsi="Arial"/>
          <w:sz w:val="17"/>
          <w:szCs w:val="17"/>
          <w:color w:val="auto"/>
        </w:rPr>
        <w:t xml:space="preserve"> Subject to the terms and priorities set forth in the DIP Order, each Loan Party agrees that its Obligations shall constitute allowed administrative expenses in the Chapter 11 Cases, having priority over all administrative expenses of and unsecured claims against such Person now existing or hereafter arising, of any kind or nature whatsoever, including, without limitation, all administrative expenses of the kind specified in, or arising or ordered under, Sections 105, 326, 328, 330, 331, 503(b), 506(c), 507(a), 507(b), 546(c), 726 and 1114 of the Bankruptcy Code, subject only to prior payment of the Carve-Out and the Canadian Priority Charges pursuant to the applicable Canadian Orders to the extent set forth in the Canadian DIP Recognition Order and the other Canadian Orders, to the prior payment of the B-2 Obligations and to the other terms and conditions of the DIP Order and the applicable Canadian Orders.</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Grants, Rights and Remedies</w:t>
      </w:r>
      <w:r>
        <w:rPr>
          <w:rFonts w:ascii="Arial" w:cs="Arial" w:eastAsia="Arial" w:hAnsi="Arial"/>
          <w:sz w:val="18"/>
          <w:szCs w:val="18"/>
          <w:color w:val="auto"/>
        </w:rPr>
        <w:t xml:space="preserve">. The Liens and security interests granted pursuant to clause (i) of Section 13.04 and the administrative priority granted pursuant to Section 13.05 may be independently granted by the Loan Documents, the DIP Order, the applicable Canadian Orders and by other Loan Documents hereafter entered into. Subject to </w:t>
      </w:r>
      <w:r>
        <w:rPr>
          <w:rFonts w:ascii="Arial" w:cs="Arial" w:eastAsia="Arial" w:hAnsi="Arial"/>
          <w:sz w:val="18"/>
          <w:szCs w:val="18"/>
          <w:u w:val="single" w:color="auto"/>
          <w:color w:val="auto"/>
        </w:rPr>
        <w:t>Section 10.26</w:t>
      </w:r>
      <w:r>
        <w:rPr>
          <w:rFonts w:ascii="Arial" w:cs="Arial" w:eastAsia="Arial" w:hAnsi="Arial"/>
          <w:sz w:val="18"/>
          <w:szCs w:val="18"/>
          <w:color w:val="auto"/>
        </w:rPr>
        <w:t>, this Agreement, the DIP Order and such other Loan Documents supplement each other, and the grants, priorities, rights and remedies of the Administrative Agent, the Collateral Agent and the Lenders hereunder and thereunder are cumulative.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8" w:name="page109"/>
    <w:bookmarkEnd w:id="10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13.07. </w:t>
      </w:r>
      <w:r>
        <w:rPr>
          <w:rFonts w:ascii="Arial" w:cs="Arial" w:eastAsia="Arial" w:hAnsi="Arial"/>
          <w:sz w:val="17"/>
          <w:szCs w:val="17"/>
          <w:i w:val="1"/>
          <w:iCs w:val="1"/>
          <w:color w:val="auto"/>
        </w:rPr>
        <w:t>No Filings Required</w:t>
      </w:r>
      <w:r>
        <w:rPr>
          <w:rFonts w:ascii="Arial" w:cs="Arial" w:eastAsia="Arial" w:hAnsi="Arial"/>
          <w:sz w:val="17"/>
          <w:szCs w:val="17"/>
          <w:color w:val="auto"/>
        </w:rPr>
        <w:t>. The Liens and security interests referred to herein shall be deemed valid and perfected by entry of the Interim Order or the Final Order, as the case may be and, in the case of the Canadian Collateral, the Canadian DIP Recognition Order. The Collateral Agent shall not be required to file any financing statements, mortgages, notices of Lien or similar instruments in any jurisdiction or filing office, take possession or control of any Collateral, or take any other action in order to validate or perfect the Lien and security interest granted by or pursuant to this Agreement, the DIP Order, the Canadian DIP Recognition Order, or any other Loan Document.</w:t>
      </w:r>
    </w:p>
    <w:p>
      <w:pPr>
        <w:spacing w:after="0" w:line="17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Except as provided herein, in the Canadian DIP Recognition Order and in the DIP Order, the Liens, lien priority, administrative priorities and other rights and remedies granted to the Administrative Agent and the Lenders pursuant to this Agreement, the DIP Order, the Canadian DIP Recognition Order and the other Loan Documents (specifically including, but not limited to, the existence, perfection and priority of the Liens and security interests provided herein and therein, and the administrative priority provided herein and therein) shall not be modified, altered or impaired in any manner by any other financing or extension of credit or incurrence of Indebtedness by the Loan Parties (pursuant to Section 364 of the Bankruptcy Code or otherwise), or by any dismissal or conversion of any of the Chapter 11 Cases or the Canadian Recognition Proceedings, or by any other act or omission whatsoever. Without limitation, notwithstanding any such order, financing, extension, incurrence, dismissal, conversion, act or omission:</w:t>
      </w:r>
    </w:p>
    <w:p>
      <w:pPr>
        <w:spacing w:after="0" w:line="192"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(i) except to the extent of the Carve-Out and the Canadian Priority Charges pursuant to the applicable Canadian Orders to the extent set forth in the Canadian DIP Recognition Order and the other Canadian Orders, no fees, charges, disbursements, costs or expenses of administration which have been or may be incurred in the Chapter 11 Cases or the Canadian Recognition Proceedings or any conversion of the same or in any other proceedings related thereto, and no priority claims, are or will be prior to or on parity with any claim of the Administrative Agent and the Lenders against the Loan Parties in respect of any Obligation, subject, in each case, to the claims (including any adequate protection claims) of the B-2 Secured Parties and the terms of the DIP Order and the applicable Canadian Orders;</w:t>
      </w:r>
    </w:p>
    <w:p>
      <w:pPr>
        <w:spacing w:after="0" w:line="178"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(ii) the Liens in favor of the Collateral Agent and the Lenders set forth in </w:t>
      </w:r>
      <w:r>
        <w:rPr>
          <w:rFonts w:ascii="Arial" w:cs="Arial" w:eastAsia="Arial" w:hAnsi="Arial"/>
          <w:sz w:val="17"/>
          <w:szCs w:val="17"/>
          <w:u w:val="single" w:color="auto"/>
          <w:color w:val="auto"/>
        </w:rPr>
        <w:t>Section 13.04</w:t>
      </w:r>
      <w:r>
        <w:rPr>
          <w:rFonts w:ascii="Arial" w:cs="Arial" w:eastAsia="Arial" w:hAnsi="Arial"/>
          <w:sz w:val="17"/>
          <w:szCs w:val="17"/>
          <w:color w:val="auto"/>
        </w:rPr>
        <w:t>, the DIP Order and the Canadian DIP Recognition Order shall constitute valid and perfected Liens and security interests, with the priority as set forth in the DIP Order (and with respect to the Canadian Collateral, with the priority as set forth in the applicable Canadian Orders), and shall be prior to all other Liens and security interests, now existing or hereafter arising, in favor of any other creditor or any other Person whatsoever (other than the Carve-Out and the Canadian Priority Charges), in each case subject to and in accordance with the DIP Order and the applicable Canadian Orders; and</w:t>
      </w:r>
    </w:p>
    <w:p>
      <w:pPr>
        <w:spacing w:after="0" w:line="17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(iii) subject to the DIP Order, the Liens in favor of the Collateral Agent and the Lenders set forth herein and in the other Loan Documents, the DIP Order and the applicable Canadian Orders shall continue to be valid and perfected without the necessity that the Administrative Agent file financing statements or mortgages, take possession or control of any Collateral, or otherwise perfect its Lien under applicable non-bankruptcy law.</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Notwithstanding anything to the contrary in this Agreement, the other Loan Documents or the DIP Order, it is expressly understood and agreed that (x) no prepayment, repayment, repurchase, or exchange of borrowings under the Junior DIP Facility shall occur until all B-2 Obligations have first been indefeasibly paid in full in cash and any such prepayment, repayment, repurchase or exchange shall otherwise be consistent with the priorities for liens and claims securing the Junior DIP Facility as set forth in the DIP Order and (y) the Liens and Claims in respect of the Delayed Draw Term Commitment shall be junior and subordinated (including in right of payment) in all respects to the Liens and Claims (including any adequate protections Liens and Claims) of the Prepetition Secured Parties and to the Liens and Claims of the B-2 Lenders and B-2 Agent under the Postpetition B-2 Loan Documents, including, for the avoidance of doubt,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109" w:name="page110"/>
    <w:bookmarkEnd w:id="10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payment and enforcement of rights of each of the B-2 Secured Parties, the Prepetition ABL Secured Parties and the UST Secured Parties, which right with respect to the B-2 Secured Parties shall be consistent with and no less favorable than those set forth herein, in the Postpetition B-2 Loan Documents, the Prepetition B-2 Loan Documents and the DIP Order.</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20"/>
          </w:cols>
          <w:pgMar w:left="440" w:top="274" w:right="639" w:bottom="1440" w:gutter="0" w:footer="0" w:header="0"/>
        </w:sectPr>
      </w:pPr>
    </w:p>
    <w:bookmarkStart w:id="110" w:name="page111"/>
    <w:bookmarkEnd w:id="110"/>
    <w:p>
      <w:pPr>
        <w:ind w:right="7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YELLOW CORPORATION, as Borrower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 Olivier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Daniel L. Olivier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EXPRESS LANE SERVICE,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YELLOW LOGISTICS,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PENN MOTOR EXPRESS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ROADWAY EXPRESS INTERNATIONAL,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ROADWAY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ROADWAY NEXT DAY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USF BESTWAY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USF DUGAN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USF HOLLAND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USF REDDAWAY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USF REDSTAR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ASSOCIATION SOLUTIONS,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ENTERPRISE SERVICES,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INTERNATIONAL INVESTMENTS,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LOGISTICS SERVICES,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MORTGAGES,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REGIONAL TRANSPORTATION,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1105481 ONTARIO,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USF HOLLAND INTERNATIONAL SALES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LOGISTICS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YRC FREIGHT CANADA COMPANY,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Guarantors</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Frontczak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Steven Frontczak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Junior Secured Super-Priority Debtor-in-Possession Credit Agreement]</w:t>
      </w:r>
    </w:p>
    <w:p>
      <w:pPr>
        <w:sectPr>
          <w:pgSz w:w="11900" w:h="16838" w:orient="portrait"/>
          <w:cols w:equalWidth="0" w:num="1">
            <w:col w:w="11020"/>
          </w:cols>
          <w:pgMar w:left="440" w:top="270" w:right="439" w:bottom="1440" w:gutter="0" w:footer="0" w:header="0"/>
        </w:sectPr>
      </w:pPr>
    </w:p>
    <w:bookmarkStart w:id="111" w:name="page112"/>
    <w:bookmarkEnd w:id="11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 DOMUS PRODUCTS CORP.,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 and Collateral Agent</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Pinju Chiu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Pinju Chiu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Associate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Junior Secured Super-Priority Debtor-in-Possession Credit Agreement]</w:t>
      </w:r>
    </w:p>
    <w:p>
      <w:pPr>
        <w:sectPr>
          <w:pgSz w:w="11900" w:h="16838" w:orient="portrait"/>
          <w:cols w:equalWidth="0" w:num="1">
            <w:col w:w="10020"/>
          </w:cols>
          <w:pgMar w:left="1440" w:top="274" w:right="439" w:bottom="1440" w:gutter="0" w:footer="0" w:header="0"/>
        </w:sectPr>
      </w:pPr>
    </w:p>
    <w:bookmarkStart w:id="112" w:name="page113"/>
    <w:bookmarkEnd w:id="11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MFN PARTNERS,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Reisman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Jon Reisman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Junior Secured Super-Priority Debtor-in-Possession Credit Agreement]</w:t>
      </w:r>
    </w:p>
    <w:p>
      <w:pPr>
        <w:sectPr>
          <w:pgSz w:w="11900" w:h="16838" w:orient="portrait"/>
          <w:cols w:equalWidth="0" w:num="1">
            <w:col w:w="10020"/>
          </w:cols>
          <w:pgMar w:left="1440" w:top="274"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JUNIOR SECURED SUPER-PRIORITY DEBTOR-IN-POSSESSION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Closing Date Commitments</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Lender</w:t>
            </w:r>
          </w:p>
        </w:tc>
        <w:tc>
          <w:tcPr>
            <w:tcW w:w="30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Closing Date</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3"/>
            <w:shd w:val="clear" w:color="auto" w:fill="CCEEFF"/>
          </w:tcPr>
          <w:p>
            <w:pPr>
              <w:jc w:val="center"/>
              <w:ind w:right="300"/>
              <w:spacing w:after="0" w:line="203" w:lineRule="exact"/>
              <w:rPr>
                <w:sz w:val="20"/>
                <w:szCs w:val="20"/>
                <w:color w:val="auto"/>
              </w:rPr>
            </w:pPr>
            <w:r>
              <w:rPr>
                <w:rFonts w:ascii="Arial" w:cs="Arial" w:eastAsia="Arial" w:hAnsi="Arial"/>
                <w:sz w:val="18"/>
                <w:szCs w:val="18"/>
                <w:b w:val="1"/>
                <w:bCs w:val="1"/>
                <w:color w:val="auto"/>
                <w:w w:val="94"/>
              </w:rPr>
              <w:t>MFN Partners, L.P.</w:t>
            </w: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17,894,736.84</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520" w:type="dxa"/>
            <w:vAlign w:val="bottom"/>
            <w:gridSpan w:val="2"/>
          </w:tcPr>
          <w:p>
            <w:pPr>
              <w:jc w:val="center"/>
              <w:ind w:right="308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17,894,736.84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20"/>
          </w:cols>
          <w:pgMar w:left="1440" w:top="270" w:right="4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JUNIOR SECURED SUPER-PRIORITY DEBTOR-IN-POSSESSION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Effective Date Commitments</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7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4"/>
              </w:rPr>
              <w:t>Lender</w:t>
            </w:r>
          </w:p>
        </w:tc>
        <w:tc>
          <w:tcPr>
            <w:tcW w:w="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w w:val="95"/>
              </w:rPr>
              <w:t>Effective Date Commitment</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700" w:type="dxa"/>
            <w:vAlign w:val="bottom"/>
            <w:gridSpan w:val="3"/>
            <w:shd w:val="clear" w:color="auto" w:fill="CCEEFF"/>
          </w:tcPr>
          <w:p>
            <w:pPr>
              <w:jc w:val="center"/>
              <w:ind w:right="860"/>
              <w:spacing w:after="0" w:line="203" w:lineRule="exact"/>
              <w:rPr>
                <w:sz w:val="20"/>
                <w:szCs w:val="20"/>
                <w:color w:val="auto"/>
              </w:rPr>
            </w:pPr>
            <w:r>
              <w:rPr>
                <w:rFonts w:ascii="Arial" w:cs="Arial" w:eastAsia="Arial" w:hAnsi="Arial"/>
                <w:sz w:val="18"/>
                <w:szCs w:val="18"/>
                <w:b w:val="1"/>
                <w:bCs w:val="1"/>
                <w:color w:val="auto"/>
                <w:w w:val="94"/>
              </w:rPr>
              <w:t>MFN Partners, L.P.</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11,184,210.53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3"/>
        </w:trPr>
        <w:tc>
          <w:tcPr>
            <w:tcW w:w="2200" w:type="dxa"/>
            <w:vAlign w:val="bottom"/>
          </w:tcPr>
          <w:p>
            <w:pPr>
              <w:spacing w:after="0"/>
              <w:rPr>
                <w:sz w:val="19"/>
                <w:szCs w:val="19"/>
                <w:color w:val="auto"/>
              </w:rPr>
            </w:pPr>
          </w:p>
        </w:tc>
        <w:tc>
          <w:tcPr>
            <w:tcW w:w="350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11,184,210.53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020"/>
          </w:cols>
          <w:pgMar w:left="1440" w:top="270" w:right="4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JUNIOR SECURED SUPER-PRIORITY DEBTOR-IN-POSSESSION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Final Commitments</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91"/>
        </w:trPr>
        <w:tc>
          <w:tcPr>
            <w:tcW w:w="27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Lender</w:t>
            </w:r>
          </w:p>
        </w:tc>
        <w:tc>
          <w:tcPr>
            <w:tcW w:w="308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8"/>
              </w:rPr>
              <w:t>Final Commitment</w:t>
            </w:r>
          </w:p>
        </w:tc>
      </w:tr>
      <w:tr>
        <w:trPr>
          <w:trHeight w:val="203"/>
        </w:trPr>
        <w:tc>
          <w:tcPr>
            <w:tcW w:w="6260" w:type="dxa"/>
            <w:vAlign w:val="bottom"/>
            <w:tcBorders>
              <w:top w:val="single" w:sz="8" w:color="CCEEFF"/>
            </w:tcBorders>
            <w:gridSpan w:val="3"/>
            <w:shd w:val="clear" w:color="auto" w:fill="CCEEFF"/>
          </w:tcPr>
          <w:p>
            <w:pPr>
              <w:jc w:val="center"/>
              <w:ind w:right="380"/>
              <w:spacing w:after="0" w:line="203" w:lineRule="exact"/>
              <w:rPr>
                <w:sz w:val="20"/>
                <w:szCs w:val="20"/>
                <w:color w:val="auto"/>
              </w:rPr>
            </w:pPr>
            <w:r>
              <w:rPr>
                <w:rFonts w:ascii="Arial" w:cs="Arial" w:eastAsia="Arial" w:hAnsi="Arial"/>
                <w:sz w:val="18"/>
                <w:szCs w:val="18"/>
                <w:b w:val="1"/>
                <w:bCs w:val="1"/>
                <w:color w:val="auto"/>
                <w:w w:val="94"/>
              </w:rPr>
              <w:t>MFN Partners, L.P.</w:t>
            </w:r>
          </w:p>
        </w:tc>
        <w:tc>
          <w:tcPr>
            <w:tcW w:w="1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$ 13,421,052.63</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2720" w:type="dxa"/>
            <w:vAlign w:val="bottom"/>
          </w:tcPr>
          <w:p>
            <w:pPr>
              <w:spacing w:after="0"/>
              <w:rPr>
                <w:sz w:val="19"/>
                <w:szCs w:val="19"/>
                <w:color w:val="auto"/>
              </w:rPr>
            </w:pPr>
          </w:p>
        </w:tc>
        <w:tc>
          <w:tcPr>
            <w:tcW w:w="3540" w:type="dxa"/>
            <w:vAlign w:val="bottom"/>
            <w:gridSpan w:val="2"/>
          </w:tcPr>
          <w:p>
            <w:pPr>
              <w:jc w:val="center"/>
              <w:ind w:right="3080"/>
              <w:spacing w:after="0"/>
              <w:rPr>
                <w:sz w:val="20"/>
                <w:szCs w:val="20"/>
                <w:color w:val="auto"/>
              </w:rPr>
            </w:pPr>
            <w:r>
              <w:rPr>
                <w:rFonts w:ascii="Arial" w:cs="Arial" w:eastAsia="Arial" w:hAnsi="Arial"/>
                <w:sz w:val="18"/>
                <w:szCs w:val="18"/>
                <w:b w:val="1"/>
                <w:bCs w:val="1"/>
                <w:color w:val="auto"/>
                <w:w w:val="88"/>
              </w:rPr>
              <w:t>Total</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$ 13,421,052.63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020"/>
          </w:cols>
          <w:pgMar w:left="1440" w:top="270" w:right="4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JUNIOR SECURED SUPER-PRIORITY DEBTOR-IN-POSSESSION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Delayed Draw Term Commitments</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3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4"/>
              </w:rPr>
              <w:t>Lender</w:t>
            </w:r>
          </w:p>
        </w:tc>
        <w:tc>
          <w:tcPr>
            <w:tcW w:w="2140" w:type="dxa"/>
            <w:vAlign w:val="bottom"/>
            <w:gridSpan w:val="4"/>
          </w:tcPr>
          <w:p>
            <w:pPr>
              <w:spacing w:after="0"/>
              <w:rPr>
                <w:sz w:val="20"/>
                <w:szCs w:val="20"/>
                <w:color w:val="auto"/>
              </w:rPr>
            </w:pPr>
            <w:r>
              <w:rPr>
                <w:rFonts w:ascii="Arial" w:cs="Arial" w:eastAsia="Arial" w:hAnsi="Arial"/>
                <w:sz w:val="14"/>
                <w:szCs w:val="14"/>
                <w:b w:val="1"/>
                <w:bCs w:val="1"/>
                <w:color w:val="auto"/>
                <w:w w:val="96"/>
              </w:rPr>
              <w:t>Delayed Draw Term Commitment</w:t>
            </w: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340" w:type="dxa"/>
            <w:vAlign w:val="bottom"/>
            <w:gridSpan w:val="3"/>
            <w:shd w:val="clear" w:color="auto" w:fill="CCEEFF"/>
          </w:tcPr>
          <w:p>
            <w:pPr>
              <w:jc w:val="center"/>
              <w:ind w:right="1300"/>
              <w:spacing w:after="0" w:line="203" w:lineRule="exact"/>
              <w:rPr>
                <w:sz w:val="20"/>
                <w:szCs w:val="20"/>
                <w:color w:val="auto"/>
              </w:rPr>
            </w:pPr>
            <w:r>
              <w:rPr>
                <w:rFonts w:ascii="Arial" w:cs="Arial" w:eastAsia="Arial" w:hAnsi="Arial"/>
                <w:sz w:val="18"/>
                <w:szCs w:val="18"/>
                <w:b w:val="1"/>
                <w:bCs w:val="1"/>
                <w:color w:val="auto"/>
                <w:w w:val="94"/>
              </w:rPr>
              <w:t>MFN Partners, L.P.</w:t>
            </w:r>
          </w:p>
        </w:tc>
        <w:tc>
          <w:tcPr>
            <w:tcW w:w="6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3"/>
        </w:trPr>
        <w:tc>
          <w:tcPr>
            <w:tcW w:w="1800" w:type="dxa"/>
            <w:vAlign w:val="bottom"/>
          </w:tcPr>
          <w:p>
            <w:pPr>
              <w:spacing w:after="0"/>
              <w:rPr>
                <w:sz w:val="19"/>
                <w:szCs w:val="19"/>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8"/>
                <w:szCs w:val="18"/>
                <w:b w:val="1"/>
                <w:bCs w:val="1"/>
                <w:color w:val="auto"/>
                <w:w w:val="92"/>
              </w:rPr>
              <w:t>Total</w:t>
            </w: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020"/>
          </w:cols>
          <w:pgMar w:left="1440" w:top="270" w:right="4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JUNIOR SECURED SUPER-PRIORITY DEBTOR-IN-POSSESSION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Chapter 11 Milestones</w:t>
      </w:r>
    </w:p>
    <w:p>
      <w:pPr>
        <w:spacing w:after="0" w:line="229" w:lineRule="exact"/>
        <w:rPr>
          <w:sz w:val="20"/>
          <w:szCs w:val="20"/>
          <w:color w:val="auto"/>
        </w:rPr>
      </w:pPr>
    </w:p>
    <w:p>
      <w:pPr>
        <w:ind w:left="4" w:right="120" w:hanging="4"/>
        <w:spacing w:after="0" w:line="277" w:lineRule="auto"/>
        <w:tabs>
          <w:tab w:leader="none" w:pos="1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no later than thirty (30) calendar days after the Petition Date, the Bankruptcy Court shall have entered the Bidding Procedures Order, in form and substance reasonably satisfactory to the Lenders.</w:t>
      </w:r>
    </w:p>
    <w:p>
      <w:pPr>
        <w:spacing w:after="0" w:line="170" w:lineRule="exact"/>
        <w:rPr>
          <w:rFonts w:ascii="Arial" w:cs="Arial" w:eastAsia="Arial" w:hAnsi="Arial"/>
          <w:sz w:val="18"/>
          <w:szCs w:val="18"/>
          <w:color w:val="auto"/>
        </w:rPr>
      </w:pPr>
    </w:p>
    <w:p>
      <w:pPr>
        <w:jc w:val="both"/>
        <w:ind w:left="4" w:right="320" w:hanging="4"/>
        <w:spacing w:after="0" w:line="263" w:lineRule="auto"/>
        <w:tabs>
          <w:tab w:leader="none" w:pos="1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no later than fifteen (15) calendar days after the Final Order Entry Date, the Borrower, in its capacity as foreign representative on behalf of the Debtors, shall have filed a motion with the Canadian Court for the recognition of, and the Canadian Court shall have issued, the Canadian Final DIP Recognition Order.</w:t>
      </w:r>
    </w:p>
    <w:p>
      <w:pPr>
        <w:spacing w:after="0" w:line="183" w:lineRule="exact"/>
        <w:rPr>
          <w:rFonts w:ascii="Arial" w:cs="Arial" w:eastAsia="Arial" w:hAnsi="Arial"/>
          <w:sz w:val="18"/>
          <w:szCs w:val="18"/>
          <w:color w:val="auto"/>
        </w:rPr>
      </w:pPr>
    </w:p>
    <w:p>
      <w:pPr>
        <w:ind w:left="4" w:right="140" w:hanging="4"/>
        <w:spacing w:after="0" w:line="277" w:lineRule="auto"/>
        <w:tabs>
          <w:tab w:leader="none" w:pos="1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no later than forty-five (45) calendar days after the Petition Date, the Bankruptcy Court shall have entered the Final Order, in form and substance satisfactory in all material respects to the Lenders and the Agents.</w:t>
      </w:r>
    </w:p>
    <w:p>
      <w:pPr>
        <w:spacing w:after="0" w:line="170" w:lineRule="exact"/>
        <w:rPr>
          <w:rFonts w:ascii="Arial" w:cs="Arial" w:eastAsia="Arial" w:hAnsi="Arial"/>
          <w:sz w:val="18"/>
          <w:szCs w:val="18"/>
          <w:color w:val="auto"/>
        </w:rPr>
      </w:pPr>
    </w:p>
    <w:p>
      <w:pPr>
        <w:ind w:left="4" w:right="260" w:hanging="4"/>
        <w:spacing w:after="0" w:line="342" w:lineRule="auto"/>
        <w:tabs>
          <w:tab w:leader="none" w:pos="1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By no later than ninety (90) calendar days after the Petition Date, the Debtors shall have received unique, non-duplicative binding cash bids for the B-2 Priority Collateral pursuant to the Bidding Procedures Order that would generate, in the aggregate, Net Proceeds at least equal to $250,000,000.</w:t>
      </w:r>
    </w:p>
    <w:p>
      <w:pPr>
        <w:spacing w:after="0" w:line="123" w:lineRule="exact"/>
        <w:rPr>
          <w:rFonts w:ascii="Arial" w:cs="Arial" w:eastAsia="Arial" w:hAnsi="Arial"/>
          <w:sz w:val="16"/>
          <w:szCs w:val="16"/>
          <w:color w:val="auto"/>
        </w:rPr>
      </w:pPr>
    </w:p>
    <w:p>
      <w:pPr>
        <w:ind w:left="4" w:right="80" w:hanging="4"/>
        <w:spacing w:after="0" w:line="270" w:lineRule="auto"/>
        <w:tabs>
          <w:tab w:leader="none" w:pos="199" w:val="left"/>
        </w:tabs>
        <w:numPr>
          <w:ilvl w:val="0"/>
          <w:numId w:val="27"/>
        </w:numPr>
        <w:rPr>
          <w:rFonts w:ascii="Arial" w:cs="Arial" w:eastAsia="Arial" w:hAnsi="Arial"/>
          <w:sz w:val="17"/>
          <w:szCs w:val="17"/>
          <w:color w:val="auto"/>
        </w:rPr>
      </w:pPr>
      <w:r>
        <w:rPr>
          <w:rFonts w:ascii="Arial" w:cs="Arial" w:eastAsia="Arial" w:hAnsi="Arial"/>
          <w:sz w:val="17"/>
          <w:szCs w:val="17"/>
          <w:color w:val="auto"/>
        </w:rPr>
        <w:t>By (A) no earlier than one-hundred twenty (120) calendar days after the Petition Date (which may be extended to one-hundred fifty (150) calendar days after the Petition Date with (i) the consent of the Prepetition ABL Agent, the B-2 Agent and the UST Secured Parties (in each case such consent not to be unreasonably withheld) and (ii) the consent of the Lenders in their sole discretion)) and (B) not later than one-hundred and fifty (150) calendar days after the Petition Date (which may be extended to one-hundred and eighty (180) calendar days after the Petition Date with (i) the consent of the Prepetition ABL Agent, the B-2 Agent and the UST Secured Parties (in each case such consent not to be unreasonably withheld) and (ii) the consent of the Lenders in their sole discretion)), the Debtors shall have consummated one or more Dispositions of all or substantially all of their assets in accordance with the Bidding Procedures Order that generates Net Proceeds in respect of the B-2 Priority Collateral equal to at least 100% of the sum of the aggregate amount of Obligations outstanding hereunder as of such date and the B-2 Obligations and shall have indefeasibly repaid both the B-2 Obligations and the Obligations outstanding hereunder in full in cash.</w:t>
      </w:r>
    </w:p>
    <w:p>
      <w:pPr>
        <w:sectPr>
          <w:pgSz w:w="11900" w:h="16838" w:orient="portrait"/>
          <w:cols w:equalWidth="0" w:num="1">
            <w:col w:w="11024"/>
          </w:cols>
          <w:pgMar w:left="436" w:top="270"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11, 2019</w:t>
      </w:r>
    </w:p>
    <w:p>
      <w:pPr>
        <w:spacing w:after="0" w:line="22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THIS AMENDMENT NO. 4 (this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September 6, 2023 by and among Yellow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Guarantors party to the Credit Agreement, the financial institutions listed on the signature pages hereof and Alter Domus Products Corp. (formerly known as Cortland Products Corp.), as administrative agent and collateral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Amended and Restated Credit Agreement dated as of September 11, 2019 by and among the Borrower, the Guarantors party thereto from time to time, the Lenders and the Administrative Agent (as (a) amended by (i) Amendment No. 1 to Amended and Restated Credit Agreement dated as of April 7, 2020, (ii) Amendment No. 2 to Amended and Restated Credit Agreement dated as of July 7, 2020, (iii) Amendment No. 3 to Amended and Restated Credit Agreement as of July 7, 2023 and (b) further amended, amended and restated,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herein shall have the respective meanings given to them in the Credit Agreement, as amended hereby;</w:t>
      </w:r>
    </w:p>
    <w:p>
      <w:pPr>
        <w:spacing w:after="0" w:line="19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WHEREAS, the Borrower and the Guarantors have requested that the Lenders amend the Credit Agreement on the terms more fully set forth herein; and</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the Lenders party hereto constituting all of the existing Lenders party to the Credit Agreement as of the date hereof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agreed to make the amendments described herein pursuant to this Amendment on the terms and conditions set forth herein.</w:t>
      </w:r>
    </w:p>
    <w:p>
      <w:pPr>
        <w:spacing w:after="0" w:line="184"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 the Guarantors party hereto and the Existing Lenders and the Administrative Agent have agreed to enter into this Amendment.</w:t>
      </w:r>
    </w:p>
    <w:p>
      <w:pPr>
        <w:spacing w:after="0" w:line="180"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Section 1. Amendments to Credit Agreement</w:t>
      </w:r>
      <w:r>
        <w:rPr>
          <w:rFonts w:ascii="Arial" w:cs="Arial" w:eastAsia="Arial" w:hAnsi="Arial"/>
          <w:sz w:val="16"/>
          <w:szCs w:val="16"/>
          <w:color w:val="auto"/>
        </w:rPr>
        <w:t>. Effective as of the date of satisfaction or waiver of the conditions precedent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(the “</w:t>
      </w:r>
      <w:r>
        <w:rPr>
          <w:rFonts w:ascii="Arial" w:cs="Arial" w:eastAsia="Arial" w:hAnsi="Arial"/>
          <w:sz w:val="16"/>
          <w:szCs w:val="16"/>
          <w:u w:val="single" w:color="auto"/>
          <w:color w:val="auto"/>
        </w:rPr>
        <w:t>Amendment No. 4 Effective Date</w:t>
      </w:r>
      <w:r>
        <w:rPr>
          <w:rFonts w:ascii="Arial" w:cs="Arial" w:eastAsia="Arial" w:hAnsi="Arial"/>
          <w:sz w:val="16"/>
          <w:szCs w:val="16"/>
          <w:color w:val="auto"/>
        </w:rPr>
        <w:t xml:space="preserve">”), (a) the Credit Agreement is hereby amended to delete the stricken text (indicated textually in the same manner as the following example: </w:t>
      </w:r>
      <w:r>
        <w:rPr>
          <w:rFonts w:ascii="Arial" w:cs="Arial" w:eastAsia="Arial" w:hAnsi="Arial"/>
          <w:sz w:val="16"/>
          <w:szCs w:val="16"/>
          <w:color w:val="FF4338"/>
          <w:strike w:val="1"/>
        </w:rPr>
        <w:t>stricken text</w:t>
      </w:r>
      <w:r>
        <w:rPr>
          <w:rFonts w:ascii="Arial" w:cs="Arial" w:eastAsia="Arial" w:hAnsi="Arial"/>
          <w:sz w:val="16"/>
          <w:szCs w:val="16"/>
          <w:color w:val="auto"/>
        </w:rPr>
        <w:t xml:space="preserve">) and to add the double-underlined text (indicated textually in the same manner as the following example: </w:t>
      </w:r>
      <w:r>
        <w:rPr>
          <w:rFonts w:ascii="Arial" w:cs="Arial" w:eastAsia="Arial" w:hAnsi="Arial"/>
          <w:sz w:val="16"/>
          <w:szCs w:val="16"/>
          <w:u w:val="single" w:color="auto"/>
          <w:color w:val="00A5D9"/>
        </w:rPr>
        <w:t>double-underlined text</w:t>
      </w:r>
      <w:r>
        <w:rPr>
          <w:rFonts w:ascii="Arial" w:cs="Arial" w:eastAsia="Arial" w:hAnsi="Arial"/>
          <w:sz w:val="16"/>
          <w:szCs w:val="16"/>
          <w:color w:val="auto"/>
        </w:rPr>
        <w:t xml:space="preserve">) as set forth in the pages of the Credit Agreement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 the Schedules to the Credit Agreement are hereby amended and restated in their entirety as set forth in Exhibit B attached hereto, (c) Exhibit D to the Credit Agreement is hereby amended and restated in its entirety as set forth in Exhibit C attached hereto, (d) Exhibit H to the Credit Agreement is hereby amended and restated in its entirety as set forth in Exhibit D attached hereto, and (e) Exhibit K to the Credit Agreement shall be deleted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-425450</wp:posOffset>
            </wp:positionV>
            <wp:extent cx="10369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9" w:name="page120"/>
    <w:bookmarkEnd w:id="119"/>
    <w:p>
      <w:pPr>
        <w:ind w:right="6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Conditions of Effectiveness</w:t>
      </w:r>
      <w:r>
        <w:rPr>
          <w:rFonts w:ascii="Arial" w:cs="Arial" w:eastAsia="Arial" w:hAnsi="Arial"/>
          <w:sz w:val="18"/>
          <w:szCs w:val="18"/>
          <w:color w:val="auto"/>
        </w:rPr>
        <w:t>. The effectiveness of this Amendment on the Amendment No. 4 Effective Date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(or waiver by each of the Existing Lenders) of the following conditions precedent:</w:t>
      </w:r>
    </w:p>
    <w:p>
      <w:pPr>
        <w:spacing w:after="0" w:line="166" w:lineRule="exact"/>
        <w:rPr>
          <w:sz w:val="20"/>
          <w:szCs w:val="20"/>
          <w:color w:val="auto"/>
        </w:rPr>
      </w:pPr>
    </w:p>
    <w:p>
      <w:pPr>
        <w:ind w:right="180" w:firstLine="987"/>
        <w:spacing w:after="0" w:line="277"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counterparts of this Amendment duly executed by the Borrower, the Guarantors party hereto and each of the Existing Lenders and acknowledged by the Administrative Agent;</w:t>
      </w:r>
    </w:p>
    <w:p>
      <w:pPr>
        <w:spacing w:after="0" w:line="170" w:lineRule="exact"/>
        <w:rPr>
          <w:rFonts w:ascii="Arial" w:cs="Arial" w:eastAsia="Arial" w:hAnsi="Arial"/>
          <w:sz w:val="18"/>
          <w:szCs w:val="18"/>
          <w:color w:val="auto"/>
        </w:rPr>
      </w:pPr>
    </w:p>
    <w:p>
      <w:pPr>
        <w:ind w:right="280" w:firstLine="987"/>
        <w:spacing w:after="0" w:line="277" w:lineRule="auto"/>
        <w:tabs>
          <w:tab w:leader="none" w:pos="13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Lender shall have received a Term Note executed by the Borrower in favor of such Lender that has requested a Term Note at least one Business Day in advance of the Amendment No. 4 Effective Date;</w:t>
      </w:r>
    </w:p>
    <w:p>
      <w:pPr>
        <w:spacing w:after="0" w:line="170" w:lineRule="exact"/>
        <w:rPr>
          <w:rFonts w:ascii="Arial" w:cs="Arial" w:eastAsia="Arial" w:hAnsi="Arial"/>
          <w:sz w:val="18"/>
          <w:szCs w:val="18"/>
          <w:color w:val="auto"/>
        </w:rPr>
      </w:pPr>
    </w:p>
    <w:p>
      <w:pPr>
        <w:ind w:right="180" w:firstLine="987"/>
        <w:spacing w:after="0" w:line="277"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Credit Extension duly executed by the Borrower in accordance with the requirements set forth in the Credit Agreement (after giving effect to this Amendment);</w:t>
      </w:r>
    </w:p>
    <w:p>
      <w:pPr>
        <w:spacing w:after="0" w:line="170" w:lineRule="exact"/>
        <w:rPr>
          <w:rFonts w:ascii="Arial" w:cs="Arial" w:eastAsia="Arial" w:hAnsi="Arial"/>
          <w:sz w:val="18"/>
          <w:szCs w:val="18"/>
          <w:color w:val="auto"/>
        </w:rPr>
      </w:pPr>
    </w:p>
    <w:p>
      <w:pPr>
        <w:ind w:firstLine="987"/>
        <w:spacing w:after="0" w:line="277" w:lineRule="auto"/>
        <w:tabs>
          <w:tab w:leader="none" w:pos="13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the Junior DIP Credit Agreement, executed by the parties thereto, in form and substance reasonably satisfactory to the Administrative Agent and the Existing Lenders;</w:t>
      </w:r>
    </w:p>
    <w:p>
      <w:pPr>
        <w:spacing w:after="0" w:line="170" w:lineRule="exact"/>
        <w:rPr>
          <w:rFonts w:ascii="Arial" w:cs="Arial" w:eastAsia="Arial" w:hAnsi="Arial"/>
          <w:sz w:val="18"/>
          <w:szCs w:val="18"/>
          <w:color w:val="auto"/>
        </w:rPr>
      </w:pPr>
    </w:p>
    <w:p>
      <w:pPr>
        <w:ind w:right="400" w:firstLine="987"/>
        <w:spacing w:after="0" w:line="277"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an executed copy of the FTI Engagement Letter, in form and substance reasonably satisfactory to the Existing Lenders;</w:t>
      </w:r>
    </w:p>
    <w:p>
      <w:pPr>
        <w:spacing w:after="0" w:line="170" w:lineRule="exact"/>
        <w:rPr>
          <w:rFonts w:ascii="Arial" w:cs="Arial" w:eastAsia="Arial" w:hAnsi="Arial"/>
          <w:sz w:val="18"/>
          <w:szCs w:val="18"/>
          <w:color w:val="auto"/>
        </w:rPr>
      </w:pPr>
    </w:p>
    <w:p>
      <w:pPr>
        <w:ind w:right="100" w:firstLine="987"/>
        <w:spacing w:after="0" w:line="259" w:lineRule="auto"/>
        <w:tabs>
          <w:tab w:leader="none" w:pos="13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Borrower shall have paid all invoiced expenses of the Administrative Agent and the Existing Lenders (including, without limitation, all previously invoiced, reasonable, out-of-pocket expenses of the Administrative Agent (including, to the extent invoiced, reasonable attorneys’ fees and expenses of Holland &amp; Knight LLP, White &amp; Case LLP, GrayRobinson, P.A. and Osler, Hoskin &amp; Harcourt LLP, in each case to the extent reimbursable under the terms of the Credit Agreement, as amended hereby);</w:t>
      </w:r>
    </w:p>
    <w:p>
      <w:pPr>
        <w:spacing w:after="0" w:line="186" w:lineRule="exact"/>
        <w:rPr>
          <w:rFonts w:ascii="Arial" w:cs="Arial" w:eastAsia="Arial" w:hAnsi="Arial"/>
          <w:sz w:val="18"/>
          <w:szCs w:val="18"/>
          <w:color w:val="auto"/>
        </w:rPr>
      </w:pPr>
    </w:p>
    <w:p>
      <w:pPr>
        <w:ind w:firstLine="987"/>
        <w:spacing w:after="0" w:line="268" w:lineRule="auto"/>
        <w:tabs>
          <w:tab w:leader="none" w:pos="1381"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receipt by the Administrative Agent of a certificate executed by the Secretary (or other equivalent officer, partner or manager) of each Loan Party dated as of the Amendment No. 4 Effective Date certifying: (i) as true and correct a copy of resolutions in form and substance reasonably satisfactory to the Administrative Agent, of the board of directors (or other equivalent governing body, member or partner) of each Loan Party approving and authorizing the execution, delivery and performance by such Loan Party of this Amendment and all documents, instruments and agreements executed and/or delivered in connection herewith (if any) and of the transactions contemplated herein and therein, (ii) as true and correct and in full force and effect, without any amendment except as shown, a copy of the Organization Documents of each Loan Party and that the copies of such Loan Party’s Organizational Documents delivered to Administrative Agent on such date as a part of the “secretary’s certificate” delivered by such Loan Party are true, correct and complete copies of such Organizational Documents as currently in full force and effect, (iii) if available, a true and correct a copy of a good standing certificate/certificate of status for each Loan Party certified by the applicable Governmental Authority of such Loan Party’s jurisdiction of incorporation, organization or formation dated a recent date prior to the date hereof, and (iv) the names and signatures of the officers of such Loan Party authorized to execute and deliver this Amendment and all documents, instruments and agreements executed and/or delivered in connection herewith (if any) on behalf of such Loan Party pursuant to the resolutions referenced in clause (i) above (and such certificate shall be countersigned by another officer of such Loan Party certifying the name, office and signature of the Secretary (or other equivalent officer, partner or manager) of such Loan Party giving such certificate);</w:t>
      </w:r>
    </w:p>
    <w:p>
      <w:pPr>
        <w:spacing w:after="0" w:line="184" w:lineRule="exact"/>
        <w:rPr>
          <w:sz w:val="20"/>
          <w:szCs w:val="20"/>
          <w:color w:val="auto"/>
        </w:rPr>
      </w:pPr>
    </w:p>
    <w:p>
      <w:pPr>
        <w:ind w:firstLine="436"/>
        <w:spacing w:after="0" w:line="301" w:lineRule="auto"/>
        <w:tabs>
          <w:tab w:leader="none" w:pos="8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Interim Order (i) shall have been entered by the Bankruptcy Court and the Borrower shall have delivered to the Administrative Agent and the Lenders a true and complete copy of such order, and (ii) shall be in full force and effect and shall not (in whole or in part) have been reversed, modified, amended, stayed, appealed or vacated, or subject to stay pending appeal, or otherwise challenged or subject to any challenge, absent prior written consent of the Lenders (and with respect to any provisions that affect the rights or duties of the Administrative Agent, the Administrative Agent);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20" w:name="page121"/>
    <w:bookmarkEnd w:id="120"/>
    <w:p>
      <w:pPr>
        <w:ind w:right="20" w:firstLine="436"/>
        <w:spacing w:after="0" w:line="257" w:lineRule="auto"/>
        <w:tabs>
          <w:tab w:leader="none" w:pos="79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 trustee, examiner, receiver or interim shall have been appointed or designated with respect to the Debtors or their business, properties or assets and no motion shall be pending seeking any such relief, and (ii) no motion shall be pending seeking any other relief in the Bankruptcy Court or the Canadian Court to exercise control over Collateral with an aggregate fair market value in excess of $100,000 with respect to all such motions; provided that this clause (ii) shall not apply to any motion that is being contested in good faith by the Debtors and which contest the Debtors reasonably believe will be successful; and</w:t>
      </w:r>
    </w:p>
    <w:p>
      <w:pPr>
        <w:spacing w:after="0" w:line="187" w:lineRule="exact"/>
        <w:rPr>
          <w:rFonts w:ascii="Arial" w:cs="Arial" w:eastAsia="Arial" w:hAnsi="Arial"/>
          <w:sz w:val="18"/>
          <w:szCs w:val="18"/>
          <w:color w:val="auto"/>
        </w:rPr>
      </w:pPr>
    </w:p>
    <w:p>
      <w:pPr>
        <w:ind w:left="780" w:hanging="344"/>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DIP Proceeds Account shall have been established and shall constitute Collateral but not Prepetition ABL Priority Collateral.</w:t>
      </w:r>
    </w:p>
    <w:p>
      <w:pPr>
        <w:spacing w:after="0" w:line="221"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Section 3. Representations and Warranties of the Borrower</w:t>
      </w:r>
      <w:r>
        <w:rPr>
          <w:rFonts w:ascii="Arial" w:cs="Arial" w:eastAsia="Arial" w:hAnsi="Arial"/>
          <w:sz w:val="18"/>
          <w:szCs w:val="18"/>
          <w:color w:val="auto"/>
        </w:rPr>
        <w:t>. Each of the Borrower and each of the Guarantors party hereto hereby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warrants as follows as of the Amendment No. 4 Effective Date:</w:t>
      </w:r>
    </w:p>
    <w:p>
      <w:pPr>
        <w:spacing w:after="0" w:line="166" w:lineRule="exact"/>
        <w:rPr>
          <w:sz w:val="20"/>
          <w:szCs w:val="20"/>
          <w:color w:val="auto"/>
        </w:rPr>
      </w:pPr>
    </w:p>
    <w:p>
      <w:pPr>
        <w:ind w:firstLine="987"/>
        <w:spacing w:after="0" w:line="279" w:lineRule="auto"/>
        <w:tabs>
          <w:tab w:leader="none" w:pos="137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Amendment has been duly authorized, executed and delivered by the Borrower and each Guarantor and, upon entry of the DIP Order (and, in the case of the Canadian Collateral, the Canadian Orders), this Amendment and the Credit Agreement, as modified hereby, constitute legal, valid and binding obligations of the Borrower and the Guarantors and are enforceable against the Borrower and the Guarantors in accordance with their terms, except as such enforceability may be limited by Debtor Relief Laws and by general principles of equity.</w:t>
      </w:r>
    </w:p>
    <w:p>
      <w:pPr>
        <w:spacing w:after="0" w:line="171" w:lineRule="exact"/>
        <w:rPr>
          <w:rFonts w:ascii="Arial" w:cs="Arial" w:eastAsia="Arial" w:hAnsi="Arial"/>
          <w:sz w:val="17"/>
          <w:szCs w:val="17"/>
          <w:color w:val="auto"/>
        </w:rPr>
      </w:pPr>
    </w:p>
    <w:p>
      <w:pPr>
        <w:ind w:right="20" w:firstLine="987"/>
        <w:spacing w:after="0" w:line="255" w:lineRule="auto"/>
        <w:tabs>
          <w:tab w:leader="none" w:pos="13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As of the date hereof, the representations and warranties of the Borrowers and the Guarantors set forth in the Credit Agreement, as modified hereby, and the Loan Documents,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hereof with the same effect as though made on and as of such date or such earlier date, as applicable.</w:t>
      </w:r>
    </w:p>
    <w:p>
      <w:pPr>
        <w:spacing w:after="0" w:line="296"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Reference to and Effect on the Credit Agreement</w:t>
      </w:r>
      <w:r>
        <w:rPr>
          <w:rFonts w:ascii="Arial" w:cs="Arial" w:eastAsia="Arial" w:hAnsi="Arial"/>
          <w:sz w:val="16"/>
          <w:szCs w:val="16"/>
          <w:color w:val="auto"/>
        </w:rPr>
        <w:t>.</w:t>
      </w:r>
    </w:p>
    <w:p>
      <w:pPr>
        <w:spacing w:after="0" w:line="121" w:lineRule="exact"/>
        <w:rPr>
          <w:sz w:val="20"/>
          <w:szCs w:val="20"/>
          <w:color w:val="auto"/>
        </w:rPr>
      </w:pPr>
    </w:p>
    <w:p>
      <w:pPr>
        <w:ind w:right="240" w:firstLine="987"/>
        <w:spacing w:after="0" w:line="308" w:lineRule="auto"/>
        <w:tabs>
          <w:tab w:leader="none" w:pos="13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the effectiveness hereof, each reference to the Credit Agreement in the Credit Agreement or any other Loan Document shall mean and be a reference to the Credit Agreement as modified hereby. This Amendment shall constitute a Loan Document.</w:t>
      </w:r>
    </w:p>
    <w:p>
      <w:pPr>
        <w:spacing w:after="0" w:line="146" w:lineRule="exact"/>
        <w:rPr>
          <w:rFonts w:ascii="Arial" w:cs="Arial" w:eastAsia="Arial" w:hAnsi="Arial"/>
          <w:sz w:val="17"/>
          <w:szCs w:val="17"/>
          <w:color w:val="auto"/>
        </w:rPr>
      </w:pPr>
    </w:p>
    <w:p>
      <w:pPr>
        <w:ind w:right="220" w:firstLine="987"/>
        <w:spacing w:after="0" w:line="277" w:lineRule="auto"/>
        <w:tabs>
          <w:tab w:leader="none" w:pos="13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specifically set forth above, the Credit Agreement and all other documents, instruments and agreements executed and/or delivered in connection therewith shall remain in full force and effect and are hereby ratified and confirmed.</w:t>
      </w:r>
    </w:p>
    <w:p>
      <w:pPr>
        <w:spacing w:after="0" w:line="170" w:lineRule="exact"/>
        <w:rPr>
          <w:rFonts w:ascii="Arial" w:cs="Arial" w:eastAsia="Arial" w:hAnsi="Arial"/>
          <w:sz w:val="18"/>
          <w:szCs w:val="18"/>
          <w:color w:val="auto"/>
        </w:rPr>
      </w:pPr>
    </w:p>
    <w:p>
      <w:pPr>
        <w:jc w:val="both"/>
        <w:ind w:right="40" w:firstLine="987"/>
        <w:spacing w:after="0" w:line="286" w:lineRule="auto"/>
        <w:tabs>
          <w:tab w:leader="none" w:pos="13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than as set forth herein, 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61" w:lineRule="exact"/>
        <w:rPr>
          <w:sz w:val="20"/>
          <w:szCs w:val="20"/>
          <w:color w:val="auto"/>
        </w:rPr>
      </w:pPr>
    </w:p>
    <w:p>
      <w:pPr>
        <w:jc w:val="both"/>
        <w:ind w:right="100" w:firstLine="440"/>
        <w:spacing w:after="0" w:line="289" w:lineRule="auto"/>
        <w:rPr>
          <w:sz w:val="20"/>
          <w:szCs w:val="20"/>
          <w:color w:val="auto"/>
        </w:rPr>
      </w:pPr>
      <w:r>
        <w:rPr>
          <w:rFonts w:ascii="Arial" w:cs="Arial" w:eastAsia="Arial" w:hAnsi="Arial"/>
          <w:sz w:val="17"/>
          <w:szCs w:val="17"/>
          <w:b w:val="1"/>
          <w:bCs w:val="1"/>
          <w:color w:val="auto"/>
        </w:rPr>
        <w:t>Section 5. Acknowledgements</w:t>
      </w:r>
      <w:r>
        <w:rPr>
          <w:rFonts w:ascii="Arial" w:cs="Arial" w:eastAsia="Arial" w:hAnsi="Arial"/>
          <w:sz w:val="17"/>
          <w:szCs w:val="17"/>
          <w:color w:val="auto"/>
        </w:rPr>
        <w:t>. By executing this Amendment, each of the Loan Parties (a) consents to this Amendment and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Borrower and each of the other Loan Parties of their obligations hereunder, (b) acknowledges that notwithstanding the execution and delivery of this Amendment, the obligations of each of the Loan Parties under each of the Collateral Documents and each</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1" w:name="page122"/>
    <w:bookmarkEnd w:id="121"/>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other Loan Documents to which such Loan Party is a party, are not impaired or affected and each such Collateral Document and each such other Loan Document continues in full force and effect, (c) affirms and ratifies as of the date hereof, its Obligations under the Credit Agreement as expanded or amended hereby and confirms the benefits of the pledges set forth in each Collateral Document to the extent it is a party thereto, (d) confirms as of the date hereof that its Obligations under the Credit Agreement as expanded or amended hereby constitute “Secured Obligations” (as defined in the Collateral Documents) and (e) confirms as of the date hereof that the Secured Obligations shall remain in full force and effect, and such Secured Obligations shall continue to be entitled to the benefits of the grant set forth in the Collateral Documents. Each Guarantor (a) confirms as of the date hereof its Guaranteed Obligations under the Credit Agreement, (b) confirms as of the date hereof that the Guaranteed Obligations under the Credit Agreement as expanded or amended hereby are entitled to the benefits of the guarantee set forth in Article 11 of the Credit Agreement and (c) confirms as of the date hereof that the Obligations under the Credit Agreement as expanded or amended hereby constitute “Guaranteed Obligations”. Each Loan Party, by its execution of this Amendment, hereby confirms as of the date hereof that the Guaranteed Obligations shall remain in full force and effect. Each party hereto hereby confirms that Defaults and Events of Default exist under the Loan Documents as in effect prior to this Amendment and upon effectiveness of this Amendment such existing Defaults and Events of Default shall continue to exist for purposes of the Loan Documents executed in connection with the Postpetition B-2 Facility. Each party hereto further acknowledges that the 2.00% default rate contemplated by Section 2.07 of the Prepetition B-2 Term Loan Credit Agreement shall continue to accrue and be payable with respect to the Prepetition Term Loans in accordance with the Credit Agreement (as amended by this Amendment) and the DIP Order but that no Lender or Agent may take any action or exercise any other rights or remedies with respect to the Existing Defaults (as defined in the Credit Agreement as amended by this Amendment) and acknowledges that any representations, warranties or covenants made in the Credit Agreement as amended by this Amendment are being made without taking into account the Existing Defaults (as defined in the Credit Agreement as amended by this Amendment).</w:t>
      </w:r>
    </w:p>
    <w:p>
      <w:pPr>
        <w:spacing w:after="0" w:line="167"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Section 6. No Novation or Mutual Departure</w:t>
      </w:r>
      <w:r>
        <w:rPr>
          <w:rFonts w:ascii="Arial" w:cs="Arial" w:eastAsia="Arial" w:hAnsi="Arial"/>
          <w:sz w:val="17"/>
          <w:szCs w:val="17"/>
          <w:color w:val="auto"/>
        </w:rPr>
        <w:t>. The Borrower expressly acknowledges and agrees that there has not been, and this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does not constitute or establish, a novation with respect to the Credit Agreement or any other Loan Document, or a mutual departure from the strict terms, provisions, and conditions thereof, other than with respect to the amendments contained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w:t>
      </w:r>
    </w:p>
    <w:p>
      <w:pPr>
        <w:spacing w:after="0" w:line="15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Section 7. Release</w:t>
      </w:r>
      <w:r>
        <w:rPr>
          <w:rFonts w:ascii="Arial" w:cs="Arial" w:eastAsia="Arial" w:hAnsi="Arial"/>
          <w:sz w:val="16"/>
          <w:szCs w:val="16"/>
          <w:color w:val="auto"/>
        </w:rPr>
        <w:t>. Each of the Loan Parties and each of their estates, on its own behalf and on behalf of its and their respective predecessors,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heirs, and past, present and future subsidiaries and assigns, hereby absolutely, unconditionally, and irrevocably releases and forever discharges and acquits the Secured Parties and each of their respective Related Parties (solely in their capacities as such) (collectively, the “Released Parties”), from any and all liability to the Loan Parties (and their successors and assigns) and from any and all claims, counterclaims, demands, defenses, offsets, debts, accounts, contracts, liabilities, actions and causes of action of any kind, nature and description, whether matured or unmatured, known or unknown, asserted or unasserted, foreseen or unforeseen, accrued or unaccrued, suspected or unsuspected, liquidated or unliquidated, pending or threatened, arising in law or equity, in contract or tort, in each case arising out of or related to the Loan Documents, the New Money Postpetition Term Loans, the negotiation thereof, and the transactions and agreements reflected thereby, that the Debtors at any time had, now have or may have, or that their predecessors, successors or assigns at any time had or hereafter may have against any of the Released Parties for or by reason of any act, omission, matter, or cause arising at any time on or prior to the date of this Amendment provided that the release set forth in this section shall not release (i) any claims against or liabilities of a Released Party that a court of competent jurisdiction determines by a final non-appealable order to have directly and primarily resulted from such Released Party’s bad faith, fraud, gross negligence, or willful misconduct, or (ii) any Secured Party from honoring its/their obligations to the Loan Parties under the Loan Documents.</w:t>
      </w:r>
    </w:p>
    <w:p>
      <w:pPr>
        <w:spacing w:after="0" w:line="164" w:lineRule="exact"/>
        <w:rPr>
          <w:sz w:val="20"/>
          <w:szCs w:val="20"/>
          <w:color w:val="auto"/>
        </w:rPr>
      </w:pPr>
    </w:p>
    <w:p>
      <w:pPr>
        <w:jc w:val="center"/>
        <w:ind w:right="200"/>
        <w:spacing w:after="0" w:line="454" w:lineRule="auto"/>
        <w:rPr>
          <w:sz w:val="20"/>
          <w:szCs w:val="20"/>
          <w:color w:val="auto"/>
        </w:rPr>
      </w:pPr>
      <w:r>
        <w:rPr>
          <w:rFonts w:ascii="Arial" w:cs="Arial" w:eastAsia="Arial" w:hAnsi="Arial"/>
          <w:sz w:val="18"/>
          <w:szCs w:val="18"/>
          <w:b w:val="1"/>
          <w:bCs w:val="1"/>
          <w:color w:val="auto"/>
        </w:rPr>
        <w:t>Section 8.  Governing Law</w:t>
      </w:r>
      <w:r>
        <w:rPr>
          <w:rFonts w:ascii="Arial" w:cs="Arial" w:eastAsia="Arial" w:hAnsi="Arial"/>
          <w:sz w:val="18"/>
          <w:szCs w:val="18"/>
          <w:color w:val="auto"/>
        </w:rPr>
        <w:t>. This Amendment shall be construed in accordance with and governed by the law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2" w:name="page123"/>
    <w:bookmarkEnd w:id="122"/>
    <w:p>
      <w:pPr>
        <w:ind w:right="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 Headings</w:t>
      </w:r>
      <w:r>
        <w:rPr>
          <w:rFonts w:ascii="Arial" w:cs="Arial" w:eastAsia="Arial" w:hAnsi="Arial"/>
          <w:sz w:val="18"/>
          <w:szCs w:val="18"/>
          <w:color w:val="auto"/>
        </w:rPr>
        <w:t>. Section headings in this Amendment are included herein for convenience of reference only and shall not constitute a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for any other purpose.</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10. Counterparts</w:t>
      </w:r>
      <w:r>
        <w:rPr>
          <w:rFonts w:ascii="Arial" w:cs="Arial" w:eastAsia="Arial" w:hAnsi="Arial"/>
          <w:sz w:val="18"/>
          <w:szCs w:val="18"/>
          <w:color w:val="auto"/>
        </w:rPr>
        <w:t>. This Amendment may be executed by one or more of the parties hereto on any number of separate counterparts,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of said counterparts taken together shall be deemed to constitute one and the same instrument. Signatures delivered by facsimile or PDF shall have the same force and effect as manual signatures delivered in person.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as of the day and year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YELLOW CORPORATION, as Borrower</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L. Olivier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EXPRESS LANE SERVICE,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YELLOW LOGISTICS,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NEW PENN MOTOR EXPRESS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ROADWAY EXPRESS INTERNATIONAL, INC.,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ROADWAY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ROADWAY NEXT DAY 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USF BESTWAY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USF DUGAN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USF HOLLAND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USF REDDAWAY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USF REDSTAR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ASSOCIATION SOLUTIONS,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ENTERPRISE SERVICES,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YRC INTERNATIONAL INVESTMENTS, INC. ,</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LOGISTICS SERVICES,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MORTGAGES,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REGIONAL TRANSPORTATION,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1105481 ONTARIO,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USF HOLLAND INTERNATIONAL SALES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LOGISTICS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YRC FREIGHT CANADA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Frontczak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Frontczak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 Amendment No. 4]</w:t>
      </w:r>
    </w:p>
    <w:p>
      <w:pPr>
        <w:sectPr>
          <w:pgSz w:w="11900" w:h="16838" w:orient="portrait"/>
          <w:cols w:equalWidth="0" w:num="1">
            <w:col w:w="9860"/>
          </w:cols>
          <w:pgMar w:left="880" w:top="274" w:right="1159" w:bottom="1440" w:gutter="0" w:footer="0" w:header="0"/>
        </w:sectPr>
      </w:pPr>
    </w:p>
    <w:bookmarkStart w:id="124" w:name="page125"/>
    <w:bookmarkEnd w:id="12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 DOMUS PRODUCTS CORP.,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Administrative Agent and Collateral Agent</w:t>
      </w:r>
    </w:p>
    <w:p>
      <w:pPr>
        <w:spacing w:after="0" w:line="23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Pinju Chiu</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Associate Counsel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Amendment No. 4]</w:t>
      </w:r>
    </w:p>
    <w:p>
      <w:pPr>
        <w:sectPr>
          <w:pgSz w:w="11900" w:h="16838" w:orient="portrait"/>
          <w:cols w:equalWidth="0" w:num="1">
            <w:col w:w="9019"/>
          </w:cols>
          <w:pgMar w:left="1440" w:top="274" w:right="1440" w:bottom="1440" w:gutter="0" w:footer="0" w:header="0"/>
        </w:sectPr>
      </w:pPr>
    </w:p>
    <w:bookmarkStart w:id="125" w:name="page126"/>
    <w:bookmarkEnd w:id="12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CITADEL CREDIT MASTER FUND LLC,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Lender, by its Manager, Citadel Advisors LLC</w:t>
      </w:r>
    </w:p>
    <w:p>
      <w:pPr>
        <w:spacing w:after="0" w:line="22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Weiner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38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 Amendment No. 4]</w:t>
      </w:r>
    </w:p>
    <w:p>
      <w:pPr>
        <w:sectPr>
          <w:pgSz w:w="11900" w:h="16838" w:orient="portrait"/>
          <w:cols w:equalWidth="0" w:num="1">
            <w:col w:w="9120"/>
          </w:cols>
          <w:pgMar w:left="1440" w:top="274" w:right="1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00" w:lineRule="exact"/>
        <w:rPr>
          <w:sz w:val="20"/>
          <w:szCs w:val="20"/>
          <w:color w:val="auto"/>
        </w:rPr>
      </w:pPr>
    </w:p>
    <w:p>
      <w:pPr>
        <w:spacing w:after="0" w:line="2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Amendment No. 4</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u w:val="single" w:color="auto"/>
          <w:color w:val="auto"/>
        </w:rPr>
        <w:t>Amended and Restated Credit Agreement</w:t>
      </w:r>
    </w:p>
    <w:p>
      <w:pPr>
        <w:spacing w:after="0" w:line="2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020"/>
          </w:cols>
          <w:pgMar w:left="1440" w:top="274" w:right="439" w:bottom="1440" w:gutter="0" w:footer="0" w:header="0"/>
        </w:sectPr>
      </w:pPr>
    </w:p>
    <w:bookmarkStart w:id="127" w:name="page128"/>
    <w:bookmarkEnd w:id="127"/>
    <w:p>
      <w:pPr>
        <w:ind w:left="6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A TO AMENDMENT NO. </w:t>
      </w:r>
      <w:r>
        <w:rPr>
          <w:rFonts w:ascii="Arial" w:cs="Arial" w:eastAsia="Arial" w:hAnsi="Arial"/>
          <w:sz w:val="18"/>
          <w:szCs w:val="18"/>
          <w:b w:val="1"/>
          <w:bCs w:val="1"/>
          <w:color w:val="FF0000"/>
          <w:strike w:val="1"/>
        </w:rPr>
        <w:t>3</w:t>
      </w:r>
      <w:r>
        <w:rPr>
          <w:rFonts w:ascii="Arial" w:cs="Arial" w:eastAsia="Arial" w:hAnsi="Arial"/>
          <w:sz w:val="18"/>
          <w:szCs w:val="18"/>
          <w:b w:val="1"/>
          <w:bCs w:val="1"/>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26035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Amended and Restated Credit Agreement dated as of September 11, 2019 as Conformed Through:</w:t>
      </w:r>
    </w:p>
    <w:p>
      <w:pPr>
        <w:spacing w:after="0" w:line="50"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auto"/>
        </w:rPr>
        <w:t>Amendment No. 1 dated as of April 7, 2020</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Amendment No. 2 dated as of July 7, 2020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Amendment No. 3 and Limited Waiver dated as of July 7, 2023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Amendment No. 4 dated as of 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14605</wp:posOffset>
            </wp:positionV>
            <wp:extent cx="23660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9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September 11, 2019</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YELLOW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(formerly known as YRC Worldwide Inc.),</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OTHER GUARANTORS PARTY HERETO FROM TIME TO TIME</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ALTER DOMUS PRODUCTS CORP.,</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and Collateral Agent</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FF0000"/>
          <w:strike w:val="1"/>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194945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6"/>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gridSpan w:val="4"/>
            <w:vMerge w:val="restart"/>
          </w:tcPr>
          <w:p>
            <w:pPr>
              <w:jc w:val="center"/>
              <w:ind w:right="4600"/>
              <w:spacing w:after="0"/>
              <w:rPr>
                <w:sz w:val="20"/>
                <w:szCs w:val="20"/>
                <w:color w:val="auto"/>
              </w:rPr>
            </w:pPr>
            <w:r>
              <w:rPr>
                <w:rFonts w:ascii="Arial" w:cs="Arial" w:eastAsia="Arial" w:hAnsi="Arial"/>
                <w:sz w:val="18"/>
                <w:szCs w:val="18"/>
                <w:b w:val="1"/>
                <w:bCs w:val="1"/>
                <w:i w:val="1"/>
                <w:iCs w:val="1"/>
                <w:color w:val="auto"/>
                <w:w w:val="96"/>
              </w:rPr>
              <w:t>ARTICLE 1</w:t>
            </w:r>
          </w:p>
        </w:tc>
        <w:tc>
          <w:tcPr>
            <w:tcW w:w="440" w:type="dxa"/>
            <w:vAlign w:val="bottom"/>
            <w:gridSpan w:val="6"/>
          </w:tcPr>
          <w:p>
            <w:pPr>
              <w:ind w:left="4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540" w:type="dxa"/>
            <w:vAlign w:val="bottom"/>
            <w:gridSpan w:val="4"/>
            <w:vMerge w:val="continue"/>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00" w:type="dxa"/>
            <w:vAlign w:val="bottom"/>
            <w:gridSpan w:val="3"/>
          </w:tcPr>
          <w:p>
            <w:pPr>
              <w:jc w:val="center"/>
              <w:ind w:right="4620"/>
              <w:spacing w:after="0"/>
              <w:rPr>
                <w:sz w:val="20"/>
                <w:szCs w:val="20"/>
                <w:color w:val="auto"/>
              </w:rPr>
            </w:pPr>
            <w:r>
              <w:rPr>
                <w:rFonts w:ascii="Arial" w:cs="Arial" w:eastAsia="Arial" w:hAnsi="Arial"/>
                <w:sz w:val="18"/>
                <w:szCs w:val="18"/>
                <w:b w:val="1"/>
                <w:bCs w:val="1"/>
                <w:i w:val="1"/>
                <w:iCs w:val="1"/>
                <w:color w:val="auto"/>
                <w:w w:val="90"/>
              </w:rPr>
              <w:t>Definitions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6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w w:val="89"/>
              </w:rPr>
              <w:t>Section 1.01</w:t>
            </w:r>
            <w:r>
              <w:rPr>
                <w:rFonts w:ascii="Arial" w:cs="Arial" w:eastAsia="Arial" w:hAnsi="Arial"/>
                <w:sz w:val="18"/>
                <w:szCs w:val="18"/>
                <w:i w:val="1"/>
                <w:iCs w:val="1"/>
                <w:color w:val="FF0000"/>
                <w:strike w:val="1"/>
                <w:w w:val="89"/>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9"/>
          </w:tcPr>
          <w:p>
            <w:pPr>
              <w:spacing w:after="0" w:line="190" w:lineRule="exact"/>
              <w:rPr>
                <w:sz w:val="20"/>
                <w:szCs w:val="20"/>
                <w:color w:val="auto"/>
              </w:rPr>
            </w:pPr>
            <w:r>
              <w:rPr>
                <w:rFonts w:ascii="Arial" w:cs="Arial" w:eastAsia="Arial" w:hAnsi="Arial"/>
                <w:sz w:val="18"/>
                <w:szCs w:val="18"/>
                <w:i w:val="1"/>
                <w:iCs w:val="1"/>
                <w:color w:val="auto"/>
              </w:rPr>
              <w:t>Defined Terms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i w:val="1"/>
                <w:iCs w:val="1"/>
                <w:color w:val="FF0000"/>
                <w:strike w:val="1"/>
                <w:w w:val="71"/>
              </w:rPr>
              <w:t>1</w:t>
            </w:r>
          </w:p>
        </w:tc>
        <w:tc>
          <w:tcPr>
            <w:tcW w:w="120" w:type="dxa"/>
            <w:vAlign w:val="bottom"/>
            <w:gridSpan w:val="2"/>
          </w:tcPr>
          <w:p>
            <w:pPr>
              <w:jc w:val="right"/>
              <w:ind w:right="20"/>
              <w:spacing w:after="0" w:line="190" w:lineRule="exact"/>
              <w:rPr>
                <w:sz w:val="20"/>
                <w:szCs w:val="20"/>
                <w:color w:val="auto"/>
              </w:rPr>
            </w:pPr>
            <w:r>
              <w:rPr>
                <w:rFonts w:ascii="Arial" w:cs="Arial" w:eastAsia="Arial" w:hAnsi="Arial"/>
                <w:sz w:val="18"/>
                <w:szCs w:val="18"/>
                <w:i w:val="1"/>
                <w:iCs w:val="1"/>
                <w:color w:val="0000FF"/>
                <w:w w:val="79"/>
              </w:rPr>
              <w:t>2</w:t>
            </w: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1.02</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Other Interpretive Provisions</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Arial" w:cs="Arial" w:eastAsia="Arial" w:hAnsi="Arial"/>
                <w:sz w:val="16"/>
                <w:szCs w:val="16"/>
                <w:i w:val="1"/>
                <w:iCs w:val="1"/>
                <w:color w:val="FF0000"/>
                <w:strike w:val="1"/>
                <w:w w:val="89"/>
              </w:rPr>
              <w:t>53</w:t>
            </w:r>
          </w:p>
        </w:tc>
        <w:tc>
          <w:tcPr>
            <w:tcW w:w="180" w:type="dxa"/>
            <w:vAlign w:val="bottom"/>
            <w:tcBorders>
              <w:bottom w:val="single" w:sz="8" w:color="0000FF"/>
            </w:tcBorders>
            <w:gridSpan w:val="3"/>
          </w:tcPr>
          <w:p>
            <w:pPr>
              <w:spacing w:after="0" w:line="142" w:lineRule="exact"/>
              <w:rPr>
                <w:sz w:val="20"/>
                <w:szCs w:val="20"/>
                <w:color w:val="auto"/>
              </w:rPr>
            </w:pPr>
            <w:r>
              <w:rPr>
                <w:rFonts w:ascii="Arial" w:cs="Arial" w:eastAsia="Arial" w:hAnsi="Arial"/>
                <w:sz w:val="16"/>
                <w:szCs w:val="16"/>
                <w:i w:val="1"/>
                <w:iCs w:val="1"/>
                <w:color w:val="0000FF"/>
                <w:w w:val="89"/>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1.03</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Certifications</w:t>
            </w:r>
          </w:p>
        </w:tc>
        <w:tc>
          <w:tcPr>
            <w:tcW w:w="240" w:type="dxa"/>
            <w:vAlign w:val="bottom"/>
            <w:gridSpan w:val="2"/>
            <w:vMerge w:val="restart"/>
          </w:tcPr>
          <w:p>
            <w:pPr>
              <w:spacing w:after="0"/>
              <w:rPr>
                <w:sz w:val="2"/>
                <w:szCs w:val="2"/>
                <w:color w:val="auto"/>
              </w:rPr>
            </w:pPr>
          </w:p>
        </w:tc>
        <w:tc>
          <w:tcPr>
            <w:tcW w:w="0" w:type="dxa"/>
            <w:vAlign w:val="bottom"/>
            <w:vMerge w:val="restart"/>
          </w:tcPr>
          <w:p>
            <w:pPr>
              <w:spacing w:after="0"/>
              <w:rPr>
                <w:sz w:val="20"/>
                <w:szCs w:val="20"/>
                <w:color w:val="auto"/>
              </w:rPr>
            </w:pPr>
            <w:r>
              <w:rPr>
                <w:rFonts w:ascii="Arial" w:cs="Arial" w:eastAsia="Arial" w:hAnsi="Arial"/>
                <w:sz w:val="2"/>
                <w:szCs w:val="2"/>
                <w:i w:val="1"/>
                <w:iCs w:val="1"/>
                <w:color w:val="FF0000"/>
                <w:strike w:val="1"/>
                <w:w w:val="87"/>
              </w:rPr>
              <w:t>54</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96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240" w:type="dxa"/>
            <w:vAlign w:val="bottom"/>
            <w:gridSpan w:val="29"/>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0" w:type="dxa"/>
            <w:vAlign w:val="bottom"/>
            <w:vMerge w:val="continue"/>
          </w:tcPr>
          <w:p>
            <w:pPr>
              <w:spacing w:after="0"/>
              <w:rPr>
                <w:sz w:val="5"/>
                <w:szCs w:val="5"/>
                <w:color w:val="auto"/>
              </w:rPr>
            </w:pPr>
          </w:p>
        </w:tc>
        <w:tc>
          <w:tcPr>
            <w:tcW w:w="180" w:type="dxa"/>
            <w:vAlign w:val="bottom"/>
            <w:gridSpan w:val="2"/>
            <w:vMerge w:val="restart"/>
          </w:tcPr>
          <w:p>
            <w:pPr>
              <w:spacing w:after="0" w:line="142" w:lineRule="exact"/>
              <w:rPr>
                <w:sz w:val="20"/>
                <w:szCs w:val="20"/>
                <w:color w:val="auto"/>
              </w:rPr>
            </w:pPr>
            <w:r>
              <w:rPr>
                <w:rFonts w:ascii="Arial" w:cs="Arial" w:eastAsia="Arial" w:hAnsi="Arial"/>
                <w:sz w:val="16"/>
                <w:szCs w:val="16"/>
                <w:i w:val="1"/>
                <w:iCs w:val="1"/>
                <w:color w:val="0000FF"/>
                <w:w w:val="89"/>
              </w:rPr>
              <w:t>67</w:t>
            </w: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96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240" w:type="dxa"/>
            <w:vAlign w:val="bottom"/>
            <w:gridSpan w:val="29"/>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FF0000"/>
            </w:tcBorders>
          </w:tcPr>
          <w:p>
            <w:pPr>
              <w:spacing w:after="0"/>
              <w:rPr>
                <w:sz w:val="5"/>
                <w:szCs w:val="5"/>
                <w:color w:val="auto"/>
              </w:rPr>
            </w:pPr>
          </w:p>
        </w:tc>
        <w:tc>
          <w:tcPr>
            <w:tcW w:w="0" w:type="dxa"/>
            <w:vAlign w:val="bottom"/>
            <w:tcBorders>
              <w:bottom w:val="single" w:sz="8" w:color="0000FF"/>
            </w:tcBorders>
            <w:vMerge w:val="continue"/>
          </w:tcPr>
          <w:p>
            <w:pPr>
              <w:spacing w:after="0"/>
              <w:rPr>
                <w:sz w:val="5"/>
                <w:szCs w:val="5"/>
                <w:color w:val="auto"/>
              </w:rPr>
            </w:pPr>
          </w:p>
        </w:tc>
        <w:tc>
          <w:tcPr>
            <w:tcW w:w="180" w:type="dxa"/>
            <w:vAlign w:val="bottom"/>
            <w:tcBorders>
              <w:bottom w:val="single" w:sz="8" w:color="0000FF"/>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1.04</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Accounting Terms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54</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1.05</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Rounding</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55</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1.06</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References to Agreements, Laws, Etc</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55</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1.07</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Times of Day</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55</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1.08</w:t>
            </w:r>
            <w:r>
              <w:rPr>
                <w:rFonts w:ascii="Arial" w:cs="Arial" w:eastAsia="Arial" w:hAnsi="Arial"/>
                <w:sz w:val="18"/>
                <w:szCs w:val="18"/>
                <w:i w:val="1"/>
                <w:iCs w:val="1"/>
                <w:color w:val="FF0000"/>
                <w:strike w:val="1"/>
                <w:w w:val="89"/>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Timing of Payment or Performance</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55</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80" w:type="dxa"/>
            <w:vAlign w:val="bottom"/>
            <w:gridSpan w:val="22"/>
            <w:vMerge w:val="restart"/>
          </w:tcPr>
          <w:p>
            <w:pPr>
              <w:spacing w:after="0" w:line="196" w:lineRule="exact"/>
              <w:rPr>
                <w:sz w:val="20"/>
                <w:szCs w:val="20"/>
                <w:color w:val="auto"/>
              </w:rPr>
            </w:pPr>
            <w:r>
              <w:rPr>
                <w:rFonts w:ascii="Arial" w:cs="Arial" w:eastAsia="Arial" w:hAnsi="Arial"/>
                <w:sz w:val="18"/>
                <w:szCs w:val="18"/>
                <w:i w:val="1"/>
                <w:iCs w:val="1"/>
                <w:color w:val="FF0000"/>
                <w:strike w:val="1"/>
                <w:w w:val="90"/>
              </w:rPr>
              <w:t>Section 1.09. Cumulative Credit Transactions</w:t>
            </w:r>
          </w:p>
        </w:tc>
        <w:tc>
          <w:tcPr>
            <w:tcW w:w="3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720" w:type="dxa"/>
            <w:vAlign w:val="bottom"/>
            <w:vMerge w:val="restart"/>
          </w:tcPr>
          <w:p>
            <w:pPr>
              <w:spacing w:after="0"/>
              <w:rPr>
                <w:sz w:val="2"/>
                <w:szCs w:val="2"/>
                <w:color w:val="auto"/>
              </w:rPr>
            </w:pPr>
          </w:p>
        </w:tc>
        <w:tc>
          <w:tcPr>
            <w:tcW w:w="240" w:type="dxa"/>
            <w:vAlign w:val="bottom"/>
            <w:gridSpan w:val="3"/>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80" w:type="dxa"/>
            <w:vAlign w:val="bottom"/>
            <w:gridSpan w:val="2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740" w:type="dxa"/>
            <w:vAlign w:val="bottom"/>
            <w:gridSpan w:val="15"/>
            <w:vMerge w:val="restart"/>
          </w:tcPr>
          <w:p>
            <w:pPr>
              <w:spacing w:after="0" w:line="196" w:lineRule="exact"/>
              <w:rPr>
                <w:sz w:val="20"/>
                <w:szCs w:val="20"/>
                <w:color w:val="auto"/>
              </w:rPr>
            </w:pPr>
            <w:r>
              <w:rPr>
                <w:rFonts w:ascii="Arial" w:cs="Arial" w:eastAsia="Arial" w:hAnsi="Arial"/>
                <w:sz w:val="18"/>
                <w:szCs w:val="18"/>
                <w:i w:val="1"/>
                <w:iCs w:val="1"/>
                <w:color w:val="FF0000"/>
                <w:strike w:val="1"/>
                <w:w w:val="91"/>
              </w:rPr>
              <w:t>Section 1.10. Pro Forma Calculations</w:t>
            </w: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gridSpan w:val="2"/>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720" w:type="dxa"/>
            <w:vAlign w:val="bottom"/>
            <w:vMerge w:val="restart"/>
          </w:tcPr>
          <w:p>
            <w:pPr>
              <w:spacing w:after="0"/>
              <w:rPr>
                <w:sz w:val="2"/>
                <w:szCs w:val="2"/>
                <w:color w:val="auto"/>
              </w:rPr>
            </w:pPr>
          </w:p>
        </w:tc>
        <w:tc>
          <w:tcPr>
            <w:tcW w:w="240" w:type="dxa"/>
            <w:vAlign w:val="bottom"/>
            <w:gridSpan w:val="3"/>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40" w:type="dxa"/>
            <w:vAlign w:val="bottom"/>
            <w:gridSpan w:val="15"/>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93"/>
              </w:rPr>
              <w:t>Section</w:t>
            </w:r>
          </w:p>
        </w:tc>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FF0000"/>
                <w:strike w:val="1"/>
                <w:w w:val="89"/>
              </w:rPr>
              <w:t>1.11.</w:t>
            </w:r>
          </w:p>
        </w:tc>
        <w:tc>
          <w:tcPr>
            <w:tcW w:w="9580" w:type="dxa"/>
            <w:vAlign w:val="bottom"/>
            <w:gridSpan w:val="34"/>
            <w:vMerge w:val="restart"/>
          </w:tcPr>
          <w:p>
            <w:pPr>
              <w:spacing w:after="0" w:line="196" w:lineRule="exact"/>
              <w:rPr>
                <w:sz w:val="20"/>
                <w:szCs w:val="20"/>
                <w:color w:val="auto"/>
              </w:rPr>
            </w:pPr>
            <w:r>
              <w:rPr>
                <w:rFonts w:ascii="Arial" w:cs="Arial" w:eastAsia="Arial" w:hAnsi="Arial"/>
                <w:sz w:val="18"/>
                <w:szCs w:val="18"/>
                <w:i w:val="1"/>
                <w:iCs w:val="1"/>
                <w:color w:val="0000FF"/>
              </w:rPr>
              <w:t xml:space="preserve">1.09 </w:t>
            </w:r>
            <w:r>
              <w:rPr>
                <w:rFonts w:ascii="Arial" w:cs="Arial" w:eastAsia="Arial" w:hAnsi="Arial"/>
                <w:sz w:val="18"/>
                <w:szCs w:val="18"/>
                <w:i w:val="1"/>
                <w:iCs w:val="1"/>
                <w:color w:val="000000"/>
              </w:rPr>
              <w:t>Certain Accounting Matters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57</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580" w:type="dxa"/>
            <w:vAlign w:val="bottom"/>
            <w:gridSpan w:val="3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89"/>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93"/>
              </w:rPr>
              <w:t>Section</w:t>
            </w:r>
          </w:p>
        </w:tc>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FF0000"/>
                <w:strike w:val="1"/>
                <w:w w:val="89"/>
              </w:rPr>
              <w:t>1.12.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ind w:left="40"/>
              <w:spacing w:after="0" w:line="196" w:lineRule="exact"/>
              <w:rPr>
                <w:sz w:val="20"/>
                <w:szCs w:val="20"/>
                <w:color w:val="auto"/>
              </w:rPr>
            </w:pPr>
            <w:r>
              <w:rPr>
                <w:rFonts w:ascii="Arial" w:cs="Arial" w:eastAsia="Arial" w:hAnsi="Arial"/>
                <w:sz w:val="18"/>
                <w:szCs w:val="18"/>
                <w:i w:val="1"/>
                <w:iCs w:val="1"/>
                <w:color w:val="auto"/>
              </w:rPr>
              <w:t>Classification of Loans and Borrowings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57</w:t>
            </w:r>
          </w:p>
        </w:tc>
        <w:tc>
          <w:tcPr>
            <w:tcW w:w="0" w:type="dxa"/>
            <w:vAlign w:val="bottom"/>
            <w:tcBorders>
              <w:top w:val="single" w:sz="8" w:color="0000FF"/>
              <w:bottom w:val="single" w:sz="8" w:color="0000FF"/>
            </w:tcBorders>
            <w:vMerge w:val="restart"/>
          </w:tcPr>
          <w:p>
            <w:pPr>
              <w:spacing w:after="0"/>
              <w:rPr>
                <w:sz w:val="2"/>
                <w:szCs w:val="2"/>
                <w:color w:val="auto"/>
              </w:rPr>
            </w:pPr>
          </w:p>
        </w:tc>
        <w:tc>
          <w:tcPr>
            <w:tcW w:w="18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3"/>
              </w:rPr>
              <w:t>1.10</w:t>
            </w:r>
          </w:p>
        </w:tc>
        <w:tc>
          <w:tcPr>
            <w:tcW w:w="20" w:type="dxa"/>
            <w:vAlign w:val="bottom"/>
            <w:tcBorders>
              <w:bottom w:val="single" w:sz="8" w:color="0000FF"/>
            </w:tcBorders>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93"/>
              </w:rPr>
              <w:t>Section</w:t>
            </w:r>
          </w:p>
        </w:tc>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i w:val="1"/>
                <w:iCs w:val="1"/>
                <w:color w:val="FF0000"/>
                <w:strike w:val="1"/>
                <w:w w:val="99"/>
              </w:rPr>
              <w:t>1.13.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240" w:type="dxa"/>
            <w:vAlign w:val="bottom"/>
            <w:gridSpan w:val="29"/>
            <w:vMerge w:val="restart"/>
          </w:tcPr>
          <w:p>
            <w:pPr>
              <w:ind w:left="20"/>
              <w:spacing w:after="0" w:line="196" w:lineRule="exact"/>
              <w:rPr>
                <w:sz w:val="20"/>
                <w:szCs w:val="20"/>
                <w:color w:val="auto"/>
              </w:rPr>
            </w:pPr>
            <w:r>
              <w:rPr>
                <w:rFonts w:ascii="Arial" w:cs="Arial" w:eastAsia="Arial" w:hAnsi="Arial"/>
                <w:sz w:val="18"/>
                <w:szCs w:val="18"/>
                <w:i w:val="1"/>
                <w:iCs w:val="1"/>
                <w:color w:val="auto"/>
              </w:rPr>
              <w:t>Currency Equivalents Generally</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57</w:t>
            </w:r>
          </w:p>
        </w:tc>
        <w:tc>
          <w:tcPr>
            <w:tcW w:w="0" w:type="dxa"/>
            <w:vAlign w:val="bottom"/>
            <w:vMerge w:val="restart"/>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0" w:type="dxa"/>
            <w:vAlign w:val="bottom"/>
            <w:vMerge w:val="continue"/>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i w:val="1"/>
                <w:iCs w:val="1"/>
                <w:color w:val="0000FF"/>
                <w:w w:val="76"/>
              </w:rPr>
              <w:t>1.11</w:t>
            </w: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93"/>
              </w:rPr>
              <w:t>Section</w:t>
            </w:r>
          </w:p>
        </w:tc>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i w:val="1"/>
                <w:iCs w:val="1"/>
                <w:color w:val="FF0000"/>
                <w:strike w:val="1"/>
                <w:w w:val="99"/>
              </w:rPr>
              <w:t>1.14.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9240" w:type="dxa"/>
            <w:vAlign w:val="bottom"/>
            <w:gridSpan w:val="29"/>
            <w:vMerge w:val="restart"/>
          </w:tcPr>
          <w:p>
            <w:pPr>
              <w:ind w:left="40"/>
              <w:spacing w:after="0" w:line="196" w:lineRule="exact"/>
              <w:rPr>
                <w:sz w:val="20"/>
                <w:szCs w:val="20"/>
                <w:color w:val="auto"/>
              </w:rPr>
            </w:pPr>
            <w:r>
              <w:rPr>
                <w:rFonts w:ascii="Arial" w:cs="Arial" w:eastAsia="Arial" w:hAnsi="Arial"/>
                <w:sz w:val="18"/>
                <w:szCs w:val="18"/>
                <w:i w:val="1"/>
                <w:iCs w:val="1"/>
                <w:color w:val="auto"/>
              </w:rPr>
              <w:t>Effect of Amendment and Restatement</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58</w:t>
            </w:r>
          </w:p>
        </w:tc>
        <w:tc>
          <w:tcPr>
            <w:tcW w:w="0" w:type="dxa"/>
            <w:vAlign w:val="bottom"/>
            <w:vMerge w:val="restart"/>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0" w:type="dxa"/>
            <w:vAlign w:val="bottom"/>
            <w:vMerge w:val="continue"/>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i w:val="1"/>
                <w:iCs w:val="1"/>
                <w:color w:val="0000FF"/>
                <w:w w:val="76"/>
              </w:rPr>
              <w:t>1.12</w:t>
            </w:r>
          </w:p>
        </w:tc>
        <w:tc>
          <w:tcPr>
            <w:tcW w:w="20" w:type="dxa"/>
            <w:vAlign w:val="bottom"/>
            <w:tcBorders>
              <w:bottom w:val="single" w:sz="8" w:color="0000FF"/>
            </w:tcBorders>
            <w:vMerge w:val="continue"/>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0000FF"/>
                <w:w w:val="93"/>
              </w:rPr>
              <w:t>Section 1.13</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0000FF"/>
              </w:rPr>
              <w:t>Québec Matters</w:t>
            </w:r>
          </w:p>
        </w:tc>
        <w:tc>
          <w:tcPr>
            <w:tcW w:w="240" w:type="dxa"/>
            <w:vAlign w:val="bottom"/>
            <w:gridSpan w:val="3"/>
            <w:vMerge w:val="restart"/>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240" w:type="dxa"/>
            <w:vAlign w:val="bottom"/>
            <w:gridSpan w:val="3"/>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89"/>
              </w:rPr>
              <w:t>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540" w:type="dxa"/>
            <w:vAlign w:val="bottom"/>
            <w:gridSpan w:val="4"/>
            <w:vMerge w:val="restart"/>
          </w:tcPr>
          <w:p>
            <w:pPr>
              <w:jc w:val="center"/>
              <w:ind w:right="4600"/>
              <w:spacing w:after="0"/>
              <w:rPr>
                <w:sz w:val="20"/>
                <w:szCs w:val="20"/>
                <w:color w:val="auto"/>
              </w:rPr>
            </w:pPr>
            <w:r>
              <w:rPr>
                <w:rFonts w:ascii="Arial" w:cs="Arial" w:eastAsia="Arial" w:hAnsi="Arial"/>
                <w:sz w:val="18"/>
                <w:szCs w:val="18"/>
                <w:b w:val="1"/>
                <w:bCs w:val="1"/>
                <w:i w:val="1"/>
                <w:iCs w:val="1"/>
                <w:color w:val="auto"/>
                <w:w w:val="96"/>
              </w:rPr>
              <w:t>ARTICLE 2</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Borders>
              <w:top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00" w:type="dxa"/>
            <w:vAlign w:val="bottom"/>
            <w:gridSpan w:val="3"/>
          </w:tcPr>
          <w:p>
            <w:pPr>
              <w:jc w:val="center"/>
              <w:ind w:right="4640"/>
              <w:spacing w:after="0"/>
              <w:rPr>
                <w:sz w:val="20"/>
                <w:szCs w:val="20"/>
                <w:color w:val="auto"/>
              </w:rPr>
            </w:pPr>
            <w:r>
              <w:rPr>
                <w:rFonts w:ascii="Arial" w:cs="Arial" w:eastAsia="Arial" w:hAnsi="Arial"/>
                <w:sz w:val="18"/>
                <w:szCs w:val="18"/>
                <w:b w:val="1"/>
                <w:bCs w:val="1"/>
                <w:i w:val="1"/>
                <w:iCs w:val="1"/>
                <w:color w:val="auto"/>
                <w:w w:val="86"/>
              </w:rPr>
              <w:t>The Credits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85"/>
              </w:rPr>
              <w:t>Section 2.01</w:t>
            </w:r>
          </w:p>
        </w:tc>
        <w:tc>
          <w:tcPr>
            <w:tcW w:w="980" w:type="dxa"/>
            <w:vAlign w:val="bottom"/>
            <w:gridSpan w:val="9"/>
          </w:tcPr>
          <w:p>
            <w:pPr>
              <w:spacing w:after="0" w:line="190" w:lineRule="exact"/>
              <w:rPr>
                <w:sz w:val="20"/>
                <w:szCs w:val="20"/>
                <w:color w:val="auto"/>
              </w:rPr>
            </w:pPr>
            <w:r>
              <w:rPr>
                <w:rFonts w:ascii="Arial" w:cs="Arial" w:eastAsia="Arial" w:hAnsi="Arial"/>
                <w:sz w:val="18"/>
                <w:szCs w:val="18"/>
                <w:i w:val="1"/>
                <w:iCs w:val="1"/>
                <w:color w:val="FF0000"/>
                <w:strike w:val="1"/>
                <w:w w:val="87"/>
              </w:rPr>
              <w:t>. Tranche B-2</w:t>
            </w:r>
          </w:p>
        </w:tc>
        <w:tc>
          <w:tcPr>
            <w:tcW w:w="8680" w:type="dxa"/>
            <w:vAlign w:val="bottom"/>
            <w:gridSpan w:val="26"/>
          </w:tcPr>
          <w:p>
            <w:pPr>
              <w:ind w:left="60"/>
              <w:spacing w:after="0" w:line="190" w:lineRule="exact"/>
              <w:rPr>
                <w:sz w:val="20"/>
                <w:szCs w:val="20"/>
                <w:color w:val="auto"/>
              </w:rPr>
            </w:pPr>
            <w:r>
              <w:rPr>
                <w:rFonts w:ascii="Arial" w:cs="Arial" w:eastAsia="Arial" w:hAnsi="Arial"/>
                <w:sz w:val="18"/>
                <w:szCs w:val="18"/>
                <w:i w:val="1"/>
                <w:iCs w:val="1"/>
                <w:color w:val="auto"/>
              </w:rPr>
              <w:t>Term Loan Commitments</w:t>
            </w:r>
          </w:p>
        </w:tc>
        <w:tc>
          <w:tcPr>
            <w:tcW w:w="6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i w:val="1"/>
                <w:iCs w:val="1"/>
                <w:color w:val="FF0000"/>
                <w:strike w:val="1"/>
                <w:w w:val="79"/>
              </w:rPr>
              <w:t>58</w:t>
            </w:r>
          </w:p>
        </w:tc>
        <w:tc>
          <w:tcPr>
            <w:tcW w:w="200" w:type="dxa"/>
            <w:vAlign w:val="bottom"/>
            <w:gridSpan w:val="4"/>
          </w:tcPr>
          <w:p>
            <w:pPr>
              <w:spacing w:after="0" w:line="190" w:lineRule="exact"/>
              <w:rPr>
                <w:sz w:val="20"/>
                <w:szCs w:val="20"/>
                <w:color w:val="auto"/>
              </w:rPr>
            </w:pPr>
            <w:r>
              <w:rPr>
                <w:rFonts w:ascii="Arial" w:cs="Arial" w:eastAsia="Arial" w:hAnsi="Arial"/>
                <w:sz w:val="18"/>
                <w:szCs w:val="18"/>
                <w:i w:val="1"/>
                <w:iCs w:val="1"/>
                <w:color w:val="0000FF"/>
                <w:w w:val="89"/>
              </w:rPr>
              <w:t>71</w:t>
            </w: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2.02</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Loans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58</w:t>
            </w:r>
          </w:p>
        </w:tc>
        <w:tc>
          <w:tcPr>
            <w:tcW w:w="0" w:type="dxa"/>
            <w:vAlign w:val="bottom"/>
            <w:tcBorders>
              <w:top w:val="single" w:sz="8" w:color="0000FF"/>
              <w:bottom w:val="single" w:sz="8" w:color="0000FF"/>
            </w:tcBorders>
            <w:vMerge w:val="restart"/>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2.03</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Borrowing Procedure</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59</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2.04</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Evidence of Debt; Repayment of Loans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60</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2.05</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Fees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61</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2.06</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Interest on Loans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61</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2.07</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Default Interest</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62</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2.08</w:t>
            </w:r>
          </w:p>
        </w:tc>
        <w:tc>
          <w:tcPr>
            <w:tcW w:w="1960" w:type="dxa"/>
            <w:vAlign w:val="bottom"/>
            <w:gridSpan w:val="16"/>
            <w:vMerge w:val="restart"/>
          </w:tcPr>
          <w:p>
            <w:pPr>
              <w:spacing w:after="0" w:line="196" w:lineRule="exact"/>
              <w:rPr>
                <w:sz w:val="20"/>
                <w:szCs w:val="20"/>
                <w:color w:val="auto"/>
              </w:rPr>
            </w:pPr>
            <w:r>
              <w:rPr>
                <w:rFonts w:ascii="Arial" w:cs="Arial" w:eastAsia="Arial" w:hAnsi="Arial"/>
                <w:sz w:val="18"/>
                <w:szCs w:val="18"/>
                <w:i w:val="1"/>
                <w:iCs w:val="1"/>
                <w:color w:val="FF0000"/>
                <w:strike w:val="1"/>
                <w:w w:val="92"/>
              </w:rPr>
              <w:t>. Alternate Rate of Interest</w:t>
            </w:r>
          </w:p>
        </w:tc>
        <w:tc>
          <w:tcPr>
            <w:tcW w:w="7700" w:type="dxa"/>
            <w:vAlign w:val="bottom"/>
            <w:gridSpan w:val="19"/>
            <w:vMerge w:val="restart"/>
          </w:tcPr>
          <w:p>
            <w:pPr>
              <w:spacing w:after="0" w:line="196" w:lineRule="exact"/>
              <w:rPr>
                <w:sz w:val="20"/>
                <w:szCs w:val="20"/>
                <w:color w:val="auto"/>
              </w:rPr>
            </w:pPr>
            <w:r>
              <w:rPr>
                <w:rFonts w:ascii="Arial" w:cs="Arial" w:eastAsia="Arial" w:hAnsi="Arial"/>
                <w:sz w:val="18"/>
                <w:szCs w:val="18"/>
                <w:i w:val="1"/>
                <w:iCs w:val="1"/>
                <w:color w:val="0000FF"/>
              </w:rPr>
              <w:t>[Reserved]</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62</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1960" w:type="dxa"/>
            <w:vAlign w:val="bottom"/>
            <w:gridSpan w:val="16"/>
            <w:vMerge w:val="continue"/>
          </w:tcPr>
          <w:p>
            <w:pPr>
              <w:spacing w:after="0"/>
              <w:rPr>
                <w:sz w:val="12"/>
                <w:szCs w:val="12"/>
                <w:color w:val="auto"/>
              </w:rPr>
            </w:pPr>
          </w:p>
        </w:tc>
        <w:tc>
          <w:tcPr>
            <w:tcW w:w="7700" w:type="dxa"/>
            <w:vAlign w:val="bottom"/>
            <w:gridSpan w:val="1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89"/>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2.09</w:t>
            </w:r>
          </w:p>
        </w:tc>
        <w:tc>
          <w:tcPr>
            <w:tcW w:w="1960" w:type="dxa"/>
            <w:vAlign w:val="bottom"/>
            <w:gridSpan w:val="16"/>
            <w:vMerge w:val="restart"/>
          </w:tcPr>
          <w:p>
            <w:pPr>
              <w:spacing w:after="0" w:line="196" w:lineRule="exact"/>
              <w:rPr>
                <w:sz w:val="20"/>
                <w:szCs w:val="20"/>
                <w:color w:val="auto"/>
              </w:rPr>
            </w:pPr>
            <w:r>
              <w:rPr>
                <w:rFonts w:ascii="Arial" w:cs="Arial" w:eastAsia="Arial" w:hAnsi="Arial"/>
                <w:sz w:val="18"/>
                <w:szCs w:val="18"/>
                <w:i w:val="1"/>
                <w:iCs w:val="1"/>
                <w:color w:val="FF0000"/>
                <w:strike w:val="1"/>
                <w:w w:val="85"/>
              </w:rPr>
              <w:t>. Termination and Reduction</w:t>
            </w: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63</w:t>
            </w:r>
          </w:p>
        </w:tc>
        <w:tc>
          <w:tcPr>
            <w:tcW w:w="0" w:type="dxa"/>
            <w:vAlign w:val="bottom"/>
            <w:tcBorders>
              <w:top w:val="single" w:sz="8" w:color="0000FF"/>
              <w:bottom w:val="single" w:sz="8" w:color="0000FF"/>
            </w:tcBorders>
            <w:vMerge w:val="restart"/>
          </w:tcPr>
          <w:p>
            <w:pPr>
              <w:spacing w:after="0"/>
              <w:rPr>
                <w:sz w:val="2"/>
                <w:szCs w:val="2"/>
                <w:color w:val="auto"/>
              </w:rPr>
            </w:pPr>
          </w:p>
        </w:tc>
        <w:tc>
          <w:tcPr>
            <w:tcW w:w="18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1960" w:type="dxa"/>
            <w:vAlign w:val="bottom"/>
            <w:gridSpan w:val="16"/>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6"/>
          </w:tcPr>
          <w:p>
            <w:pPr>
              <w:ind w:left="40"/>
              <w:spacing w:after="0" w:line="142" w:lineRule="exact"/>
              <w:rPr>
                <w:sz w:val="20"/>
                <w:szCs w:val="20"/>
                <w:color w:val="auto"/>
              </w:rPr>
            </w:pPr>
            <w:r>
              <w:rPr>
                <w:rFonts w:ascii="Arial" w:cs="Arial" w:eastAsia="Arial" w:hAnsi="Arial"/>
                <w:sz w:val="16"/>
                <w:szCs w:val="16"/>
                <w:i w:val="1"/>
                <w:iCs w:val="1"/>
                <w:color w:val="FF0000"/>
                <w:strike w:val="1"/>
              </w:rPr>
              <w:t>of Commitments</w:t>
            </w:r>
          </w:p>
        </w:tc>
        <w:tc>
          <w:tcPr>
            <w:tcW w:w="6340" w:type="dxa"/>
            <w:vAlign w:val="bottom"/>
            <w:gridSpan w:val="10"/>
          </w:tcPr>
          <w:p>
            <w:pPr>
              <w:jc w:val="right"/>
              <w:ind w:right="5540"/>
              <w:spacing w:after="0" w:line="142" w:lineRule="exact"/>
              <w:rPr>
                <w:sz w:val="20"/>
                <w:szCs w:val="20"/>
                <w:color w:val="auto"/>
              </w:rPr>
            </w:pPr>
            <w:r>
              <w:rPr>
                <w:rFonts w:ascii="Arial" w:cs="Arial" w:eastAsia="Arial" w:hAnsi="Arial"/>
                <w:sz w:val="16"/>
                <w:szCs w:val="16"/>
                <w:i w:val="1"/>
                <w:iCs w:val="1"/>
                <w:color w:val="0000FF"/>
              </w:rPr>
              <w:t>[Reserved]</w:t>
            </w: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89"/>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2.10</w:t>
            </w:r>
          </w:p>
        </w:tc>
        <w:tc>
          <w:tcPr>
            <w:tcW w:w="3320" w:type="dxa"/>
            <w:vAlign w:val="bottom"/>
            <w:gridSpan w:val="25"/>
            <w:vMerge w:val="restart"/>
          </w:tcPr>
          <w:p>
            <w:pPr>
              <w:spacing w:after="0" w:line="196" w:lineRule="exact"/>
              <w:rPr>
                <w:sz w:val="20"/>
                <w:szCs w:val="20"/>
                <w:color w:val="auto"/>
              </w:rPr>
            </w:pPr>
            <w:r>
              <w:rPr>
                <w:rFonts w:ascii="Arial" w:cs="Arial" w:eastAsia="Arial" w:hAnsi="Arial"/>
                <w:sz w:val="18"/>
                <w:szCs w:val="18"/>
                <w:i w:val="1"/>
                <w:iCs w:val="1"/>
                <w:color w:val="FF0000"/>
                <w:strike w:val="1"/>
                <w:w w:val="92"/>
              </w:rPr>
              <w:t>. Conversion and Continuation of Borrowings</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63</w:t>
            </w:r>
          </w:p>
        </w:tc>
        <w:tc>
          <w:tcPr>
            <w:tcW w:w="0" w:type="dxa"/>
            <w:vAlign w:val="bottom"/>
            <w:tcBorders>
              <w:top w:val="single" w:sz="8" w:color="0000FF"/>
              <w:bottom w:val="single" w:sz="8" w:color="0000FF"/>
            </w:tcBorders>
            <w:vMerge w:val="restart"/>
          </w:tcPr>
          <w:p>
            <w:pPr>
              <w:spacing w:after="0"/>
              <w:rPr>
                <w:sz w:val="2"/>
                <w:szCs w:val="2"/>
                <w:color w:val="auto"/>
              </w:rPr>
            </w:pPr>
          </w:p>
        </w:tc>
        <w:tc>
          <w:tcPr>
            <w:tcW w:w="18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320" w:type="dxa"/>
            <w:vAlign w:val="bottom"/>
            <w:gridSpan w:val="25"/>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i w:val="1"/>
                <w:iCs w:val="1"/>
                <w:color w:val="0000FF"/>
                <w:w w:val="95"/>
              </w:rPr>
              <w:t>[Reserved]</w:t>
            </w:r>
          </w:p>
        </w:tc>
        <w:tc>
          <w:tcPr>
            <w:tcW w:w="4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2.11</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46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64</w:t>
            </w:r>
          </w:p>
        </w:tc>
        <w:tc>
          <w:tcPr>
            <w:tcW w:w="0" w:type="dxa"/>
            <w:vAlign w:val="bottom"/>
            <w:vMerge w:val="restart"/>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24"/>
          </w:tcPr>
          <w:p>
            <w:pPr>
              <w:spacing w:after="0" w:line="142" w:lineRule="exact"/>
              <w:rPr>
                <w:sz w:val="20"/>
                <w:szCs w:val="20"/>
                <w:color w:val="auto"/>
              </w:rPr>
            </w:pPr>
            <w:r>
              <w:rPr>
                <w:rFonts w:ascii="Arial" w:cs="Arial" w:eastAsia="Arial" w:hAnsi="Arial"/>
                <w:sz w:val="16"/>
                <w:szCs w:val="16"/>
                <w:i w:val="1"/>
                <w:iCs w:val="1"/>
                <w:color w:val="auto"/>
              </w:rPr>
              <w:t xml:space="preserve">Repayment of </w:t>
            </w:r>
            <w:r>
              <w:rPr>
                <w:rFonts w:ascii="Arial" w:cs="Arial" w:eastAsia="Arial" w:hAnsi="Arial"/>
                <w:sz w:val="16"/>
                <w:szCs w:val="16"/>
                <w:i w:val="1"/>
                <w:iCs w:val="1"/>
                <w:color w:val="0000FF"/>
              </w:rPr>
              <w:t>New Money Postpetition</w:t>
            </w:r>
            <w:r>
              <w:rPr>
                <w:rFonts w:ascii="Arial" w:cs="Arial" w:eastAsia="Arial" w:hAnsi="Arial"/>
                <w:sz w:val="16"/>
                <w:szCs w:val="16"/>
                <w:i w:val="1"/>
                <w:iCs w:val="1"/>
                <w:color w:val="auto"/>
              </w:rPr>
              <w:t xml:space="preserve"> Term</w:t>
            </w:r>
          </w:p>
        </w:tc>
        <w:tc>
          <w:tcPr>
            <w:tcW w:w="840" w:type="dxa"/>
            <w:vAlign w:val="bottom"/>
            <w:gridSpan w:val="3"/>
          </w:tcPr>
          <w:p>
            <w:pPr>
              <w:spacing w:after="0" w:line="142" w:lineRule="exact"/>
              <w:rPr>
                <w:sz w:val="20"/>
                <w:szCs w:val="20"/>
                <w:color w:val="auto"/>
              </w:rPr>
            </w:pPr>
            <w:r>
              <w:rPr>
                <w:rFonts w:ascii="Arial" w:cs="Arial" w:eastAsia="Arial" w:hAnsi="Arial"/>
                <w:sz w:val="16"/>
                <w:szCs w:val="16"/>
                <w:i w:val="1"/>
                <w:iCs w:val="1"/>
                <w:color w:val="FF0000"/>
                <w:strike w:val="1"/>
              </w:rPr>
              <w:t>Borrowings</w:t>
            </w:r>
          </w:p>
        </w:tc>
        <w:tc>
          <w:tcPr>
            <w:tcW w:w="516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rPr>
              <w:t>Loans</w:t>
            </w: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89"/>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2.12</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47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65</w:t>
            </w:r>
          </w:p>
        </w:tc>
        <w:tc>
          <w:tcPr>
            <w:tcW w:w="0" w:type="dxa"/>
            <w:vAlign w:val="bottom"/>
            <w:tcBorders>
              <w:top w:val="single" w:sz="8" w:color="0000FF"/>
              <w:bottom w:val="single" w:sz="8" w:color="0000FF"/>
            </w:tcBorders>
            <w:vMerge w:val="restart"/>
          </w:tcPr>
          <w:p>
            <w:pPr>
              <w:spacing w:after="0"/>
              <w:rPr>
                <w:sz w:val="2"/>
                <w:szCs w:val="2"/>
                <w:color w:val="auto"/>
              </w:rPr>
            </w:pPr>
          </w:p>
        </w:tc>
        <w:tc>
          <w:tcPr>
            <w:tcW w:w="18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80" w:type="dxa"/>
            <w:vAlign w:val="bottom"/>
            <w:gridSpan w:val="17"/>
          </w:tcPr>
          <w:p>
            <w:pPr>
              <w:spacing w:after="0" w:line="142" w:lineRule="exact"/>
              <w:rPr>
                <w:sz w:val="20"/>
                <w:szCs w:val="20"/>
                <w:color w:val="auto"/>
              </w:rPr>
            </w:pPr>
            <w:r>
              <w:rPr>
                <w:rFonts w:ascii="Arial" w:cs="Arial" w:eastAsia="Arial" w:hAnsi="Arial"/>
                <w:sz w:val="16"/>
                <w:szCs w:val="16"/>
                <w:i w:val="1"/>
                <w:iCs w:val="1"/>
                <w:color w:val="auto"/>
              </w:rPr>
              <w:t>Voluntary Prepayment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2.13</w:t>
            </w:r>
          </w:p>
        </w:tc>
        <w:tc>
          <w:tcPr>
            <w:tcW w:w="1920" w:type="dxa"/>
            <w:vAlign w:val="bottom"/>
            <w:gridSpan w:val="14"/>
            <w:vMerge w:val="restart"/>
          </w:tcPr>
          <w:p>
            <w:pPr>
              <w:spacing w:after="0" w:line="196" w:lineRule="exact"/>
              <w:rPr>
                <w:sz w:val="20"/>
                <w:szCs w:val="20"/>
                <w:color w:val="auto"/>
              </w:rPr>
            </w:pPr>
            <w:r>
              <w:rPr>
                <w:rFonts w:ascii="Arial" w:cs="Arial" w:eastAsia="Arial" w:hAnsi="Arial"/>
                <w:sz w:val="18"/>
                <w:szCs w:val="18"/>
                <w:i w:val="1"/>
                <w:iCs w:val="1"/>
                <w:color w:val="FF0000"/>
                <w:strike w:val="1"/>
                <w:w w:val="92"/>
              </w:rPr>
              <w:t>. Mandatory Prepayments</w:t>
            </w:r>
          </w:p>
        </w:tc>
        <w:tc>
          <w:tcPr>
            <w:tcW w:w="800" w:type="dxa"/>
            <w:vAlign w:val="bottom"/>
            <w:gridSpan w:val="7"/>
            <w:vMerge w:val="restart"/>
          </w:tcPr>
          <w:p>
            <w:pPr>
              <w:spacing w:after="0" w:line="196" w:lineRule="exact"/>
              <w:rPr>
                <w:sz w:val="20"/>
                <w:szCs w:val="20"/>
                <w:color w:val="auto"/>
              </w:rPr>
            </w:pPr>
            <w:r>
              <w:rPr>
                <w:rFonts w:ascii="Arial" w:cs="Arial" w:eastAsia="Arial" w:hAnsi="Arial"/>
                <w:sz w:val="18"/>
                <w:szCs w:val="18"/>
                <w:i w:val="1"/>
                <w:iCs w:val="1"/>
                <w:color w:val="0000FF"/>
                <w:w w:val="89"/>
              </w:rPr>
              <w:t>[Reserved]</w:t>
            </w:r>
          </w:p>
        </w:tc>
        <w:tc>
          <w:tcPr>
            <w:tcW w:w="6940" w:type="dxa"/>
            <w:vAlign w:val="bottom"/>
            <w:gridSpan w:val="14"/>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66</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1920" w:type="dxa"/>
            <w:vAlign w:val="bottom"/>
            <w:gridSpan w:val="14"/>
            <w:vMerge w:val="continue"/>
          </w:tcPr>
          <w:p>
            <w:pPr>
              <w:spacing w:after="0"/>
              <w:rPr>
                <w:sz w:val="12"/>
                <w:szCs w:val="12"/>
                <w:color w:val="auto"/>
              </w:rPr>
            </w:pPr>
          </w:p>
        </w:tc>
        <w:tc>
          <w:tcPr>
            <w:tcW w:w="800" w:type="dxa"/>
            <w:vAlign w:val="bottom"/>
            <w:tcBorders>
              <w:bottom w:val="single" w:sz="8" w:color="0000FF"/>
            </w:tcBorders>
            <w:gridSpan w:val="7"/>
            <w:vMerge w:val="continue"/>
          </w:tcPr>
          <w:p>
            <w:pPr>
              <w:spacing w:after="0"/>
              <w:rPr>
                <w:sz w:val="12"/>
                <w:szCs w:val="12"/>
                <w:color w:val="auto"/>
              </w:rPr>
            </w:pPr>
          </w:p>
        </w:tc>
        <w:tc>
          <w:tcPr>
            <w:tcW w:w="6940" w:type="dxa"/>
            <w:vAlign w:val="bottom"/>
            <w:gridSpan w:val="1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2.14</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9"/>
            <w:vMerge w:val="restart"/>
          </w:tcPr>
          <w:p>
            <w:pPr>
              <w:spacing w:after="0" w:line="196" w:lineRule="exact"/>
              <w:rPr>
                <w:sz w:val="20"/>
                <w:szCs w:val="20"/>
                <w:color w:val="auto"/>
              </w:rPr>
            </w:pPr>
            <w:r>
              <w:rPr>
                <w:rFonts w:ascii="Arial" w:cs="Arial" w:eastAsia="Arial" w:hAnsi="Arial"/>
                <w:sz w:val="18"/>
                <w:szCs w:val="18"/>
                <w:i w:val="1"/>
                <w:iCs w:val="1"/>
                <w:color w:val="auto"/>
                <w:w w:val="94"/>
              </w:rPr>
              <w:t>Pro Rata Treatment</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4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68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6240" w:type="dxa"/>
            <w:vAlign w:val="bottom"/>
            <w:gridSpan w:val="6"/>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69</w:t>
            </w:r>
          </w:p>
        </w:tc>
        <w:tc>
          <w:tcPr>
            <w:tcW w:w="0" w:type="dxa"/>
            <w:vAlign w:val="bottom"/>
            <w:vMerge w:val="restart"/>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2.15</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Sharing of Setoffs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70</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auto"/>
                <w:w w:val="89"/>
              </w:rPr>
              <w:t>Section 2.16</w:t>
            </w:r>
            <w:r>
              <w:rPr>
                <w:rFonts w:ascii="Arial" w:cs="Arial" w:eastAsia="Arial" w:hAnsi="Arial"/>
                <w:sz w:val="18"/>
                <w:szCs w:val="18"/>
                <w:i w:val="1"/>
                <w:iCs w:val="1"/>
                <w:color w:val="FF0000"/>
                <w:strike w:val="1"/>
                <w:w w:val="89"/>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40" w:type="dxa"/>
            <w:vAlign w:val="bottom"/>
            <w:gridSpan w:val="29"/>
            <w:vMerge w:val="restart"/>
          </w:tcPr>
          <w:p>
            <w:pPr>
              <w:spacing w:after="0" w:line="196" w:lineRule="exact"/>
              <w:rPr>
                <w:sz w:val="20"/>
                <w:szCs w:val="20"/>
                <w:color w:val="auto"/>
              </w:rPr>
            </w:pPr>
            <w:r>
              <w:rPr>
                <w:rFonts w:ascii="Arial" w:cs="Arial" w:eastAsia="Arial" w:hAnsi="Arial"/>
                <w:sz w:val="18"/>
                <w:szCs w:val="18"/>
                <w:i w:val="1"/>
                <w:iCs w:val="1"/>
                <w:color w:val="auto"/>
              </w:rPr>
              <w:t>Payments</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70</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2.17</w:t>
            </w:r>
          </w:p>
        </w:tc>
        <w:tc>
          <w:tcPr>
            <w:tcW w:w="94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FF0000"/>
                <w:strike w:val="1"/>
                <w:w w:val="94"/>
              </w:rPr>
              <w:t>. [Reserved]</w:t>
            </w:r>
          </w:p>
        </w:tc>
        <w:tc>
          <w:tcPr>
            <w:tcW w:w="1120" w:type="dxa"/>
            <w:vAlign w:val="bottom"/>
            <w:gridSpan w:val="11"/>
            <w:vMerge w:val="restart"/>
          </w:tcPr>
          <w:p>
            <w:pPr>
              <w:spacing w:after="0" w:line="196" w:lineRule="exact"/>
              <w:rPr>
                <w:sz w:val="20"/>
                <w:szCs w:val="20"/>
                <w:color w:val="auto"/>
              </w:rPr>
            </w:pPr>
            <w:r>
              <w:rPr>
                <w:rFonts w:ascii="Arial" w:cs="Arial" w:eastAsia="Arial" w:hAnsi="Arial"/>
                <w:sz w:val="18"/>
                <w:szCs w:val="18"/>
                <w:i w:val="1"/>
                <w:iCs w:val="1"/>
                <w:color w:val="0000FF"/>
                <w:w w:val="93"/>
              </w:rPr>
              <w:t>Call Protection</w:t>
            </w:r>
          </w:p>
        </w:tc>
        <w:tc>
          <w:tcPr>
            <w:tcW w:w="7600" w:type="dxa"/>
            <w:vAlign w:val="bottom"/>
            <w:gridSpan w:val="16"/>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71</w:t>
            </w:r>
          </w:p>
        </w:tc>
        <w:tc>
          <w:tcPr>
            <w:tcW w:w="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940" w:type="dxa"/>
            <w:vAlign w:val="bottom"/>
            <w:gridSpan w:val="8"/>
            <w:vMerge w:val="continue"/>
          </w:tcPr>
          <w:p>
            <w:pPr>
              <w:spacing w:after="0"/>
              <w:rPr>
                <w:sz w:val="12"/>
                <w:szCs w:val="12"/>
                <w:color w:val="auto"/>
              </w:rPr>
            </w:pPr>
          </w:p>
        </w:tc>
        <w:tc>
          <w:tcPr>
            <w:tcW w:w="1120" w:type="dxa"/>
            <w:vAlign w:val="bottom"/>
            <w:tcBorders>
              <w:bottom w:val="single" w:sz="8" w:color="0000FF"/>
            </w:tcBorders>
            <w:gridSpan w:val="11"/>
            <w:vMerge w:val="continue"/>
          </w:tcPr>
          <w:p>
            <w:pPr>
              <w:spacing w:after="0"/>
              <w:rPr>
                <w:sz w:val="12"/>
                <w:szCs w:val="12"/>
                <w:color w:val="auto"/>
              </w:rPr>
            </w:pPr>
          </w:p>
        </w:tc>
        <w:tc>
          <w:tcPr>
            <w:tcW w:w="7600" w:type="dxa"/>
            <w:vAlign w:val="bottom"/>
            <w:gridSpan w:val="16"/>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2.18</w:t>
            </w:r>
          </w:p>
        </w:tc>
        <w:tc>
          <w:tcPr>
            <w:tcW w:w="94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FF0000"/>
                <w:strike w:val="1"/>
                <w:w w:val="87"/>
              </w:rPr>
              <w:t>. Refinancing</w:t>
            </w:r>
          </w:p>
        </w:tc>
        <w:tc>
          <w:tcPr>
            <w:tcW w:w="40" w:type="dxa"/>
            <w:vAlign w:val="bottom"/>
            <w:tcBorders>
              <w:bottom w:val="single" w:sz="8" w:color="0000FF"/>
            </w:tcBorders>
          </w:tcPr>
          <w:p>
            <w:pPr>
              <w:spacing w:after="0"/>
              <w:rPr>
                <w:sz w:val="2"/>
                <w:szCs w:val="2"/>
                <w:color w:val="auto"/>
              </w:rPr>
            </w:pPr>
          </w:p>
        </w:tc>
        <w:tc>
          <w:tcPr>
            <w:tcW w:w="46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1380" w:type="dxa"/>
            <w:vAlign w:val="bottom"/>
            <w:gridSpan w:val="11"/>
            <w:vMerge w:val="restart"/>
          </w:tcPr>
          <w:p>
            <w:pPr>
              <w:spacing w:after="0" w:line="196" w:lineRule="exact"/>
              <w:rPr>
                <w:sz w:val="20"/>
                <w:szCs w:val="20"/>
                <w:color w:val="auto"/>
              </w:rPr>
            </w:pPr>
            <w:r>
              <w:rPr>
                <w:rFonts w:ascii="Arial" w:cs="Arial" w:eastAsia="Arial" w:hAnsi="Arial"/>
                <w:sz w:val="18"/>
                <w:szCs w:val="18"/>
                <w:i w:val="1"/>
                <w:iCs w:val="1"/>
                <w:color w:val="0000FF"/>
                <w:w w:val="87"/>
              </w:rPr>
              <w:t>Currency Indemnity</w:t>
            </w:r>
          </w:p>
        </w:tc>
        <w:tc>
          <w:tcPr>
            <w:tcW w:w="6240" w:type="dxa"/>
            <w:vAlign w:val="bottom"/>
            <w:gridSpan w:val="6"/>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71</w:t>
            </w:r>
          </w:p>
        </w:tc>
        <w:tc>
          <w:tcPr>
            <w:tcW w:w="0" w:type="dxa"/>
            <w:vAlign w:val="bottom"/>
            <w:vMerge w:val="restart"/>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940" w:type="dxa"/>
            <w:vAlign w:val="bottom"/>
            <w:gridSpan w:val="8"/>
            <w:vMerge w:val="continue"/>
          </w:tcPr>
          <w:p>
            <w:pPr>
              <w:spacing w:after="0"/>
              <w:rPr>
                <w:sz w:val="12"/>
                <w:szCs w:val="12"/>
                <w:color w:val="auto"/>
              </w:rPr>
            </w:pPr>
          </w:p>
        </w:tc>
        <w:tc>
          <w:tcPr>
            <w:tcW w:w="1020" w:type="dxa"/>
            <w:vAlign w:val="bottom"/>
            <w:gridSpan w:val="8"/>
          </w:tcPr>
          <w:p>
            <w:pPr>
              <w:ind w:left="60"/>
              <w:spacing w:after="0" w:line="142" w:lineRule="exact"/>
              <w:rPr>
                <w:sz w:val="20"/>
                <w:szCs w:val="20"/>
                <w:color w:val="auto"/>
              </w:rPr>
            </w:pPr>
            <w:r>
              <w:rPr>
                <w:rFonts w:ascii="Arial" w:cs="Arial" w:eastAsia="Arial" w:hAnsi="Arial"/>
                <w:sz w:val="16"/>
                <w:szCs w:val="16"/>
                <w:i w:val="1"/>
                <w:iCs w:val="1"/>
                <w:color w:val="FF0000"/>
                <w:strike w:val="1"/>
                <w:w w:val="99"/>
              </w:rPr>
              <w:t>Amendments</w:t>
            </w: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1380" w:type="dxa"/>
            <w:vAlign w:val="bottom"/>
            <w:tcBorders>
              <w:bottom w:val="single" w:sz="8" w:color="0000FF"/>
            </w:tcBorders>
            <w:gridSpan w:val="11"/>
            <w:vMerge w:val="continue"/>
          </w:tcPr>
          <w:p>
            <w:pPr>
              <w:spacing w:after="0"/>
              <w:rPr>
                <w:sz w:val="12"/>
                <w:szCs w:val="12"/>
                <w:color w:val="auto"/>
              </w:rPr>
            </w:pPr>
          </w:p>
        </w:tc>
        <w:tc>
          <w:tcPr>
            <w:tcW w:w="6240" w:type="dxa"/>
            <w:vAlign w:val="bottom"/>
            <w:gridSpan w:val="6"/>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i w:val="1"/>
                <w:iCs w:val="1"/>
                <w:color w:val="0000FF"/>
                <w:w w:val="89"/>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840" w:type="dxa"/>
            <w:vAlign w:val="bottom"/>
            <w:gridSpan w:val="18"/>
            <w:vMerge w:val="restart"/>
          </w:tcPr>
          <w:p>
            <w:pPr>
              <w:spacing w:after="0"/>
              <w:rPr>
                <w:sz w:val="20"/>
                <w:szCs w:val="20"/>
                <w:color w:val="auto"/>
              </w:rPr>
            </w:pPr>
            <w:r>
              <w:rPr>
                <w:rFonts w:ascii="Arial" w:cs="Arial" w:eastAsia="Arial" w:hAnsi="Arial"/>
                <w:sz w:val="18"/>
                <w:szCs w:val="18"/>
                <w:i w:val="1"/>
                <w:iCs w:val="1"/>
                <w:color w:val="FF0000"/>
                <w:strike w:val="1"/>
                <w:w w:val="88"/>
              </w:rPr>
              <w:t>Section 2.19. Extensions of Term Loans</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4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4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240" w:type="dxa"/>
            <w:vAlign w:val="bottom"/>
            <w:gridSpan w:val="6"/>
          </w:tcPr>
          <w:p>
            <w:pPr>
              <w:spacing w:after="0"/>
              <w:rPr>
                <w:sz w:val="2"/>
                <w:szCs w:val="2"/>
                <w:color w:val="auto"/>
              </w:rPr>
            </w:pPr>
          </w:p>
        </w:tc>
        <w:tc>
          <w:tcPr>
            <w:tcW w:w="240" w:type="dxa"/>
            <w:vAlign w:val="bottom"/>
            <w:gridSpan w:val="3"/>
          </w:tcPr>
          <w:p>
            <w:pPr>
              <w:spacing w:after="0"/>
              <w:rPr>
                <w:sz w:val="2"/>
                <w:szCs w:val="2"/>
                <w:color w:val="auto"/>
              </w:rPr>
            </w:pPr>
          </w:p>
        </w:tc>
        <w:tc>
          <w:tcPr>
            <w:tcW w:w="1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40" w:type="dxa"/>
            <w:vAlign w:val="bottom"/>
            <w:gridSpan w:val="18"/>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40" w:type="dxa"/>
            <w:vAlign w:val="bottom"/>
            <w:gridSpan w:val="4"/>
            <w:vMerge w:val="restart"/>
          </w:tcPr>
          <w:p>
            <w:pPr>
              <w:jc w:val="center"/>
              <w:ind w:right="4600"/>
              <w:spacing w:after="0"/>
              <w:rPr>
                <w:sz w:val="20"/>
                <w:szCs w:val="20"/>
                <w:color w:val="auto"/>
              </w:rPr>
            </w:pPr>
            <w:r>
              <w:rPr>
                <w:rFonts w:ascii="Arial" w:cs="Arial" w:eastAsia="Arial" w:hAnsi="Arial"/>
                <w:sz w:val="18"/>
                <w:szCs w:val="18"/>
                <w:b w:val="1"/>
                <w:bCs w:val="1"/>
                <w:i w:val="1"/>
                <w:iCs w:val="1"/>
                <w:color w:val="auto"/>
                <w:w w:val="96"/>
              </w:rPr>
              <w:t>ARTICLE 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i w:val="1"/>
                <w:iCs w:val="1"/>
                <w:color w:val="FF0000"/>
                <w:strike w:val="1"/>
                <w:w w:val="79"/>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540" w:type="dxa"/>
            <w:vAlign w:val="bottom"/>
            <w:gridSpan w:val="4"/>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00" w:type="dxa"/>
            <w:vAlign w:val="bottom"/>
            <w:gridSpan w:val="13"/>
          </w:tcPr>
          <w:p>
            <w:pPr>
              <w:jc w:val="center"/>
              <w:ind w:right="3220"/>
              <w:spacing w:after="0"/>
              <w:rPr>
                <w:sz w:val="20"/>
                <w:szCs w:val="20"/>
                <w:color w:val="auto"/>
              </w:rPr>
            </w:pPr>
            <w:r>
              <w:rPr>
                <w:rFonts w:ascii="Arial" w:cs="Arial" w:eastAsia="Arial" w:hAnsi="Arial"/>
                <w:sz w:val="18"/>
                <w:szCs w:val="18"/>
                <w:b w:val="1"/>
                <w:bCs w:val="1"/>
                <w:i w:val="1"/>
                <w:iCs w:val="1"/>
                <w:color w:val="auto"/>
                <w:w w:val="86"/>
              </w:rPr>
              <w:t>Taxes, Increased Costs Protection and Illegality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6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w w:val="89"/>
              </w:rPr>
              <w:t>Section 3.01</w:t>
            </w:r>
            <w:r>
              <w:rPr>
                <w:rFonts w:ascii="Arial" w:cs="Arial" w:eastAsia="Arial" w:hAnsi="Arial"/>
                <w:sz w:val="18"/>
                <w:szCs w:val="18"/>
                <w:i w:val="1"/>
                <w:iCs w:val="1"/>
                <w:color w:val="FF0000"/>
                <w:strike w:val="1"/>
                <w:w w:val="89"/>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9"/>
          </w:tcPr>
          <w:p>
            <w:pPr>
              <w:spacing w:after="0" w:line="190" w:lineRule="exact"/>
              <w:rPr>
                <w:sz w:val="20"/>
                <w:szCs w:val="20"/>
                <w:color w:val="auto"/>
              </w:rPr>
            </w:pPr>
            <w:r>
              <w:rPr>
                <w:rFonts w:ascii="Arial" w:cs="Arial" w:eastAsia="Arial" w:hAnsi="Arial"/>
                <w:sz w:val="18"/>
                <w:szCs w:val="18"/>
                <w:i w:val="1"/>
                <w:iCs w:val="1"/>
                <w:color w:val="auto"/>
              </w:rPr>
              <w:t>Taxes</w:t>
            </w:r>
          </w:p>
        </w:tc>
        <w:tc>
          <w:tcPr>
            <w:tcW w:w="6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i w:val="1"/>
                <w:iCs w:val="1"/>
                <w:color w:val="FF0000"/>
                <w:strike w:val="1"/>
                <w:w w:val="79"/>
              </w:rPr>
              <w:t>74</w:t>
            </w:r>
          </w:p>
        </w:tc>
        <w:tc>
          <w:tcPr>
            <w:tcW w:w="200" w:type="dxa"/>
            <w:vAlign w:val="bottom"/>
            <w:gridSpan w:val="4"/>
          </w:tcPr>
          <w:p>
            <w:pPr>
              <w:spacing w:after="0" w:line="190" w:lineRule="exact"/>
              <w:rPr>
                <w:sz w:val="20"/>
                <w:szCs w:val="20"/>
                <w:color w:val="auto"/>
              </w:rPr>
            </w:pPr>
            <w:r>
              <w:rPr>
                <w:rFonts w:ascii="Arial" w:cs="Arial" w:eastAsia="Arial" w:hAnsi="Arial"/>
                <w:sz w:val="18"/>
                <w:szCs w:val="18"/>
                <w:i w:val="1"/>
                <w:iCs w:val="1"/>
                <w:color w:val="0000FF"/>
                <w:w w:val="89"/>
              </w:rPr>
              <w:t>90</w:t>
            </w: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3.02</w:t>
            </w:r>
          </w:p>
        </w:tc>
        <w:tc>
          <w:tcPr>
            <w:tcW w:w="780" w:type="dxa"/>
            <w:vAlign w:val="bottom"/>
            <w:gridSpan w:val="7"/>
            <w:vMerge w:val="restart"/>
          </w:tcPr>
          <w:p>
            <w:pPr>
              <w:spacing w:after="0" w:line="196" w:lineRule="exact"/>
              <w:rPr>
                <w:sz w:val="20"/>
                <w:szCs w:val="20"/>
                <w:color w:val="auto"/>
              </w:rPr>
            </w:pPr>
            <w:r>
              <w:rPr>
                <w:rFonts w:ascii="Arial" w:cs="Arial" w:eastAsia="Arial" w:hAnsi="Arial"/>
                <w:sz w:val="18"/>
                <w:szCs w:val="18"/>
                <w:i w:val="1"/>
                <w:iCs w:val="1"/>
                <w:color w:val="FF0000"/>
                <w:strike w:val="1"/>
              </w:rPr>
              <w:t>. Illegality</w:t>
            </w:r>
          </w:p>
        </w:tc>
        <w:tc>
          <w:tcPr>
            <w:tcW w:w="8880" w:type="dxa"/>
            <w:vAlign w:val="bottom"/>
            <w:gridSpan w:val="28"/>
            <w:vMerge w:val="restart"/>
          </w:tcPr>
          <w:p>
            <w:pPr>
              <w:spacing w:after="0" w:line="196" w:lineRule="exact"/>
              <w:rPr>
                <w:sz w:val="20"/>
                <w:szCs w:val="20"/>
                <w:color w:val="auto"/>
              </w:rPr>
            </w:pPr>
            <w:r>
              <w:rPr>
                <w:rFonts w:ascii="Arial" w:cs="Arial" w:eastAsia="Arial" w:hAnsi="Arial"/>
                <w:sz w:val="18"/>
                <w:szCs w:val="18"/>
                <w:i w:val="1"/>
                <w:iCs w:val="1"/>
                <w:color w:val="0000FF"/>
              </w:rPr>
              <w:t>[Reserved]</w:t>
            </w:r>
          </w:p>
        </w:tc>
        <w:tc>
          <w:tcPr>
            <w:tcW w:w="60" w:type="dxa"/>
            <w:vAlign w:val="bottom"/>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FF0000"/>
                <w:strike w:val="1"/>
                <w:w w:val="79"/>
              </w:rPr>
              <w:t>78</w:t>
            </w:r>
          </w:p>
        </w:tc>
        <w:tc>
          <w:tcPr>
            <w:tcW w:w="0" w:type="dxa"/>
            <w:vAlign w:val="bottom"/>
            <w:tcBorders>
              <w:top w:val="single" w:sz="8" w:color="0000FF"/>
              <w:bottom w:val="single" w:sz="8" w:color="0000FF"/>
            </w:tcBorders>
            <w:vMerge w:val="restart"/>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780" w:type="dxa"/>
            <w:vAlign w:val="bottom"/>
            <w:gridSpan w:val="7"/>
            <w:vMerge w:val="continue"/>
          </w:tcPr>
          <w:p>
            <w:pPr>
              <w:spacing w:after="0"/>
              <w:rPr>
                <w:sz w:val="12"/>
                <w:szCs w:val="12"/>
                <w:color w:val="auto"/>
              </w:rPr>
            </w:pPr>
          </w:p>
        </w:tc>
        <w:tc>
          <w:tcPr>
            <w:tcW w:w="8880" w:type="dxa"/>
            <w:vAlign w:val="bottom"/>
            <w:gridSpan w:val="2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89"/>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Borders>
              <w:top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i w:val="1"/>
                <w:iCs w:val="1"/>
                <w:color w:val="auto"/>
              </w:rPr>
              <w:t>Section 3.03</w:t>
            </w:r>
            <w:r>
              <w:rPr>
                <w:rFonts w:ascii="Arial" w:cs="Arial" w:eastAsia="Arial" w:hAnsi="Arial"/>
                <w:sz w:val="18"/>
                <w:szCs w:val="18"/>
                <w:i w:val="1"/>
                <w:iCs w:val="1"/>
                <w:color w:val="FF0000"/>
                <w:strike w:val="1"/>
              </w:rPr>
              <w:t>.</w:t>
            </w:r>
          </w:p>
        </w:tc>
        <w:tc>
          <w:tcPr>
            <w:tcW w:w="4180" w:type="dxa"/>
            <w:vAlign w:val="bottom"/>
            <w:gridSpan w:val="20"/>
          </w:tcPr>
          <w:p>
            <w:pPr>
              <w:ind w:left="180"/>
              <w:spacing w:after="0"/>
              <w:rPr>
                <w:sz w:val="20"/>
                <w:szCs w:val="20"/>
                <w:color w:val="auto"/>
              </w:rPr>
            </w:pPr>
            <w:r>
              <w:rPr>
                <w:rFonts w:ascii="Arial" w:cs="Arial" w:eastAsia="Arial" w:hAnsi="Arial"/>
                <w:sz w:val="18"/>
                <w:szCs w:val="18"/>
                <w:i w:val="1"/>
                <w:iCs w:val="1"/>
                <w:color w:val="auto"/>
                <w:w w:val="89"/>
              </w:rPr>
              <w:t>Increased Cost and Reduced Return; Capital Adequacy</w:t>
            </w:r>
          </w:p>
        </w:tc>
        <w:tc>
          <w:tcPr>
            <w:tcW w:w="1480" w:type="dxa"/>
            <w:vAlign w:val="bottom"/>
            <w:gridSpan w:val="4"/>
          </w:tcPr>
          <w:p>
            <w:pPr>
              <w:jc w:val="center"/>
              <w:spacing w:after="0"/>
              <w:rPr>
                <w:sz w:val="20"/>
                <w:szCs w:val="20"/>
                <w:color w:val="auto"/>
              </w:rPr>
            </w:pPr>
            <w:r>
              <w:rPr>
                <w:rFonts w:ascii="Arial" w:cs="Arial" w:eastAsia="Arial" w:hAnsi="Arial"/>
                <w:sz w:val="18"/>
                <w:szCs w:val="18"/>
                <w:i w:val="1"/>
                <w:iCs w:val="1"/>
                <w:color w:val="FF0000"/>
                <w:strike w:val="1"/>
                <w:w w:val="87"/>
              </w:rPr>
              <w:t>; Reserves on SOFR</w:t>
            </w:r>
          </w:p>
        </w:tc>
        <w:tc>
          <w:tcPr>
            <w:tcW w:w="900" w:type="dxa"/>
            <w:vAlign w:val="bottom"/>
            <w:gridSpan w:val="2"/>
          </w:tcPr>
          <w:p>
            <w:pPr>
              <w:ind w:left="20"/>
              <w:spacing w:after="0"/>
              <w:rPr>
                <w:sz w:val="20"/>
                <w:szCs w:val="20"/>
                <w:color w:val="auto"/>
              </w:rPr>
            </w:pPr>
            <w:r>
              <w:rPr>
                <w:rFonts w:ascii="Arial" w:cs="Arial" w:eastAsia="Arial" w:hAnsi="Arial"/>
                <w:sz w:val="18"/>
                <w:szCs w:val="18"/>
                <w:i w:val="1"/>
                <w:iCs w:val="1"/>
                <w:color w:val="FF0000"/>
                <w:strike w:val="1"/>
              </w:rPr>
              <w:t>Loans</w:t>
            </w:r>
          </w:p>
        </w:tc>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i w:val="1"/>
                <w:iCs w:val="1"/>
                <w:color w:val="FF0000"/>
                <w:strike w:val="1"/>
              </w:rPr>
              <w:t>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0000FF"/>
                <w:w w:val="79"/>
              </w:rPr>
              <w:t>94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Section 3.04</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rPr>
                <w:sz w:val="20"/>
                <w:szCs w:val="20"/>
                <w:color w:val="auto"/>
              </w:rPr>
            </w:pPr>
            <w:r>
              <w:rPr>
                <w:rFonts w:ascii="Arial" w:cs="Arial" w:eastAsia="Arial" w:hAnsi="Arial"/>
                <w:sz w:val="18"/>
                <w:szCs w:val="18"/>
                <w:i w:val="1"/>
                <w:iCs w:val="1"/>
                <w:color w:val="auto"/>
              </w:rPr>
              <w:t>[Reserved]</w:t>
            </w: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gridSpan w:val="2"/>
            <w:vMerge w:val="continue"/>
          </w:tcPr>
          <w:p>
            <w:pPr>
              <w:spacing w:after="0"/>
              <w:rPr>
                <w:sz w:val="2"/>
                <w:szCs w:val="2"/>
                <w:color w:val="auto"/>
              </w:rPr>
            </w:pPr>
          </w:p>
        </w:tc>
        <w:tc>
          <w:tcPr>
            <w:tcW w:w="6580" w:type="dxa"/>
            <w:vAlign w:val="bottom"/>
            <w:gridSpan w:val="27"/>
            <w:vMerge w:val="continue"/>
          </w:tcPr>
          <w:p>
            <w:pPr>
              <w:spacing w:after="0"/>
              <w:rPr>
                <w:sz w:val="2"/>
                <w:szCs w:val="2"/>
                <w:color w:val="auto"/>
              </w:rPr>
            </w:pP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80</w:t>
            </w: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89"/>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Section 3.05</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rPr>
                <w:sz w:val="20"/>
                <w:szCs w:val="20"/>
                <w:color w:val="auto"/>
              </w:rPr>
            </w:pPr>
            <w:r>
              <w:rPr>
                <w:rFonts w:ascii="Arial" w:cs="Arial" w:eastAsia="Arial" w:hAnsi="Arial"/>
                <w:sz w:val="18"/>
                <w:szCs w:val="18"/>
                <w:i w:val="1"/>
                <w:iCs w:val="1"/>
                <w:color w:val="auto"/>
              </w:rPr>
              <w:t>Matters Applicable to all Requests for Compensation</w:t>
            </w: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gridSpan w:val="2"/>
            <w:vMerge w:val="continue"/>
          </w:tcPr>
          <w:p>
            <w:pPr>
              <w:spacing w:after="0"/>
              <w:rPr>
                <w:sz w:val="2"/>
                <w:szCs w:val="2"/>
                <w:color w:val="auto"/>
              </w:rPr>
            </w:pPr>
          </w:p>
        </w:tc>
        <w:tc>
          <w:tcPr>
            <w:tcW w:w="6580" w:type="dxa"/>
            <w:vAlign w:val="bottom"/>
            <w:gridSpan w:val="27"/>
            <w:vMerge w:val="continue"/>
          </w:tcPr>
          <w:p>
            <w:pPr>
              <w:spacing w:after="0"/>
              <w:rPr>
                <w:sz w:val="2"/>
                <w:szCs w:val="2"/>
                <w:color w:val="auto"/>
              </w:rPr>
            </w:pP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80</w:t>
            </w: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89"/>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Section 3.06</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rPr>
                <w:sz w:val="20"/>
                <w:szCs w:val="20"/>
                <w:color w:val="auto"/>
              </w:rPr>
            </w:pPr>
            <w:r>
              <w:rPr>
                <w:rFonts w:ascii="Arial" w:cs="Arial" w:eastAsia="Arial" w:hAnsi="Arial"/>
                <w:sz w:val="18"/>
                <w:szCs w:val="18"/>
                <w:i w:val="1"/>
                <w:iCs w:val="1"/>
                <w:color w:val="auto"/>
              </w:rPr>
              <w:t>Replacement of Lenders under Certain Circumstances</w:t>
            </w: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gridSpan w:val="2"/>
            <w:vMerge w:val="continue"/>
          </w:tcPr>
          <w:p>
            <w:pPr>
              <w:spacing w:after="0"/>
              <w:rPr>
                <w:sz w:val="2"/>
                <w:szCs w:val="2"/>
                <w:color w:val="auto"/>
              </w:rPr>
            </w:pPr>
          </w:p>
        </w:tc>
        <w:tc>
          <w:tcPr>
            <w:tcW w:w="6580" w:type="dxa"/>
            <w:vAlign w:val="bottom"/>
            <w:gridSpan w:val="27"/>
            <w:vMerge w:val="continue"/>
          </w:tcPr>
          <w:p>
            <w:pPr>
              <w:spacing w:after="0"/>
              <w:rPr>
                <w:sz w:val="2"/>
                <w:szCs w:val="2"/>
                <w:color w:val="auto"/>
              </w:rPr>
            </w:pP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81</w:t>
            </w: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89"/>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Section 3.07</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rPr>
                <w:sz w:val="20"/>
                <w:szCs w:val="20"/>
                <w:color w:val="auto"/>
              </w:rPr>
            </w:pPr>
            <w:r>
              <w:rPr>
                <w:rFonts w:ascii="Arial" w:cs="Arial" w:eastAsia="Arial" w:hAnsi="Arial"/>
                <w:sz w:val="18"/>
                <w:szCs w:val="18"/>
                <w:i w:val="1"/>
                <w:iCs w:val="1"/>
                <w:color w:val="auto"/>
              </w:rPr>
              <w:t>Survival</w:t>
            </w: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gridSpan w:val="2"/>
            <w:vMerge w:val="continue"/>
          </w:tcPr>
          <w:p>
            <w:pPr>
              <w:spacing w:after="0"/>
              <w:rPr>
                <w:sz w:val="2"/>
                <w:szCs w:val="2"/>
                <w:color w:val="auto"/>
              </w:rPr>
            </w:pPr>
          </w:p>
        </w:tc>
        <w:tc>
          <w:tcPr>
            <w:tcW w:w="6580" w:type="dxa"/>
            <w:vAlign w:val="bottom"/>
            <w:gridSpan w:val="27"/>
            <w:vMerge w:val="continue"/>
          </w:tcPr>
          <w:p>
            <w:pPr>
              <w:spacing w:after="0"/>
              <w:rPr>
                <w:sz w:val="2"/>
                <w:szCs w:val="2"/>
                <w:color w:val="auto"/>
              </w:rPr>
            </w:pP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83</w:t>
            </w: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89"/>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gridSpan w:val="9"/>
            <w:vMerge w:val="restart"/>
          </w:tcPr>
          <w:p>
            <w:pPr>
              <w:jc w:val="center"/>
              <w:ind w:right="1660"/>
              <w:spacing w:after="0"/>
              <w:rPr>
                <w:sz w:val="20"/>
                <w:szCs w:val="20"/>
                <w:color w:val="auto"/>
              </w:rPr>
            </w:pPr>
            <w:r>
              <w:rPr>
                <w:rFonts w:ascii="Arial" w:cs="Arial" w:eastAsia="Arial" w:hAnsi="Arial"/>
                <w:sz w:val="18"/>
                <w:szCs w:val="18"/>
                <w:b w:val="1"/>
                <w:bCs w:val="1"/>
                <w:i w:val="1"/>
                <w:iCs w:val="1"/>
                <w:color w:val="auto"/>
                <w:w w:val="96"/>
              </w:rPr>
              <w:t>ARTICLE 4</w:t>
            </w: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9"/>
            <w:vMerge w:val="continue"/>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11"/>
          </w:tcPr>
          <w:p>
            <w:pPr>
              <w:ind w:left="140"/>
              <w:spacing w:after="0" w:line="190" w:lineRule="exact"/>
              <w:rPr>
                <w:sz w:val="20"/>
                <w:szCs w:val="20"/>
                <w:color w:val="auto"/>
              </w:rPr>
            </w:pPr>
            <w:r>
              <w:rPr>
                <w:rFonts w:ascii="Arial" w:cs="Arial" w:eastAsia="Arial" w:hAnsi="Arial"/>
                <w:sz w:val="18"/>
                <w:szCs w:val="18"/>
                <w:b w:val="1"/>
                <w:bCs w:val="1"/>
                <w:i w:val="1"/>
                <w:iCs w:val="1"/>
                <w:color w:val="auto"/>
                <w:w w:val="86"/>
              </w:rPr>
              <w:t xml:space="preserve">Conditions Precedent to </w:t>
            </w:r>
            <w:r>
              <w:rPr>
                <w:rFonts w:ascii="Arial" w:cs="Arial" w:eastAsia="Arial" w:hAnsi="Arial"/>
                <w:sz w:val="18"/>
                <w:szCs w:val="18"/>
                <w:b w:val="1"/>
                <w:bCs w:val="1"/>
                <w:i w:val="1"/>
                <w:iCs w:val="1"/>
                <w:color w:val="0000FF"/>
                <w:w w:val="86"/>
              </w:rPr>
              <w:t>each</w:t>
            </w:r>
            <w:r>
              <w:rPr>
                <w:rFonts w:ascii="Arial" w:cs="Arial" w:eastAsia="Arial" w:hAnsi="Arial"/>
                <w:sz w:val="18"/>
                <w:szCs w:val="18"/>
                <w:b w:val="1"/>
                <w:bCs w:val="1"/>
                <w:i w:val="1"/>
                <w:iCs w:val="1"/>
                <w:color w:val="auto"/>
                <w:w w:val="86"/>
              </w:rPr>
              <w:t xml:space="preserve"> Credit</w:t>
            </w:r>
          </w:p>
        </w:tc>
        <w:tc>
          <w:tcPr>
            <w:tcW w:w="120" w:type="dxa"/>
            <w:vAlign w:val="bottom"/>
          </w:tcPr>
          <w:p>
            <w:pPr>
              <w:jc w:val="center"/>
              <w:spacing w:after="0" w:line="190" w:lineRule="exact"/>
              <w:rPr>
                <w:sz w:val="20"/>
                <w:szCs w:val="20"/>
                <w:color w:val="auto"/>
              </w:rPr>
            </w:pPr>
            <w:r>
              <w:rPr>
                <w:rFonts w:ascii="Arial" w:cs="Arial" w:eastAsia="Arial" w:hAnsi="Arial"/>
                <w:sz w:val="18"/>
                <w:szCs w:val="18"/>
                <w:b w:val="1"/>
                <w:bCs w:val="1"/>
                <w:i w:val="1"/>
                <w:iCs w:val="1"/>
                <w:color w:val="FF0000"/>
                <w:strike w:val="1"/>
                <w:w w:val="99"/>
              </w:rPr>
              <w:t>E</w:t>
            </w:r>
          </w:p>
        </w:tc>
        <w:tc>
          <w:tcPr>
            <w:tcW w:w="840" w:type="dxa"/>
            <w:vAlign w:val="bottom"/>
            <w:gridSpan w:val="2"/>
          </w:tcPr>
          <w:p>
            <w:pPr>
              <w:spacing w:after="0"/>
              <w:rPr>
                <w:sz w:val="20"/>
                <w:szCs w:val="20"/>
                <w:color w:val="auto"/>
              </w:rPr>
            </w:pPr>
            <w:r>
              <w:rPr>
                <w:rFonts w:ascii="Arial" w:cs="Arial" w:eastAsia="Arial" w:hAnsi="Arial"/>
                <w:sz w:val="15"/>
                <w:szCs w:val="15"/>
                <w:b w:val="1"/>
                <w:bCs w:val="1"/>
                <w:i w:val="1"/>
                <w:iCs w:val="1"/>
                <w:color w:val="FF0000"/>
                <w:strike w:val="1"/>
                <w:w w:val="94"/>
              </w:rPr>
              <w:t>XTENSIONS</w:t>
            </w:r>
          </w:p>
        </w:tc>
        <w:tc>
          <w:tcPr>
            <w:tcW w:w="760" w:type="dxa"/>
            <w:vAlign w:val="bottom"/>
            <w:gridSpan w:val="2"/>
          </w:tcPr>
          <w:p>
            <w:pPr>
              <w:spacing w:after="0" w:line="190" w:lineRule="exact"/>
              <w:rPr>
                <w:sz w:val="20"/>
                <w:szCs w:val="20"/>
                <w:color w:val="auto"/>
              </w:rPr>
            </w:pPr>
            <w:r>
              <w:rPr>
                <w:rFonts w:ascii="Arial" w:cs="Arial" w:eastAsia="Arial" w:hAnsi="Arial"/>
                <w:sz w:val="18"/>
                <w:szCs w:val="18"/>
                <w:b w:val="1"/>
                <w:bCs w:val="1"/>
                <w:i w:val="1"/>
                <w:iCs w:val="1"/>
                <w:color w:val="0000FF"/>
                <w:w w:val="85"/>
              </w:rPr>
              <w:t>Extension</w:t>
            </w: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Section 4.01</w:t>
            </w:r>
            <w:r>
              <w:rPr>
                <w:rFonts w:ascii="Arial" w:cs="Arial" w:eastAsia="Arial" w:hAnsi="Arial"/>
                <w:sz w:val="18"/>
                <w:szCs w:val="18"/>
                <w:i w:val="1"/>
                <w:iCs w:val="1"/>
                <w:color w:val="FF0000"/>
                <w:strike w:val="1"/>
              </w:rPr>
              <w:t>.</w:t>
            </w:r>
          </w:p>
        </w:tc>
        <w:tc>
          <w:tcPr>
            <w:tcW w:w="3960" w:type="dxa"/>
            <w:vAlign w:val="bottom"/>
            <w:gridSpan w:val="19"/>
            <w:vMerge w:val="restart"/>
          </w:tcPr>
          <w:p>
            <w:pPr>
              <w:ind w:left="180"/>
              <w:spacing w:after="0"/>
              <w:rPr>
                <w:sz w:val="20"/>
                <w:szCs w:val="20"/>
                <w:color w:val="auto"/>
              </w:rPr>
            </w:pPr>
            <w:r>
              <w:rPr>
                <w:rFonts w:ascii="Arial" w:cs="Arial" w:eastAsia="Arial" w:hAnsi="Arial"/>
                <w:sz w:val="18"/>
                <w:szCs w:val="18"/>
                <w:i w:val="1"/>
                <w:iCs w:val="1"/>
                <w:color w:val="auto"/>
              </w:rPr>
              <w:t>All Credit Extensions</w:t>
            </w:r>
          </w:p>
        </w:tc>
        <w:tc>
          <w:tcPr>
            <w:tcW w:w="2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i w:val="1"/>
                <w:iCs w:val="1"/>
                <w:color w:val="FF0000"/>
                <w:strike w:val="1"/>
              </w:rPr>
              <w:t>83</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i w:val="1"/>
                <w:iCs w:val="1"/>
                <w:color w:val="0000FF"/>
                <w:w w:val="79"/>
              </w:rPr>
              <w:t>98</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3960" w:type="dxa"/>
            <w:vAlign w:val="bottom"/>
            <w:gridSpan w:val="19"/>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gridSpan w:val="4"/>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580" w:type="dxa"/>
            <w:vAlign w:val="bottom"/>
            <w:gridSpan w:val="9"/>
            <w:vMerge w:val="restart"/>
          </w:tcPr>
          <w:p>
            <w:pPr>
              <w:spacing w:after="0"/>
              <w:rPr>
                <w:sz w:val="20"/>
                <w:szCs w:val="20"/>
                <w:color w:val="auto"/>
              </w:rPr>
            </w:pPr>
            <w:r>
              <w:rPr>
                <w:rFonts w:ascii="Arial" w:cs="Arial" w:eastAsia="Arial" w:hAnsi="Arial"/>
                <w:sz w:val="18"/>
                <w:szCs w:val="18"/>
                <w:i w:val="1"/>
                <w:iCs w:val="1"/>
                <w:color w:val="FF0000"/>
                <w:strike w:val="1"/>
                <w:w w:val="90"/>
              </w:rPr>
              <w:t>Section 4.02. First Credit Extension</w:t>
            </w: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800" w:type="dxa"/>
            <w:vAlign w:val="bottom"/>
            <w:gridSpan w:val="9"/>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80" w:type="dxa"/>
            <w:vAlign w:val="bottom"/>
            <w:gridSpan w:val="9"/>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800" w:type="dxa"/>
            <w:vAlign w:val="bottom"/>
            <w:gridSpan w:val="9"/>
            <w:vMerge w:val="restart"/>
          </w:tcPr>
          <w:p>
            <w:pPr>
              <w:jc w:val="center"/>
              <w:ind w:right="1660"/>
              <w:spacing w:after="0"/>
              <w:rPr>
                <w:sz w:val="20"/>
                <w:szCs w:val="20"/>
                <w:color w:val="auto"/>
              </w:rPr>
            </w:pPr>
            <w:r>
              <w:rPr>
                <w:rFonts w:ascii="Arial" w:cs="Arial" w:eastAsia="Arial" w:hAnsi="Arial"/>
                <w:sz w:val="18"/>
                <w:szCs w:val="18"/>
                <w:b w:val="1"/>
                <w:bCs w:val="1"/>
                <w:i w:val="1"/>
                <w:iCs w:val="1"/>
                <w:color w:val="auto"/>
                <w:w w:val="96"/>
              </w:rPr>
              <w:t>ARTICLE 5</w:t>
            </w: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i w:val="1"/>
                <w:iCs w:val="1"/>
                <w:color w:val="FF0000"/>
                <w:strike w:val="1"/>
                <w:w w:val="79"/>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0" w:type="dxa"/>
            <w:vAlign w:val="bottom"/>
            <w:gridSpan w:val="9"/>
            <w:vMerge w:val="continue"/>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12"/>
          </w:tcPr>
          <w:p>
            <w:pPr>
              <w:jc w:val="center"/>
              <w:ind w:right="680"/>
              <w:spacing w:after="0"/>
              <w:rPr>
                <w:sz w:val="20"/>
                <w:szCs w:val="20"/>
                <w:color w:val="auto"/>
              </w:rPr>
            </w:pPr>
            <w:r>
              <w:rPr>
                <w:rFonts w:ascii="Arial" w:cs="Arial" w:eastAsia="Arial" w:hAnsi="Arial"/>
                <w:sz w:val="18"/>
                <w:szCs w:val="18"/>
                <w:b w:val="1"/>
                <w:bCs w:val="1"/>
                <w:i w:val="1"/>
                <w:iCs w:val="1"/>
                <w:color w:val="auto"/>
                <w:w w:val="86"/>
              </w:rPr>
              <w:t>Representations and Warranties</w:t>
            </w: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Section 5.01</w:t>
            </w:r>
            <w:r>
              <w:rPr>
                <w:rFonts w:ascii="Arial" w:cs="Arial" w:eastAsia="Arial" w:hAnsi="Arial"/>
                <w:sz w:val="18"/>
                <w:szCs w:val="18"/>
                <w:i w:val="1"/>
                <w:iCs w:val="1"/>
                <w:color w:val="FF0000"/>
                <w:strike w:val="1"/>
              </w:rPr>
              <w:t>.</w:t>
            </w:r>
          </w:p>
        </w:tc>
        <w:tc>
          <w:tcPr>
            <w:tcW w:w="6580" w:type="dxa"/>
            <w:vAlign w:val="bottom"/>
            <w:gridSpan w:val="27"/>
          </w:tcPr>
          <w:p>
            <w:pPr>
              <w:ind w:left="180"/>
              <w:spacing w:after="0" w:line="190" w:lineRule="exact"/>
              <w:rPr>
                <w:sz w:val="20"/>
                <w:szCs w:val="20"/>
                <w:color w:val="auto"/>
              </w:rPr>
            </w:pPr>
            <w:r>
              <w:rPr>
                <w:rFonts w:ascii="Arial" w:cs="Arial" w:eastAsia="Arial" w:hAnsi="Arial"/>
                <w:sz w:val="18"/>
                <w:szCs w:val="18"/>
                <w:i w:val="1"/>
                <w:iCs w:val="1"/>
                <w:color w:val="auto"/>
              </w:rPr>
              <w:t>Existence, Qualification and Power; Compliance with Laws</w:t>
            </w:r>
          </w:p>
        </w:tc>
        <w:tc>
          <w:tcPr>
            <w:tcW w:w="2720" w:type="dxa"/>
            <w:vAlign w:val="bottom"/>
          </w:tcPr>
          <w:p>
            <w:pPr>
              <w:spacing w:after="0"/>
              <w:rPr>
                <w:sz w:val="16"/>
                <w:szCs w:val="16"/>
                <w:color w:val="auto"/>
              </w:rPr>
            </w:pPr>
          </w:p>
        </w:tc>
        <w:tc>
          <w:tcPr>
            <w:tcW w:w="280" w:type="dxa"/>
            <w:vAlign w:val="bottom"/>
            <w:gridSpan w:val="3"/>
          </w:tcPr>
          <w:p>
            <w:pPr>
              <w:jc w:val="right"/>
              <w:spacing w:after="0" w:line="190" w:lineRule="exact"/>
              <w:rPr>
                <w:sz w:val="20"/>
                <w:szCs w:val="20"/>
                <w:color w:val="auto"/>
              </w:rPr>
            </w:pPr>
            <w:r>
              <w:rPr>
                <w:rFonts w:ascii="Arial" w:cs="Arial" w:eastAsia="Arial" w:hAnsi="Arial"/>
                <w:sz w:val="18"/>
                <w:szCs w:val="18"/>
                <w:i w:val="1"/>
                <w:iCs w:val="1"/>
                <w:color w:val="FF0000"/>
                <w:strike w:val="1"/>
              </w:rPr>
              <w:t>86</w:t>
            </w:r>
          </w:p>
        </w:tc>
        <w:tc>
          <w:tcPr>
            <w:tcW w:w="260" w:type="dxa"/>
            <w:vAlign w:val="bottom"/>
            <w:gridSpan w:val="4"/>
          </w:tcPr>
          <w:p>
            <w:pPr>
              <w:jc w:val="right"/>
              <w:ind w:right="20"/>
              <w:spacing w:after="0" w:line="190" w:lineRule="exact"/>
              <w:rPr>
                <w:sz w:val="20"/>
                <w:szCs w:val="20"/>
                <w:color w:val="auto"/>
              </w:rPr>
            </w:pPr>
            <w:r>
              <w:rPr>
                <w:rFonts w:ascii="Arial" w:cs="Arial" w:eastAsia="Arial" w:hAnsi="Arial"/>
                <w:sz w:val="18"/>
                <w:szCs w:val="18"/>
                <w:i w:val="1"/>
                <w:iCs w:val="1"/>
                <w:color w:val="0000FF"/>
                <w:w w:val="73"/>
              </w:rPr>
              <w:t>101</w:t>
            </w: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5.02</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Authorization; No Contravention</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87</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5.03</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Governmental Authorization; Other Consents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5.04</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Binding Effect</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5.05</w:t>
            </w:r>
            <w:r>
              <w:rPr>
                <w:rFonts w:ascii="Arial" w:cs="Arial" w:eastAsia="Arial" w:hAnsi="Arial"/>
                <w:sz w:val="18"/>
                <w:szCs w:val="18"/>
                <w:i w:val="1"/>
                <w:iCs w:val="1"/>
                <w:color w:val="FF0000"/>
                <w:strike w:val="1"/>
              </w:rPr>
              <w:t>.</w:t>
            </w:r>
          </w:p>
        </w:tc>
        <w:tc>
          <w:tcPr>
            <w:tcW w:w="1700" w:type="dxa"/>
            <w:vAlign w:val="bottom"/>
            <w:gridSpan w:val="8"/>
            <w:vMerge w:val="restart"/>
          </w:tcPr>
          <w:p>
            <w:pPr>
              <w:ind w:left="180"/>
              <w:spacing w:after="0" w:line="196" w:lineRule="exact"/>
              <w:rPr>
                <w:sz w:val="20"/>
                <w:szCs w:val="20"/>
                <w:color w:val="auto"/>
              </w:rPr>
            </w:pPr>
            <w:r>
              <w:rPr>
                <w:rFonts w:ascii="Arial" w:cs="Arial" w:eastAsia="Arial" w:hAnsi="Arial"/>
                <w:sz w:val="18"/>
                <w:szCs w:val="18"/>
                <w:i w:val="1"/>
                <w:iCs w:val="1"/>
                <w:color w:val="auto"/>
                <w:w w:val="89"/>
              </w:rPr>
              <w:t>Financial Statements</w:t>
            </w:r>
          </w:p>
        </w:tc>
        <w:tc>
          <w:tcPr>
            <w:tcW w:w="2080" w:type="dxa"/>
            <w:vAlign w:val="bottom"/>
            <w:gridSpan w:val="10"/>
            <w:vMerge w:val="restart"/>
          </w:tcPr>
          <w:p>
            <w:pPr>
              <w:spacing w:after="0" w:line="196" w:lineRule="exact"/>
              <w:rPr>
                <w:sz w:val="20"/>
                <w:szCs w:val="20"/>
                <w:color w:val="auto"/>
              </w:rPr>
            </w:pPr>
            <w:r>
              <w:rPr>
                <w:rFonts w:ascii="Arial" w:cs="Arial" w:eastAsia="Arial" w:hAnsi="Arial"/>
                <w:sz w:val="18"/>
                <w:szCs w:val="18"/>
                <w:i w:val="1"/>
                <w:iCs w:val="1"/>
                <w:color w:val="FF0000"/>
                <w:strike w:val="1"/>
                <w:w w:val="91"/>
              </w:rPr>
              <w:t>; No Material Adverse Effect</w:t>
            </w:r>
          </w:p>
        </w:tc>
        <w:tc>
          <w:tcPr>
            <w:tcW w:w="2800" w:type="dxa"/>
            <w:vAlign w:val="bottom"/>
            <w:gridSpan w:val="9"/>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700" w:type="dxa"/>
            <w:vAlign w:val="bottom"/>
            <w:gridSpan w:val="8"/>
            <w:vMerge w:val="continue"/>
          </w:tcPr>
          <w:p>
            <w:pPr>
              <w:spacing w:after="0"/>
              <w:rPr>
                <w:sz w:val="12"/>
                <w:szCs w:val="12"/>
                <w:color w:val="auto"/>
              </w:rPr>
            </w:pPr>
          </w:p>
        </w:tc>
        <w:tc>
          <w:tcPr>
            <w:tcW w:w="2080" w:type="dxa"/>
            <w:vAlign w:val="bottom"/>
            <w:gridSpan w:val="10"/>
            <w:vMerge w:val="continue"/>
          </w:tcPr>
          <w:p>
            <w:pPr>
              <w:spacing w:after="0"/>
              <w:rPr>
                <w:sz w:val="12"/>
                <w:szCs w:val="12"/>
                <w:color w:val="auto"/>
              </w:rPr>
            </w:pPr>
          </w:p>
        </w:tc>
        <w:tc>
          <w:tcPr>
            <w:tcW w:w="2800" w:type="dxa"/>
            <w:vAlign w:val="bottom"/>
            <w:gridSpan w:val="9"/>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5.06</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Compliance With Laws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5.07</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Ownership of Property; Liens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5.08</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Environmental Matters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89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5.09</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Taxes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5.10</w:t>
            </w:r>
          </w:p>
        </w:tc>
        <w:tc>
          <w:tcPr>
            <w:tcW w:w="1480" w:type="dxa"/>
            <w:vAlign w:val="bottom"/>
            <w:gridSpan w:val="5"/>
            <w:vMerge w:val="restart"/>
          </w:tcPr>
          <w:p>
            <w:pPr>
              <w:spacing w:after="0" w:line="196" w:lineRule="exact"/>
              <w:rPr>
                <w:sz w:val="20"/>
                <w:szCs w:val="20"/>
                <w:color w:val="auto"/>
              </w:rPr>
            </w:pPr>
            <w:r>
              <w:rPr>
                <w:rFonts w:ascii="Arial" w:cs="Arial" w:eastAsia="Arial" w:hAnsi="Arial"/>
                <w:sz w:val="18"/>
                <w:szCs w:val="18"/>
                <w:i w:val="1"/>
                <w:iCs w:val="1"/>
                <w:color w:val="FF0000"/>
                <w:strike w:val="1"/>
                <w:w w:val="88"/>
              </w:rPr>
              <w:t>. ERISA Compliance</w:t>
            </w:r>
          </w:p>
        </w:tc>
        <w:tc>
          <w:tcPr>
            <w:tcW w:w="60" w:type="dxa"/>
            <w:vAlign w:val="bottom"/>
            <w:vMerge w:val="restart"/>
          </w:tcPr>
          <w:p>
            <w:pPr>
              <w:spacing w:after="0"/>
              <w:rPr>
                <w:sz w:val="2"/>
                <w:szCs w:val="2"/>
                <w:color w:val="auto"/>
              </w:rPr>
            </w:pPr>
          </w:p>
        </w:tc>
        <w:tc>
          <w:tcPr>
            <w:tcW w:w="5280" w:type="dxa"/>
            <w:vAlign w:val="bottom"/>
            <w:gridSpan w:val="22"/>
            <w:vMerge w:val="restart"/>
          </w:tcPr>
          <w:p>
            <w:pPr>
              <w:jc w:val="center"/>
              <w:ind w:right="4580"/>
              <w:spacing w:after="0" w:line="196" w:lineRule="exact"/>
              <w:rPr>
                <w:sz w:val="20"/>
                <w:szCs w:val="20"/>
                <w:color w:val="auto"/>
              </w:rPr>
            </w:pPr>
            <w:r>
              <w:rPr>
                <w:rFonts w:ascii="Arial" w:cs="Arial" w:eastAsia="Arial" w:hAnsi="Arial"/>
                <w:sz w:val="18"/>
                <w:szCs w:val="18"/>
                <w:i w:val="1"/>
                <w:iCs w:val="1"/>
                <w:color w:val="0000FF"/>
                <w:w w:val="97"/>
              </w:rPr>
              <w:t>Litigation</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280" w:type="dxa"/>
            <w:vAlign w:val="bottom"/>
            <w:gridSpan w:val="22"/>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5.11</w:t>
            </w:r>
            <w:r>
              <w:rPr>
                <w:rFonts w:ascii="Arial" w:cs="Arial" w:eastAsia="Arial" w:hAnsi="Arial"/>
                <w:sz w:val="18"/>
                <w:szCs w:val="18"/>
                <w:i w:val="1"/>
                <w:iCs w:val="1"/>
                <w:color w:val="FF0000"/>
                <w:strike w:val="1"/>
              </w:rPr>
              <w:t>.</w:t>
            </w:r>
          </w:p>
        </w:tc>
        <w:tc>
          <w:tcPr>
            <w:tcW w:w="1300" w:type="dxa"/>
            <w:vAlign w:val="bottom"/>
            <w:gridSpan w:val="5"/>
            <w:vMerge w:val="restart"/>
          </w:tcPr>
          <w:p>
            <w:pPr>
              <w:ind w:left="180"/>
              <w:spacing w:after="0" w:line="196" w:lineRule="exact"/>
              <w:rPr>
                <w:sz w:val="20"/>
                <w:szCs w:val="20"/>
                <w:color w:val="auto"/>
              </w:rPr>
            </w:pPr>
            <w:r>
              <w:rPr>
                <w:rFonts w:ascii="Arial" w:cs="Arial" w:eastAsia="Arial" w:hAnsi="Arial"/>
                <w:sz w:val="18"/>
                <w:szCs w:val="18"/>
                <w:i w:val="1"/>
                <w:iCs w:val="1"/>
                <w:color w:val="auto"/>
              </w:rPr>
              <w:t>Subsidiaries</w:t>
            </w:r>
          </w:p>
        </w:tc>
        <w:tc>
          <w:tcPr>
            <w:tcW w:w="4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gridSpan w:val="10"/>
          </w:tcPr>
          <w:p>
            <w:pPr>
              <w:spacing w:after="0"/>
              <w:rPr>
                <w:sz w:val="2"/>
                <w:szCs w:val="2"/>
                <w:color w:val="auto"/>
              </w:rPr>
            </w:pP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90</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5.12</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Margin Regulations; Investment Company Act</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5.13</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Disclosure</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5.14</w:t>
            </w:r>
          </w:p>
        </w:tc>
        <w:tc>
          <w:tcPr>
            <w:tcW w:w="1180" w:type="dxa"/>
            <w:vAlign w:val="bottom"/>
            <w:gridSpan w:val="4"/>
            <w:vMerge w:val="restart"/>
          </w:tcPr>
          <w:p>
            <w:pPr>
              <w:spacing w:after="0" w:line="196" w:lineRule="exact"/>
              <w:rPr>
                <w:sz w:val="20"/>
                <w:szCs w:val="20"/>
                <w:color w:val="auto"/>
              </w:rPr>
            </w:pPr>
            <w:r>
              <w:rPr>
                <w:rFonts w:ascii="Arial" w:cs="Arial" w:eastAsia="Arial" w:hAnsi="Arial"/>
                <w:sz w:val="18"/>
                <w:szCs w:val="18"/>
                <w:i w:val="1"/>
                <w:iCs w:val="1"/>
                <w:color w:val="FF0000"/>
                <w:strike w:val="1"/>
                <w:w w:val="95"/>
              </w:rPr>
              <w:t>. Labor Matters</w:t>
            </w:r>
          </w:p>
        </w:tc>
        <w:tc>
          <w:tcPr>
            <w:tcW w:w="1400" w:type="dxa"/>
            <w:vAlign w:val="bottom"/>
            <w:gridSpan w:val="10"/>
            <w:vMerge w:val="restart"/>
          </w:tcPr>
          <w:p>
            <w:pPr>
              <w:jc w:val="center"/>
              <w:spacing w:after="0" w:line="196" w:lineRule="exact"/>
              <w:rPr>
                <w:sz w:val="20"/>
                <w:szCs w:val="20"/>
                <w:color w:val="auto"/>
              </w:rPr>
            </w:pPr>
            <w:r>
              <w:rPr>
                <w:rFonts w:ascii="Arial" w:cs="Arial" w:eastAsia="Arial" w:hAnsi="Arial"/>
                <w:sz w:val="18"/>
                <w:szCs w:val="18"/>
                <w:i w:val="1"/>
                <w:iCs w:val="1"/>
                <w:color w:val="0000FF"/>
                <w:w w:val="90"/>
              </w:rPr>
              <w:t>ERISA Compliance</w:t>
            </w:r>
          </w:p>
        </w:tc>
        <w:tc>
          <w:tcPr>
            <w:tcW w:w="4240" w:type="dxa"/>
            <w:vAlign w:val="bottom"/>
            <w:gridSpan w:val="14"/>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400" w:type="dxa"/>
            <w:vAlign w:val="bottom"/>
            <w:tcBorders>
              <w:bottom w:val="single" w:sz="8" w:color="0000FF"/>
            </w:tcBorders>
            <w:gridSpan w:val="10"/>
            <w:vMerge w:val="continue"/>
          </w:tcPr>
          <w:p>
            <w:pPr>
              <w:spacing w:after="0"/>
              <w:rPr>
                <w:sz w:val="12"/>
                <w:szCs w:val="12"/>
                <w:color w:val="auto"/>
              </w:rPr>
            </w:pPr>
          </w:p>
        </w:tc>
        <w:tc>
          <w:tcPr>
            <w:tcW w:w="4240" w:type="dxa"/>
            <w:vAlign w:val="bottom"/>
            <w:gridSpan w:val="14"/>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5.15</w:t>
            </w:r>
            <w:r>
              <w:rPr>
                <w:rFonts w:ascii="Arial" w:cs="Arial" w:eastAsia="Arial" w:hAnsi="Arial"/>
                <w:sz w:val="18"/>
                <w:szCs w:val="18"/>
                <w:i w:val="1"/>
                <w:iCs w:val="1"/>
                <w:color w:val="FF0000"/>
                <w:strike w:val="1"/>
              </w:rPr>
              <w:t>.</w:t>
            </w:r>
          </w:p>
        </w:tc>
        <w:tc>
          <w:tcPr>
            <w:tcW w:w="940" w:type="dxa"/>
            <w:vAlign w:val="bottom"/>
            <w:gridSpan w:val="3"/>
            <w:vMerge w:val="restart"/>
          </w:tcPr>
          <w:p>
            <w:pPr>
              <w:ind w:left="180"/>
              <w:spacing w:after="0" w:line="196" w:lineRule="exact"/>
              <w:rPr>
                <w:sz w:val="20"/>
                <w:szCs w:val="20"/>
                <w:color w:val="auto"/>
              </w:rPr>
            </w:pPr>
            <w:r>
              <w:rPr>
                <w:rFonts w:ascii="Arial" w:cs="Arial" w:eastAsia="Arial" w:hAnsi="Arial"/>
                <w:sz w:val="18"/>
                <w:szCs w:val="18"/>
                <w:i w:val="1"/>
                <w:iCs w:val="1"/>
                <w:color w:val="auto"/>
                <w:w w:val="93"/>
              </w:rPr>
              <w:t>Insurance</w:t>
            </w:r>
          </w:p>
        </w:tc>
        <w:tc>
          <w:tcPr>
            <w:tcW w:w="30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gridSpan w:val="10"/>
          </w:tcPr>
          <w:p>
            <w:pPr>
              <w:spacing w:after="0"/>
              <w:rPr>
                <w:sz w:val="2"/>
                <w:szCs w:val="2"/>
                <w:color w:val="auto"/>
              </w:rPr>
            </w:pP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91</w:t>
            </w:r>
          </w:p>
        </w:tc>
        <w:tc>
          <w:tcPr>
            <w:tcW w:w="40" w:type="dxa"/>
            <w:vAlign w:val="bottom"/>
            <w:tcBorders>
              <w:bottom w:val="single" w:sz="8" w:color="0000FF"/>
            </w:tcBorders>
            <w:gridSpan w:val="2"/>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5.16</w:t>
            </w:r>
          </w:p>
        </w:tc>
        <w:tc>
          <w:tcPr>
            <w:tcW w:w="78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FF0000"/>
                <w:strike w:val="1"/>
                <w:w w:val="91"/>
              </w:rPr>
              <w:t>. Solvency</w:t>
            </w:r>
          </w:p>
        </w:tc>
        <w:tc>
          <w:tcPr>
            <w:tcW w:w="800" w:type="dxa"/>
            <w:vAlign w:val="bottom"/>
            <w:gridSpan w:val="4"/>
            <w:vMerge w:val="restart"/>
          </w:tcPr>
          <w:p>
            <w:pPr>
              <w:spacing w:after="0" w:line="196" w:lineRule="exact"/>
              <w:rPr>
                <w:sz w:val="20"/>
                <w:szCs w:val="20"/>
                <w:color w:val="auto"/>
              </w:rPr>
            </w:pPr>
            <w:r>
              <w:rPr>
                <w:rFonts w:ascii="Arial" w:cs="Arial" w:eastAsia="Arial" w:hAnsi="Arial"/>
                <w:sz w:val="18"/>
                <w:szCs w:val="18"/>
                <w:i w:val="1"/>
                <w:iCs w:val="1"/>
                <w:color w:val="0000FF"/>
                <w:w w:val="89"/>
              </w:rPr>
              <w:t>[Reserved]</w:t>
            </w:r>
          </w:p>
        </w:tc>
        <w:tc>
          <w:tcPr>
            <w:tcW w:w="5240" w:type="dxa"/>
            <w:vAlign w:val="bottom"/>
            <w:gridSpan w:val="21"/>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0" w:type="dxa"/>
            <w:vAlign w:val="bottom"/>
            <w:tcBorders>
              <w:bottom w:val="single" w:sz="8" w:color="0000FF"/>
            </w:tcBorders>
            <w:gridSpan w:val="4"/>
            <w:vMerge w:val="continue"/>
          </w:tcPr>
          <w:p>
            <w:pPr>
              <w:spacing w:after="0"/>
              <w:rPr>
                <w:sz w:val="12"/>
                <w:szCs w:val="12"/>
                <w:color w:val="auto"/>
              </w:rPr>
            </w:pPr>
          </w:p>
        </w:tc>
        <w:tc>
          <w:tcPr>
            <w:tcW w:w="5240" w:type="dxa"/>
            <w:vAlign w:val="bottom"/>
            <w:gridSpan w:val="21"/>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5.17</w:t>
            </w:r>
            <w:r>
              <w:rPr>
                <w:rFonts w:ascii="Arial" w:cs="Arial" w:eastAsia="Arial" w:hAnsi="Arial"/>
                <w:sz w:val="18"/>
                <w:szCs w:val="18"/>
                <w:i w:val="1"/>
                <w:iCs w:val="1"/>
                <w:color w:val="FF0000"/>
                <w:strike w:val="1"/>
              </w:rPr>
              <w:t>.</w:t>
            </w:r>
          </w:p>
        </w:tc>
        <w:tc>
          <w:tcPr>
            <w:tcW w:w="540" w:type="dxa"/>
            <w:vAlign w:val="bottom"/>
            <w:gridSpan w:val="2"/>
            <w:vMerge w:val="restart"/>
          </w:tcPr>
          <w:p>
            <w:pPr>
              <w:ind w:left="180"/>
              <w:spacing w:after="0" w:line="196" w:lineRule="exact"/>
              <w:rPr>
                <w:sz w:val="20"/>
                <w:szCs w:val="20"/>
                <w:color w:val="auto"/>
              </w:rPr>
            </w:pPr>
            <w:r>
              <w:rPr>
                <w:rFonts w:ascii="Arial" w:cs="Arial" w:eastAsia="Arial" w:hAnsi="Arial"/>
                <w:sz w:val="18"/>
                <w:szCs w:val="18"/>
                <w:i w:val="1"/>
                <w:iCs w:val="1"/>
                <w:color w:val="auto"/>
              </w:rPr>
              <w:t>No</w:t>
            </w:r>
          </w:p>
        </w:tc>
        <w:tc>
          <w:tcPr>
            <w:tcW w:w="40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92</w:t>
            </w:r>
          </w:p>
        </w:tc>
        <w:tc>
          <w:tcPr>
            <w:tcW w:w="40" w:type="dxa"/>
            <w:vAlign w:val="bottom"/>
            <w:tcBorders>
              <w:bottom w:val="single" w:sz="8" w:color="0000FF"/>
            </w:tcBorders>
            <w:gridSpan w:val="2"/>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40" w:type="dxa"/>
            <w:vAlign w:val="bottom"/>
            <w:gridSpan w:val="25"/>
          </w:tcPr>
          <w:p>
            <w:pPr>
              <w:spacing w:after="0" w:line="142" w:lineRule="exact"/>
              <w:rPr>
                <w:sz w:val="20"/>
                <w:szCs w:val="20"/>
                <w:color w:val="auto"/>
              </w:rPr>
            </w:pPr>
            <w:r>
              <w:rPr>
                <w:rFonts w:ascii="Arial" w:cs="Arial" w:eastAsia="Arial" w:hAnsi="Arial"/>
                <w:sz w:val="16"/>
                <w:szCs w:val="16"/>
                <w:i w:val="1"/>
                <w:iCs w:val="1"/>
                <w:color w:val="auto"/>
              </w:rPr>
              <w:t>Other Borrowed Money Indebtedness</w:t>
            </w: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5.18</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Collateral Documents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5.19</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Compliance with Anti-Terrorism and Corruption Laws</w:t>
            </w:r>
          </w:p>
        </w:tc>
        <w:tc>
          <w:tcPr>
            <w:tcW w:w="272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rPr>
              <w:t>94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i w:val="1"/>
                <w:iCs w:val="1"/>
                <w:color w:val="0000FF"/>
                <w:w w:val="82"/>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0000FF"/>
              </w:rPr>
              <w:t>Section 5.20</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0000FF"/>
              </w:rPr>
              <w:t>Real Property Permits</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gridSpan w:val="4"/>
          </w:tcPr>
          <w:p>
            <w:pPr>
              <w:jc w:val="right"/>
              <w:spacing w:after="0" w:line="142" w:lineRule="exact"/>
              <w:rPr>
                <w:sz w:val="20"/>
                <w:szCs w:val="20"/>
                <w:color w:val="auto"/>
              </w:rPr>
            </w:pPr>
            <w:r>
              <w:rPr>
                <w:rFonts w:ascii="Arial" w:cs="Arial" w:eastAsia="Arial" w:hAnsi="Arial"/>
                <w:sz w:val="16"/>
                <w:szCs w:val="16"/>
                <w:i w:val="1"/>
                <w:iCs w:val="1"/>
                <w:color w:val="0000FF"/>
                <w:w w:val="89"/>
              </w:rPr>
              <w:t>109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620" w:type="dxa"/>
            <w:vAlign w:val="bottom"/>
            <w:tcBorders>
              <w:top w:val="single" w:sz="8" w:color="0000FF"/>
              <w:bottom w:val="single" w:sz="8" w:color="0000FF"/>
            </w:tcBorders>
            <w:gridSpan w:val="8"/>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4760" w:type="dxa"/>
            <w:vAlign w:val="bottom"/>
            <w:gridSpan w:val="17"/>
            <w:vMerge w:val="restart"/>
          </w:tcPr>
          <w:p>
            <w:pPr>
              <w:ind w:left="120"/>
              <w:spacing w:after="0" w:line="196" w:lineRule="exact"/>
              <w:rPr>
                <w:sz w:val="20"/>
                <w:szCs w:val="20"/>
                <w:color w:val="auto"/>
              </w:rPr>
            </w:pPr>
            <w:r>
              <w:rPr>
                <w:rFonts w:ascii="Arial" w:cs="Arial" w:eastAsia="Arial" w:hAnsi="Arial"/>
                <w:sz w:val="18"/>
                <w:szCs w:val="18"/>
                <w:i w:val="1"/>
                <w:iCs w:val="1"/>
                <w:color w:val="0000FF"/>
              </w:rPr>
              <w:t>Obligations</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6"/>
                <w:szCs w:val="16"/>
                <w:i w:val="1"/>
                <w:iCs w:val="1"/>
                <w:color w:val="0000FF"/>
                <w:w w:val="96"/>
              </w:rPr>
              <w:t>Section 5.21</w:t>
            </w:r>
          </w:p>
        </w:tc>
        <w:tc>
          <w:tcPr>
            <w:tcW w:w="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20" w:type="dxa"/>
            <w:vAlign w:val="bottom"/>
            <w:gridSpan w:val="8"/>
          </w:tcPr>
          <w:p>
            <w:pPr>
              <w:spacing w:after="0" w:line="142" w:lineRule="exact"/>
              <w:rPr>
                <w:sz w:val="20"/>
                <w:szCs w:val="20"/>
                <w:color w:val="auto"/>
              </w:rPr>
            </w:pPr>
            <w:r>
              <w:rPr>
                <w:rFonts w:ascii="Arial" w:cs="Arial" w:eastAsia="Arial" w:hAnsi="Arial"/>
                <w:sz w:val="16"/>
                <w:szCs w:val="16"/>
                <w:i w:val="1"/>
                <w:iCs w:val="1"/>
                <w:color w:val="0000FF"/>
                <w:w w:val="96"/>
              </w:rPr>
              <w:t>Secured, Super-Priority</w:t>
            </w:r>
          </w:p>
        </w:tc>
        <w:tc>
          <w:tcPr>
            <w:tcW w:w="20" w:type="dxa"/>
            <w:vAlign w:val="bottom"/>
            <w:vMerge w:val="continue"/>
          </w:tcPr>
          <w:p>
            <w:pPr>
              <w:spacing w:after="0"/>
              <w:rPr>
                <w:sz w:val="12"/>
                <w:szCs w:val="12"/>
                <w:color w:val="auto"/>
              </w:rPr>
            </w:pPr>
          </w:p>
        </w:tc>
        <w:tc>
          <w:tcPr>
            <w:tcW w:w="4760" w:type="dxa"/>
            <w:vAlign w:val="bottom"/>
            <w:gridSpan w:val="1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gridSpan w:val="4"/>
          </w:tcPr>
          <w:p>
            <w:pPr>
              <w:jc w:val="right"/>
              <w:spacing w:after="0" w:line="142" w:lineRule="exact"/>
              <w:rPr>
                <w:sz w:val="20"/>
                <w:szCs w:val="20"/>
                <w:color w:val="auto"/>
              </w:rPr>
            </w:pPr>
            <w:r>
              <w:rPr>
                <w:rFonts w:ascii="Arial" w:cs="Arial" w:eastAsia="Arial" w:hAnsi="Arial"/>
                <w:sz w:val="16"/>
                <w:szCs w:val="16"/>
                <w:i w:val="1"/>
                <w:iCs w:val="1"/>
                <w:color w:val="0000FF"/>
                <w:w w:val="89"/>
              </w:rPr>
              <w:t>109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40" w:type="dxa"/>
            <w:vAlign w:val="bottom"/>
            <w:tcBorders>
              <w:top w:val="single" w:sz="8" w:color="0000FF"/>
              <w:bottom w:val="single" w:sz="8" w:color="0000FF"/>
            </w:tcBorders>
            <w:gridSpan w:val="11"/>
          </w:tcPr>
          <w:p>
            <w:pPr>
              <w:spacing w:after="0"/>
              <w:rPr>
                <w:sz w:val="2"/>
                <w:szCs w:val="2"/>
                <w:color w:val="auto"/>
              </w:rPr>
            </w:pPr>
          </w:p>
        </w:tc>
        <w:tc>
          <w:tcPr>
            <w:tcW w:w="56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780" w:type="dxa"/>
            <w:vAlign w:val="bottom"/>
            <w:gridSpan w:val="12"/>
            <w:vMerge w:val="restart"/>
          </w:tcPr>
          <w:p>
            <w:pPr>
              <w:spacing w:after="0" w:line="196" w:lineRule="exact"/>
              <w:rPr>
                <w:sz w:val="20"/>
                <w:szCs w:val="20"/>
                <w:color w:val="auto"/>
              </w:rPr>
            </w:pPr>
            <w:r>
              <w:rPr>
                <w:rFonts w:ascii="Arial" w:cs="Arial" w:eastAsia="Arial" w:hAnsi="Arial"/>
                <w:sz w:val="18"/>
                <w:szCs w:val="18"/>
                <w:i w:val="1"/>
                <w:iCs w:val="1"/>
                <w:color w:val="0000FF"/>
              </w:rPr>
              <w:t>Collateral</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6"/>
                <w:szCs w:val="16"/>
                <w:i w:val="1"/>
                <w:iCs w:val="1"/>
                <w:color w:val="0000FF"/>
                <w:w w:val="96"/>
              </w:rPr>
              <w:t>Section 5.22</w:t>
            </w:r>
          </w:p>
        </w:tc>
        <w:tc>
          <w:tcPr>
            <w:tcW w:w="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20" w:type="dxa"/>
            <w:vAlign w:val="bottom"/>
            <w:gridSpan w:val="14"/>
          </w:tcPr>
          <w:p>
            <w:pPr>
              <w:spacing w:after="0" w:line="142" w:lineRule="exact"/>
              <w:rPr>
                <w:sz w:val="20"/>
                <w:szCs w:val="20"/>
                <w:color w:val="auto"/>
              </w:rPr>
            </w:pPr>
            <w:r>
              <w:rPr>
                <w:rFonts w:ascii="Arial" w:cs="Arial" w:eastAsia="Arial" w:hAnsi="Arial"/>
                <w:sz w:val="16"/>
                <w:szCs w:val="16"/>
                <w:i w:val="1"/>
                <w:iCs w:val="1"/>
                <w:color w:val="0000FF"/>
              </w:rPr>
              <w:t>Prepetition UST Joint and Priority</w:t>
            </w:r>
          </w:p>
        </w:tc>
        <w:tc>
          <w:tcPr>
            <w:tcW w:w="3780" w:type="dxa"/>
            <w:vAlign w:val="bottom"/>
            <w:gridSpan w:val="12"/>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gridSpan w:val="4"/>
          </w:tcPr>
          <w:p>
            <w:pPr>
              <w:jc w:val="right"/>
              <w:spacing w:after="0" w:line="142" w:lineRule="exact"/>
              <w:rPr>
                <w:sz w:val="20"/>
                <w:szCs w:val="20"/>
                <w:color w:val="auto"/>
              </w:rPr>
            </w:pPr>
            <w:r>
              <w:rPr>
                <w:rFonts w:ascii="Arial" w:cs="Arial" w:eastAsia="Arial" w:hAnsi="Arial"/>
                <w:sz w:val="16"/>
                <w:szCs w:val="16"/>
                <w:i w:val="1"/>
                <w:iCs w:val="1"/>
                <w:color w:val="0000FF"/>
                <w:w w:val="89"/>
              </w:rPr>
              <w:t>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40" w:type="dxa"/>
            <w:vAlign w:val="bottom"/>
            <w:tcBorders>
              <w:top w:val="single" w:sz="8" w:color="0000FF"/>
              <w:bottom w:val="single" w:sz="8" w:color="0000FF"/>
            </w:tcBorders>
            <w:gridSpan w:val="11"/>
          </w:tcPr>
          <w:p>
            <w:pPr>
              <w:spacing w:after="0"/>
              <w:rPr>
                <w:sz w:val="2"/>
                <w:szCs w:val="2"/>
                <w:color w:val="auto"/>
              </w:rPr>
            </w:pPr>
          </w:p>
        </w:tc>
        <w:tc>
          <w:tcPr>
            <w:tcW w:w="124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3100" w:type="dxa"/>
            <w:vAlign w:val="bottom"/>
            <w:gridSpan w:val="10"/>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6"/>
                <w:szCs w:val="16"/>
                <w:i w:val="1"/>
                <w:iCs w:val="1"/>
                <w:color w:val="0000FF"/>
                <w:w w:val="96"/>
              </w:rPr>
              <w:t>Section 5.23</w:t>
            </w:r>
          </w:p>
        </w:tc>
        <w:tc>
          <w:tcPr>
            <w:tcW w:w="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80" w:type="dxa"/>
            <w:vAlign w:val="bottom"/>
            <w:gridSpan w:val="15"/>
          </w:tcPr>
          <w:p>
            <w:pPr>
              <w:spacing w:after="0" w:line="142" w:lineRule="exact"/>
              <w:rPr>
                <w:sz w:val="20"/>
                <w:szCs w:val="20"/>
                <w:color w:val="auto"/>
              </w:rPr>
            </w:pPr>
            <w:r>
              <w:rPr>
                <w:rFonts w:ascii="Arial" w:cs="Arial" w:eastAsia="Arial" w:hAnsi="Arial"/>
                <w:sz w:val="16"/>
                <w:szCs w:val="16"/>
                <w:i w:val="1"/>
                <w:iCs w:val="1"/>
                <w:color w:val="0000FF"/>
              </w:rPr>
              <w:t>No Canadian Pension Plans</w:t>
            </w:r>
          </w:p>
        </w:tc>
        <w:tc>
          <w:tcPr>
            <w:tcW w:w="20" w:type="dxa"/>
            <w:vAlign w:val="bottom"/>
            <w:vMerge w:val="continue"/>
          </w:tcPr>
          <w:p>
            <w:pPr>
              <w:spacing w:after="0"/>
              <w:rPr>
                <w:sz w:val="12"/>
                <w:szCs w:val="12"/>
                <w:color w:val="auto"/>
              </w:rPr>
            </w:pPr>
          </w:p>
        </w:tc>
        <w:tc>
          <w:tcPr>
            <w:tcW w:w="3100" w:type="dxa"/>
            <w:vAlign w:val="bottom"/>
            <w:gridSpan w:val="10"/>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3"/>
                <w:szCs w:val="13"/>
                <w:i w:val="1"/>
                <w:iCs w:val="1"/>
                <w:color w:val="0000FF"/>
                <w:w w:val="73"/>
              </w:rPr>
              <w:t>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gridSpan w:val="9"/>
            <w:vMerge w:val="restart"/>
          </w:tcPr>
          <w:p>
            <w:pPr>
              <w:jc w:val="center"/>
              <w:ind w:right="1660"/>
              <w:spacing w:after="0"/>
              <w:rPr>
                <w:sz w:val="20"/>
                <w:szCs w:val="20"/>
                <w:color w:val="auto"/>
              </w:rPr>
            </w:pPr>
            <w:r>
              <w:rPr>
                <w:rFonts w:ascii="Arial" w:cs="Arial" w:eastAsia="Arial" w:hAnsi="Arial"/>
                <w:sz w:val="18"/>
                <w:szCs w:val="18"/>
                <w:b w:val="1"/>
                <w:bCs w:val="1"/>
                <w:i w:val="1"/>
                <w:iCs w:val="1"/>
                <w:color w:val="auto"/>
                <w:w w:val="96"/>
              </w:rPr>
              <w:t>ARTICLE 6</w:t>
            </w: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9"/>
            <w:vMerge w:val="continue"/>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10"/>
          </w:tcPr>
          <w:p>
            <w:pPr>
              <w:jc w:val="center"/>
              <w:ind w:right="1360"/>
              <w:spacing w:after="0"/>
              <w:rPr>
                <w:sz w:val="20"/>
                <w:szCs w:val="20"/>
                <w:color w:val="auto"/>
              </w:rPr>
            </w:pPr>
            <w:r>
              <w:rPr>
                <w:rFonts w:ascii="Arial" w:cs="Arial" w:eastAsia="Arial" w:hAnsi="Arial"/>
                <w:sz w:val="18"/>
                <w:szCs w:val="18"/>
                <w:b w:val="1"/>
                <w:bCs w:val="1"/>
                <w:i w:val="1"/>
                <w:iCs w:val="1"/>
                <w:color w:val="auto"/>
                <w:w w:val="86"/>
              </w:rPr>
              <w:t>Affirmative Covenants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Section 6.01</w:t>
            </w:r>
            <w:r>
              <w:rPr>
                <w:rFonts w:ascii="Arial" w:cs="Arial" w:eastAsia="Arial" w:hAnsi="Arial"/>
                <w:sz w:val="18"/>
                <w:szCs w:val="18"/>
                <w:i w:val="1"/>
                <w:iCs w:val="1"/>
                <w:color w:val="FF0000"/>
                <w:strike w:val="1"/>
              </w:rPr>
              <w:t>.</w:t>
            </w:r>
          </w:p>
        </w:tc>
        <w:tc>
          <w:tcPr>
            <w:tcW w:w="6580" w:type="dxa"/>
            <w:vAlign w:val="bottom"/>
            <w:gridSpan w:val="27"/>
          </w:tcPr>
          <w:p>
            <w:pPr>
              <w:ind w:left="180"/>
              <w:spacing w:after="0" w:line="190" w:lineRule="exact"/>
              <w:rPr>
                <w:sz w:val="20"/>
                <w:szCs w:val="20"/>
                <w:color w:val="auto"/>
              </w:rPr>
            </w:pPr>
            <w:r>
              <w:rPr>
                <w:rFonts w:ascii="Arial" w:cs="Arial" w:eastAsia="Arial" w:hAnsi="Arial"/>
                <w:sz w:val="18"/>
                <w:szCs w:val="18"/>
                <w:i w:val="1"/>
                <w:iCs w:val="1"/>
                <w:color w:val="auto"/>
              </w:rPr>
              <w:t>Financial Statements, Reports, Etc</w:t>
            </w: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4"/>
          </w:tcPr>
          <w:p>
            <w:pPr>
              <w:jc w:val="right"/>
              <w:spacing w:after="0" w:line="190" w:lineRule="exact"/>
              <w:rPr>
                <w:sz w:val="20"/>
                <w:szCs w:val="20"/>
                <w:color w:val="auto"/>
              </w:rPr>
            </w:pPr>
            <w:r>
              <w:rPr>
                <w:rFonts w:ascii="Arial" w:cs="Arial" w:eastAsia="Arial" w:hAnsi="Arial"/>
                <w:sz w:val="18"/>
                <w:szCs w:val="18"/>
                <w:i w:val="1"/>
                <w:iCs w:val="1"/>
                <w:color w:val="FF0000"/>
                <w:strike w:val="1"/>
                <w:w w:val="89"/>
              </w:rPr>
              <w:t>95</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0000FF"/>
                <w:w w:val="73"/>
              </w:rPr>
              <w:t>111</w:t>
            </w: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6.02</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Certificates; Other Information</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96</w:t>
            </w:r>
          </w:p>
        </w:tc>
        <w:tc>
          <w:tcPr>
            <w:tcW w:w="40" w:type="dxa"/>
            <w:vAlign w:val="bottom"/>
            <w:vMerge w:val="restart"/>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40" w:type="dxa"/>
            <w:vAlign w:val="bottom"/>
            <w:tcBorders>
              <w:bottom w:val="single" w:sz="8" w:color="0000FF"/>
            </w:tcBorders>
            <w:vMerge w:val="continue"/>
          </w:tcPr>
          <w:p>
            <w:pPr>
              <w:spacing w:after="0"/>
              <w:rPr>
                <w:sz w:val="12"/>
                <w:szCs w:val="12"/>
                <w:color w:val="auto"/>
              </w:rPr>
            </w:pPr>
          </w:p>
        </w:tc>
        <w:tc>
          <w:tcPr>
            <w:tcW w:w="18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3"/>
                <w:szCs w:val="13"/>
                <w:i w:val="1"/>
                <w:iCs w:val="1"/>
                <w:color w:val="0000FF"/>
                <w:w w:val="73"/>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6.03</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Notices</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98</w:t>
            </w: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i w:val="1"/>
                <w:iCs w:val="1"/>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6.04</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Payment of Taxes</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99</w:t>
            </w: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i w:val="1"/>
                <w:iCs w:val="1"/>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6.05</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Preservation of Existence, Etc</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99</w:t>
            </w: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i w:val="1"/>
                <w:iCs w:val="1"/>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6.06</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Maintenance of Properties</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99</w:t>
            </w: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i w:val="1"/>
                <w:iCs w:val="1"/>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6.07</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Maintenance of Insurance</w:t>
            </w:r>
          </w:p>
        </w:tc>
        <w:tc>
          <w:tcPr>
            <w:tcW w:w="27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99</w:t>
            </w: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i w:val="1"/>
                <w:iCs w:val="1"/>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rPr>
              <w:t>Section 6.08</w:t>
            </w:r>
            <w:r>
              <w:rPr>
                <w:rFonts w:ascii="Arial" w:cs="Arial" w:eastAsia="Arial" w:hAnsi="Arial"/>
                <w:sz w:val="18"/>
                <w:szCs w:val="18"/>
                <w:i w:val="1"/>
                <w:iCs w:val="1"/>
                <w:color w:val="FF0000"/>
                <w:strike w:val="1"/>
              </w:rPr>
              <w:t>.</w:t>
            </w:r>
          </w:p>
        </w:tc>
        <w:tc>
          <w:tcPr>
            <w:tcW w:w="6580" w:type="dxa"/>
            <w:vAlign w:val="bottom"/>
            <w:gridSpan w:val="27"/>
            <w:vMerge w:val="restart"/>
          </w:tcPr>
          <w:p>
            <w:pPr>
              <w:ind w:left="180"/>
              <w:spacing w:after="0" w:line="196" w:lineRule="exact"/>
              <w:rPr>
                <w:sz w:val="20"/>
                <w:szCs w:val="20"/>
                <w:color w:val="auto"/>
              </w:rPr>
            </w:pPr>
            <w:r>
              <w:rPr>
                <w:rFonts w:ascii="Arial" w:cs="Arial" w:eastAsia="Arial" w:hAnsi="Arial"/>
                <w:sz w:val="18"/>
                <w:szCs w:val="18"/>
                <w:i w:val="1"/>
                <w:iCs w:val="1"/>
                <w:color w:val="auto"/>
              </w:rPr>
              <w:t>Compliance with Laws</w:t>
            </w:r>
          </w:p>
        </w:tc>
        <w:tc>
          <w:tcPr>
            <w:tcW w:w="2720" w:type="dxa"/>
            <w:vAlign w:val="bottom"/>
            <w:vMerge w:val="restart"/>
          </w:tcPr>
          <w:p>
            <w:pPr>
              <w:spacing w:after="0"/>
              <w:rPr>
                <w:sz w:val="2"/>
                <w:szCs w:val="2"/>
                <w:color w:val="auto"/>
              </w:rPr>
            </w:pPr>
          </w:p>
        </w:tc>
        <w:tc>
          <w:tcPr>
            <w:tcW w:w="300" w:type="dxa"/>
            <w:vAlign w:val="bottom"/>
            <w:gridSpan w:val="4"/>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101</w:t>
            </w: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580" w:type="dxa"/>
            <w:vAlign w:val="bottom"/>
            <w:gridSpan w:val="27"/>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300" w:type="dxa"/>
            <w:vAlign w:val="bottom"/>
            <w:gridSpan w:val="4"/>
            <w:vMerge w:val="continue"/>
          </w:tcPr>
          <w:p>
            <w:pPr>
              <w:spacing w:after="0"/>
              <w:rPr>
                <w:sz w:val="12"/>
                <w:szCs w:val="12"/>
                <w:color w:val="auto"/>
              </w:rPr>
            </w:pPr>
          </w:p>
        </w:tc>
        <w:tc>
          <w:tcPr>
            <w:tcW w:w="22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i w:val="1"/>
                <w:iCs w:val="1"/>
                <w:color w:val="0000FF"/>
                <w:w w:val="74"/>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40" w:top="256" w:right="5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300" w:type="dxa"/>
            <w:vAlign w:val="bottom"/>
            <w:gridSpan w:val="8"/>
          </w:tcPr>
          <w:p>
            <w:pPr>
              <w:spacing w:after="0"/>
              <w:rPr>
                <w:sz w:val="20"/>
                <w:szCs w:val="20"/>
                <w:color w:val="auto"/>
              </w:rPr>
            </w:pPr>
            <w:r>
              <w:rPr>
                <w:rFonts w:ascii="Arial" w:cs="Arial" w:eastAsia="Arial" w:hAnsi="Arial"/>
                <w:sz w:val="18"/>
                <w:szCs w:val="18"/>
                <w:i w:val="1"/>
                <w:iCs w:val="1"/>
                <w:color w:val="auto"/>
              </w:rPr>
              <w:t>Section 6.09</w:t>
            </w:r>
            <w:r>
              <w:rPr>
                <w:rFonts w:ascii="Arial" w:cs="Arial" w:eastAsia="Arial" w:hAnsi="Arial"/>
                <w:sz w:val="18"/>
                <w:szCs w:val="18"/>
                <w:i w:val="1"/>
                <w:iCs w:val="1"/>
                <w:color w:val="FF0000"/>
                <w:strike w:val="1"/>
              </w:rPr>
              <w:t>.</w:t>
            </w:r>
          </w:p>
        </w:tc>
        <w:tc>
          <w:tcPr>
            <w:tcW w:w="80" w:type="dxa"/>
            <w:vAlign w:val="bottom"/>
          </w:tcPr>
          <w:p>
            <w:pPr>
              <w:spacing w:after="0"/>
              <w:rPr>
                <w:sz w:val="17"/>
                <w:szCs w:val="17"/>
                <w:color w:val="auto"/>
              </w:rPr>
            </w:pPr>
          </w:p>
        </w:tc>
        <w:tc>
          <w:tcPr>
            <w:tcW w:w="9040" w:type="dxa"/>
            <w:vAlign w:val="bottom"/>
            <w:gridSpan w:val="27"/>
          </w:tcPr>
          <w:p>
            <w:pPr>
              <w:spacing w:after="0"/>
              <w:rPr>
                <w:sz w:val="20"/>
                <w:szCs w:val="20"/>
                <w:color w:val="auto"/>
              </w:rPr>
            </w:pPr>
            <w:r>
              <w:rPr>
                <w:rFonts w:ascii="Arial" w:cs="Arial" w:eastAsia="Arial" w:hAnsi="Arial"/>
                <w:sz w:val="18"/>
                <w:szCs w:val="18"/>
                <w:i w:val="1"/>
                <w:iCs w:val="1"/>
                <w:color w:val="auto"/>
              </w:rPr>
              <w:t>Books and Records</w:t>
            </w:r>
          </w:p>
        </w:tc>
        <w:tc>
          <w:tcPr>
            <w:tcW w:w="280" w:type="dxa"/>
            <w:vAlign w:val="bottom"/>
            <w:gridSpan w:val="2"/>
          </w:tcPr>
          <w:p>
            <w:pPr>
              <w:jc w:val="right"/>
              <w:spacing w:after="0"/>
              <w:rPr>
                <w:sz w:val="20"/>
                <w:szCs w:val="20"/>
                <w:color w:val="auto"/>
              </w:rPr>
            </w:pPr>
            <w:r>
              <w:rPr>
                <w:rFonts w:ascii="Arial" w:cs="Arial" w:eastAsia="Arial" w:hAnsi="Arial"/>
                <w:sz w:val="18"/>
                <w:szCs w:val="18"/>
                <w:i w:val="1"/>
                <w:iCs w:val="1"/>
                <w:color w:val="FF0000"/>
                <w:strike w:val="1"/>
                <w:w w:val="79"/>
              </w:rPr>
              <w:t>101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0000FF"/>
                <w:w w:val="79"/>
              </w:rPr>
              <w:t>120</w:t>
            </w: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6.10</w:t>
            </w:r>
            <w:r>
              <w:rPr>
                <w:rFonts w:ascii="Arial" w:cs="Arial" w:eastAsia="Arial" w:hAnsi="Arial"/>
                <w:sz w:val="18"/>
                <w:szCs w:val="18"/>
                <w:i w:val="1"/>
                <w:iCs w:val="1"/>
                <w:color w:val="FF0000"/>
                <w:strike w:val="1"/>
              </w:rPr>
              <w:t>.</w:t>
            </w:r>
          </w:p>
        </w:tc>
        <w:tc>
          <w:tcPr>
            <w:tcW w:w="80" w:type="dxa"/>
            <w:vAlign w:val="bottom"/>
            <w:vMerge w:val="restart"/>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Inspection Rights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101</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6.11</w:t>
            </w:r>
            <w:r>
              <w:rPr>
                <w:rFonts w:ascii="Arial" w:cs="Arial" w:eastAsia="Arial" w:hAnsi="Arial"/>
                <w:sz w:val="18"/>
                <w:szCs w:val="18"/>
                <w:i w:val="1"/>
                <w:iCs w:val="1"/>
                <w:color w:val="FF0000"/>
                <w:strike w:val="1"/>
              </w:rPr>
              <w:t>.</w:t>
            </w:r>
          </w:p>
        </w:tc>
        <w:tc>
          <w:tcPr>
            <w:tcW w:w="80" w:type="dxa"/>
            <w:vAlign w:val="bottom"/>
            <w:vMerge w:val="restart"/>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Additional Collateral; Additional Guarantors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101</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6.12</w:t>
            </w:r>
            <w:r>
              <w:rPr>
                <w:rFonts w:ascii="Arial" w:cs="Arial" w:eastAsia="Arial" w:hAnsi="Arial"/>
                <w:sz w:val="18"/>
                <w:szCs w:val="18"/>
                <w:i w:val="1"/>
                <w:iCs w:val="1"/>
                <w:color w:val="FF0000"/>
                <w:strike w:val="1"/>
              </w:rPr>
              <w:t>.</w:t>
            </w:r>
          </w:p>
        </w:tc>
        <w:tc>
          <w:tcPr>
            <w:tcW w:w="80" w:type="dxa"/>
            <w:vAlign w:val="bottom"/>
            <w:vMerge w:val="restart"/>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Compliance with Environmental Laws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103</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6.13</w:t>
            </w:r>
            <w:r>
              <w:rPr>
                <w:rFonts w:ascii="Arial" w:cs="Arial" w:eastAsia="Arial" w:hAnsi="Arial"/>
                <w:sz w:val="18"/>
                <w:szCs w:val="18"/>
                <w:i w:val="1"/>
                <w:iCs w:val="1"/>
                <w:color w:val="FF0000"/>
                <w:strike w:val="1"/>
              </w:rPr>
              <w:t>.</w:t>
            </w:r>
          </w:p>
        </w:tc>
        <w:tc>
          <w:tcPr>
            <w:tcW w:w="80" w:type="dxa"/>
            <w:vAlign w:val="bottom"/>
            <w:vMerge w:val="restart"/>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Further Assurances and Post-Closing Conditions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103</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6.14</w:t>
            </w:r>
          </w:p>
        </w:tc>
        <w:tc>
          <w:tcPr>
            <w:tcW w:w="900" w:type="dxa"/>
            <w:vAlign w:val="bottom"/>
            <w:gridSpan w:val="9"/>
            <w:vMerge w:val="restart"/>
          </w:tcPr>
          <w:p>
            <w:pPr>
              <w:spacing w:after="0" w:line="196" w:lineRule="exact"/>
              <w:rPr>
                <w:sz w:val="20"/>
                <w:szCs w:val="20"/>
                <w:color w:val="auto"/>
              </w:rPr>
            </w:pPr>
            <w:r>
              <w:rPr>
                <w:rFonts w:ascii="Arial" w:cs="Arial" w:eastAsia="Arial" w:hAnsi="Arial"/>
                <w:sz w:val="18"/>
                <w:szCs w:val="18"/>
                <w:i w:val="1"/>
                <w:iCs w:val="1"/>
                <w:color w:val="FF0000"/>
                <w:strike w:val="1"/>
                <w:w w:val="90"/>
              </w:rPr>
              <w:t>. [Reserved]</w:t>
            </w:r>
          </w:p>
        </w:tc>
        <w:tc>
          <w:tcPr>
            <w:tcW w:w="40" w:type="dxa"/>
            <w:vAlign w:val="bottom"/>
            <w:vMerge w:val="restart"/>
          </w:tcPr>
          <w:p>
            <w:pPr>
              <w:spacing w:after="0"/>
              <w:rPr>
                <w:sz w:val="2"/>
                <w:szCs w:val="2"/>
                <w:color w:val="auto"/>
              </w:rPr>
            </w:pPr>
          </w:p>
        </w:tc>
        <w:tc>
          <w:tcPr>
            <w:tcW w:w="940" w:type="dxa"/>
            <w:vAlign w:val="bottom"/>
            <w:gridSpan w:val="8"/>
            <w:vMerge w:val="restart"/>
          </w:tcPr>
          <w:p>
            <w:pPr>
              <w:jc w:val="right"/>
              <w:spacing w:after="0" w:line="196" w:lineRule="exact"/>
              <w:rPr>
                <w:sz w:val="20"/>
                <w:szCs w:val="20"/>
                <w:color w:val="auto"/>
              </w:rPr>
            </w:pPr>
            <w:r>
              <w:rPr>
                <w:rFonts w:ascii="Arial" w:cs="Arial" w:eastAsia="Arial" w:hAnsi="Arial"/>
                <w:sz w:val="18"/>
                <w:szCs w:val="18"/>
                <w:i w:val="1"/>
                <w:iCs w:val="1"/>
                <w:color w:val="0000FF"/>
                <w:w w:val="91"/>
              </w:rPr>
              <w:t>Lender Calls</w:t>
            </w:r>
          </w:p>
        </w:tc>
        <w:tc>
          <w:tcPr>
            <w:tcW w:w="7660" w:type="dxa"/>
            <w:vAlign w:val="bottom"/>
            <w:gridSpan w:val="17"/>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104</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900" w:type="dxa"/>
            <w:vAlign w:val="bottom"/>
            <w:gridSpan w:val="9"/>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940" w:type="dxa"/>
            <w:vAlign w:val="bottom"/>
            <w:tcBorders>
              <w:bottom w:val="single" w:sz="8" w:color="0000FF"/>
            </w:tcBorders>
            <w:gridSpan w:val="8"/>
            <w:vMerge w:val="continue"/>
          </w:tcPr>
          <w:p>
            <w:pPr>
              <w:spacing w:after="0"/>
              <w:rPr>
                <w:sz w:val="12"/>
                <w:szCs w:val="12"/>
                <w:color w:val="auto"/>
              </w:rPr>
            </w:pPr>
          </w:p>
        </w:tc>
        <w:tc>
          <w:tcPr>
            <w:tcW w:w="7660" w:type="dxa"/>
            <w:vAlign w:val="bottom"/>
            <w:gridSpan w:val="1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gridSpan w:val="11"/>
            <w:vMerge w:val="restart"/>
          </w:tcPr>
          <w:p>
            <w:pPr>
              <w:spacing w:after="0"/>
              <w:rPr>
                <w:sz w:val="20"/>
                <w:szCs w:val="20"/>
                <w:color w:val="auto"/>
              </w:rPr>
            </w:pPr>
            <w:r>
              <w:rPr>
                <w:rFonts w:ascii="Arial" w:cs="Arial" w:eastAsia="Arial" w:hAnsi="Arial"/>
                <w:sz w:val="18"/>
                <w:szCs w:val="18"/>
                <w:i w:val="1"/>
                <w:iCs w:val="1"/>
                <w:color w:val="FF0000"/>
                <w:strike w:val="1"/>
                <w:w w:val="84"/>
              </w:rPr>
              <w:t>Section 6.15. Maintenance</w:t>
            </w:r>
          </w:p>
        </w:tc>
        <w:tc>
          <w:tcPr>
            <w:tcW w:w="14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20" w:type="dxa"/>
            <w:vAlign w:val="bottom"/>
            <w:gridSpan w:val="11"/>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6"/>
          </w:tcPr>
          <w:p>
            <w:pPr>
              <w:spacing w:after="0" w:line="168" w:lineRule="exact"/>
              <w:rPr>
                <w:sz w:val="20"/>
                <w:szCs w:val="20"/>
                <w:color w:val="auto"/>
              </w:rPr>
            </w:pPr>
            <w:r>
              <w:rPr>
                <w:rFonts w:ascii="Arial" w:cs="Arial" w:eastAsia="Arial" w:hAnsi="Arial"/>
                <w:sz w:val="18"/>
                <w:szCs w:val="18"/>
                <w:i w:val="1"/>
                <w:iCs w:val="1"/>
                <w:color w:val="FF0000"/>
                <w:strike w:val="1"/>
                <w:w w:val="93"/>
              </w:rPr>
              <w:t>of Ratings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i w:val="1"/>
                <w:iCs w:val="1"/>
                <w:color w:val="FF0000"/>
                <w:strike w:val="1"/>
                <w:w w:val="79"/>
              </w:rPr>
              <w:t>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gridSpan w:val="4"/>
          </w:tcPr>
          <w:p>
            <w:pPr>
              <w:spacing w:after="0" w:line="190" w:lineRule="exact"/>
              <w:rPr>
                <w:sz w:val="20"/>
                <w:szCs w:val="20"/>
                <w:color w:val="auto"/>
              </w:rPr>
            </w:pPr>
            <w:r>
              <w:rPr>
                <w:rFonts w:ascii="Arial" w:cs="Arial" w:eastAsia="Arial" w:hAnsi="Arial"/>
                <w:sz w:val="18"/>
                <w:szCs w:val="18"/>
                <w:i w:val="1"/>
                <w:iCs w:val="1"/>
                <w:color w:val="FF0000"/>
                <w:strike w:val="1"/>
                <w:w w:val="89"/>
              </w:rPr>
              <w:t>Section 6.16.</w:t>
            </w:r>
          </w:p>
        </w:tc>
        <w:tc>
          <w:tcPr>
            <w:tcW w:w="20" w:type="dxa"/>
            <w:vAlign w:val="bottom"/>
          </w:tcPr>
          <w:p>
            <w:pPr>
              <w:spacing w:after="0"/>
              <w:rPr>
                <w:sz w:val="16"/>
                <w:szCs w:val="16"/>
                <w:color w:val="auto"/>
              </w:rPr>
            </w:pPr>
          </w:p>
        </w:tc>
        <w:tc>
          <w:tcPr>
            <w:tcW w:w="9440" w:type="dxa"/>
            <w:vAlign w:val="bottom"/>
            <w:gridSpan w:val="31"/>
          </w:tcPr>
          <w:p>
            <w:pPr>
              <w:spacing w:after="0" w:line="190" w:lineRule="exact"/>
              <w:rPr>
                <w:sz w:val="20"/>
                <w:szCs w:val="20"/>
                <w:color w:val="auto"/>
              </w:rPr>
            </w:pPr>
            <w:r>
              <w:rPr>
                <w:rFonts w:ascii="Arial" w:cs="Arial" w:eastAsia="Arial" w:hAnsi="Arial"/>
                <w:sz w:val="18"/>
                <w:szCs w:val="18"/>
                <w:i w:val="1"/>
                <w:iCs w:val="1"/>
                <w:color w:val="0000FF"/>
              </w:rPr>
              <w:t xml:space="preserve">6.15 </w:t>
            </w:r>
            <w:r>
              <w:rPr>
                <w:rFonts w:ascii="Arial" w:cs="Arial" w:eastAsia="Arial" w:hAnsi="Arial"/>
                <w:sz w:val="18"/>
                <w:szCs w:val="18"/>
                <w:i w:val="1"/>
                <w:iCs w:val="1"/>
                <w:color w:val="000000"/>
              </w:rPr>
              <w:t>Use of Proceeds</w:t>
            </w:r>
            <w:r>
              <w:rPr>
                <w:rFonts w:ascii="Arial" w:cs="Arial" w:eastAsia="Arial" w:hAnsi="Arial"/>
                <w:sz w:val="18"/>
                <w:szCs w:val="18"/>
                <w:i w:val="1"/>
                <w:iCs w:val="1"/>
                <w:color w:val="0000FF"/>
              </w:rPr>
              <w:t xml:space="preserve"> and Collateral</w:t>
            </w: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i w:val="1"/>
                <w:iCs w:val="1"/>
                <w:color w:val="FF0000"/>
                <w:strike w:val="1"/>
                <w:w w:val="79"/>
              </w:rPr>
              <w:t>104</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i w:val="1"/>
                <w:iCs w:val="1"/>
                <w:color w:val="0000FF"/>
                <w:w w:val="79"/>
              </w:rPr>
              <w:t>125</w:t>
            </w:r>
          </w:p>
        </w:tc>
        <w:tc>
          <w:tcPr>
            <w:tcW w:w="0" w:type="dxa"/>
            <w:vAlign w:val="bottom"/>
          </w:tcPr>
          <w:p>
            <w:pPr>
              <w:spacing w:after="0"/>
              <w:rPr>
                <w:sz w:val="1"/>
                <w:szCs w:val="1"/>
                <w:color w:val="auto"/>
              </w:rPr>
            </w:pPr>
          </w:p>
        </w:tc>
      </w:tr>
      <w:tr>
        <w:trPr>
          <w:trHeight w:val="34"/>
        </w:trPr>
        <w:tc>
          <w:tcPr>
            <w:tcW w:w="980" w:type="dxa"/>
            <w:vAlign w:val="bottom"/>
            <w:gridSpan w:val="5"/>
            <w:vMerge w:val="restart"/>
          </w:tcPr>
          <w:p>
            <w:pPr>
              <w:spacing w:after="0"/>
              <w:rPr>
                <w:sz w:val="20"/>
                <w:szCs w:val="20"/>
                <w:color w:val="auto"/>
              </w:rPr>
            </w:pPr>
            <w:r>
              <w:rPr>
                <w:rFonts w:ascii="Arial" w:cs="Arial" w:eastAsia="Arial" w:hAnsi="Arial"/>
                <w:sz w:val="18"/>
                <w:szCs w:val="18"/>
                <w:i w:val="1"/>
                <w:iCs w:val="1"/>
                <w:color w:val="FF0000"/>
                <w:strike w:val="1"/>
                <w:w w:val="91"/>
              </w:rPr>
              <w:t>Section 6.17.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160" w:type="dxa"/>
            <w:vAlign w:val="bottom"/>
            <w:gridSpan w:val="7"/>
            <w:vMerge w:val="restart"/>
          </w:tcPr>
          <w:p>
            <w:pPr>
              <w:spacing w:after="0"/>
              <w:rPr>
                <w:sz w:val="20"/>
                <w:szCs w:val="20"/>
                <w:color w:val="auto"/>
              </w:rPr>
            </w:pPr>
            <w:r>
              <w:rPr>
                <w:rFonts w:ascii="Arial" w:cs="Arial" w:eastAsia="Arial" w:hAnsi="Arial"/>
                <w:sz w:val="18"/>
                <w:szCs w:val="18"/>
                <w:i w:val="1"/>
                <w:iCs w:val="1"/>
                <w:color w:val="FF0000"/>
                <w:strike w:val="1"/>
              </w:rPr>
              <w:t>Financial Plan</w:t>
            </w:r>
          </w:p>
        </w:tc>
        <w:tc>
          <w:tcPr>
            <w:tcW w:w="20" w:type="dxa"/>
            <w:vAlign w:val="bottom"/>
            <w:tcBorders>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80" w:type="dxa"/>
            <w:vAlign w:val="bottom"/>
            <w:gridSpan w:val="5"/>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00" w:type="dxa"/>
            <w:vAlign w:val="bottom"/>
            <w:gridSpan w:val="2"/>
          </w:tcPr>
          <w:p>
            <w:pPr>
              <w:spacing w:after="0" w:line="168" w:lineRule="exact"/>
              <w:rPr>
                <w:sz w:val="20"/>
                <w:szCs w:val="20"/>
                <w:color w:val="auto"/>
              </w:rPr>
            </w:pPr>
            <w:r>
              <w:rPr>
                <w:rFonts w:ascii="Arial" w:cs="Arial" w:eastAsia="Arial" w:hAnsi="Arial"/>
                <w:sz w:val="17"/>
                <w:szCs w:val="17"/>
                <w:i w:val="1"/>
                <w:iCs w:val="1"/>
                <w:color w:val="FF0000"/>
                <w:strike w:val="1"/>
                <w:w w:val="73"/>
              </w:rPr>
              <w:t>2020</w:t>
            </w:r>
          </w:p>
        </w:tc>
        <w:tc>
          <w:tcPr>
            <w:tcW w:w="80" w:type="dxa"/>
            <w:vAlign w:val="bottom"/>
            <w:vMerge w:val="continue"/>
          </w:tcPr>
          <w:p>
            <w:pPr>
              <w:spacing w:after="0"/>
              <w:rPr>
                <w:sz w:val="14"/>
                <w:szCs w:val="14"/>
                <w:color w:val="auto"/>
              </w:rPr>
            </w:pPr>
          </w:p>
        </w:tc>
        <w:tc>
          <w:tcPr>
            <w:tcW w:w="116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i w:val="1"/>
                <w:iCs w:val="1"/>
                <w:color w:val="FF0000"/>
                <w:strike w:val="1"/>
                <w:w w:val="79"/>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00" w:type="dxa"/>
            <w:vAlign w:val="bottom"/>
            <w:gridSpan w:val="8"/>
          </w:tcPr>
          <w:p>
            <w:pPr>
              <w:spacing w:after="0" w:line="190" w:lineRule="exact"/>
              <w:rPr>
                <w:sz w:val="20"/>
                <w:szCs w:val="20"/>
                <w:color w:val="auto"/>
              </w:rPr>
            </w:pPr>
            <w:r>
              <w:rPr>
                <w:rFonts w:ascii="Arial" w:cs="Arial" w:eastAsia="Arial" w:hAnsi="Arial"/>
                <w:sz w:val="18"/>
                <w:szCs w:val="18"/>
                <w:i w:val="1"/>
                <w:iCs w:val="1"/>
                <w:color w:val="0000FF"/>
              </w:rPr>
              <w:t>Section 6.16</w:t>
            </w:r>
          </w:p>
        </w:tc>
        <w:tc>
          <w:tcPr>
            <w:tcW w:w="80" w:type="dxa"/>
            <w:vAlign w:val="bottom"/>
          </w:tcPr>
          <w:p>
            <w:pPr>
              <w:spacing w:after="0"/>
              <w:rPr>
                <w:sz w:val="16"/>
                <w:szCs w:val="16"/>
                <w:color w:val="auto"/>
              </w:rPr>
            </w:pPr>
          </w:p>
        </w:tc>
        <w:tc>
          <w:tcPr>
            <w:tcW w:w="9040" w:type="dxa"/>
            <w:vAlign w:val="bottom"/>
            <w:gridSpan w:val="27"/>
          </w:tcPr>
          <w:p>
            <w:pPr>
              <w:spacing w:after="0" w:line="190" w:lineRule="exact"/>
              <w:rPr>
                <w:sz w:val="20"/>
                <w:szCs w:val="20"/>
                <w:color w:val="auto"/>
              </w:rPr>
            </w:pPr>
            <w:r>
              <w:rPr>
                <w:rFonts w:ascii="Arial" w:cs="Arial" w:eastAsia="Arial" w:hAnsi="Arial"/>
                <w:sz w:val="18"/>
                <w:szCs w:val="18"/>
                <w:i w:val="1"/>
                <w:iCs w:val="1"/>
                <w:color w:val="0000FF"/>
              </w:rPr>
              <w:t>Chapter 11 Cases and Canadian Recognition Proceedings</w:t>
            </w:r>
          </w:p>
        </w:tc>
        <w:tc>
          <w:tcPr>
            <w:tcW w:w="560" w:type="dxa"/>
            <w:vAlign w:val="bottom"/>
            <w:gridSpan w:val="4"/>
          </w:tcPr>
          <w:p>
            <w:pPr>
              <w:jc w:val="right"/>
              <w:ind w:right="20"/>
              <w:spacing w:after="0" w:line="190" w:lineRule="exact"/>
              <w:rPr>
                <w:sz w:val="20"/>
                <w:szCs w:val="20"/>
                <w:color w:val="auto"/>
              </w:rPr>
            </w:pPr>
            <w:r>
              <w:rPr>
                <w:rFonts w:ascii="Arial" w:cs="Arial" w:eastAsia="Arial" w:hAnsi="Arial"/>
                <w:sz w:val="18"/>
                <w:szCs w:val="18"/>
                <w:i w:val="1"/>
                <w:iCs w:val="1"/>
                <w:color w:val="0000FF"/>
              </w:rPr>
              <w:t>126</w:t>
            </w: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tcPr>
          <w:p>
            <w:pPr>
              <w:jc w:val="center"/>
              <w:ind w:right="4000"/>
              <w:spacing w:after="0"/>
              <w:rPr>
                <w:sz w:val="20"/>
                <w:szCs w:val="20"/>
                <w:color w:val="auto"/>
              </w:rPr>
            </w:pPr>
            <w:r>
              <w:rPr>
                <w:rFonts w:ascii="Arial" w:cs="Arial" w:eastAsia="Arial" w:hAnsi="Arial"/>
                <w:sz w:val="18"/>
                <w:szCs w:val="18"/>
                <w:b w:val="1"/>
                <w:bCs w:val="1"/>
                <w:i w:val="1"/>
                <w:iCs w:val="1"/>
                <w:color w:val="auto"/>
                <w:w w:val="96"/>
              </w:rPr>
              <w:t>ARTICLE 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4"/>
          </w:tcPr>
          <w:p>
            <w:pPr>
              <w:jc w:val="center"/>
              <w:ind w:right="3980"/>
              <w:spacing w:after="0"/>
              <w:rPr>
                <w:sz w:val="20"/>
                <w:szCs w:val="20"/>
                <w:color w:val="auto"/>
              </w:rPr>
            </w:pPr>
            <w:r>
              <w:rPr>
                <w:rFonts w:ascii="Arial" w:cs="Arial" w:eastAsia="Arial" w:hAnsi="Arial"/>
                <w:sz w:val="18"/>
                <w:szCs w:val="18"/>
                <w:b w:val="1"/>
                <w:bCs w:val="1"/>
                <w:i w:val="1"/>
                <w:iCs w:val="1"/>
                <w:color w:val="auto"/>
                <w:w w:val="85"/>
              </w:rPr>
              <w:t>Negative Covenants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gridSpan w:val="8"/>
          </w:tcPr>
          <w:p>
            <w:pPr>
              <w:spacing w:after="0" w:line="190" w:lineRule="exact"/>
              <w:rPr>
                <w:sz w:val="20"/>
                <w:szCs w:val="20"/>
                <w:color w:val="auto"/>
              </w:rPr>
            </w:pPr>
            <w:r>
              <w:rPr>
                <w:rFonts w:ascii="Arial" w:cs="Arial" w:eastAsia="Arial" w:hAnsi="Arial"/>
                <w:sz w:val="18"/>
                <w:szCs w:val="18"/>
                <w:i w:val="1"/>
                <w:iCs w:val="1"/>
                <w:color w:val="auto"/>
              </w:rPr>
              <w:t>Section 7.01</w:t>
            </w:r>
            <w:r>
              <w:rPr>
                <w:rFonts w:ascii="Arial" w:cs="Arial" w:eastAsia="Arial" w:hAnsi="Arial"/>
                <w:sz w:val="18"/>
                <w:szCs w:val="18"/>
                <w:i w:val="1"/>
                <w:iCs w:val="1"/>
                <w:color w:val="FF0000"/>
                <w:strike w:val="1"/>
              </w:rPr>
              <w:t>.</w:t>
            </w:r>
          </w:p>
        </w:tc>
        <w:tc>
          <w:tcPr>
            <w:tcW w:w="80" w:type="dxa"/>
            <w:vAlign w:val="bottom"/>
          </w:tcPr>
          <w:p>
            <w:pPr>
              <w:spacing w:after="0"/>
              <w:rPr>
                <w:sz w:val="16"/>
                <w:szCs w:val="16"/>
                <w:color w:val="auto"/>
              </w:rPr>
            </w:pPr>
          </w:p>
        </w:tc>
        <w:tc>
          <w:tcPr>
            <w:tcW w:w="9040" w:type="dxa"/>
            <w:vAlign w:val="bottom"/>
            <w:gridSpan w:val="27"/>
          </w:tcPr>
          <w:p>
            <w:pPr>
              <w:spacing w:after="0" w:line="190" w:lineRule="exact"/>
              <w:rPr>
                <w:sz w:val="20"/>
                <w:szCs w:val="20"/>
                <w:color w:val="auto"/>
              </w:rPr>
            </w:pPr>
            <w:r>
              <w:rPr>
                <w:rFonts w:ascii="Arial" w:cs="Arial" w:eastAsia="Arial" w:hAnsi="Arial"/>
                <w:sz w:val="18"/>
                <w:szCs w:val="18"/>
                <w:i w:val="1"/>
                <w:iCs w:val="1"/>
                <w:color w:val="auto"/>
              </w:rPr>
              <w:t>Liens</w:t>
            </w: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i w:val="1"/>
                <w:iCs w:val="1"/>
                <w:color w:val="FF0000"/>
                <w:strike w:val="1"/>
                <w:w w:val="79"/>
              </w:rPr>
              <w:t>104</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i w:val="1"/>
                <w:iCs w:val="1"/>
                <w:color w:val="0000FF"/>
                <w:w w:val="79"/>
              </w:rPr>
              <w:t>128</w:t>
            </w: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7.02</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108</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7.03</w:t>
            </w:r>
          </w:p>
        </w:tc>
        <w:tc>
          <w:tcPr>
            <w:tcW w:w="1080" w:type="dxa"/>
            <w:vAlign w:val="bottom"/>
            <w:gridSpan w:val="11"/>
            <w:vMerge w:val="restart"/>
          </w:tcPr>
          <w:p>
            <w:pPr>
              <w:spacing w:after="0" w:line="196" w:lineRule="exact"/>
              <w:rPr>
                <w:sz w:val="20"/>
                <w:szCs w:val="20"/>
                <w:color w:val="auto"/>
              </w:rPr>
            </w:pPr>
            <w:r>
              <w:rPr>
                <w:rFonts w:ascii="Arial" w:cs="Arial" w:eastAsia="Arial" w:hAnsi="Arial"/>
                <w:sz w:val="18"/>
                <w:szCs w:val="18"/>
                <w:i w:val="1"/>
                <w:iCs w:val="1"/>
                <w:color w:val="FF0000"/>
                <w:strike w:val="1"/>
                <w:w w:val="89"/>
              </w:rPr>
              <w:t>. Indebtedness</w:t>
            </w:r>
          </w:p>
        </w:tc>
        <w:tc>
          <w:tcPr>
            <w:tcW w:w="800" w:type="dxa"/>
            <w:vAlign w:val="bottom"/>
            <w:gridSpan w:val="7"/>
            <w:vMerge w:val="restart"/>
          </w:tcPr>
          <w:p>
            <w:pPr>
              <w:jc w:val="right"/>
              <w:spacing w:after="0" w:line="196" w:lineRule="exact"/>
              <w:rPr>
                <w:sz w:val="20"/>
                <w:szCs w:val="20"/>
                <w:color w:val="auto"/>
              </w:rPr>
            </w:pPr>
            <w:r>
              <w:rPr>
                <w:rFonts w:ascii="Arial" w:cs="Arial" w:eastAsia="Arial" w:hAnsi="Arial"/>
                <w:sz w:val="18"/>
                <w:szCs w:val="18"/>
                <w:i w:val="1"/>
                <w:iCs w:val="1"/>
                <w:color w:val="0000FF"/>
                <w:w w:val="89"/>
              </w:rPr>
              <w:t>[Reserved]</w:t>
            </w:r>
          </w:p>
        </w:tc>
        <w:tc>
          <w:tcPr>
            <w:tcW w:w="7660" w:type="dxa"/>
            <w:vAlign w:val="bottom"/>
            <w:gridSpan w:val="17"/>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112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80" w:type="dxa"/>
            <w:vAlign w:val="bottom"/>
            <w:gridSpan w:val="11"/>
            <w:vMerge w:val="continue"/>
          </w:tcPr>
          <w:p>
            <w:pPr>
              <w:spacing w:after="0"/>
              <w:rPr>
                <w:sz w:val="12"/>
                <w:szCs w:val="12"/>
                <w:color w:val="auto"/>
              </w:rPr>
            </w:pPr>
          </w:p>
        </w:tc>
        <w:tc>
          <w:tcPr>
            <w:tcW w:w="800" w:type="dxa"/>
            <w:vAlign w:val="bottom"/>
            <w:tcBorders>
              <w:bottom w:val="single" w:sz="8" w:color="0000FF"/>
            </w:tcBorders>
            <w:gridSpan w:val="7"/>
            <w:vMerge w:val="continue"/>
          </w:tcPr>
          <w:p>
            <w:pPr>
              <w:spacing w:after="0"/>
              <w:rPr>
                <w:sz w:val="12"/>
                <w:szCs w:val="12"/>
                <w:color w:val="auto"/>
              </w:rPr>
            </w:pPr>
          </w:p>
        </w:tc>
        <w:tc>
          <w:tcPr>
            <w:tcW w:w="7660" w:type="dxa"/>
            <w:vAlign w:val="bottom"/>
            <w:gridSpan w:val="1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7.04</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115</w:t>
            </w:r>
          </w:p>
        </w:tc>
        <w:tc>
          <w:tcPr>
            <w:tcW w:w="2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tcPr>
          <w:p>
            <w:pPr>
              <w:spacing w:after="0" w:line="142" w:lineRule="exact"/>
              <w:rPr>
                <w:sz w:val="20"/>
                <w:szCs w:val="20"/>
                <w:color w:val="auto"/>
              </w:rPr>
            </w:pPr>
            <w:r>
              <w:rPr>
                <w:rFonts w:ascii="Arial" w:cs="Arial" w:eastAsia="Arial" w:hAnsi="Arial"/>
                <w:sz w:val="16"/>
                <w:szCs w:val="16"/>
                <w:i w:val="1"/>
                <w:iCs w:val="1"/>
                <w:color w:val="auto"/>
              </w:rPr>
              <w:t>Fundamental Changes</w:t>
            </w: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7.05</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Dispositions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117</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7.06</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Restricted 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120</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7.07</w:t>
            </w:r>
          </w:p>
        </w:tc>
        <w:tc>
          <w:tcPr>
            <w:tcW w:w="2340" w:type="dxa"/>
            <w:vAlign w:val="bottom"/>
            <w:gridSpan w:val="20"/>
            <w:vMerge w:val="restart"/>
          </w:tcPr>
          <w:p>
            <w:pPr>
              <w:spacing w:after="0" w:line="196" w:lineRule="exact"/>
              <w:rPr>
                <w:sz w:val="20"/>
                <w:szCs w:val="20"/>
                <w:color w:val="auto"/>
              </w:rPr>
            </w:pPr>
            <w:r>
              <w:rPr>
                <w:rFonts w:ascii="Arial" w:cs="Arial" w:eastAsia="Arial" w:hAnsi="Arial"/>
                <w:sz w:val="18"/>
                <w:szCs w:val="18"/>
                <w:i w:val="1"/>
                <w:iCs w:val="1"/>
                <w:color w:val="FF0000"/>
                <w:strike w:val="1"/>
                <w:w w:val="91"/>
              </w:rPr>
              <w:t>. Change in Nature of Business;</w:t>
            </w:r>
          </w:p>
        </w:tc>
        <w:tc>
          <w:tcPr>
            <w:tcW w:w="7200" w:type="dxa"/>
            <w:vAlign w:val="bottom"/>
            <w:gridSpan w:val="15"/>
            <w:vMerge w:val="restart"/>
          </w:tcPr>
          <w:p>
            <w:pPr>
              <w:spacing w:after="0" w:line="196" w:lineRule="exact"/>
              <w:rPr>
                <w:sz w:val="20"/>
                <w:szCs w:val="20"/>
                <w:color w:val="auto"/>
              </w:rPr>
            </w:pPr>
            <w:r>
              <w:rPr>
                <w:rFonts w:ascii="Arial" w:cs="Arial" w:eastAsia="Arial" w:hAnsi="Arial"/>
                <w:sz w:val="18"/>
                <w:szCs w:val="18"/>
                <w:i w:val="1"/>
                <w:iCs w:val="1"/>
                <w:color w:val="auto"/>
              </w:rPr>
              <w:t>Organization Documents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121</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2340" w:type="dxa"/>
            <w:vAlign w:val="bottom"/>
            <w:gridSpan w:val="20"/>
            <w:vMerge w:val="continue"/>
          </w:tcPr>
          <w:p>
            <w:pPr>
              <w:spacing w:after="0"/>
              <w:rPr>
                <w:sz w:val="12"/>
                <w:szCs w:val="12"/>
                <w:color w:val="auto"/>
              </w:rPr>
            </w:pPr>
          </w:p>
        </w:tc>
        <w:tc>
          <w:tcPr>
            <w:tcW w:w="7200" w:type="dxa"/>
            <w:vAlign w:val="bottom"/>
            <w:gridSpan w:val="1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7.08</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Transactions with Affiliates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7.09</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Burdensome Agreements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spacing w:after="0"/>
              <w:rPr>
                <w:sz w:val="20"/>
                <w:szCs w:val="20"/>
                <w:color w:val="auto"/>
              </w:rPr>
            </w:pPr>
            <w:r>
              <w:rPr>
                <w:rFonts w:ascii="Arial" w:cs="Arial" w:eastAsia="Arial" w:hAnsi="Arial"/>
                <w:sz w:val="18"/>
                <w:szCs w:val="18"/>
                <w:i w:val="1"/>
                <w:iCs w:val="1"/>
                <w:color w:val="FF0000"/>
                <w:strike w:val="1"/>
                <w:w w:val="89"/>
              </w:rPr>
              <w:t>Section 7.10.</w:t>
            </w:r>
          </w:p>
        </w:tc>
        <w:tc>
          <w:tcPr>
            <w:tcW w:w="20" w:type="dxa"/>
            <w:vAlign w:val="bottom"/>
            <w:vMerge w:val="restart"/>
          </w:tcPr>
          <w:p>
            <w:pPr>
              <w:spacing w:after="0"/>
              <w:rPr>
                <w:sz w:val="2"/>
                <w:szCs w:val="2"/>
                <w:color w:val="auto"/>
              </w:rPr>
            </w:pPr>
          </w:p>
        </w:tc>
        <w:tc>
          <w:tcPr>
            <w:tcW w:w="3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11"/>
            <w:vMerge w:val="restart"/>
          </w:tcPr>
          <w:p>
            <w:pPr>
              <w:spacing w:after="0"/>
              <w:rPr>
                <w:sz w:val="20"/>
                <w:szCs w:val="20"/>
                <w:color w:val="auto"/>
              </w:rPr>
            </w:pPr>
            <w:r>
              <w:rPr>
                <w:rFonts w:ascii="Arial" w:cs="Arial" w:eastAsia="Arial" w:hAnsi="Arial"/>
                <w:sz w:val="18"/>
                <w:szCs w:val="18"/>
                <w:i w:val="1"/>
                <w:iCs w:val="1"/>
                <w:color w:val="FF0000"/>
                <w:strike w:val="1"/>
                <w:w w:val="90"/>
              </w:rPr>
              <w:t>Financial Covenant</w:t>
            </w:r>
          </w:p>
        </w:tc>
        <w:tc>
          <w:tcPr>
            <w:tcW w:w="5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8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6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11"/>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i w:val="1"/>
                <w:iCs w:val="1"/>
                <w:color w:val="FF0000"/>
                <w:strike w:val="1"/>
                <w:w w:val="79"/>
              </w:rPr>
              <w:t>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20" w:type="dxa"/>
            <w:vAlign w:val="bottom"/>
            <w:gridSpan w:val="3"/>
          </w:tcPr>
          <w:p>
            <w:pPr>
              <w:spacing w:after="0" w:line="190" w:lineRule="exact"/>
              <w:rPr>
                <w:sz w:val="20"/>
                <w:szCs w:val="20"/>
                <w:color w:val="auto"/>
              </w:rPr>
            </w:pPr>
            <w:r>
              <w:rPr>
                <w:rFonts w:ascii="Arial" w:cs="Arial" w:eastAsia="Arial" w:hAnsi="Arial"/>
                <w:sz w:val="18"/>
                <w:szCs w:val="18"/>
                <w:i w:val="1"/>
                <w:iCs w:val="1"/>
                <w:color w:val="FF0000"/>
                <w:strike w:val="1"/>
                <w:w w:val="85"/>
              </w:rPr>
              <w:t>Section 7.11.</w:t>
            </w:r>
          </w:p>
        </w:tc>
        <w:tc>
          <w:tcPr>
            <w:tcW w:w="40" w:type="dxa"/>
            <w:vAlign w:val="bottom"/>
          </w:tcPr>
          <w:p>
            <w:pPr>
              <w:spacing w:after="0"/>
              <w:rPr>
                <w:sz w:val="16"/>
                <w:szCs w:val="16"/>
                <w:color w:val="auto"/>
              </w:rPr>
            </w:pPr>
          </w:p>
        </w:tc>
        <w:tc>
          <w:tcPr>
            <w:tcW w:w="320" w:type="dxa"/>
            <w:vAlign w:val="bottom"/>
            <w:tcBorders>
              <w:bottom w:val="single" w:sz="8" w:color="0000FF"/>
            </w:tcBorders>
            <w:gridSpan w:val="3"/>
          </w:tcPr>
          <w:p>
            <w:pPr>
              <w:spacing w:after="0" w:line="190" w:lineRule="exact"/>
              <w:rPr>
                <w:sz w:val="20"/>
                <w:szCs w:val="20"/>
                <w:color w:val="auto"/>
              </w:rPr>
            </w:pPr>
            <w:r>
              <w:rPr>
                <w:rFonts w:ascii="Arial" w:cs="Arial" w:eastAsia="Arial" w:hAnsi="Arial"/>
                <w:sz w:val="18"/>
                <w:szCs w:val="18"/>
                <w:i w:val="1"/>
                <w:iCs w:val="1"/>
                <w:color w:val="0000FF"/>
                <w:w w:val="85"/>
              </w:rPr>
              <w:t>7.10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0000FF"/>
            </w:tcBorders>
            <w:gridSpan w:val="6"/>
          </w:tcPr>
          <w:p>
            <w:pPr>
              <w:spacing w:after="0" w:line="190" w:lineRule="exact"/>
              <w:rPr>
                <w:sz w:val="20"/>
                <w:szCs w:val="20"/>
                <w:color w:val="auto"/>
              </w:rPr>
            </w:pPr>
            <w:r>
              <w:rPr>
                <w:rFonts w:ascii="Arial" w:cs="Arial" w:eastAsia="Arial" w:hAnsi="Arial"/>
                <w:sz w:val="18"/>
                <w:szCs w:val="18"/>
                <w:i w:val="1"/>
                <w:iCs w:val="1"/>
                <w:color w:val="0000FF"/>
                <w:w w:val="89"/>
              </w:rPr>
              <w:t>[Reserved].</w:t>
            </w:r>
          </w:p>
        </w:tc>
        <w:tc>
          <w:tcPr>
            <w:tcW w:w="8200" w:type="dxa"/>
            <w:vAlign w:val="bottom"/>
            <w:gridSpan w:val="21"/>
          </w:tcPr>
          <w:p>
            <w:pPr>
              <w:spacing w:after="0"/>
              <w:rPr>
                <w:sz w:val="16"/>
                <w:szCs w:val="16"/>
                <w:color w:val="auto"/>
              </w:rPr>
            </w:pP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i w:val="1"/>
                <w:iCs w:val="1"/>
                <w:color w:val="FF0000"/>
                <w:strike w:val="1"/>
                <w:w w:val="79"/>
              </w:rPr>
              <w:t>123</w:t>
            </w:r>
          </w:p>
        </w:tc>
        <w:tc>
          <w:tcPr>
            <w:tcW w:w="26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i w:val="1"/>
                <w:iCs w:val="1"/>
                <w:color w:val="0000FF"/>
                <w:w w:val="79"/>
              </w:rPr>
              <w:t>146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0000FF"/>
                <w:w w:val="85"/>
              </w:rPr>
              <w:t>Section 7.11</w:t>
            </w:r>
          </w:p>
        </w:tc>
        <w:tc>
          <w:tcPr>
            <w:tcW w:w="100" w:type="dxa"/>
            <w:vAlign w:val="bottom"/>
            <w:gridSpan w:val="4"/>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00FF"/>
            </w:tcBorders>
            <w:gridSpan w:val="4"/>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520" w:type="dxa"/>
            <w:vAlign w:val="bottom"/>
            <w:gridSpan w:val="3"/>
          </w:tcPr>
          <w:p>
            <w:pPr>
              <w:spacing w:after="0"/>
              <w:rPr>
                <w:sz w:val="2"/>
                <w:szCs w:val="2"/>
                <w:color w:val="auto"/>
              </w:rPr>
            </w:pPr>
          </w:p>
        </w:tc>
        <w:tc>
          <w:tcPr>
            <w:tcW w:w="6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280" w:type="dxa"/>
            <w:vAlign w:val="bottom"/>
            <w:tcBorders>
              <w:bottom w:val="single" w:sz="8" w:color="0000FF"/>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gridSpan w:val="4"/>
            <w:vMerge w:val="continue"/>
          </w:tcPr>
          <w:p>
            <w:pPr>
              <w:spacing w:after="0"/>
              <w:rPr>
                <w:sz w:val="12"/>
                <w:szCs w:val="12"/>
                <w:color w:val="auto"/>
              </w:rPr>
            </w:pPr>
          </w:p>
        </w:tc>
        <w:tc>
          <w:tcPr>
            <w:tcW w:w="300" w:type="dxa"/>
            <w:vAlign w:val="bottom"/>
            <w:gridSpan w:val="2"/>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14"/>
          </w:tcPr>
          <w:p>
            <w:pPr>
              <w:spacing w:after="0" w:line="142" w:lineRule="exact"/>
              <w:rPr>
                <w:sz w:val="20"/>
                <w:szCs w:val="20"/>
                <w:color w:val="auto"/>
              </w:rPr>
            </w:pPr>
            <w:r>
              <w:rPr>
                <w:rFonts w:ascii="Arial" w:cs="Arial" w:eastAsia="Arial" w:hAnsi="Arial"/>
                <w:sz w:val="16"/>
                <w:szCs w:val="16"/>
                <w:i w:val="1"/>
                <w:iCs w:val="1"/>
                <w:color w:val="0000FF"/>
              </w:rPr>
              <w:t>Budget Variance Covenants</w:t>
            </w:r>
          </w:p>
        </w:tc>
        <w:tc>
          <w:tcPr>
            <w:tcW w:w="7020" w:type="dxa"/>
            <w:vAlign w:val="bottom"/>
            <w:gridSpan w:val="13"/>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97"/>
              </w:rPr>
              <w:t>147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420" w:type="dxa"/>
            <w:vAlign w:val="bottom"/>
            <w:gridSpan w:val="7"/>
            <w:vMerge w:val="restart"/>
          </w:tcPr>
          <w:p>
            <w:pPr>
              <w:spacing w:after="0" w:line="196" w:lineRule="exact"/>
              <w:rPr>
                <w:sz w:val="20"/>
                <w:szCs w:val="20"/>
                <w:color w:val="auto"/>
              </w:rPr>
            </w:pP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78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gridSpan w:val="4"/>
          </w:tcPr>
          <w:p>
            <w:pPr>
              <w:spacing w:after="0"/>
              <w:rPr>
                <w:sz w:val="2"/>
                <w:szCs w:val="2"/>
                <w:color w:val="auto"/>
              </w:rPr>
            </w:pPr>
          </w:p>
        </w:tc>
        <w:tc>
          <w:tcPr>
            <w:tcW w:w="64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123</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6"/>
                <w:szCs w:val="16"/>
                <w:i w:val="1"/>
                <w:iCs w:val="1"/>
                <w:color w:val="auto"/>
                <w:w w:val="96"/>
              </w:rPr>
              <w:t>Section 7.12</w:t>
            </w:r>
          </w:p>
        </w:tc>
        <w:tc>
          <w:tcPr>
            <w:tcW w:w="4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13"/>
          </w:tcPr>
          <w:p>
            <w:pPr>
              <w:spacing w:after="0" w:line="142" w:lineRule="exact"/>
              <w:rPr>
                <w:sz w:val="20"/>
                <w:szCs w:val="20"/>
                <w:color w:val="auto"/>
              </w:rPr>
            </w:pPr>
            <w:r>
              <w:rPr>
                <w:rFonts w:ascii="Arial" w:cs="Arial" w:eastAsia="Arial" w:hAnsi="Arial"/>
                <w:sz w:val="16"/>
                <w:szCs w:val="16"/>
                <w:i w:val="1"/>
                <w:iCs w:val="1"/>
                <w:color w:val="auto"/>
              </w:rPr>
              <w:t>Fiscal Year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7.13</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Prepayments, Etc. of Indebtedness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124</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0000FF"/>
                <w:w w:val="87"/>
              </w:rPr>
              <w:t>Section 7.14</w:t>
            </w:r>
          </w:p>
        </w:tc>
        <w:tc>
          <w:tcPr>
            <w:tcW w:w="400" w:type="dxa"/>
            <w:vAlign w:val="bottom"/>
            <w:gridSpan w:val="6"/>
            <w:vMerge w:val="restart"/>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5"/>
            <w:vMerge w:val="restart"/>
          </w:tcPr>
          <w:p>
            <w:pPr>
              <w:spacing w:after="0" w:line="196" w:lineRule="exact"/>
              <w:rPr>
                <w:sz w:val="20"/>
                <w:szCs w:val="20"/>
                <w:color w:val="auto"/>
              </w:rPr>
            </w:pPr>
            <w:r>
              <w:rPr>
                <w:rFonts w:ascii="Arial" w:cs="Arial" w:eastAsia="Arial" w:hAnsi="Arial"/>
                <w:sz w:val="18"/>
                <w:szCs w:val="18"/>
                <w:i w:val="1"/>
                <w:iCs w:val="1"/>
                <w:color w:val="0000FF"/>
                <w:w w:val="89"/>
              </w:rPr>
              <w:t>[Reserved]</w:t>
            </w:r>
          </w:p>
        </w:tc>
        <w:tc>
          <w:tcPr>
            <w:tcW w:w="8240" w:type="dxa"/>
            <w:vAlign w:val="bottom"/>
            <w:gridSpan w:val="22"/>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00" w:type="dxa"/>
            <w:vAlign w:val="bottom"/>
            <w:gridSpan w:val="2"/>
            <w:vMerge w:val="continue"/>
          </w:tcPr>
          <w:p>
            <w:pPr>
              <w:spacing w:after="0"/>
              <w:rPr>
                <w:sz w:val="12"/>
                <w:szCs w:val="12"/>
                <w:color w:val="auto"/>
              </w:rPr>
            </w:pPr>
          </w:p>
        </w:tc>
        <w:tc>
          <w:tcPr>
            <w:tcW w:w="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8240" w:type="dxa"/>
            <w:vAlign w:val="bottom"/>
            <w:gridSpan w:val="2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97"/>
              </w:rPr>
              <w:t>149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gridSpan w:val="6"/>
            <w:vMerge w:val="restart"/>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3440" w:type="dxa"/>
            <w:vAlign w:val="bottom"/>
            <w:gridSpan w:val="21"/>
            <w:vMerge w:val="restart"/>
          </w:tcPr>
          <w:p>
            <w:pPr>
              <w:ind w:left="40"/>
              <w:spacing w:after="0" w:line="196" w:lineRule="exact"/>
              <w:rPr>
                <w:sz w:val="20"/>
                <w:szCs w:val="20"/>
                <w:color w:val="auto"/>
              </w:rPr>
            </w:pPr>
            <w:r>
              <w:rPr>
                <w:rFonts w:ascii="Arial" w:cs="Arial" w:eastAsia="Arial" w:hAnsi="Arial"/>
                <w:sz w:val="18"/>
                <w:szCs w:val="18"/>
                <w:i w:val="1"/>
                <w:iCs w:val="1"/>
                <w:color w:val="0000FF"/>
                <w:w w:val="93"/>
              </w:rPr>
              <w:t>Other Executory Contracts; Exclusivity Period</w:t>
            </w:r>
          </w:p>
        </w:tc>
        <w:tc>
          <w:tcPr>
            <w:tcW w:w="48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0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98"/>
              </w:rPr>
              <w:t>Section 7.15</w:t>
            </w:r>
          </w:p>
        </w:tc>
        <w:tc>
          <w:tcPr>
            <w:tcW w:w="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spacing w:after="0" w:line="142" w:lineRule="exact"/>
              <w:rPr>
                <w:sz w:val="20"/>
                <w:szCs w:val="20"/>
                <w:color w:val="auto"/>
              </w:rPr>
            </w:pPr>
            <w:r>
              <w:rPr>
                <w:rFonts w:ascii="Arial" w:cs="Arial" w:eastAsia="Arial" w:hAnsi="Arial"/>
                <w:sz w:val="16"/>
                <w:szCs w:val="16"/>
                <w:i w:val="1"/>
                <w:iCs w:val="1"/>
                <w:color w:val="0000FF"/>
                <w:w w:val="91"/>
              </w:rPr>
              <w:t>Leases and</w:t>
            </w:r>
          </w:p>
        </w:tc>
        <w:tc>
          <w:tcPr>
            <w:tcW w:w="20" w:type="dxa"/>
            <w:vAlign w:val="bottom"/>
            <w:vMerge w:val="continue"/>
          </w:tcPr>
          <w:p>
            <w:pPr>
              <w:spacing w:after="0"/>
              <w:rPr>
                <w:sz w:val="12"/>
                <w:szCs w:val="12"/>
                <w:color w:val="auto"/>
              </w:rPr>
            </w:pPr>
          </w:p>
        </w:tc>
        <w:tc>
          <w:tcPr>
            <w:tcW w:w="3440" w:type="dxa"/>
            <w:vAlign w:val="bottom"/>
            <w:gridSpan w:val="21"/>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97"/>
              </w:rPr>
              <w:t>149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gridSpan w:val="6"/>
            <w:vMerge w:val="restart"/>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top w:val="single" w:sz="8" w:color="0000FF"/>
              <w:bottom w:val="single" w:sz="8" w:color="0000FF"/>
            </w:tcBorders>
            <w:gridSpan w:val="9"/>
          </w:tcPr>
          <w:p>
            <w:pPr>
              <w:spacing w:after="0"/>
              <w:rPr>
                <w:sz w:val="2"/>
                <w:szCs w:val="2"/>
                <w:color w:val="auto"/>
              </w:rPr>
            </w:pPr>
          </w:p>
        </w:tc>
        <w:tc>
          <w:tcPr>
            <w:tcW w:w="680" w:type="dxa"/>
            <w:vAlign w:val="bottom"/>
            <w:tcBorders>
              <w:top w:val="single" w:sz="8" w:color="0000FF"/>
              <w:bottom w:val="single" w:sz="8" w:color="0000FF"/>
            </w:tcBorders>
            <w:gridSpan w:val="6"/>
          </w:tcPr>
          <w:p>
            <w:pPr>
              <w:spacing w:after="0"/>
              <w:rPr>
                <w:sz w:val="2"/>
                <w:szCs w:val="2"/>
                <w:color w:val="auto"/>
              </w:rPr>
            </w:pP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48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0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98"/>
              </w:rPr>
              <w:t>Section 7.16</w:t>
            </w:r>
          </w:p>
        </w:tc>
        <w:tc>
          <w:tcPr>
            <w:tcW w:w="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21"/>
          </w:tcPr>
          <w:p>
            <w:pPr>
              <w:spacing w:after="0" w:line="142" w:lineRule="exact"/>
              <w:rPr>
                <w:sz w:val="20"/>
                <w:szCs w:val="20"/>
                <w:color w:val="auto"/>
              </w:rPr>
            </w:pPr>
            <w:r>
              <w:rPr>
                <w:rFonts w:ascii="Arial" w:cs="Arial" w:eastAsia="Arial" w:hAnsi="Arial"/>
                <w:sz w:val="16"/>
                <w:szCs w:val="16"/>
                <w:i w:val="1"/>
                <w:iCs w:val="1"/>
                <w:color w:val="0000FF"/>
              </w:rPr>
              <w:t>DIP Proceeds Account; Use of Cash</w:t>
            </w:r>
          </w:p>
        </w:tc>
        <w:tc>
          <w:tcPr>
            <w:tcW w:w="1580" w:type="dxa"/>
            <w:vAlign w:val="bottom"/>
            <w:gridSpan w:val="4"/>
          </w:tcPr>
          <w:p>
            <w:pPr>
              <w:spacing w:after="0"/>
              <w:rPr>
                <w:sz w:val="12"/>
                <w:szCs w:val="12"/>
                <w:color w:val="auto"/>
              </w:rPr>
            </w:pPr>
          </w:p>
        </w:tc>
        <w:tc>
          <w:tcPr>
            <w:tcW w:w="20" w:type="dxa"/>
            <w:vAlign w:val="bottom"/>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97"/>
              </w:rPr>
              <w:t>150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gridSpan w:val="6"/>
            <w:vMerge w:val="restart"/>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top w:val="single" w:sz="8" w:color="0000FF"/>
              <w:bottom w:val="single" w:sz="8" w:color="0000FF"/>
            </w:tcBorders>
            <w:gridSpan w:val="9"/>
          </w:tcPr>
          <w:p>
            <w:pPr>
              <w:spacing w:after="0"/>
              <w:rPr>
                <w:sz w:val="2"/>
                <w:szCs w:val="2"/>
                <w:color w:val="auto"/>
              </w:rPr>
            </w:pPr>
          </w:p>
        </w:tc>
        <w:tc>
          <w:tcPr>
            <w:tcW w:w="680" w:type="dxa"/>
            <w:vAlign w:val="bottom"/>
            <w:tcBorders>
              <w:top w:val="single" w:sz="8" w:color="0000FF"/>
              <w:bottom w:val="single" w:sz="8" w:color="0000FF"/>
            </w:tcBorders>
            <w:gridSpan w:val="6"/>
          </w:tcPr>
          <w:p>
            <w:pPr>
              <w:spacing w:after="0"/>
              <w:rPr>
                <w:sz w:val="2"/>
                <w:szCs w:val="2"/>
                <w:color w:val="auto"/>
              </w:rPr>
            </w:pP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900" w:type="dxa"/>
            <w:vAlign w:val="bottom"/>
            <w:gridSpan w:val="4"/>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00" w:type="dxa"/>
            <w:vAlign w:val="bottom"/>
            <w:gridSpan w:val="2"/>
          </w:tcPr>
          <w:p>
            <w:pPr>
              <w:spacing w:after="0" w:line="142" w:lineRule="exact"/>
              <w:rPr>
                <w:sz w:val="20"/>
                <w:szCs w:val="20"/>
                <w:color w:val="auto"/>
              </w:rPr>
            </w:pPr>
            <w:r>
              <w:rPr>
                <w:rFonts w:ascii="Arial" w:cs="Arial" w:eastAsia="Arial" w:hAnsi="Arial"/>
                <w:sz w:val="16"/>
                <w:szCs w:val="16"/>
                <w:i w:val="1"/>
                <w:iCs w:val="1"/>
                <w:color w:val="0000FF"/>
                <w:w w:val="98"/>
              </w:rPr>
              <w:t>Section 7.17</w:t>
            </w:r>
          </w:p>
        </w:tc>
        <w:tc>
          <w:tcPr>
            <w:tcW w:w="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20"/>
          </w:tcPr>
          <w:p>
            <w:pPr>
              <w:spacing w:after="0" w:line="142" w:lineRule="exact"/>
              <w:rPr>
                <w:sz w:val="20"/>
                <w:szCs w:val="20"/>
                <w:color w:val="auto"/>
              </w:rPr>
            </w:pPr>
            <w:r>
              <w:rPr>
                <w:rFonts w:ascii="Arial" w:cs="Arial" w:eastAsia="Arial" w:hAnsi="Arial"/>
                <w:sz w:val="16"/>
                <w:szCs w:val="16"/>
                <w:i w:val="1"/>
                <w:iCs w:val="1"/>
                <w:color w:val="0000FF"/>
              </w:rPr>
              <w:t>No Canadian Pension Plans</w:t>
            </w:r>
          </w:p>
        </w:tc>
        <w:tc>
          <w:tcPr>
            <w:tcW w:w="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90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97"/>
              </w:rPr>
              <w:t>150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900" w:type="dxa"/>
            <w:vAlign w:val="bottom"/>
            <w:gridSpan w:val="4"/>
            <w:vMerge w:val="restart"/>
          </w:tcPr>
          <w:p>
            <w:pPr>
              <w:jc w:val="center"/>
              <w:ind w:right="4000"/>
              <w:spacing w:after="0"/>
              <w:rPr>
                <w:sz w:val="20"/>
                <w:szCs w:val="20"/>
                <w:color w:val="auto"/>
              </w:rPr>
            </w:pPr>
            <w:r>
              <w:rPr>
                <w:rFonts w:ascii="Arial" w:cs="Arial" w:eastAsia="Arial" w:hAnsi="Arial"/>
                <w:sz w:val="18"/>
                <w:szCs w:val="18"/>
                <w:b w:val="1"/>
                <w:bCs w:val="1"/>
                <w:i w:val="1"/>
                <w:iCs w:val="1"/>
                <w:color w:val="auto"/>
                <w:w w:val="96"/>
              </w:rPr>
              <w:t>ARTICLE 8</w:t>
            </w: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gridSpan w:val="6"/>
          </w:tcPr>
          <w:p>
            <w:pPr>
              <w:jc w:val="center"/>
              <w:ind w:right="3500"/>
              <w:spacing w:after="0"/>
              <w:rPr>
                <w:sz w:val="20"/>
                <w:szCs w:val="20"/>
                <w:color w:val="auto"/>
              </w:rPr>
            </w:pPr>
            <w:r>
              <w:rPr>
                <w:rFonts w:ascii="Arial" w:cs="Arial" w:eastAsia="Arial" w:hAnsi="Arial"/>
                <w:sz w:val="18"/>
                <w:szCs w:val="18"/>
                <w:b w:val="1"/>
                <w:bCs w:val="1"/>
                <w:i w:val="1"/>
                <w:iCs w:val="1"/>
                <w:color w:val="auto"/>
                <w:w w:val="86"/>
              </w:rPr>
              <w:t>Events of Default and Remedies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gridSpan w:val="8"/>
          </w:tcPr>
          <w:p>
            <w:pPr>
              <w:spacing w:after="0" w:line="190" w:lineRule="exact"/>
              <w:rPr>
                <w:sz w:val="20"/>
                <w:szCs w:val="20"/>
                <w:color w:val="auto"/>
              </w:rPr>
            </w:pPr>
            <w:r>
              <w:rPr>
                <w:rFonts w:ascii="Arial" w:cs="Arial" w:eastAsia="Arial" w:hAnsi="Arial"/>
                <w:sz w:val="18"/>
                <w:szCs w:val="18"/>
                <w:i w:val="1"/>
                <w:iCs w:val="1"/>
                <w:color w:val="auto"/>
              </w:rPr>
              <w:t>Section 8.01</w:t>
            </w:r>
            <w:r>
              <w:rPr>
                <w:rFonts w:ascii="Arial" w:cs="Arial" w:eastAsia="Arial" w:hAnsi="Arial"/>
                <w:sz w:val="18"/>
                <w:szCs w:val="18"/>
                <w:i w:val="1"/>
                <w:iCs w:val="1"/>
                <w:color w:val="FF0000"/>
                <w:strike w:val="1"/>
              </w:rPr>
              <w:t>.</w:t>
            </w:r>
          </w:p>
        </w:tc>
        <w:tc>
          <w:tcPr>
            <w:tcW w:w="80" w:type="dxa"/>
            <w:vAlign w:val="bottom"/>
          </w:tcPr>
          <w:p>
            <w:pPr>
              <w:spacing w:after="0"/>
              <w:rPr>
                <w:sz w:val="16"/>
                <w:szCs w:val="16"/>
                <w:color w:val="auto"/>
              </w:rPr>
            </w:pPr>
          </w:p>
        </w:tc>
        <w:tc>
          <w:tcPr>
            <w:tcW w:w="9040" w:type="dxa"/>
            <w:vAlign w:val="bottom"/>
            <w:gridSpan w:val="27"/>
          </w:tcPr>
          <w:p>
            <w:pPr>
              <w:spacing w:after="0" w:line="190" w:lineRule="exact"/>
              <w:rPr>
                <w:sz w:val="20"/>
                <w:szCs w:val="20"/>
                <w:color w:val="auto"/>
              </w:rPr>
            </w:pPr>
            <w:r>
              <w:rPr>
                <w:rFonts w:ascii="Arial" w:cs="Arial" w:eastAsia="Arial" w:hAnsi="Arial"/>
                <w:sz w:val="18"/>
                <w:szCs w:val="18"/>
                <w:i w:val="1"/>
                <w:iCs w:val="1"/>
                <w:color w:val="auto"/>
              </w:rPr>
              <w:t>Events of Default</w:t>
            </w: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i w:val="1"/>
                <w:iCs w:val="1"/>
                <w:color w:val="FF0000"/>
                <w:strike w:val="1"/>
                <w:w w:val="79"/>
              </w:rPr>
              <w:t>125</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i w:val="1"/>
                <w:iCs w:val="1"/>
                <w:color w:val="0000FF"/>
                <w:w w:val="79"/>
              </w:rPr>
              <w:t>150</w:t>
            </w: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8.02</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Remedies Upon Event of Default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128</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5"/>
              </w:rPr>
              <w:t>Section 8.03</w:t>
            </w:r>
          </w:p>
        </w:tc>
        <w:tc>
          <w:tcPr>
            <w:tcW w:w="2820" w:type="dxa"/>
            <w:vAlign w:val="bottom"/>
            <w:gridSpan w:val="26"/>
            <w:vMerge w:val="restart"/>
          </w:tcPr>
          <w:p>
            <w:pPr>
              <w:spacing w:after="0" w:line="196" w:lineRule="exact"/>
              <w:rPr>
                <w:sz w:val="20"/>
                <w:szCs w:val="20"/>
                <w:color w:val="auto"/>
              </w:rPr>
            </w:pPr>
            <w:r>
              <w:rPr>
                <w:rFonts w:ascii="Arial" w:cs="Arial" w:eastAsia="Arial" w:hAnsi="Arial"/>
                <w:sz w:val="18"/>
                <w:szCs w:val="18"/>
                <w:i w:val="1"/>
                <w:iCs w:val="1"/>
                <w:color w:val="FF0000"/>
                <w:strike w:val="1"/>
                <w:w w:val="93"/>
              </w:rPr>
              <w:t>. Exclusion of Immaterial Subsidiaries</w:t>
            </w:r>
          </w:p>
        </w:tc>
        <w:tc>
          <w:tcPr>
            <w:tcW w:w="820" w:type="dxa"/>
            <w:vAlign w:val="bottom"/>
            <w:gridSpan w:val="5"/>
            <w:vMerge w:val="restart"/>
          </w:tcPr>
          <w:p>
            <w:pPr>
              <w:spacing w:after="0" w:line="196" w:lineRule="exact"/>
              <w:rPr>
                <w:sz w:val="20"/>
                <w:szCs w:val="20"/>
                <w:color w:val="auto"/>
              </w:rPr>
            </w:pPr>
            <w:r>
              <w:rPr>
                <w:rFonts w:ascii="Arial" w:cs="Arial" w:eastAsia="Arial" w:hAnsi="Arial"/>
                <w:sz w:val="18"/>
                <w:szCs w:val="18"/>
                <w:i w:val="1"/>
                <w:iCs w:val="1"/>
                <w:color w:val="0000FF"/>
                <w:w w:val="91"/>
              </w:rPr>
              <w:t>[Reserved]</w:t>
            </w:r>
          </w:p>
        </w:tc>
        <w:tc>
          <w:tcPr>
            <w:tcW w:w="5900" w:type="dxa"/>
            <w:vAlign w:val="bottom"/>
            <w:gridSpan w:val="4"/>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129</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2820" w:type="dxa"/>
            <w:vAlign w:val="bottom"/>
            <w:gridSpan w:val="26"/>
            <w:vMerge w:val="continue"/>
          </w:tcPr>
          <w:p>
            <w:pPr>
              <w:spacing w:after="0"/>
              <w:rPr>
                <w:sz w:val="12"/>
                <w:szCs w:val="12"/>
                <w:color w:val="auto"/>
              </w:rPr>
            </w:pPr>
          </w:p>
        </w:tc>
        <w:tc>
          <w:tcPr>
            <w:tcW w:w="820" w:type="dxa"/>
            <w:vAlign w:val="bottom"/>
            <w:tcBorders>
              <w:bottom w:val="single" w:sz="8" w:color="0000FF"/>
            </w:tcBorders>
            <w:gridSpan w:val="5"/>
            <w:vMerge w:val="continue"/>
          </w:tcPr>
          <w:p>
            <w:pPr>
              <w:spacing w:after="0"/>
              <w:rPr>
                <w:sz w:val="12"/>
                <w:szCs w:val="12"/>
                <w:color w:val="auto"/>
              </w:rPr>
            </w:pPr>
          </w:p>
        </w:tc>
        <w:tc>
          <w:tcPr>
            <w:tcW w:w="590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8.04</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2340" w:type="dxa"/>
            <w:vAlign w:val="bottom"/>
            <w:gridSpan w:val="19"/>
            <w:vMerge w:val="restart"/>
          </w:tcPr>
          <w:p>
            <w:pPr>
              <w:spacing w:after="0" w:line="196" w:lineRule="exact"/>
              <w:rPr>
                <w:sz w:val="20"/>
                <w:szCs w:val="20"/>
                <w:color w:val="auto"/>
              </w:rPr>
            </w:pPr>
            <w:r>
              <w:rPr>
                <w:rFonts w:ascii="Arial" w:cs="Arial" w:eastAsia="Arial" w:hAnsi="Arial"/>
                <w:sz w:val="18"/>
                <w:szCs w:val="18"/>
                <w:i w:val="1"/>
                <w:iCs w:val="1"/>
                <w:color w:val="auto"/>
              </w:rPr>
              <w:t>Application of Funds</w:t>
            </w:r>
          </w:p>
        </w:tc>
        <w:tc>
          <w:tcPr>
            <w:tcW w:w="2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5900" w:type="dxa"/>
            <w:vAlign w:val="bottom"/>
            <w:gridSpan w:val="4"/>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129</w:t>
            </w:r>
          </w:p>
        </w:tc>
        <w:tc>
          <w:tcPr>
            <w:tcW w:w="28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19"/>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gridSpan w:val="4"/>
            <w:vMerge w:val="restart"/>
          </w:tcPr>
          <w:p>
            <w:pPr>
              <w:jc w:val="center"/>
              <w:ind w:right="4000"/>
              <w:spacing w:after="0"/>
              <w:rPr>
                <w:sz w:val="20"/>
                <w:szCs w:val="20"/>
                <w:color w:val="auto"/>
              </w:rPr>
            </w:pPr>
            <w:r>
              <w:rPr>
                <w:rFonts w:ascii="Arial" w:cs="Arial" w:eastAsia="Arial" w:hAnsi="Arial"/>
                <w:sz w:val="18"/>
                <w:szCs w:val="18"/>
                <w:b w:val="1"/>
                <w:bCs w:val="1"/>
                <w:i w:val="1"/>
                <w:iCs w:val="1"/>
                <w:color w:val="auto"/>
                <w:w w:val="96"/>
              </w:rPr>
              <w:t>ARTICLE 9</w:t>
            </w: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900" w:type="dxa"/>
            <w:vAlign w:val="bottom"/>
            <w:gridSpan w:val="4"/>
            <w:vMerge w:val="continue"/>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gridSpan w:val="12"/>
          </w:tcPr>
          <w:p>
            <w:pPr>
              <w:jc w:val="center"/>
              <w:ind w:right="2900"/>
              <w:spacing w:after="0"/>
              <w:rPr>
                <w:sz w:val="20"/>
                <w:szCs w:val="20"/>
                <w:color w:val="auto"/>
              </w:rPr>
            </w:pPr>
            <w:r>
              <w:rPr>
                <w:rFonts w:ascii="Arial" w:cs="Arial" w:eastAsia="Arial" w:hAnsi="Arial"/>
                <w:sz w:val="18"/>
                <w:szCs w:val="18"/>
                <w:b w:val="1"/>
                <w:bCs w:val="1"/>
                <w:i w:val="1"/>
                <w:iCs w:val="1"/>
                <w:color w:val="auto"/>
                <w:w w:val="87"/>
              </w:rPr>
              <w:t>The Administrative Agent and the Collateral Agent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tcPr>
          <w:p>
            <w:pPr>
              <w:jc w:val="center"/>
              <w:ind w:right="3980"/>
              <w:spacing w:after="0"/>
              <w:rPr>
                <w:sz w:val="20"/>
                <w:szCs w:val="20"/>
                <w:color w:val="auto"/>
              </w:rPr>
            </w:pPr>
            <w:r>
              <w:rPr>
                <w:rFonts w:ascii="Arial" w:cs="Arial" w:eastAsia="Arial" w:hAnsi="Arial"/>
                <w:sz w:val="18"/>
                <w:szCs w:val="18"/>
                <w:b w:val="1"/>
                <w:bCs w:val="1"/>
                <w:i w:val="1"/>
                <w:iCs w:val="1"/>
                <w:color w:val="auto"/>
                <w:w w:val="97"/>
              </w:rPr>
              <w:t>ARTICLE 10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4"/>
          </w:tcPr>
          <w:p>
            <w:pPr>
              <w:jc w:val="center"/>
              <w:ind w:right="3980"/>
              <w:spacing w:after="0"/>
              <w:rPr>
                <w:sz w:val="20"/>
                <w:szCs w:val="20"/>
                <w:color w:val="auto"/>
              </w:rPr>
            </w:pPr>
            <w:r>
              <w:rPr>
                <w:rFonts w:ascii="Arial" w:cs="Arial" w:eastAsia="Arial" w:hAnsi="Arial"/>
                <w:sz w:val="18"/>
                <w:szCs w:val="18"/>
                <w:b w:val="1"/>
                <w:bCs w:val="1"/>
                <w:i w:val="1"/>
                <w:iCs w:val="1"/>
                <w:color w:val="auto"/>
                <w:w w:val="87"/>
              </w:rPr>
              <w:t>Miscellaneous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gridSpan w:val="8"/>
          </w:tcPr>
          <w:p>
            <w:pPr>
              <w:spacing w:after="0" w:line="190" w:lineRule="exact"/>
              <w:rPr>
                <w:sz w:val="20"/>
                <w:szCs w:val="20"/>
                <w:color w:val="auto"/>
              </w:rPr>
            </w:pPr>
            <w:r>
              <w:rPr>
                <w:rFonts w:ascii="Arial" w:cs="Arial" w:eastAsia="Arial" w:hAnsi="Arial"/>
                <w:sz w:val="18"/>
                <w:szCs w:val="18"/>
                <w:i w:val="1"/>
                <w:iCs w:val="1"/>
                <w:color w:val="auto"/>
              </w:rPr>
              <w:t>Section 10.01</w:t>
            </w:r>
            <w:r>
              <w:rPr>
                <w:rFonts w:ascii="Arial" w:cs="Arial" w:eastAsia="Arial" w:hAnsi="Arial"/>
                <w:sz w:val="18"/>
                <w:szCs w:val="18"/>
                <w:i w:val="1"/>
                <w:iCs w:val="1"/>
                <w:color w:val="FF0000"/>
                <w:strike w:val="1"/>
              </w:rPr>
              <w:t>.</w:t>
            </w:r>
          </w:p>
        </w:tc>
        <w:tc>
          <w:tcPr>
            <w:tcW w:w="80" w:type="dxa"/>
            <w:vAlign w:val="bottom"/>
          </w:tcPr>
          <w:p>
            <w:pPr>
              <w:spacing w:after="0"/>
              <w:rPr>
                <w:sz w:val="16"/>
                <w:szCs w:val="16"/>
                <w:color w:val="auto"/>
              </w:rPr>
            </w:pPr>
          </w:p>
        </w:tc>
        <w:tc>
          <w:tcPr>
            <w:tcW w:w="9040" w:type="dxa"/>
            <w:vAlign w:val="bottom"/>
            <w:gridSpan w:val="27"/>
          </w:tcPr>
          <w:p>
            <w:pPr>
              <w:spacing w:after="0" w:line="190" w:lineRule="exact"/>
              <w:rPr>
                <w:sz w:val="20"/>
                <w:szCs w:val="20"/>
                <w:color w:val="auto"/>
              </w:rPr>
            </w:pPr>
            <w:r>
              <w:rPr>
                <w:rFonts w:ascii="Arial" w:cs="Arial" w:eastAsia="Arial" w:hAnsi="Arial"/>
                <w:sz w:val="18"/>
                <w:szCs w:val="18"/>
                <w:i w:val="1"/>
                <w:iCs w:val="1"/>
                <w:color w:val="auto"/>
              </w:rPr>
              <w:t>Notices; Electronic Communications</w:t>
            </w: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i w:val="1"/>
                <w:iCs w:val="1"/>
                <w:color w:val="FF0000"/>
                <w:strike w:val="1"/>
                <w:w w:val="79"/>
              </w:rPr>
              <w:t>133</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i w:val="1"/>
                <w:iCs w:val="1"/>
                <w:color w:val="0000FF"/>
                <w:w w:val="79"/>
              </w:rPr>
              <w:t>163</w:t>
            </w: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10.02</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Survival of Agreement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137</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10.03</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Binding Effect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137</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10.04</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Successors and Assigns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137</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gridSpan w:val="8"/>
            <w:vMerge w:val="restart"/>
          </w:tcPr>
          <w:p>
            <w:pPr>
              <w:spacing w:after="0" w:line="196" w:lineRule="exact"/>
              <w:rPr>
                <w:sz w:val="20"/>
                <w:szCs w:val="20"/>
                <w:color w:val="auto"/>
              </w:rPr>
            </w:pPr>
            <w:r>
              <w:rPr>
                <w:rFonts w:ascii="Arial" w:cs="Arial" w:eastAsia="Arial" w:hAnsi="Arial"/>
                <w:sz w:val="18"/>
                <w:szCs w:val="18"/>
                <w:i w:val="1"/>
                <w:iCs w:val="1"/>
                <w:color w:val="auto"/>
              </w:rPr>
              <w:t>Section 10.05</w:t>
            </w:r>
            <w:r>
              <w:rPr>
                <w:rFonts w:ascii="Arial" w:cs="Arial" w:eastAsia="Arial" w:hAnsi="Arial"/>
                <w:sz w:val="18"/>
                <w:szCs w:val="18"/>
                <w:i w:val="1"/>
                <w:iCs w:val="1"/>
                <w:color w:val="FF0000"/>
                <w:strike w:val="1"/>
              </w:rPr>
              <w:t>.</w:t>
            </w:r>
          </w:p>
        </w:tc>
        <w:tc>
          <w:tcPr>
            <w:tcW w:w="80" w:type="dxa"/>
            <w:vAlign w:val="bottom"/>
          </w:tcPr>
          <w:p>
            <w:pPr>
              <w:spacing w:after="0"/>
              <w:rPr>
                <w:sz w:val="2"/>
                <w:szCs w:val="2"/>
                <w:color w:val="auto"/>
              </w:rPr>
            </w:pPr>
          </w:p>
        </w:tc>
        <w:tc>
          <w:tcPr>
            <w:tcW w:w="9040" w:type="dxa"/>
            <w:vAlign w:val="bottom"/>
            <w:gridSpan w:val="27"/>
            <w:vMerge w:val="restart"/>
          </w:tcPr>
          <w:p>
            <w:pPr>
              <w:spacing w:after="0" w:line="196" w:lineRule="exact"/>
              <w:rPr>
                <w:sz w:val="20"/>
                <w:szCs w:val="20"/>
                <w:color w:val="auto"/>
              </w:rPr>
            </w:pPr>
            <w:r>
              <w:rPr>
                <w:rFonts w:ascii="Arial" w:cs="Arial" w:eastAsia="Arial" w:hAnsi="Arial"/>
                <w:sz w:val="18"/>
                <w:szCs w:val="18"/>
                <w:i w:val="1"/>
                <w:iCs w:val="1"/>
                <w:color w:val="auto"/>
              </w:rPr>
              <w:t>Expenses; Indemnity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79"/>
              </w:rPr>
              <w:t>142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40" w:type="dxa"/>
            <w:vAlign w:val="bottom"/>
            <w:gridSpan w:val="2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9"/>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56" w:right="4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i w:val="1"/>
                <w:iCs w:val="1"/>
                <w:color w:val="auto"/>
                <w:w w:val="99"/>
              </w:rPr>
              <w:t>Section 10.06</w:t>
            </w:r>
            <w:r>
              <w:rPr>
                <w:rFonts w:ascii="Arial" w:cs="Arial" w:eastAsia="Arial" w:hAnsi="Arial"/>
                <w:sz w:val="18"/>
                <w:szCs w:val="18"/>
                <w:i w:val="1"/>
                <w:iCs w:val="1"/>
                <w:color w:val="FF0000"/>
                <w:strike w:val="1"/>
                <w:w w:val="99"/>
              </w:rPr>
              <w:t>.</w:t>
            </w:r>
          </w:p>
        </w:tc>
        <w:tc>
          <w:tcPr>
            <w:tcW w:w="9240" w:type="dxa"/>
            <w:vAlign w:val="bottom"/>
            <w:gridSpan w:val="31"/>
          </w:tcPr>
          <w:p>
            <w:pPr>
              <w:ind w:left="140"/>
              <w:spacing w:after="0"/>
              <w:rPr>
                <w:sz w:val="20"/>
                <w:szCs w:val="20"/>
                <w:color w:val="auto"/>
              </w:rPr>
            </w:pPr>
            <w:r>
              <w:rPr>
                <w:rFonts w:ascii="Arial" w:cs="Arial" w:eastAsia="Arial" w:hAnsi="Arial"/>
                <w:sz w:val="18"/>
                <w:szCs w:val="18"/>
                <w:i w:val="1"/>
                <w:iCs w:val="1"/>
                <w:color w:val="auto"/>
              </w:rPr>
              <w:t>Right of Setoff</w:t>
            </w:r>
          </w:p>
        </w:tc>
        <w:tc>
          <w:tcPr>
            <w:tcW w:w="300" w:type="dxa"/>
            <w:vAlign w:val="bottom"/>
            <w:gridSpan w:val="2"/>
          </w:tcPr>
          <w:p>
            <w:pPr>
              <w:jc w:val="right"/>
              <w:spacing w:after="0"/>
              <w:rPr>
                <w:sz w:val="20"/>
                <w:szCs w:val="20"/>
                <w:color w:val="auto"/>
              </w:rPr>
            </w:pPr>
            <w:r>
              <w:rPr>
                <w:rFonts w:ascii="Arial" w:cs="Arial" w:eastAsia="Arial" w:hAnsi="Arial"/>
                <w:sz w:val="18"/>
                <w:szCs w:val="18"/>
                <w:i w:val="1"/>
                <w:iCs w:val="1"/>
                <w:color w:val="FF0000"/>
                <w:strike w:val="1"/>
                <w:w w:val="86"/>
              </w:rPr>
              <w:t>145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0000FF"/>
                <w:w w:val="73"/>
              </w:rPr>
              <w:t>174</w:t>
            </w: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10.07</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Applicable Law</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145</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10.08</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Waivers; Amendment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10.09</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Interest Rate Limitation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10.10</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Entire Agreement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10.11</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WAIVER OF JURY TRIAL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10.12</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Severability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10.13</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Counterparts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10.14</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Headings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10.15</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Jurisdiction; Consent to Service of Process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149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10.16</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Confidentiality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7"/>
              </w:rPr>
              <w:t>Section 10.17</w:t>
            </w:r>
          </w:p>
        </w:tc>
        <w:tc>
          <w:tcPr>
            <w:tcW w:w="110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FF0000"/>
                <w:strike w:val="1"/>
                <w:w w:val="89"/>
              </w:rPr>
              <w:t>. Lender Action</w:t>
            </w:r>
          </w:p>
        </w:tc>
        <w:tc>
          <w:tcPr>
            <w:tcW w:w="40" w:type="dxa"/>
            <w:vAlign w:val="bottom"/>
            <w:vMerge w:val="restart"/>
          </w:tcPr>
          <w:p>
            <w:pPr>
              <w:spacing w:after="0"/>
              <w:rPr>
                <w:sz w:val="2"/>
                <w:szCs w:val="2"/>
                <w:color w:val="auto"/>
              </w:rPr>
            </w:pPr>
          </w:p>
        </w:tc>
        <w:tc>
          <w:tcPr>
            <w:tcW w:w="8280" w:type="dxa"/>
            <w:vAlign w:val="bottom"/>
            <w:gridSpan w:val="28"/>
            <w:vMerge w:val="restart"/>
          </w:tcPr>
          <w:p>
            <w:pPr>
              <w:ind w:left="20"/>
              <w:spacing w:after="0" w:line="196" w:lineRule="exact"/>
              <w:rPr>
                <w:sz w:val="20"/>
                <w:szCs w:val="20"/>
                <w:color w:val="auto"/>
              </w:rPr>
            </w:pPr>
            <w:r>
              <w:rPr>
                <w:rFonts w:ascii="Arial" w:cs="Arial" w:eastAsia="Arial" w:hAnsi="Arial"/>
                <w:sz w:val="18"/>
                <w:szCs w:val="18"/>
                <w:i w:val="1"/>
                <w:iCs w:val="1"/>
                <w:color w:val="0000FF"/>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280" w:type="dxa"/>
            <w:vAlign w:val="bottom"/>
            <w:gridSpan w:val="28"/>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82"/>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10.18</w:t>
            </w:r>
            <w:r>
              <w:rPr>
                <w:rFonts w:ascii="Arial" w:cs="Arial" w:eastAsia="Arial" w:hAnsi="Arial"/>
                <w:sz w:val="18"/>
                <w:szCs w:val="18"/>
                <w:i w:val="1"/>
                <w:iCs w:val="1"/>
                <w:color w:val="FF0000"/>
                <w:strike w:val="1"/>
                <w:w w:val="99"/>
              </w:rPr>
              <w:t>.</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tcPr>
          <w:p>
            <w:pPr>
              <w:ind w:left="140"/>
              <w:spacing w:after="0" w:line="142" w:lineRule="exact"/>
              <w:rPr>
                <w:sz w:val="20"/>
                <w:szCs w:val="20"/>
                <w:color w:val="auto"/>
              </w:rPr>
            </w:pPr>
            <w:r>
              <w:rPr>
                <w:rFonts w:ascii="Arial" w:cs="Arial" w:eastAsia="Arial" w:hAnsi="Arial"/>
                <w:sz w:val="16"/>
                <w:szCs w:val="16"/>
                <w:i w:val="1"/>
                <w:iCs w:val="1"/>
                <w:color w:val="auto"/>
              </w:rPr>
              <w:t>USA PATRIOT Act Notice</w:t>
            </w:r>
          </w:p>
        </w:tc>
        <w:tc>
          <w:tcPr>
            <w:tcW w:w="30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FF0000"/>
                <w:strike w:val="1"/>
                <w:w w:val="97"/>
              </w:rPr>
              <w:t>151</w:t>
            </w:r>
          </w:p>
        </w:tc>
        <w:tc>
          <w:tcPr>
            <w:tcW w:w="260" w:type="dxa"/>
            <w:vAlign w:val="bottom"/>
            <w:gridSpan w:val="2"/>
          </w:tcPr>
          <w:p>
            <w:pPr>
              <w:jc w:val="right"/>
              <w:ind w:right="20"/>
              <w:spacing w:after="0" w:line="142" w:lineRule="exact"/>
              <w:rPr>
                <w:sz w:val="20"/>
                <w:szCs w:val="20"/>
                <w:color w:val="auto"/>
              </w:rPr>
            </w:pPr>
            <w:r>
              <w:rPr>
                <w:rFonts w:ascii="Arial" w:cs="Arial" w:eastAsia="Arial" w:hAnsi="Arial"/>
                <w:sz w:val="16"/>
                <w:szCs w:val="16"/>
                <w:i w:val="1"/>
                <w:iCs w:val="1"/>
                <w:color w:val="0000FF"/>
                <w:w w:val="82"/>
              </w:rPr>
              <w:t>179</w:t>
            </w: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10.19</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Collateral And Guaranty Matters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151</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10.20</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Limitation on Liability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10.21</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Payments Set Aside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10.22</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No Advisory or Fiduciary Responsibility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auto"/>
                <w:w w:val="87"/>
              </w:rPr>
              <w:t>Section 10.23</w:t>
            </w:r>
          </w:p>
        </w:tc>
        <w:tc>
          <w:tcPr>
            <w:tcW w:w="1940" w:type="dxa"/>
            <w:vAlign w:val="bottom"/>
            <w:gridSpan w:val="13"/>
            <w:vMerge w:val="restart"/>
          </w:tcPr>
          <w:p>
            <w:pPr>
              <w:spacing w:after="0" w:line="196" w:lineRule="exact"/>
              <w:rPr>
                <w:sz w:val="20"/>
                <w:szCs w:val="20"/>
                <w:color w:val="auto"/>
              </w:rPr>
            </w:pPr>
            <w:r>
              <w:rPr>
                <w:rFonts w:ascii="Arial" w:cs="Arial" w:eastAsia="Arial" w:hAnsi="Arial"/>
                <w:sz w:val="18"/>
                <w:szCs w:val="18"/>
                <w:i w:val="1"/>
                <w:iCs w:val="1"/>
                <w:color w:val="FF0000"/>
                <w:strike w:val="1"/>
                <w:w w:val="92"/>
              </w:rPr>
              <w:t>. Intercreditor Agreements</w:t>
            </w:r>
          </w:p>
        </w:tc>
        <w:tc>
          <w:tcPr>
            <w:tcW w:w="560" w:type="dxa"/>
            <w:vAlign w:val="bottom"/>
            <w:gridSpan w:val="3"/>
            <w:vMerge w:val="restart"/>
          </w:tcPr>
          <w:p>
            <w:pPr>
              <w:spacing w:after="0" w:line="196" w:lineRule="exact"/>
              <w:rPr>
                <w:sz w:val="20"/>
                <w:szCs w:val="20"/>
                <w:color w:val="auto"/>
              </w:rPr>
            </w:pPr>
            <w:r>
              <w:rPr>
                <w:rFonts w:ascii="Arial" w:cs="Arial" w:eastAsia="Arial" w:hAnsi="Arial"/>
                <w:sz w:val="18"/>
                <w:szCs w:val="18"/>
                <w:i w:val="1"/>
                <w:iCs w:val="1"/>
                <w:color w:val="0000FF"/>
                <w:w w:val="81"/>
              </w:rPr>
              <w:t>Release</w:t>
            </w:r>
          </w:p>
        </w:tc>
        <w:tc>
          <w:tcPr>
            <w:tcW w:w="6920" w:type="dxa"/>
            <w:vAlign w:val="bottom"/>
            <w:gridSpan w:val="16"/>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940" w:type="dxa"/>
            <w:vAlign w:val="bottom"/>
            <w:gridSpan w:val="13"/>
            <w:vMerge w:val="continue"/>
          </w:tcPr>
          <w:p>
            <w:pPr>
              <w:spacing w:after="0"/>
              <w:rPr>
                <w:sz w:val="12"/>
                <w:szCs w:val="12"/>
                <w:color w:val="auto"/>
              </w:rPr>
            </w:pPr>
          </w:p>
        </w:tc>
        <w:tc>
          <w:tcPr>
            <w:tcW w:w="560" w:type="dxa"/>
            <w:vAlign w:val="bottom"/>
            <w:tcBorders>
              <w:bottom w:val="single" w:sz="8" w:color="0000FF"/>
            </w:tcBorders>
            <w:gridSpan w:val="3"/>
            <w:vMerge w:val="continue"/>
          </w:tcPr>
          <w:p>
            <w:pPr>
              <w:spacing w:after="0"/>
              <w:rPr>
                <w:sz w:val="12"/>
                <w:szCs w:val="12"/>
                <w:color w:val="auto"/>
              </w:rPr>
            </w:pPr>
          </w:p>
        </w:tc>
        <w:tc>
          <w:tcPr>
            <w:tcW w:w="6920" w:type="dxa"/>
            <w:vAlign w:val="bottom"/>
            <w:gridSpan w:val="1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line="196" w:lineRule="exact"/>
              <w:rPr>
                <w:sz w:val="20"/>
                <w:szCs w:val="20"/>
                <w:color w:val="auto"/>
              </w:rPr>
            </w:pPr>
            <w:r>
              <w:rPr>
                <w:rFonts w:ascii="Arial" w:cs="Arial" w:eastAsia="Arial" w:hAnsi="Arial"/>
                <w:sz w:val="18"/>
                <w:szCs w:val="18"/>
                <w:i w:val="1"/>
                <w:iCs w:val="1"/>
                <w:color w:val="0000FF"/>
                <w:w w:val="87"/>
              </w:rPr>
              <w:t>Section 10.24</w:t>
            </w: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620" w:type="dxa"/>
            <w:vAlign w:val="bottom"/>
            <w:gridSpan w:val="11"/>
            <w:vMerge w:val="restart"/>
          </w:tcPr>
          <w:p>
            <w:pPr>
              <w:spacing w:after="0" w:line="196" w:lineRule="exact"/>
              <w:rPr>
                <w:sz w:val="20"/>
                <w:szCs w:val="20"/>
                <w:color w:val="auto"/>
              </w:rPr>
            </w:pPr>
            <w:r>
              <w:rPr>
                <w:rFonts w:ascii="Arial" w:cs="Arial" w:eastAsia="Arial" w:hAnsi="Arial"/>
                <w:sz w:val="18"/>
                <w:szCs w:val="18"/>
                <w:i w:val="1"/>
                <w:iCs w:val="1"/>
                <w:color w:val="0000FF"/>
              </w:rPr>
              <w:t>Process Agent</w:t>
            </w:r>
          </w:p>
        </w:tc>
        <w:tc>
          <w:tcPr>
            <w:tcW w:w="20" w:type="dxa"/>
            <w:vAlign w:val="bottom"/>
            <w:tcBorders>
              <w:bottom w:val="single" w:sz="8" w:color="0000FF"/>
            </w:tcBorders>
          </w:tcPr>
          <w:p>
            <w:pPr>
              <w:spacing w:after="0"/>
              <w:rPr>
                <w:sz w:val="2"/>
                <w:szCs w:val="2"/>
                <w:color w:val="auto"/>
              </w:rPr>
            </w:pPr>
          </w:p>
        </w:tc>
        <w:tc>
          <w:tcPr>
            <w:tcW w:w="4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60" w:type="dxa"/>
            <w:vAlign w:val="bottom"/>
            <w:tcBorders>
              <w:bottom w:val="single" w:sz="8" w:color="0000FF"/>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620" w:type="dxa"/>
            <w:vAlign w:val="bottom"/>
            <w:gridSpan w:val="11"/>
            <w:vMerge w:val="continue"/>
          </w:tcPr>
          <w:p>
            <w:pPr>
              <w:spacing w:after="0"/>
              <w:rPr>
                <w:sz w:val="12"/>
                <w:szCs w:val="12"/>
                <w:color w:val="auto"/>
              </w:rPr>
            </w:pPr>
          </w:p>
        </w:tc>
        <w:tc>
          <w:tcPr>
            <w:tcW w:w="4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02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10.25</w:t>
            </w: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20" w:type="dxa"/>
            <w:vAlign w:val="bottom"/>
            <w:gridSpan w:val="9"/>
          </w:tcPr>
          <w:p>
            <w:pPr>
              <w:spacing w:after="0" w:line="142" w:lineRule="exact"/>
              <w:rPr>
                <w:sz w:val="20"/>
                <w:szCs w:val="20"/>
                <w:color w:val="auto"/>
              </w:rPr>
            </w:pPr>
            <w:r>
              <w:rPr>
                <w:rFonts w:ascii="Arial" w:cs="Arial" w:eastAsia="Arial" w:hAnsi="Arial"/>
                <w:sz w:val="16"/>
                <w:szCs w:val="16"/>
                <w:i w:val="1"/>
                <w:iCs w:val="1"/>
                <w:color w:val="0000FF"/>
              </w:rPr>
              <w:t>Waiver of Immunity</w:t>
            </w:r>
          </w:p>
        </w:tc>
        <w:tc>
          <w:tcPr>
            <w:tcW w:w="7680" w:type="dxa"/>
            <w:vAlign w:val="bottom"/>
            <w:gridSpan w:val="21"/>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180" w:type="dxa"/>
            <w:vAlign w:val="bottom"/>
            <w:tcBorders>
              <w:top w:val="single" w:sz="8" w:color="0000FF"/>
              <w:bottom w:val="single" w:sz="8" w:color="0000FF"/>
            </w:tcBorders>
            <w:gridSpan w:val="6"/>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10.26</w:t>
            </w: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380" w:type="dxa"/>
            <w:vAlign w:val="bottom"/>
            <w:gridSpan w:val="29"/>
          </w:tcPr>
          <w:p>
            <w:pPr>
              <w:spacing w:after="0" w:line="142" w:lineRule="exact"/>
              <w:rPr>
                <w:sz w:val="20"/>
                <w:szCs w:val="20"/>
                <w:color w:val="auto"/>
              </w:rPr>
            </w:pPr>
            <w:r>
              <w:rPr>
                <w:rFonts w:ascii="Arial" w:cs="Arial" w:eastAsia="Arial" w:hAnsi="Arial"/>
                <w:sz w:val="16"/>
                <w:szCs w:val="16"/>
                <w:i w:val="1"/>
                <w:iCs w:val="1"/>
                <w:color w:val="0000FF"/>
              </w:rPr>
              <w:t>DIP Order, Prepetition ABL Intercreditor Agreement and Senior ICA Provisions Control</w:t>
            </w:r>
          </w:p>
        </w:tc>
        <w:tc>
          <w:tcPr>
            <w:tcW w:w="27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180" w:type="dxa"/>
            <w:vAlign w:val="bottom"/>
            <w:tcBorders>
              <w:top w:val="single" w:sz="8" w:color="0000FF"/>
              <w:bottom w:val="single" w:sz="8" w:color="0000FF"/>
            </w:tcBorders>
            <w:gridSpan w:val="6"/>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gridSpan w:val="2"/>
          </w:tcPr>
          <w:p>
            <w:pPr>
              <w:spacing w:after="0"/>
              <w:rPr>
                <w:sz w:val="2"/>
                <w:szCs w:val="2"/>
                <w:color w:val="auto"/>
              </w:rPr>
            </w:pPr>
          </w:p>
        </w:tc>
        <w:tc>
          <w:tcPr>
            <w:tcW w:w="580" w:type="dxa"/>
            <w:vAlign w:val="bottom"/>
            <w:tcBorders>
              <w:top w:val="single" w:sz="8" w:color="0000FF"/>
              <w:bottom w:val="single" w:sz="8" w:color="0000FF"/>
            </w:tcBorders>
            <w:gridSpan w:val="3"/>
          </w:tcPr>
          <w:p>
            <w:pPr>
              <w:spacing w:after="0"/>
              <w:rPr>
                <w:sz w:val="2"/>
                <w:szCs w:val="2"/>
                <w:color w:val="auto"/>
              </w:rPr>
            </w:pPr>
          </w:p>
        </w:tc>
        <w:tc>
          <w:tcPr>
            <w:tcW w:w="70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10.27</w:t>
            </w: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360" w:type="dxa"/>
            <w:vAlign w:val="bottom"/>
            <w:gridSpan w:val="28"/>
          </w:tcPr>
          <w:p>
            <w:pPr>
              <w:spacing w:after="0" w:line="142" w:lineRule="exact"/>
              <w:rPr>
                <w:sz w:val="20"/>
                <w:szCs w:val="20"/>
                <w:color w:val="auto"/>
              </w:rPr>
            </w:pPr>
            <w:r>
              <w:rPr>
                <w:rFonts w:ascii="Arial" w:cs="Arial" w:eastAsia="Arial" w:hAnsi="Arial"/>
                <w:sz w:val="16"/>
                <w:szCs w:val="16"/>
                <w:i w:val="1"/>
                <w:iCs w:val="1"/>
                <w:color w:val="0000FF"/>
              </w:rPr>
              <w:t>Québec Security</w:t>
            </w:r>
          </w:p>
        </w:tc>
        <w:tc>
          <w:tcPr>
            <w:tcW w:w="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20" w:type="dxa"/>
            <w:vAlign w:val="bottom"/>
            <w:gridSpan w:val="9"/>
            <w:vMerge w:val="restart"/>
          </w:tcPr>
          <w:p>
            <w:pPr>
              <w:jc w:val="center"/>
              <w:ind w:right="4440"/>
              <w:spacing w:after="0"/>
              <w:rPr>
                <w:sz w:val="20"/>
                <w:szCs w:val="20"/>
                <w:color w:val="auto"/>
              </w:rPr>
            </w:pPr>
            <w:r>
              <w:rPr>
                <w:rFonts w:ascii="Arial" w:cs="Arial" w:eastAsia="Arial" w:hAnsi="Arial"/>
                <w:sz w:val="18"/>
                <w:szCs w:val="18"/>
                <w:b w:val="1"/>
                <w:bCs w:val="1"/>
                <w:i w:val="1"/>
                <w:iCs w:val="1"/>
                <w:color w:val="auto"/>
                <w:w w:val="95"/>
              </w:rPr>
              <w:t>ARTICLE 11</w:t>
            </w: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20" w:type="dxa"/>
            <w:vAlign w:val="bottom"/>
            <w:gridSpan w:val="9"/>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20" w:type="dxa"/>
            <w:vAlign w:val="bottom"/>
            <w:gridSpan w:val="9"/>
          </w:tcPr>
          <w:p>
            <w:pPr>
              <w:jc w:val="center"/>
              <w:ind w:right="4440"/>
              <w:spacing w:after="0"/>
              <w:rPr>
                <w:sz w:val="20"/>
                <w:szCs w:val="20"/>
                <w:color w:val="auto"/>
              </w:rPr>
            </w:pPr>
            <w:r>
              <w:rPr>
                <w:rFonts w:ascii="Arial" w:cs="Arial" w:eastAsia="Arial" w:hAnsi="Arial"/>
                <w:sz w:val="18"/>
                <w:szCs w:val="18"/>
                <w:b w:val="1"/>
                <w:bCs w:val="1"/>
                <w:i w:val="1"/>
                <w:iCs w:val="1"/>
                <w:color w:val="auto"/>
                <w:w w:val="87"/>
              </w:rPr>
              <w:t>Guarantee</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9"/>
              </w:rPr>
              <w:t>Section 11.01</w:t>
            </w:r>
            <w:r>
              <w:rPr>
                <w:rFonts w:ascii="Arial" w:cs="Arial" w:eastAsia="Arial" w:hAnsi="Arial"/>
                <w:sz w:val="18"/>
                <w:szCs w:val="18"/>
                <w:i w:val="1"/>
                <w:iCs w:val="1"/>
                <w:color w:val="FF0000"/>
                <w:strike w:val="1"/>
                <w:w w:val="99"/>
              </w:rPr>
              <w:t>.</w:t>
            </w:r>
          </w:p>
        </w:tc>
        <w:tc>
          <w:tcPr>
            <w:tcW w:w="9240" w:type="dxa"/>
            <w:vAlign w:val="bottom"/>
            <w:gridSpan w:val="31"/>
          </w:tcPr>
          <w:p>
            <w:pPr>
              <w:ind w:left="140"/>
              <w:spacing w:after="0" w:line="190" w:lineRule="exact"/>
              <w:rPr>
                <w:sz w:val="20"/>
                <w:szCs w:val="20"/>
                <w:color w:val="auto"/>
              </w:rPr>
            </w:pPr>
            <w:r>
              <w:rPr>
                <w:rFonts w:ascii="Arial" w:cs="Arial" w:eastAsia="Arial" w:hAnsi="Arial"/>
                <w:sz w:val="18"/>
                <w:szCs w:val="18"/>
                <w:i w:val="1"/>
                <w:iCs w:val="1"/>
                <w:color w:val="auto"/>
              </w:rPr>
              <w:t>The Guarantee</w:t>
            </w:r>
          </w:p>
        </w:tc>
        <w:tc>
          <w:tcPr>
            <w:tcW w:w="300" w:type="dxa"/>
            <w:vAlign w:val="bottom"/>
            <w:gridSpan w:val="2"/>
          </w:tcPr>
          <w:p>
            <w:pPr>
              <w:jc w:val="right"/>
              <w:spacing w:after="0" w:line="190" w:lineRule="exact"/>
              <w:rPr>
                <w:sz w:val="20"/>
                <w:szCs w:val="20"/>
                <w:color w:val="auto"/>
              </w:rPr>
            </w:pPr>
            <w:r>
              <w:rPr>
                <w:rFonts w:ascii="Arial" w:cs="Arial" w:eastAsia="Arial" w:hAnsi="Arial"/>
                <w:sz w:val="18"/>
                <w:szCs w:val="18"/>
                <w:i w:val="1"/>
                <w:iCs w:val="1"/>
                <w:color w:val="FF0000"/>
                <w:strike w:val="1"/>
                <w:w w:val="86"/>
              </w:rPr>
              <w:t>155</w:t>
            </w:r>
          </w:p>
        </w:tc>
        <w:tc>
          <w:tcPr>
            <w:tcW w:w="260" w:type="dxa"/>
            <w:vAlign w:val="bottom"/>
            <w:gridSpan w:val="2"/>
          </w:tcPr>
          <w:p>
            <w:pPr>
              <w:jc w:val="right"/>
              <w:ind w:right="20"/>
              <w:spacing w:after="0" w:line="190" w:lineRule="exact"/>
              <w:rPr>
                <w:sz w:val="20"/>
                <w:szCs w:val="20"/>
                <w:color w:val="auto"/>
              </w:rPr>
            </w:pPr>
            <w:r>
              <w:rPr>
                <w:rFonts w:ascii="Arial" w:cs="Arial" w:eastAsia="Arial" w:hAnsi="Arial"/>
                <w:sz w:val="18"/>
                <w:szCs w:val="18"/>
                <w:i w:val="1"/>
                <w:iCs w:val="1"/>
                <w:color w:val="0000FF"/>
                <w:w w:val="73"/>
              </w:rPr>
              <w:t>184</w:t>
            </w: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11.02</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Obligations Unconditional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155</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11.03</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Certain Waivers</w:t>
            </w:r>
            <w:r>
              <w:rPr>
                <w:rFonts w:ascii="Arial" w:cs="Arial" w:eastAsia="Arial" w:hAnsi="Arial"/>
                <w:sz w:val="18"/>
                <w:szCs w:val="18"/>
                <w:i w:val="1"/>
                <w:iCs w:val="1"/>
                <w:color w:val="0000FF"/>
              </w:rPr>
              <w:t>.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82"/>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11.04</w:t>
            </w:r>
            <w:r>
              <w:rPr>
                <w:rFonts w:ascii="Arial" w:cs="Arial" w:eastAsia="Arial" w:hAnsi="Arial"/>
                <w:sz w:val="18"/>
                <w:szCs w:val="18"/>
                <w:i w:val="1"/>
                <w:iCs w:val="1"/>
                <w:color w:val="FF0000"/>
                <w:strike w:val="1"/>
                <w:w w:val="99"/>
              </w:rPr>
              <w:t>.</w:t>
            </w:r>
          </w:p>
        </w:tc>
        <w:tc>
          <w:tcPr>
            <w:tcW w:w="1320" w:type="dxa"/>
            <w:vAlign w:val="bottom"/>
            <w:gridSpan w:val="7"/>
            <w:vMerge w:val="restart"/>
          </w:tcPr>
          <w:p>
            <w:pPr>
              <w:ind w:left="140"/>
              <w:spacing w:after="0" w:line="196" w:lineRule="exact"/>
              <w:rPr>
                <w:sz w:val="20"/>
                <w:szCs w:val="20"/>
                <w:color w:val="auto"/>
              </w:rPr>
            </w:pPr>
            <w:r>
              <w:rPr>
                <w:rFonts w:ascii="Arial" w:cs="Arial" w:eastAsia="Arial" w:hAnsi="Arial"/>
                <w:sz w:val="18"/>
                <w:szCs w:val="18"/>
                <w:i w:val="1"/>
                <w:iCs w:val="1"/>
                <w:color w:val="auto"/>
                <w:w w:val="99"/>
              </w:rPr>
              <w:t>Reinstatement</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580" w:type="dxa"/>
            <w:vAlign w:val="bottom"/>
            <w:gridSpan w:val="3"/>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580" w:type="dxa"/>
            <w:vAlign w:val="bottom"/>
            <w:gridSpan w:val="3"/>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156</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1320" w:type="dxa"/>
            <w:vAlign w:val="bottom"/>
            <w:gridSpan w:val="7"/>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11.05</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Subrogation; Subordination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11.06</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Remedies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11.07</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Instrument for the Payment of Money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11.08</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Continuing Guarantee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11.09</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General Limitation on Guarantee Obligations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11.10</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Release of Guarantors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11.11</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Right of Contribution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i w:val="1"/>
                <w:iCs w:val="1"/>
                <w:color w:val="auto"/>
                <w:w w:val="99"/>
              </w:rPr>
              <w:t>Section 11.12</w:t>
            </w:r>
            <w:r>
              <w:rPr>
                <w:rFonts w:ascii="Arial" w:cs="Arial" w:eastAsia="Arial" w:hAnsi="Arial"/>
                <w:sz w:val="18"/>
                <w:szCs w:val="18"/>
                <w:i w:val="1"/>
                <w:iCs w:val="1"/>
                <w:color w:val="FF0000"/>
                <w:strike w:val="1"/>
                <w:w w:val="99"/>
              </w:rPr>
              <w:t>.</w:t>
            </w:r>
          </w:p>
        </w:tc>
        <w:tc>
          <w:tcPr>
            <w:tcW w:w="9240" w:type="dxa"/>
            <w:vAlign w:val="bottom"/>
            <w:gridSpan w:val="31"/>
            <w:vMerge w:val="restart"/>
          </w:tcPr>
          <w:p>
            <w:pPr>
              <w:ind w:left="140"/>
              <w:spacing w:after="0" w:line="196" w:lineRule="exact"/>
              <w:rPr>
                <w:sz w:val="20"/>
                <w:szCs w:val="20"/>
                <w:color w:val="auto"/>
              </w:rPr>
            </w:pPr>
            <w:r>
              <w:rPr>
                <w:rFonts w:ascii="Arial" w:cs="Arial" w:eastAsia="Arial" w:hAnsi="Arial"/>
                <w:sz w:val="18"/>
                <w:szCs w:val="18"/>
                <w:i w:val="1"/>
                <w:iCs w:val="1"/>
                <w:color w:val="auto"/>
              </w:rPr>
              <w:t>Additional Guarantor Waivers and Agreements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i w:val="1"/>
                <w:iCs w:val="1"/>
                <w:color w:val="FF0000"/>
                <w:strike w:val="1"/>
                <w:w w:val="86"/>
              </w:rPr>
              <w:t>158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9240" w:type="dxa"/>
            <w:vAlign w:val="bottom"/>
            <w:gridSpan w:val="31"/>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i w:val="1"/>
                <w:iCs w:val="1"/>
                <w:color w:val="0000FF"/>
                <w:w w:val="82"/>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20" w:type="dxa"/>
            <w:vAlign w:val="bottom"/>
            <w:gridSpan w:val="9"/>
            <w:vMerge w:val="restart"/>
          </w:tcPr>
          <w:p>
            <w:pPr>
              <w:jc w:val="center"/>
              <w:ind w:right="4440"/>
              <w:spacing w:after="0"/>
              <w:rPr>
                <w:sz w:val="20"/>
                <w:szCs w:val="20"/>
                <w:color w:val="auto"/>
              </w:rPr>
            </w:pPr>
            <w:r>
              <w:rPr>
                <w:rFonts w:ascii="Arial" w:cs="Arial" w:eastAsia="Arial" w:hAnsi="Arial"/>
                <w:sz w:val="18"/>
                <w:szCs w:val="18"/>
                <w:b w:val="1"/>
                <w:bCs w:val="1"/>
                <w:i w:val="1"/>
                <w:iCs w:val="1"/>
                <w:color w:val="0000FF"/>
                <w:w w:val="95"/>
              </w:rPr>
              <w:t>ARTICLE 12</w:t>
            </w: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20" w:type="dxa"/>
            <w:vAlign w:val="bottom"/>
            <w:gridSpan w:val="9"/>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580" w:type="dxa"/>
            <w:vAlign w:val="bottom"/>
            <w:gridSpan w:val="3"/>
            <w:vMerge w:val="restart"/>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6"/>
                <w:szCs w:val="16"/>
                <w:b w:val="1"/>
                <w:bCs w:val="1"/>
                <w:i w:val="1"/>
                <w:iCs w:val="1"/>
                <w:color w:val="0000FF"/>
                <w:w w:val="91"/>
              </w:rPr>
              <w:t>Reserved</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5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i w:val="1"/>
                <w:iCs w:val="1"/>
                <w:color w:val="0000FF"/>
                <w:w w:val="95"/>
              </w:rPr>
              <w:t>ARTICLE 13</w:t>
            </w:r>
          </w:p>
        </w:tc>
        <w:tc>
          <w:tcPr>
            <w:tcW w:w="44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66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420" w:type="dxa"/>
            <w:vAlign w:val="bottom"/>
            <w:gridSpan w:val="5"/>
            <w:vMerge w:val="restart"/>
          </w:tcPr>
          <w:p>
            <w:pPr>
              <w:ind w:left="260"/>
              <w:spacing w:after="0" w:line="196" w:lineRule="exact"/>
              <w:rPr>
                <w:sz w:val="20"/>
                <w:szCs w:val="20"/>
                <w:color w:val="auto"/>
              </w:rPr>
            </w:pPr>
            <w:r>
              <w:rPr>
                <w:rFonts w:ascii="Arial" w:cs="Arial" w:eastAsia="Arial" w:hAnsi="Arial"/>
                <w:sz w:val="18"/>
                <w:szCs w:val="18"/>
                <w:b w:val="1"/>
                <w:bCs w:val="1"/>
                <w:i w:val="1"/>
                <w:iCs w:val="1"/>
                <w:color w:val="0000FF"/>
              </w:rPr>
              <w:t>Priority</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spacing w:after="0"/>
              <w:rPr>
                <w:sz w:val="20"/>
                <w:szCs w:val="20"/>
                <w:color w:val="auto"/>
              </w:rPr>
            </w:pPr>
            <w:r>
              <w:rPr>
                <w:rFonts w:ascii="Arial" w:cs="Arial" w:eastAsia="Arial" w:hAnsi="Arial"/>
                <w:sz w:val="18"/>
                <w:szCs w:val="18"/>
                <w:i w:val="1"/>
                <w:iCs w:val="1"/>
                <w:color w:val="0000FF"/>
                <w:w w:val="87"/>
              </w:rPr>
              <w:t>Section 13.01</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8"/>
          </w:tcPr>
          <w:p>
            <w:pPr>
              <w:spacing w:after="0" w:line="142" w:lineRule="exact"/>
              <w:rPr>
                <w:sz w:val="20"/>
                <w:szCs w:val="20"/>
                <w:color w:val="auto"/>
              </w:rPr>
            </w:pPr>
            <w:r>
              <w:rPr>
                <w:rFonts w:ascii="Arial" w:cs="Arial" w:eastAsia="Arial" w:hAnsi="Arial"/>
                <w:sz w:val="16"/>
                <w:szCs w:val="16"/>
                <w:b w:val="1"/>
                <w:bCs w:val="1"/>
                <w:i w:val="1"/>
                <w:iCs w:val="1"/>
                <w:color w:val="0000FF"/>
                <w:w w:val="86"/>
              </w:rPr>
              <w:t>Security and Administrative</w:t>
            </w:r>
          </w:p>
        </w:tc>
        <w:tc>
          <w:tcPr>
            <w:tcW w:w="4420" w:type="dxa"/>
            <w:vAlign w:val="bottom"/>
            <w:gridSpan w:val="5"/>
            <w:vMerge w:val="continue"/>
          </w:tcPr>
          <w:p>
            <w:pPr>
              <w:spacing w:after="0"/>
              <w:rPr>
                <w:sz w:val="12"/>
                <w:szCs w:val="12"/>
                <w:color w:val="auto"/>
              </w:rPr>
            </w:pPr>
          </w:p>
        </w:tc>
        <w:tc>
          <w:tcPr>
            <w:tcW w:w="560" w:type="dxa"/>
            <w:vAlign w:val="bottom"/>
            <w:gridSpan w:val="4"/>
            <w:vMerge w:val="restart"/>
          </w:tcPr>
          <w:p>
            <w:pPr>
              <w:jc w:val="right"/>
              <w:ind w:right="20"/>
              <w:spacing w:after="0"/>
              <w:rPr>
                <w:sz w:val="20"/>
                <w:szCs w:val="20"/>
                <w:color w:val="auto"/>
              </w:rPr>
            </w:pPr>
            <w:r>
              <w:rPr>
                <w:rFonts w:ascii="Arial" w:cs="Arial" w:eastAsia="Arial" w:hAnsi="Arial"/>
                <w:sz w:val="18"/>
                <w:szCs w:val="18"/>
                <w:i w:val="1"/>
                <w:iCs w:val="1"/>
                <w:color w:val="0000FF"/>
              </w:rPr>
              <w:t>188</w:t>
            </w:r>
          </w:p>
        </w:tc>
        <w:tc>
          <w:tcPr>
            <w:tcW w:w="0" w:type="dxa"/>
            <w:vAlign w:val="bottom"/>
          </w:tcPr>
          <w:p>
            <w:pPr>
              <w:spacing w:after="0"/>
              <w:rPr>
                <w:sz w:val="1"/>
                <w:szCs w:val="1"/>
                <w:color w:val="auto"/>
              </w:rPr>
            </w:pPr>
          </w:p>
        </w:tc>
      </w:tr>
      <w:tr>
        <w:trPr>
          <w:trHeight w:val="34"/>
        </w:trPr>
        <w:tc>
          <w:tcPr>
            <w:tcW w:w="9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3580" w:type="dxa"/>
            <w:vAlign w:val="bottom"/>
            <w:gridSpan w:val="3"/>
            <w:vMerge w:val="restart"/>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9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19"/>
          </w:tcPr>
          <w:p>
            <w:pPr>
              <w:spacing w:after="0" w:line="156" w:lineRule="exact"/>
              <w:rPr>
                <w:sz w:val="20"/>
                <w:szCs w:val="20"/>
                <w:color w:val="auto"/>
              </w:rPr>
            </w:pPr>
            <w:r>
              <w:rPr>
                <w:rFonts w:ascii="Arial" w:cs="Arial" w:eastAsia="Arial" w:hAnsi="Arial"/>
                <w:sz w:val="18"/>
                <w:szCs w:val="18"/>
                <w:i w:val="1"/>
                <w:iCs w:val="1"/>
                <w:color w:val="0000FF"/>
                <w:w w:val="93"/>
              </w:rPr>
              <w:t>Obligations relating to Prepetition Loans</w:t>
            </w:r>
          </w:p>
        </w:tc>
        <w:tc>
          <w:tcPr>
            <w:tcW w:w="2520" w:type="dxa"/>
            <w:vAlign w:val="bottom"/>
            <w:gridSpan w:val="8"/>
          </w:tcPr>
          <w:p>
            <w:pPr>
              <w:spacing w:after="0"/>
              <w:rPr>
                <w:sz w:val="13"/>
                <w:szCs w:val="13"/>
                <w:color w:val="auto"/>
              </w:rPr>
            </w:pPr>
          </w:p>
        </w:tc>
        <w:tc>
          <w:tcPr>
            <w:tcW w:w="3580" w:type="dxa"/>
            <w:vAlign w:val="bottom"/>
            <w:gridSpan w:val="3"/>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80" w:type="dxa"/>
            <w:vAlign w:val="bottom"/>
            <w:tcBorders>
              <w:top w:val="single" w:sz="8" w:color="0000FF"/>
              <w:bottom w:val="single" w:sz="8" w:color="0000FF"/>
            </w:tcBorders>
            <w:gridSpan w:val="13"/>
          </w:tcPr>
          <w:p>
            <w:pPr>
              <w:spacing w:after="0"/>
              <w:rPr>
                <w:sz w:val="2"/>
                <w:szCs w:val="2"/>
                <w:color w:val="auto"/>
              </w:rPr>
            </w:pPr>
          </w:p>
        </w:tc>
        <w:tc>
          <w:tcPr>
            <w:tcW w:w="70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5740" w:type="dxa"/>
            <w:vAlign w:val="bottom"/>
            <w:gridSpan w:val="10"/>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13.02</w:t>
            </w: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0" w:type="dxa"/>
            <w:vAlign w:val="bottom"/>
            <w:gridSpan w:val="16"/>
          </w:tcPr>
          <w:p>
            <w:pPr>
              <w:spacing w:after="0" w:line="142" w:lineRule="exact"/>
              <w:rPr>
                <w:sz w:val="20"/>
                <w:szCs w:val="20"/>
                <w:color w:val="auto"/>
              </w:rPr>
            </w:pPr>
            <w:r>
              <w:rPr>
                <w:rFonts w:ascii="Arial" w:cs="Arial" w:eastAsia="Arial" w:hAnsi="Arial"/>
                <w:sz w:val="16"/>
                <w:szCs w:val="16"/>
                <w:i w:val="1"/>
                <w:iCs w:val="1"/>
                <w:color w:val="0000FF"/>
              </w:rPr>
              <w:t>Acknowledgement of Security Interests</w:t>
            </w:r>
          </w:p>
        </w:tc>
        <w:tc>
          <w:tcPr>
            <w:tcW w:w="180" w:type="dxa"/>
            <w:vAlign w:val="bottom"/>
            <w:gridSpan w:val="2"/>
          </w:tcPr>
          <w:p>
            <w:pPr>
              <w:spacing w:after="0"/>
              <w:rPr>
                <w:sz w:val="12"/>
                <w:szCs w:val="12"/>
                <w:color w:val="auto"/>
              </w:rPr>
            </w:pPr>
          </w:p>
        </w:tc>
        <w:tc>
          <w:tcPr>
            <w:tcW w:w="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740" w:type="dxa"/>
            <w:vAlign w:val="bottom"/>
            <w:gridSpan w:val="10"/>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80" w:type="dxa"/>
            <w:vAlign w:val="bottom"/>
            <w:tcBorders>
              <w:top w:val="single" w:sz="8" w:color="0000FF"/>
              <w:bottom w:val="single" w:sz="8" w:color="0000FF"/>
            </w:tcBorders>
            <w:gridSpan w:val="13"/>
          </w:tcPr>
          <w:p>
            <w:pPr>
              <w:spacing w:after="0"/>
              <w:rPr>
                <w:sz w:val="2"/>
                <w:szCs w:val="2"/>
                <w:color w:val="auto"/>
              </w:rPr>
            </w:pPr>
          </w:p>
        </w:tc>
        <w:tc>
          <w:tcPr>
            <w:tcW w:w="70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560" w:type="dxa"/>
            <w:vAlign w:val="bottom"/>
            <w:gridSpan w:val="4"/>
            <w:vMerge w:val="restart"/>
          </w:tcPr>
          <w:p>
            <w:pPr>
              <w:spacing w:after="0"/>
              <w:rPr>
                <w:sz w:val="2"/>
                <w:szCs w:val="2"/>
                <w:color w:val="auto"/>
              </w:rPr>
            </w:pPr>
          </w:p>
        </w:tc>
        <w:tc>
          <w:tcPr>
            <w:tcW w:w="5740" w:type="dxa"/>
            <w:vAlign w:val="bottom"/>
            <w:gridSpan w:val="10"/>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13.03</w:t>
            </w: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80" w:type="dxa"/>
            <w:vAlign w:val="bottom"/>
            <w:gridSpan w:val="13"/>
          </w:tcPr>
          <w:p>
            <w:pPr>
              <w:spacing w:after="0" w:line="142" w:lineRule="exact"/>
              <w:rPr>
                <w:sz w:val="20"/>
                <w:szCs w:val="20"/>
                <w:color w:val="auto"/>
              </w:rPr>
            </w:pPr>
            <w:r>
              <w:rPr>
                <w:rFonts w:ascii="Arial" w:cs="Arial" w:eastAsia="Arial" w:hAnsi="Arial"/>
                <w:sz w:val="16"/>
                <w:szCs w:val="16"/>
                <w:i w:val="1"/>
                <w:iCs w:val="1"/>
                <w:color w:val="0000FF"/>
              </w:rPr>
              <w:t>Binding Effect of Documents</w:t>
            </w:r>
          </w:p>
        </w:tc>
        <w:tc>
          <w:tcPr>
            <w:tcW w:w="700" w:type="dxa"/>
            <w:vAlign w:val="bottom"/>
            <w:gridSpan w:val="2"/>
          </w:tcPr>
          <w:p>
            <w:pPr>
              <w:spacing w:after="0"/>
              <w:rPr>
                <w:sz w:val="12"/>
                <w:szCs w:val="12"/>
                <w:color w:val="auto"/>
              </w:rPr>
            </w:pPr>
          </w:p>
        </w:tc>
        <w:tc>
          <w:tcPr>
            <w:tcW w:w="20" w:type="dxa"/>
            <w:vAlign w:val="bottom"/>
            <w:vMerge w:val="continue"/>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5740" w:type="dxa"/>
            <w:vAlign w:val="bottom"/>
            <w:gridSpan w:val="10"/>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80" w:type="dxa"/>
            <w:vAlign w:val="bottom"/>
            <w:tcBorders>
              <w:top w:val="single" w:sz="8" w:color="0000FF"/>
              <w:bottom w:val="single" w:sz="8" w:color="0000FF"/>
            </w:tcBorders>
            <w:gridSpan w:val="13"/>
          </w:tcPr>
          <w:p>
            <w:pPr>
              <w:spacing w:after="0"/>
              <w:rPr>
                <w:sz w:val="2"/>
                <w:szCs w:val="2"/>
                <w:color w:val="auto"/>
              </w:rPr>
            </w:pPr>
          </w:p>
        </w:tc>
        <w:tc>
          <w:tcPr>
            <w:tcW w:w="7020" w:type="dxa"/>
            <w:vAlign w:val="bottom"/>
            <w:gridSpan w:val="17"/>
            <w:vMerge w:val="restart"/>
          </w:tcPr>
          <w:p>
            <w:pPr>
              <w:ind w:left="100"/>
              <w:spacing w:after="0" w:line="196" w:lineRule="exact"/>
              <w:rPr>
                <w:sz w:val="20"/>
                <w:szCs w:val="20"/>
                <w:color w:val="auto"/>
              </w:rPr>
            </w:pPr>
            <w:r>
              <w:rPr>
                <w:rFonts w:ascii="Arial" w:cs="Arial" w:eastAsia="Arial" w:hAnsi="Arial"/>
                <w:sz w:val="18"/>
                <w:szCs w:val="18"/>
                <w:i w:val="1"/>
                <w:iCs w:val="1"/>
                <w:color w:val="0000FF"/>
              </w:rPr>
              <w:t>Security Interest</w:t>
            </w: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13.04</w:t>
            </w:r>
          </w:p>
        </w:tc>
        <w:tc>
          <w:tcPr>
            <w:tcW w:w="1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80" w:type="dxa"/>
            <w:vAlign w:val="bottom"/>
            <w:gridSpan w:val="13"/>
          </w:tcPr>
          <w:p>
            <w:pPr>
              <w:spacing w:after="0" w:line="142" w:lineRule="exact"/>
              <w:rPr>
                <w:sz w:val="20"/>
                <w:szCs w:val="20"/>
                <w:color w:val="auto"/>
              </w:rPr>
            </w:pPr>
            <w:r>
              <w:rPr>
                <w:rFonts w:ascii="Arial" w:cs="Arial" w:eastAsia="Arial" w:hAnsi="Arial"/>
                <w:sz w:val="16"/>
                <w:szCs w:val="16"/>
                <w:i w:val="1"/>
                <w:iCs w:val="1"/>
                <w:color w:val="0000FF"/>
              </w:rPr>
              <w:t>Collateral; Grant of Lien and</w:t>
            </w:r>
          </w:p>
        </w:tc>
        <w:tc>
          <w:tcPr>
            <w:tcW w:w="7020" w:type="dxa"/>
            <w:vAlign w:val="bottom"/>
            <w:gridSpan w:val="1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i w:val="1"/>
                <w:iCs w:val="1"/>
                <w:color w:val="0000FF"/>
                <w:w w:val="89"/>
              </w:rPr>
              <w:t>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40"/>
          </w:cols>
          <w:pgMar w:left="440" w:top="256" w:right="5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i w:val="1"/>
                <w:iCs w:val="1"/>
                <w:color w:val="0000FF"/>
                <w:w w:val="87"/>
              </w:rPr>
              <w:t>Section 13.05</w:t>
            </w:r>
          </w:p>
        </w:tc>
        <w:tc>
          <w:tcPr>
            <w:tcW w:w="320" w:type="dxa"/>
            <w:vAlign w:val="bottom"/>
          </w:tcPr>
          <w:p>
            <w:pPr>
              <w:spacing w:after="0"/>
              <w:rPr>
                <w:sz w:val="17"/>
                <w:szCs w:val="17"/>
                <w:color w:val="auto"/>
              </w:rPr>
            </w:pPr>
          </w:p>
        </w:tc>
        <w:tc>
          <w:tcPr>
            <w:tcW w:w="9380" w:type="dxa"/>
            <w:vAlign w:val="bottom"/>
            <w:gridSpan w:val="8"/>
          </w:tcPr>
          <w:p>
            <w:pPr>
              <w:spacing w:after="0"/>
              <w:rPr>
                <w:sz w:val="20"/>
                <w:szCs w:val="20"/>
                <w:color w:val="auto"/>
              </w:rPr>
            </w:pPr>
            <w:r>
              <w:rPr>
                <w:rFonts w:ascii="Arial" w:cs="Arial" w:eastAsia="Arial" w:hAnsi="Arial"/>
                <w:sz w:val="18"/>
                <w:szCs w:val="18"/>
                <w:i w:val="1"/>
                <w:iCs w:val="1"/>
                <w:color w:val="0000FF"/>
              </w:rPr>
              <w:t>Administrative Priority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0000FF"/>
                <w:w w:val="86"/>
              </w:rPr>
              <w:t>192</w:t>
            </w: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13.06</w:t>
            </w:r>
          </w:p>
        </w:tc>
        <w:tc>
          <w:tcPr>
            <w:tcW w:w="320" w:type="dxa"/>
            <w:vAlign w:val="bottom"/>
            <w:vMerge w:val="continue"/>
          </w:tcPr>
          <w:p>
            <w:pPr>
              <w:spacing w:after="0"/>
              <w:rPr>
                <w:sz w:val="12"/>
                <w:szCs w:val="12"/>
                <w:color w:val="auto"/>
              </w:rPr>
            </w:pPr>
          </w:p>
        </w:tc>
        <w:tc>
          <w:tcPr>
            <w:tcW w:w="9380" w:type="dxa"/>
            <w:vAlign w:val="bottom"/>
            <w:gridSpan w:val="8"/>
          </w:tcPr>
          <w:p>
            <w:pPr>
              <w:spacing w:after="0" w:line="142" w:lineRule="exact"/>
              <w:rPr>
                <w:sz w:val="20"/>
                <w:szCs w:val="20"/>
                <w:color w:val="auto"/>
              </w:rPr>
            </w:pPr>
            <w:r>
              <w:rPr>
                <w:rFonts w:ascii="Arial" w:cs="Arial" w:eastAsia="Arial" w:hAnsi="Arial"/>
                <w:sz w:val="16"/>
                <w:szCs w:val="16"/>
                <w:i w:val="1"/>
                <w:iCs w:val="1"/>
                <w:color w:val="0000FF"/>
              </w:rPr>
              <w:t>Grants, Rights and Remedies</w:t>
            </w:r>
          </w:p>
        </w:tc>
        <w:tc>
          <w:tcPr>
            <w:tcW w:w="2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97"/>
              </w:rPr>
              <w:t>192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2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7280" w:type="dxa"/>
            <w:vAlign w:val="bottom"/>
            <w:vMerge w:val="restart"/>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13.07</w:t>
            </w:r>
          </w:p>
        </w:tc>
        <w:tc>
          <w:tcPr>
            <w:tcW w:w="320" w:type="dxa"/>
            <w:vAlign w:val="bottom"/>
          </w:tcPr>
          <w:p>
            <w:pPr>
              <w:spacing w:after="0"/>
              <w:rPr>
                <w:sz w:val="12"/>
                <w:szCs w:val="12"/>
                <w:color w:val="auto"/>
              </w:rPr>
            </w:pPr>
          </w:p>
        </w:tc>
        <w:tc>
          <w:tcPr>
            <w:tcW w:w="2080" w:type="dxa"/>
            <w:vAlign w:val="bottom"/>
            <w:gridSpan w:val="6"/>
          </w:tcPr>
          <w:p>
            <w:pPr>
              <w:spacing w:after="0" w:line="142" w:lineRule="exact"/>
              <w:rPr>
                <w:sz w:val="20"/>
                <w:szCs w:val="20"/>
                <w:color w:val="auto"/>
              </w:rPr>
            </w:pPr>
            <w:r>
              <w:rPr>
                <w:rFonts w:ascii="Arial" w:cs="Arial" w:eastAsia="Arial" w:hAnsi="Arial"/>
                <w:sz w:val="16"/>
                <w:szCs w:val="16"/>
                <w:i w:val="1"/>
                <w:iCs w:val="1"/>
                <w:color w:val="0000FF"/>
              </w:rPr>
              <w:t>No Filings Required</w:t>
            </w:r>
          </w:p>
        </w:tc>
        <w:tc>
          <w:tcPr>
            <w:tcW w:w="20" w:type="dxa"/>
            <w:vAlign w:val="bottom"/>
            <w:vMerge w:val="continue"/>
          </w:tcPr>
          <w:p>
            <w:pPr>
              <w:spacing w:after="0"/>
              <w:rPr>
                <w:sz w:val="12"/>
                <w:szCs w:val="12"/>
                <w:color w:val="auto"/>
              </w:rPr>
            </w:pPr>
          </w:p>
        </w:tc>
        <w:tc>
          <w:tcPr>
            <w:tcW w:w="7280" w:type="dxa"/>
            <w:vAlign w:val="bottom"/>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97"/>
              </w:rPr>
              <w:t>192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7920" w:type="dxa"/>
            <w:vAlign w:val="bottom"/>
            <w:gridSpan w:val="4"/>
            <w:vMerge w:val="restart"/>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i w:val="1"/>
                <w:iCs w:val="1"/>
                <w:color w:val="0000FF"/>
                <w:w w:val="98"/>
              </w:rPr>
              <w:t>Section 13.08</w:t>
            </w:r>
          </w:p>
        </w:tc>
        <w:tc>
          <w:tcPr>
            <w:tcW w:w="32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6"/>
                <w:szCs w:val="16"/>
                <w:i w:val="1"/>
                <w:iCs w:val="1"/>
                <w:color w:val="0000FF"/>
              </w:rPr>
              <w:t>Survival</w:t>
            </w:r>
          </w:p>
        </w:tc>
        <w:tc>
          <w:tcPr>
            <w:tcW w:w="20" w:type="dxa"/>
            <w:vAlign w:val="bottom"/>
            <w:vMerge w:val="continue"/>
          </w:tcPr>
          <w:p>
            <w:pPr>
              <w:spacing w:after="0"/>
              <w:rPr>
                <w:sz w:val="12"/>
                <w:szCs w:val="12"/>
                <w:color w:val="auto"/>
              </w:rPr>
            </w:pPr>
          </w:p>
        </w:tc>
        <w:tc>
          <w:tcPr>
            <w:tcW w:w="7920" w:type="dxa"/>
            <w:vAlign w:val="bottom"/>
            <w:gridSpan w:val="4"/>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i w:val="1"/>
                <w:iCs w:val="1"/>
                <w:color w:val="0000FF"/>
                <w:w w:val="97"/>
              </w:rPr>
              <w:t>192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56" w:right="499" w:bottom="1440" w:gutter="0" w:footer="0" w:header="0"/>
        </w:sectPr>
      </w:pPr>
    </w:p>
    <w:bookmarkStart w:id="133" w:name="page134"/>
    <w:bookmarkEnd w:id="133"/>
    <w:p>
      <w:pPr>
        <w:ind w:left="4"/>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APPENDICES</w:t>
      </w:r>
    </w:p>
    <w:p>
      <w:pPr>
        <w:spacing w:after="0" w:line="23" w:lineRule="exact"/>
        <w:rPr>
          <w:sz w:val="20"/>
          <w:szCs w:val="20"/>
          <w:color w:val="auto"/>
        </w:rPr>
      </w:pPr>
    </w:p>
    <w:p>
      <w:pPr>
        <w:ind w:left="1004" w:hanging="1004"/>
        <w:spacing w:after="0"/>
        <w:tabs>
          <w:tab w:leader="none" w:pos="1004" w:val="left"/>
        </w:tabs>
        <w:numPr>
          <w:ilvl w:val="0"/>
          <w:numId w:val="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Initial Postpetition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40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004" w:hanging="1004"/>
        <w:spacing w:after="0"/>
        <w:tabs>
          <w:tab w:leader="none" w:pos="1004" w:val="left"/>
        </w:tabs>
        <w:numPr>
          <w:ilvl w:val="0"/>
          <w:numId w:val="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Second Postpetition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21602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1004" w:hanging="1004"/>
        <w:spacing w:after="0"/>
        <w:tabs>
          <w:tab w:leader="none" w:pos="1004" w:val="left"/>
        </w:tabs>
        <w:numPr>
          <w:ilvl w:val="0"/>
          <w:numId w:val="3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Final Postpetition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22199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ind w:left="1004" w:hanging="1004"/>
        <w:spacing w:after="0"/>
        <w:tabs>
          <w:tab w:leader="none" w:pos="1004"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Prepetition Term Loan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-121920</wp:posOffset>
            </wp:positionV>
            <wp:extent cx="1482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ind w:left="1004" w:hanging="1004"/>
        <w:spacing w:after="0"/>
        <w:tabs>
          <w:tab w:leader="none" w:pos="1004"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Chapter 11 Milestones</w:t>
      </w:r>
    </w:p>
    <w:p>
      <w:pPr>
        <w:spacing w:after="0" w:line="197" w:lineRule="exact"/>
        <w:rPr>
          <w:rFonts w:ascii="Arial" w:cs="Arial" w:eastAsia="Arial" w:hAnsi="Arial"/>
          <w:sz w:val="18"/>
          <w:szCs w:val="18"/>
          <w:u w:val="single" w:color="auto"/>
          <w:color w:val="0000FF"/>
        </w:rPr>
      </w:pPr>
    </w:p>
    <w:p>
      <w:pPr>
        <w:ind w:left="4"/>
        <w:spacing w:after="0"/>
        <w:rPr>
          <w:rFonts w:ascii="Arial" w:cs="Arial" w:eastAsia="Arial" w:hAnsi="Arial"/>
          <w:sz w:val="18"/>
          <w:szCs w:val="18"/>
          <w:u w:val="single" w:color="auto"/>
          <w:color w:val="0000FF"/>
        </w:rPr>
      </w:pPr>
      <w:r>
        <w:rPr>
          <w:rFonts w:ascii="Arial" w:cs="Arial" w:eastAsia="Arial" w:hAnsi="Arial"/>
          <w:sz w:val="18"/>
          <w:szCs w:val="18"/>
          <w:color w:val="auto"/>
        </w:rPr>
        <w:t>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-379095</wp:posOffset>
            </wp:positionV>
            <wp:extent cx="1431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-241935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-241935</wp:posOffset>
            </wp:positionV>
            <wp:extent cx="1028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1.01(a)</w:t>
            </w:r>
          </w:p>
        </w:tc>
        <w:tc>
          <w:tcPr>
            <w:tcW w:w="1780" w:type="dxa"/>
            <w:vAlign w:val="bottom"/>
            <w:gridSpan w:val="7"/>
          </w:tcPr>
          <w:p>
            <w:pPr>
              <w:spacing w:after="0"/>
              <w:rPr>
                <w:sz w:val="20"/>
                <w:szCs w:val="20"/>
                <w:color w:val="auto"/>
              </w:rPr>
            </w:pPr>
            <w:r>
              <w:rPr>
                <w:rFonts w:ascii="Arial" w:cs="Arial" w:eastAsia="Arial" w:hAnsi="Arial"/>
                <w:sz w:val="18"/>
                <w:szCs w:val="18"/>
                <w:color w:val="FF0000"/>
                <w:strike w:val="1"/>
                <w:w w:val="93"/>
              </w:rPr>
              <w:t>Excluded Real Property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40" w:type="dxa"/>
            <w:vAlign w:val="bottom"/>
            <w:gridSpan w:val="3"/>
          </w:tcPr>
          <w:p>
            <w:pPr>
              <w:spacing w:after="0" w:line="190" w:lineRule="exact"/>
              <w:rPr>
                <w:sz w:val="20"/>
                <w:szCs w:val="20"/>
                <w:color w:val="auto"/>
              </w:rPr>
            </w:pPr>
            <w:r>
              <w:rPr>
                <w:rFonts w:ascii="Arial" w:cs="Arial" w:eastAsia="Arial" w:hAnsi="Arial"/>
                <w:sz w:val="18"/>
                <w:szCs w:val="18"/>
                <w:color w:val="auto"/>
              </w:rPr>
              <w:t>1.01(b)</w:t>
            </w:r>
          </w:p>
        </w:tc>
        <w:tc>
          <w:tcPr>
            <w:tcW w:w="80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6"/>
              </w:rPr>
              <w:t>Guarantors</w:t>
            </w:r>
          </w:p>
        </w:tc>
        <w:tc>
          <w:tcPr>
            <w:tcW w:w="3620" w:type="dxa"/>
            <w:vAlign w:val="bottom"/>
            <w:gridSpan w:val="17"/>
          </w:tcPr>
          <w:p>
            <w:pPr>
              <w:spacing w:after="0" w:line="190" w:lineRule="exact"/>
              <w:rPr>
                <w:sz w:val="20"/>
                <w:szCs w:val="20"/>
                <w:color w:val="auto"/>
              </w:rPr>
            </w:pPr>
            <w:r>
              <w:rPr>
                <w:rFonts w:ascii="Arial" w:cs="Arial" w:eastAsia="Arial" w:hAnsi="Arial"/>
                <w:sz w:val="18"/>
                <w:szCs w:val="18"/>
                <w:color w:val="0000FF"/>
              </w:rPr>
              <w:t>Excluded Subsidiaries</w:t>
            </w:r>
          </w:p>
        </w:tc>
        <w:tc>
          <w:tcPr>
            <w:tcW w:w="0" w:type="dxa"/>
            <w:vAlign w:val="bottom"/>
          </w:tcPr>
          <w:p>
            <w:pPr>
              <w:spacing w:after="0"/>
              <w:rPr>
                <w:sz w:val="1"/>
                <w:szCs w:val="1"/>
                <w:color w:val="auto"/>
              </w:rPr>
            </w:pPr>
          </w:p>
        </w:tc>
      </w:tr>
      <w:tr>
        <w:trPr>
          <w:trHeight w:val="21"/>
        </w:trPr>
        <w:tc>
          <w:tcPr>
            <w:tcW w:w="144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1.01(c)</w:t>
            </w:r>
          </w:p>
        </w:tc>
        <w:tc>
          <w:tcPr>
            <w:tcW w:w="8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90"/>
              </w:rPr>
              <w:t>Mortgaged</w:t>
            </w: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4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60" w:type="dxa"/>
            <w:vAlign w:val="bottom"/>
            <w:gridSpan w:val="3"/>
          </w:tcPr>
          <w:p>
            <w:pPr>
              <w:ind w:left="40"/>
              <w:spacing w:after="0" w:line="156" w:lineRule="exact"/>
              <w:rPr>
                <w:sz w:val="20"/>
                <w:szCs w:val="20"/>
                <w:color w:val="auto"/>
              </w:rPr>
            </w:pPr>
            <w:r>
              <w:rPr>
                <w:rFonts w:ascii="Arial" w:cs="Arial" w:eastAsia="Arial" w:hAnsi="Arial"/>
                <w:sz w:val="18"/>
                <w:szCs w:val="18"/>
                <w:color w:val="FF0000"/>
                <w:strike w:val="1"/>
                <w:w w:val="85"/>
              </w:rPr>
              <w:t>Properties</w:t>
            </w:r>
          </w:p>
        </w:tc>
        <w:tc>
          <w:tcPr>
            <w:tcW w:w="1020" w:type="dxa"/>
            <w:vAlign w:val="bottom"/>
            <w:tcBorders>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0"/>
              </w:rPr>
              <w:t>Real Property</w:t>
            </w:r>
          </w:p>
        </w:tc>
        <w:tc>
          <w:tcPr>
            <w:tcW w:w="18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gridSpan w:val="3"/>
            <w:vMerge w:val="restart"/>
          </w:tcPr>
          <w:p>
            <w:pPr>
              <w:spacing w:after="0"/>
              <w:rPr>
                <w:sz w:val="20"/>
                <w:szCs w:val="20"/>
                <w:color w:val="auto"/>
              </w:rPr>
            </w:pPr>
            <w:r>
              <w:rPr>
                <w:rFonts w:ascii="Arial" w:cs="Arial" w:eastAsia="Arial" w:hAnsi="Arial"/>
                <w:sz w:val="18"/>
                <w:szCs w:val="18"/>
                <w:color w:val="auto"/>
              </w:rPr>
              <w:t>1.01(d)</w:t>
            </w:r>
          </w:p>
        </w:tc>
        <w:tc>
          <w:tcPr>
            <w:tcW w:w="1580" w:type="dxa"/>
            <w:vAlign w:val="bottom"/>
            <w:gridSpan w:val="6"/>
            <w:vMerge w:val="restart"/>
          </w:tcPr>
          <w:p>
            <w:pPr>
              <w:spacing w:after="0"/>
              <w:rPr>
                <w:sz w:val="20"/>
                <w:szCs w:val="20"/>
                <w:color w:val="auto"/>
              </w:rPr>
            </w:pPr>
            <w:r>
              <w:rPr>
                <w:rFonts w:ascii="Arial" w:cs="Arial" w:eastAsia="Arial" w:hAnsi="Arial"/>
                <w:sz w:val="18"/>
                <w:szCs w:val="18"/>
                <w:color w:val="auto"/>
                <w:w w:val="89"/>
              </w:rPr>
              <w:t>Pension Fund Entities</w:t>
            </w:r>
          </w:p>
        </w:tc>
        <w:tc>
          <w:tcPr>
            <w:tcW w:w="20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gridSpan w:val="3"/>
            <w:vMerge w:val="continue"/>
          </w:tcPr>
          <w:p>
            <w:pPr>
              <w:spacing w:after="0"/>
              <w:rPr>
                <w:sz w:val="15"/>
                <w:szCs w:val="15"/>
                <w:color w:val="auto"/>
              </w:rPr>
            </w:pPr>
          </w:p>
        </w:tc>
        <w:tc>
          <w:tcPr>
            <w:tcW w:w="158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FF0000"/>
                <w:strike w:val="1"/>
                <w:w w:val="85"/>
              </w:rPr>
              <w:t>2.01</w:t>
            </w:r>
          </w:p>
        </w:tc>
        <w:tc>
          <w:tcPr>
            <w:tcW w:w="112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FF0000"/>
                <w:strike w:val="1"/>
                <w:w w:val="96"/>
              </w:rPr>
              <w:t>Lenders and Commitments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4.02(b)</w:t>
            </w:r>
          </w:p>
        </w:tc>
        <w:tc>
          <w:tcPr>
            <w:tcW w:w="1780" w:type="dxa"/>
            <w:vAlign w:val="bottom"/>
            <w:gridSpan w:val="7"/>
          </w:tcPr>
          <w:p>
            <w:pPr>
              <w:spacing w:after="0"/>
              <w:rPr>
                <w:sz w:val="20"/>
                <w:szCs w:val="20"/>
                <w:color w:val="auto"/>
              </w:rPr>
            </w:pPr>
            <w:r>
              <w:rPr>
                <w:rFonts w:ascii="Arial" w:cs="Arial" w:eastAsia="Arial" w:hAnsi="Arial"/>
                <w:sz w:val="18"/>
                <w:szCs w:val="18"/>
                <w:color w:val="FF0000"/>
                <w:strike w:val="1"/>
                <w:w w:val="92"/>
              </w:rPr>
              <w:t>Local Counsel Opinions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auto"/>
                <w:w w:val="85"/>
              </w:rPr>
              <w:t>5.10</w:t>
            </w:r>
          </w:p>
        </w:tc>
        <w:tc>
          <w:tcPr>
            <w:tcW w:w="1120" w:type="dxa"/>
            <w:vAlign w:val="bottom"/>
          </w:tcPr>
          <w:p>
            <w:pPr>
              <w:spacing w:after="0" w:line="190" w:lineRule="exact"/>
              <w:rPr>
                <w:sz w:val="20"/>
                <w:szCs w:val="20"/>
                <w:color w:val="auto"/>
              </w:rPr>
            </w:pPr>
            <w:r>
              <w:rPr>
                <w:rFonts w:ascii="Arial" w:cs="Arial" w:eastAsia="Arial" w:hAnsi="Arial"/>
                <w:sz w:val="18"/>
                <w:szCs w:val="18"/>
                <w:color w:val="FF0000"/>
                <w:strike w:val="1"/>
              </w:rPr>
              <w:t>(b)</w:t>
            </w:r>
          </w:p>
        </w:tc>
        <w:tc>
          <w:tcPr>
            <w:tcW w:w="1520" w:type="dxa"/>
            <w:vAlign w:val="bottom"/>
            <w:gridSpan w:val="4"/>
          </w:tcPr>
          <w:p>
            <w:pPr>
              <w:spacing w:after="0" w:line="190" w:lineRule="exact"/>
              <w:rPr>
                <w:sz w:val="20"/>
                <w:szCs w:val="20"/>
                <w:color w:val="auto"/>
              </w:rPr>
            </w:pPr>
            <w:r>
              <w:rPr>
                <w:rFonts w:ascii="Arial" w:cs="Arial" w:eastAsia="Arial" w:hAnsi="Arial"/>
                <w:sz w:val="18"/>
                <w:szCs w:val="18"/>
                <w:color w:val="FF0000"/>
                <w:strike w:val="1"/>
                <w:w w:val="92"/>
              </w:rPr>
              <w:t>Multiemployer Plans</w:t>
            </w:r>
          </w:p>
        </w:tc>
        <w:tc>
          <w:tcPr>
            <w:tcW w:w="2900" w:type="dxa"/>
            <w:vAlign w:val="bottom"/>
            <w:gridSpan w:val="15"/>
          </w:tcPr>
          <w:p>
            <w:pPr>
              <w:spacing w:after="0" w:line="190" w:lineRule="exact"/>
              <w:rPr>
                <w:sz w:val="20"/>
                <w:szCs w:val="20"/>
                <w:color w:val="auto"/>
              </w:rPr>
            </w:pPr>
            <w:r>
              <w:rPr>
                <w:rFonts w:ascii="Arial" w:cs="Arial" w:eastAsia="Arial" w:hAnsi="Arial"/>
                <w:sz w:val="18"/>
                <w:szCs w:val="18"/>
                <w:color w:val="0000FF"/>
              </w:rPr>
              <w:t>Litigation</w:t>
            </w: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5.11</w:t>
            </w:r>
          </w:p>
        </w:tc>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gridSpan w:val="4"/>
            <w:vMerge w:val="restart"/>
          </w:tcPr>
          <w:p>
            <w:pPr>
              <w:spacing w:after="0" w:line="196" w:lineRule="exact"/>
              <w:rPr>
                <w:sz w:val="20"/>
                <w:szCs w:val="20"/>
                <w:color w:val="auto"/>
              </w:rPr>
            </w:pPr>
            <w:r>
              <w:rPr>
                <w:rFonts w:ascii="Arial" w:cs="Arial" w:eastAsia="Arial" w:hAnsi="Arial"/>
                <w:sz w:val="18"/>
                <w:szCs w:val="18"/>
                <w:color w:val="FF0000"/>
                <w:strike w:val="1"/>
                <w:w w:val="83"/>
              </w:rPr>
              <w:t>Interests</w:t>
            </w:r>
          </w:p>
        </w:tc>
        <w:tc>
          <w:tcPr>
            <w:tcW w:w="160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Capitalization</w:t>
            </w:r>
          </w:p>
        </w:tc>
        <w:tc>
          <w:tcPr>
            <w:tcW w:w="0" w:type="dxa"/>
            <w:vAlign w:val="bottom"/>
          </w:tcPr>
          <w:p>
            <w:pPr>
              <w:spacing w:after="0"/>
              <w:rPr>
                <w:sz w:val="1"/>
                <w:szCs w:val="1"/>
                <w:color w:val="auto"/>
              </w:rPr>
            </w:pPr>
          </w:p>
        </w:tc>
      </w:tr>
      <w:tr>
        <w:trPr>
          <w:trHeight w:val="155"/>
        </w:trPr>
        <w:tc>
          <w:tcPr>
            <w:tcW w:w="3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gridSpan w:val="3"/>
          </w:tcPr>
          <w:p>
            <w:pPr>
              <w:spacing w:after="0" w:line="156" w:lineRule="exact"/>
              <w:rPr>
                <w:sz w:val="20"/>
                <w:szCs w:val="20"/>
                <w:color w:val="auto"/>
              </w:rPr>
            </w:pPr>
            <w:r>
              <w:rPr>
                <w:rFonts w:ascii="Arial" w:cs="Arial" w:eastAsia="Arial" w:hAnsi="Arial"/>
                <w:sz w:val="18"/>
                <w:szCs w:val="18"/>
                <w:color w:val="auto"/>
                <w:w w:val="90"/>
              </w:rPr>
              <w:t>Subsidiaries and</w:t>
            </w:r>
          </w:p>
        </w:tc>
        <w:tc>
          <w:tcPr>
            <w:tcW w:w="1000" w:type="dxa"/>
            <w:vAlign w:val="bottom"/>
            <w:gridSpan w:val="7"/>
          </w:tcPr>
          <w:p>
            <w:pPr>
              <w:spacing w:after="0" w:line="156" w:lineRule="exact"/>
              <w:rPr>
                <w:sz w:val="20"/>
                <w:szCs w:val="20"/>
                <w:color w:val="auto"/>
              </w:rPr>
            </w:pPr>
            <w:r>
              <w:rPr>
                <w:rFonts w:ascii="Arial" w:cs="Arial" w:eastAsia="Arial" w:hAnsi="Arial"/>
                <w:sz w:val="18"/>
                <w:szCs w:val="18"/>
                <w:color w:val="FF0000"/>
                <w:strike w:val="1"/>
                <w:w w:val="97"/>
              </w:rPr>
              <w:t>Other Equity</w:t>
            </w:r>
          </w:p>
        </w:tc>
        <w:tc>
          <w:tcPr>
            <w:tcW w:w="600" w:type="dxa"/>
            <w:vAlign w:val="bottom"/>
            <w:gridSpan w:val="4"/>
            <w:vMerge w:val="continue"/>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22</w:t>
            </w: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3840" w:type="dxa"/>
            <w:vAlign w:val="bottom"/>
            <w:gridSpan w:val="18"/>
          </w:tcPr>
          <w:p>
            <w:pPr>
              <w:spacing w:after="0" w:line="156" w:lineRule="exact"/>
              <w:rPr>
                <w:sz w:val="20"/>
                <w:szCs w:val="20"/>
                <w:color w:val="auto"/>
              </w:rPr>
            </w:pPr>
            <w:r>
              <w:rPr>
                <w:rFonts w:ascii="Arial" w:cs="Arial" w:eastAsia="Arial" w:hAnsi="Arial"/>
                <w:sz w:val="18"/>
                <w:szCs w:val="18"/>
                <w:color w:val="0000FF"/>
              </w:rPr>
              <w:t>Prepetition UST Priority and Joint Collateral</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100" w:type="dxa"/>
            <w:vAlign w:val="bottom"/>
            <w:tcBorders>
              <w:top w:val="single" w:sz="8" w:color="0000FF"/>
              <w:bottom w:val="single" w:sz="8" w:color="0000FF"/>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line="182" w:lineRule="exact"/>
              <w:rPr>
                <w:sz w:val="20"/>
                <w:szCs w:val="20"/>
                <w:color w:val="auto"/>
              </w:rPr>
            </w:pPr>
            <w:r>
              <w:rPr>
                <w:rFonts w:ascii="Arial" w:cs="Arial" w:eastAsia="Arial" w:hAnsi="Arial"/>
                <w:sz w:val="18"/>
                <w:szCs w:val="18"/>
                <w:color w:val="FF0000"/>
                <w:strike w:val="1"/>
                <w:w w:val="79"/>
              </w:rPr>
              <w:t>5.14</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gridSpan w:val="3"/>
          </w:tcPr>
          <w:p>
            <w:pPr>
              <w:spacing w:after="0" w:line="182" w:lineRule="exact"/>
              <w:rPr>
                <w:sz w:val="20"/>
                <w:szCs w:val="20"/>
                <w:color w:val="auto"/>
              </w:rPr>
            </w:pPr>
            <w:r>
              <w:rPr>
                <w:rFonts w:ascii="Arial" w:cs="Arial" w:eastAsia="Arial" w:hAnsi="Arial"/>
                <w:sz w:val="18"/>
                <w:szCs w:val="18"/>
                <w:color w:val="FF0000"/>
                <w:strike w:val="1"/>
              </w:rPr>
              <w:t>Labor Matters</w:t>
            </w:r>
          </w:p>
        </w:tc>
        <w:tc>
          <w:tcPr>
            <w:tcW w:w="3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7"/>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6.13(a)</w:t>
            </w:r>
          </w:p>
        </w:tc>
        <w:tc>
          <w:tcPr>
            <w:tcW w:w="1780" w:type="dxa"/>
            <w:vAlign w:val="bottom"/>
            <w:gridSpan w:val="7"/>
          </w:tcPr>
          <w:p>
            <w:pPr>
              <w:spacing w:after="0"/>
              <w:rPr>
                <w:sz w:val="20"/>
                <w:szCs w:val="20"/>
                <w:color w:val="auto"/>
              </w:rPr>
            </w:pPr>
            <w:r>
              <w:rPr>
                <w:rFonts w:ascii="Arial" w:cs="Arial" w:eastAsia="Arial" w:hAnsi="Arial"/>
                <w:sz w:val="18"/>
                <w:szCs w:val="18"/>
                <w:color w:val="FF0000"/>
                <w:strike w:val="1"/>
                <w:w w:val="97"/>
              </w:rPr>
              <w:t>Post Closing Schedule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7.01(b)</w:t>
            </w:r>
          </w:p>
        </w:tc>
        <w:tc>
          <w:tcPr>
            <w:tcW w:w="4420" w:type="dxa"/>
            <w:vAlign w:val="bottom"/>
            <w:gridSpan w:val="19"/>
          </w:tcPr>
          <w:p>
            <w:pPr>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7.02(e)</w:t>
            </w:r>
          </w:p>
        </w:tc>
        <w:tc>
          <w:tcPr>
            <w:tcW w:w="4420" w:type="dxa"/>
            <w:vAlign w:val="bottom"/>
            <w:gridSpan w:val="19"/>
          </w:tcPr>
          <w:p>
            <w:pPr>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7.03(b)</w:t>
            </w:r>
          </w:p>
        </w:tc>
        <w:tc>
          <w:tcPr>
            <w:tcW w:w="1580" w:type="dxa"/>
            <w:vAlign w:val="bottom"/>
            <w:gridSpan w:val="6"/>
          </w:tcPr>
          <w:p>
            <w:pPr>
              <w:spacing w:after="0"/>
              <w:rPr>
                <w:sz w:val="20"/>
                <w:szCs w:val="20"/>
                <w:color w:val="auto"/>
              </w:rPr>
            </w:pPr>
            <w:r>
              <w:rPr>
                <w:rFonts w:ascii="Arial" w:cs="Arial" w:eastAsia="Arial" w:hAnsi="Arial"/>
                <w:sz w:val="18"/>
                <w:szCs w:val="18"/>
                <w:color w:val="FF0000"/>
                <w:strike w:val="1"/>
                <w:w w:val="88"/>
              </w:rPr>
              <w:t>Existing Indebtedness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7.05(a)</w:t>
            </w:r>
          </w:p>
        </w:tc>
        <w:tc>
          <w:tcPr>
            <w:tcW w:w="3820" w:type="dxa"/>
            <w:vAlign w:val="bottom"/>
            <w:gridSpan w:val="17"/>
          </w:tcPr>
          <w:p>
            <w:pPr>
              <w:spacing w:after="0"/>
              <w:rPr>
                <w:sz w:val="20"/>
                <w:szCs w:val="20"/>
                <w:color w:val="auto"/>
              </w:rPr>
            </w:pPr>
            <w:r>
              <w:rPr>
                <w:rFonts w:ascii="Arial" w:cs="Arial" w:eastAsia="Arial" w:hAnsi="Arial"/>
                <w:sz w:val="18"/>
                <w:szCs w:val="18"/>
                <w:color w:val="FF0000"/>
                <w:strike w:val="1"/>
                <w:w w:val="94"/>
              </w:rPr>
              <w:t>Amendment No. 3 Real Properties Under Contract</w:t>
            </w: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7.05(b)</w:t>
            </w:r>
          </w:p>
        </w:tc>
        <w:tc>
          <w:tcPr>
            <w:tcW w:w="3820" w:type="dxa"/>
            <w:vAlign w:val="bottom"/>
            <w:gridSpan w:val="17"/>
          </w:tcPr>
          <w:p>
            <w:pPr>
              <w:spacing w:after="0"/>
              <w:rPr>
                <w:sz w:val="20"/>
                <w:szCs w:val="20"/>
                <w:color w:val="auto"/>
              </w:rPr>
            </w:pPr>
            <w:r>
              <w:rPr>
                <w:rFonts w:ascii="Arial" w:cs="Arial" w:eastAsia="Arial" w:hAnsi="Arial"/>
                <w:sz w:val="18"/>
                <w:szCs w:val="18"/>
                <w:color w:val="FF0000"/>
                <w:strike w:val="1"/>
              </w:rPr>
              <w:t>Amendment No. 3 Additional Real Properties</w:t>
            </w: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85"/>
              </w:rPr>
              <w:t>7.08</w:t>
            </w:r>
          </w:p>
        </w:tc>
        <w:tc>
          <w:tcPr>
            <w:tcW w:w="1120" w:type="dxa"/>
            <w:vAlign w:val="bottom"/>
          </w:tcPr>
          <w:p>
            <w:pPr>
              <w:spacing w:after="0"/>
              <w:rPr>
                <w:sz w:val="18"/>
                <w:szCs w:val="18"/>
                <w:color w:val="auto"/>
              </w:rPr>
            </w:pPr>
          </w:p>
        </w:tc>
        <w:tc>
          <w:tcPr>
            <w:tcW w:w="4420" w:type="dxa"/>
            <w:vAlign w:val="bottom"/>
            <w:gridSpan w:val="19"/>
          </w:tcPr>
          <w:p>
            <w:pPr>
              <w:spacing w:after="0"/>
              <w:rPr>
                <w:sz w:val="20"/>
                <w:szCs w:val="20"/>
                <w:color w:val="auto"/>
              </w:rPr>
            </w:pPr>
            <w:r>
              <w:rPr>
                <w:rFonts w:ascii="Arial" w:cs="Arial" w:eastAsia="Arial" w:hAnsi="Arial"/>
                <w:sz w:val="18"/>
                <w:szCs w:val="18"/>
                <w:color w:val="auto"/>
              </w:rPr>
              <w:t>Transactions with Affiliates</w:t>
            </w: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w w:val="85"/>
              </w:rPr>
              <w:t>7.09</w:t>
            </w:r>
          </w:p>
        </w:tc>
        <w:tc>
          <w:tcPr>
            <w:tcW w:w="1120" w:type="dxa"/>
            <w:vAlign w:val="bottom"/>
          </w:tcPr>
          <w:p>
            <w:pPr>
              <w:spacing w:after="0"/>
              <w:rPr>
                <w:sz w:val="20"/>
                <w:szCs w:val="20"/>
                <w:color w:val="auto"/>
              </w:rPr>
            </w:pPr>
          </w:p>
        </w:tc>
        <w:tc>
          <w:tcPr>
            <w:tcW w:w="4420" w:type="dxa"/>
            <w:vAlign w:val="bottom"/>
            <w:gridSpan w:val="19"/>
          </w:tcPr>
          <w:p>
            <w:pPr>
              <w:spacing w:after="0"/>
              <w:rPr>
                <w:sz w:val="20"/>
                <w:szCs w:val="20"/>
                <w:color w:val="auto"/>
              </w:rPr>
            </w:pPr>
            <w:r>
              <w:rPr>
                <w:rFonts w:ascii="Arial" w:cs="Arial" w:eastAsia="Arial" w:hAnsi="Arial"/>
                <w:sz w:val="18"/>
                <w:szCs w:val="18"/>
                <w:color w:val="auto"/>
              </w:rPr>
              <w:t>Certain Contractual Obligations</w:t>
            </w:r>
          </w:p>
        </w:tc>
        <w:tc>
          <w:tcPr>
            <w:tcW w:w="0" w:type="dxa"/>
            <w:vAlign w:val="bottom"/>
          </w:tcPr>
          <w:p>
            <w:pPr>
              <w:spacing w:after="0"/>
              <w:rPr>
                <w:sz w:val="1"/>
                <w:szCs w:val="1"/>
                <w:color w:val="auto"/>
              </w:rPr>
            </w:pPr>
          </w:p>
        </w:tc>
      </w:tr>
      <w:tr>
        <w:trPr>
          <w:trHeight w:val="405"/>
        </w:trPr>
        <w:tc>
          <w:tcPr>
            <w:tcW w:w="14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4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Administrative Questionnaire</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Request for Credit Extension</w:t>
            </w:r>
          </w:p>
        </w:tc>
        <w:tc>
          <w:tcPr>
            <w:tcW w:w="0" w:type="dxa"/>
            <w:vAlign w:val="bottom"/>
          </w:tcPr>
          <w:p>
            <w:pPr>
              <w:spacing w:after="0"/>
              <w:rPr>
                <w:sz w:val="1"/>
                <w:szCs w:val="1"/>
                <w:color w:val="auto"/>
              </w:rPr>
            </w:pPr>
          </w:p>
        </w:tc>
      </w:tr>
      <w:tr>
        <w:trPr>
          <w:trHeight w:val="190"/>
        </w:trPr>
        <w:tc>
          <w:tcPr>
            <w:tcW w:w="1440" w:type="dxa"/>
            <w:vAlign w:val="bottom"/>
            <w:gridSpan w:val="3"/>
          </w:tcPr>
          <w:p>
            <w:pPr>
              <w:spacing w:after="0" w:line="190" w:lineRule="exact"/>
              <w:rPr>
                <w:sz w:val="20"/>
                <w:szCs w:val="20"/>
                <w:color w:val="auto"/>
              </w:rPr>
            </w:pPr>
            <w:r>
              <w:rPr>
                <w:rFonts w:ascii="Arial" w:cs="Arial" w:eastAsia="Arial" w:hAnsi="Arial"/>
                <w:sz w:val="18"/>
                <w:szCs w:val="18"/>
                <w:color w:val="auto"/>
              </w:rPr>
              <w:t>Exhibit D</w:t>
            </w:r>
          </w:p>
        </w:tc>
        <w:tc>
          <w:tcPr>
            <w:tcW w:w="780" w:type="dxa"/>
            <w:vAlign w:val="bottom"/>
          </w:tcPr>
          <w:p>
            <w:pPr>
              <w:spacing w:after="0" w:line="190" w:lineRule="exact"/>
              <w:rPr>
                <w:sz w:val="20"/>
                <w:szCs w:val="20"/>
                <w:color w:val="auto"/>
              </w:rPr>
            </w:pPr>
            <w:r>
              <w:rPr>
                <w:rFonts w:ascii="Arial" w:cs="Arial" w:eastAsia="Arial" w:hAnsi="Arial"/>
                <w:sz w:val="18"/>
                <w:szCs w:val="18"/>
                <w:color w:val="FF0000"/>
                <w:strike w:val="1"/>
                <w:w w:val="87"/>
              </w:rPr>
              <w:t>[Reserved]</w:t>
            </w:r>
          </w:p>
        </w:tc>
        <w:tc>
          <w:tcPr>
            <w:tcW w:w="3640" w:type="dxa"/>
            <w:vAlign w:val="bottom"/>
            <w:gridSpan w:val="18"/>
          </w:tcPr>
          <w:p>
            <w:pPr>
              <w:spacing w:after="0" w:line="190" w:lineRule="exact"/>
              <w:rPr>
                <w:sz w:val="20"/>
                <w:szCs w:val="20"/>
                <w:color w:val="auto"/>
              </w:rPr>
            </w:pPr>
            <w:r>
              <w:rPr>
                <w:rFonts w:ascii="Arial" w:cs="Arial" w:eastAsia="Arial" w:hAnsi="Arial"/>
                <w:sz w:val="18"/>
                <w:szCs w:val="18"/>
                <w:color w:val="0000FF"/>
              </w:rPr>
              <w:t>Interim Order</w:t>
            </w:r>
          </w:p>
        </w:tc>
        <w:tc>
          <w:tcPr>
            <w:tcW w:w="0" w:type="dxa"/>
            <w:vAlign w:val="bottom"/>
          </w:tcPr>
          <w:p>
            <w:pPr>
              <w:spacing w:after="0"/>
              <w:rPr>
                <w:sz w:val="1"/>
                <w:szCs w:val="1"/>
                <w:color w:val="auto"/>
              </w:rPr>
            </w:pPr>
          </w:p>
        </w:tc>
      </w:tr>
      <w:tr>
        <w:trPr>
          <w:trHeight w:val="34"/>
        </w:trPr>
        <w:tc>
          <w:tcPr>
            <w:tcW w:w="1440" w:type="dxa"/>
            <w:vAlign w:val="bottom"/>
            <w:gridSpan w:val="3"/>
            <w:vMerge w:val="restart"/>
          </w:tcPr>
          <w:p>
            <w:pPr>
              <w:spacing w:after="0"/>
              <w:rPr>
                <w:sz w:val="20"/>
                <w:szCs w:val="20"/>
                <w:color w:val="auto"/>
              </w:rPr>
            </w:pPr>
            <w:r>
              <w:rPr>
                <w:rFonts w:ascii="Arial" w:cs="Arial" w:eastAsia="Arial" w:hAnsi="Arial"/>
                <w:sz w:val="18"/>
                <w:szCs w:val="18"/>
                <w:color w:val="auto"/>
              </w:rPr>
              <w:t>Exhibit E</w:t>
            </w:r>
          </w:p>
        </w:tc>
        <w:tc>
          <w:tcPr>
            <w:tcW w:w="780" w:type="dxa"/>
            <w:vAlign w:val="bottom"/>
            <w:vMerge w:val="restart"/>
          </w:tcPr>
          <w:p>
            <w:pPr>
              <w:spacing w:after="0"/>
              <w:rPr>
                <w:sz w:val="20"/>
                <w:szCs w:val="20"/>
                <w:color w:val="auto"/>
              </w:rPr>
            </w:pPr>
            <w:r>
              <w:rPr>
                <w:rFonts w:ascii="Arial" w:cs="Arial" w:eastAsia="Arial" w:hAnsi="Arial"/>
                <w:sz w:val="18"/>
                <w:szCs w:val="18"/>
                <w:color w:val="auto"/>
              </w:rPr>
              <w:t>Form of</w:t>
            </w: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40" w:type="dxa"/>
            <w:vAlign w:val="bottom"/>
            <w:gridSpan w:val="18"/>
          </w:tcPr>
          <w:p>
            <w:pPr>
              <w:spacing w:after="0" w:line="168" w:lineRule="exact"/>
              <w:rPr>
                <w:sz w:val="20"/>
                <w:szCs w:val="20"/>
                <w:color w:val="auto"/>
              </w:rPr>
            </w:pPr>
            <w:r>
              <w:rPr>
                <w:rFonts w:ascii="Arial" w:cs="Arial" w:eastAsia="Arial" w:hAnsi="Arial"/>
                <w:sz w:val="18"/>
                <w:szCs w:val="18"/>
                <w:color w:val="auto"/>
              </w:rPr>
              <w:t>Intercompany Note</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United States Tax Compliance Certificate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20" w:type="dxa"/>
            <w:vAlign w:val="bottom"/>
            <w:gridSpan w:val="19"/>
          </w:tcPr>
          <w:p>
            <w:pPr>
              <w:spacing w:after="0"/>
              <w:rPr>
                <w:sz w:val="20"/>
                <w:szCs w:val="20"/>
                <w:color w:val="auto"/>
              </w:rPr>
            </w:pPr>
            <w:r>
              <w:rPr>
                <w:rFonts w:ascii="Arial" w:cs="Arial" w:eastAsia="Arial" w:hAnsi="Arial"/>
                <w:sz w:val="18"/>
                <w:szCs w:val="18"/>
                <w:color w:val="auto"/>
              </w:rPr>
              <w:t>(For Non-U.S. Lenders that are not Partnerships)</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United States Tax Compliance Certificate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20" w:type="dxa"/>
            <w:vAlign w:val="bottom"/>
            <w:gridSpan w:val="19"/>
          </w:tcPr>
          <w:p>
            <w:pPr>
              <w:spacing w:after="0"/>
              <w:rPr>
                <w:sz w:val="20"/>
                <w:szCs w:val="20"/>
                <w:color w:val="auto"/>
              </w:rPr>
            </w:pPr>
            <w:r>
              <w:rPr>
                <w:rFonts w:ascii="Arial" w:cs="Arial" w:eastAsia="Arial" w:hAnsi="Arial"/>
                <w:sz w:val="18"/>
                <w:szCs w:val="18"/>
                <w:color w:val="auto"/>
              </w:rPr>
              <w:t>(For Non-U.S. Lenders that are Partnerships)</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United States Tax Compliance Certificate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20" w:type="dxa"/>
            <w:vAlign w:val="bottom"/>
            <w:gridSpan w:val="19"/>
          </w:tcPr>
          <w:p>
            <w:pPr>
              <w:spacing w:after="0"/>
              <w:rPr>
                <w:sz w:val="20"/>
                <w:szCs w:val="20"/>
                <w:color w:val="auto"/>
              </w:rPr>
            </w:pPr>
            <w:r>
              <w:rPr>
                <w:rFonts w:ascii="Arial" w:cs="Arial" w:eastAsia="Arial" w:hAnsi="Arial"/>
                <w:sz w:val="18"/>
                <w:szCs w:val="18"/>
                <w:color w:val="auto"/>
              </w:rPr>
              <w:t>(For Non-U.S. Participants that are not Partnerships)</w:t>
            </w: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G-4</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United States Tax Compliance Certificate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20" w:type="dxa"/>
            <w:vAlign w:val="bottom"/>
            <w:gridSpan w:val="19"/>
          </w:tcPr>
          <w:p>
            <w:pPr>
              <w:spacing w:after="0"/>
              <w:rPr>
                <w:sz w:val="20"/>
                <w:szCs w:val="20"/>
                <w:color w:val="auto"/>
              </w:rPr>
            </w:pPr>
            <w:r>
              <w:rPr>
                <w:rFonts w:ascii="Arial" w:cs="Arial" w:eastAsia="Arial" w:hAnsi="Arial"/>
                <w:sz w:val="18"/>
                <w:szCs w:val="18"/>
                <w:color w:val="auto"/>
              </w:rPr>
              <w:t>(For Non-U.S. Participants that are Partnerships)</w:t>
            </w:r>
          </w:p>
        </w:tc>
        <w:tc>
          <w:tcPr>
            <w:tcW w:w="0" w:type="dxa"/>
            <w:vAlign w:val="bottom"/>
          </w:tcPr>
          <w:p>
            <w:pPr>
              <w:spacing w:after="0"/>
              <w:rPr>
                <w:sz w:val="1"/>
                <w:szCs w:val="1"/>
                <w:color w:val="auto"/>
              </w:rPr>
            </w:pPr>
          </w:p>
        </w:tc>
      </w:tr>
      <w:tr>
        <w:trPr>
          <w:trHeight w:val="190"/>
        </w:trPr>
        <w:tc>
          <w:tcPr>
            <w:tcW w:w="1440" w:type="dxa"/>
            <w:vAlign w:val="bottom"/>
            <w:gridSpan w:val="3"/>
          </w:tcPr>
          <w:p>
            <w:pPr>
              <w:spacing w:after="0" w:line="190" w:lineRule="exact"/>
              <w:rPr>
                <w:sz w:val="20"/>
                <w:szCs w:val="20"/>
                <w:color w:val="auto"/>
              </w:rPr>
            </w:pPr>
            <w:r>
              <w:rPr>
                <w:rFonts w:ascii="Arial" w:cs="Arial" w:eastAsia="Arial" w:hAnsi="Arial"/>
                <w:sz w:val="18"/>
                <w:szCs w:val="18"/>
                <w:color w:val="auto"/>
              </w:rPr>
              <w:t>Exhibit H</w:t>
            </w:r>
          </w:p>
        </w:tc>
        <w:tc>
          <w:tcPr>
            <w:tcW w:w="2100" w:type="dxa"/>
            <w:vAlign w:val="bottom"/>
            <w:gridSpan w:val="8"/>
          </w:tcPr>
          <w:p>
            <w:pPr>
              <w:spacing w:after="0" w:line="190" w:lineRule="exact"/>
              <w:rPr>
                <w:sz w:val="20"/>
                <w:szCs w:val="20"/>
                <w:color w:val="auto"/>
              </w:rPr>
            </w:pPr>
            <w:r>
              <w:rPr>
                <w:rFonts w:ascii="Arial" w:cs="Arial" w:eastAsia="Arial" w:hAnsi="Arial"/>
                <w:sz w:val="18"/>
                <w:szCs w:val="18"/>
                <w:color w:val="FF0000"/>
                <w:strike w:val="1"/>
                <w:w w:val="91"/>
              </w:rPr>
              <w:t>Form of Solvency Certificate</w:t>
            </w:r>
          </w:p>
        </w:tc>
        <w:tc>
          <w:tcPr>
            <w:tcW w:w="2320" w:type="dxa"/>
            <w:vAlign w:val="bottom"/>
            <w:tcBorders>
              <w:bottom w:val="single" w:sz="8" w:color="0000FF"/>
            </w:tcBorders>
            <w:gridSpan w:val="11"/>
          </w:tcPr>
          <w:p>
            <w:pPr>
              <w:spacing w:after="0" w:line="190" w:lineRule="exact"/>
              <w:rPr>
                <w:sz w:val="20"/>
                <w:szCs w:val="20"/>
                <w:color w:val="auto"/>
              </w:rPr>
            </w:pPr>
            <w:r>
              <w:rPr>
                <w:rFonts w:ascii="Arial" w:cs="Arial" w:eastAsia="Arial" w:hAnsi="Arial"/>
                <w:sz w:val="18"/>
                <w:szCs w:val="18"/>
                <w:color w:val="0000FF"/>
                <w:w w:val="90"/>
              </w:rPr>
              <w:t>UST Adequate Protection Order</w:t>
            </w:r>
          </w:p>
        </w:tc>
        <w:tc>
          <w:tcPr>
            <w:tcW w:w="0" w:type="dxa"/>
            <w:vAlign w:val="bottom"/>
          </w:tcPr>
          <w:p>
            <w:pPr>
              <w:spacing w:after="0"/>
              <w:rPr>
                <w:sz w:val="1"/>
                <w:szCs w:val="1"/>
                <w:color w:val="auto"/>
              </w:rPr>
            </w:pPr>
          </w:p>
        </w:tc>
      </w:tr>
      <w:tr>
        <w:trPr>
          <w:trHeight w:val="34"/>
        </w:trPr>
        <w:tc>
          <w:tcPr>
            <w:tcW w:w="1440" w:type="dxa"/>
            <w:vAlign w:val="bottom"/>
            <w:gridSpan w:val="3"/>
            <w:vMerge w:val="restart"/>
          </w:tcPr>
          <w:p>
            <w:pPr>
              <w:spacing w:after="0"/>
              <w:rPr>
                <w:sz w:val="20"/>
                <w:szCs w:val="20"/>
                <w:color w:val="auto"/>
              </w:rPr>
            </w:pPr>
            <w:r>
              <w:rPr>
                <w:rFonts w:ascii="Arial" w:cs="Arial" w:eastAsia="Arial" w:hAnsi="Arial"/>
                <w:sz w:val="18"/>
                <w:szCs w:val="18"/>
                <w:color w:val="auto"/>
              </w:rPr>
              <w:t>Exhibit I</w:t>
            </w:r>
          </w:p>
        </w:tc>
        <w:tc>
          <w:tcPr>
            <w:tcW w:w="2120" w:type="dxa"/>
            <w:vAlign w:val="bottom"/>
            <w:gridSpan w:val="9"/>
            <w:vMerge w:val="restart"/>
          </w:tcPr>
          <w:p>
            <w:pPr>
              <w:spacing w:after="0"/>
              <w:rPr>
                <w:sz w:val="20"/>
                <w:szCs w:val="20"/>
                <w:color w:val="auto"/>
              </w:rPr>
            </w:pPr>
            <w:r>
              <w:rPr>
                <w:rFonts w:ascii="Arial" w:cs="Arial" w:eastAsia="Arial" w:hAnsi="Arial"/>
                <w:sz w:val="18"/>
                <w:szCs w:val="18"/>
                <w:color w:val="auto"/>
              </w:rPr>
              <w:t>[Reserved]</w:t>
            </w:r>
          </w:p>
        </w:tc>
        <w:tc>
          <w:tcPr>
            <w:tcW w:w="100" w:type="dxa"/>
            <w:vAlign w:val="bottom"/>
            <w:tcBorders>
              <w:bottom w:val="single" w:sz="8" w:color="0000FF"/>
            </w:tcBorders>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6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58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40" w:type="dxa"/>
            <w:vAlign w:val="bottom"/>
            <w:gridSpan w:val="3"/>
            <w:vMerge w:val="continue"/>
          </w:tcPr>
          <w:p>
            <w:pPr>
              <w:spacing w:after="0"/>
              <w:rPr>
                <w:sz w:val="14"/>
                <w:szCs w:val="14"/>
                <w:color w:val="auto"/>
              </w:rPr>
            </w:pPr>
          </w:p>
        </w:tc>
        <w:tc>
          <w:tcPr>
            <w:tcW w:w="2120" w:type="dxa"/>
            <w:vAlign w:val="bottom"/>
            <w:gridSpan w:val="9"/>
            <w:vMerge w:val="continue"/>
          </w:tcPr>
          <w:p>
            <w:pPr>
              <w:spacing w:after="0"/>
              <w:rPr>
                <w:sz w:val="14"/>
                <w:szCs w:val="14"/>
                <w:color w:val="auto"/>
              </w:rPr>
            </w:pPr>
          </w:p>
        </w:tc>
        <w:tc>
          <w:tcPr>
            <w:tcW w:w="2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4420" w:type="dxa"/>
            <w:vAlign w:val="bottom"/>
            <w:gridSpan w:val="19"/>
          </w:tcPr>
          <w:p>
            <w:pPr>
              <w:spacing w:after="0"/>
              <w:rPr>
                <w:sz w:val="20"/>
                <w:szCs w:val="20"/>
                <w:color w:val="auto"/>
              </w:rPr>
            </w:pPr>
            <w:r>
              <w:rPr>
                <w:rFonts w:ascii="Arial" w:cs="Arial" w:eastAsia="Arial" w:hAnsi="Arial"/>
                <w:sz w:val="18"/>
                <w:szCs w:val="18"/>
                <w:color w:val="auto"/>
              </w:rPr>
              <w:t>Form of Term Note</w:t>
            </w:r>
          </w:p>
        </w:tc>
        <w:tc>
          <w:tcPr>
            <w:tcW w:w="0" w:type="dxa"/>
            <w:vAlign w:val="bottom"/>
          </w:tcPr>
          <w:p>
            <w:pPr>
              <w:spacing w:after="0"/>
              <w:rPr>
                <w:sz w:val="1"/>
                <w:szCs w:val="1"/>
                <w:color w:val="auto"/>
              </w:rPr>
            </w:pPr>
          </w:p>
        </w:tc>
      </w:t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FF0000"/>
                <w:strike w:val="1"/>
              </w:rPr>
              <w:t>Exhibit K</w:t>
            </w:r>
          </w:p>
        </w:tc>
        <w:tc>
          <w:tcPr>
            <w:tcW w:w="1520" w:type="dxa"/>
            <w:vAlign w:val="bottom"/>
            <w:gridSpan w:val="4"/>
          </w:tcPr>
          <w:p>
            <w:pPr>
              <w:spacing w:after="0"/>
              <w:rPr>
                <w:sz w:val="20"/>
                <w:szCs w:val="20"/>
                <w:color w:val="auto"/>
              </w:rPr>
            </w:pPr>
            <w:r>
              <w:rPr>
                <w:rFonts w:ascii="Arial" w:cs="Arial" w:eastAsia="Arial" w:hAnsi="Arial"/>
                <w:sz w:val="18"/>
                <w:szCs w:val="18"/>
                <w:color w:val="FF0000"/>
                <w:strike w:val="1"/>
                <w:w w:val="95"/>
              </w:rPr>
              <w:t>Auction Procedures</w:t>
            </w:r>
          </w:p>
        </w:tc>
        <w:tc>
          <w:tcPr>
            <w:tcW w:w="290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84"/>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23"/>
          </w:cols>
          <w:pgMar w:left="436" w:top="274" w:right="1440" w:bottom="1440" w:gutter="0" w:footer="0" w:header="0"/>
        </w:sectPr>
      </w:pPr>
    </w:p>
    <w:bookmarkStart w:id="134" w:name="page135"/>
    <w:bookmarkEnd w:id="134"/>
    <w:p>
      <w:pPr>
        <w:ind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AMENDED AND RESTATED CREDIT AGREEMENT, dated as of September 11, 2019 (as amended by Amendment No. 1, Amendment No. 2, </w:t>
      </w:r>
      <w:r>
        <w:rPr>
          <w:rFonts w:ascii="Arial" w:cs="Arial" w:eastAsia="Arial" w:hAnsi="Arial"/>
          <w:sz w:val="16"/>
          <w:szCs w:val="16"/>
          <w:color w:val="FF0000"/>
          <w:strike w:val="1"/>
        </w:rPr>
        <w:t>and</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Amendment No. 3</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 Amendment No. 4)</w:t>
      </w:r>
      <w:r>
        <w:rPr>
          <w:rFonts w:ascii="Arial" w:cs="Arial" w:eastAsia="Arial" w:hAnsi="Arial"/>
          <w:sz w:val="16"/>
          <w:szCs w:val="16"/>
          <w:color w:val="FF0000"/>
        </w:rPr>
        <w:t xml:space="preserve"> </w:t>
      </w:r>
      <w:r>
        <w:rPr>
          <w:rFonts w:ascii="Arial" w:cs="Arial" w:eastAsia="Arial" w:hAnsi="Arial"/>
          <w:sz w:val="16"/>
          <w:szCs w:val="16"/>
          <w:color w:val="000000"/>
        </w:rPr>
        <w:t>(this “</w:t>
      </w:r>
      <w:r>
        <w:rPr>
          <w:rFonts w:ascii="Arial" w:cs="Arial" w:eastAsia="Arial" w:hAnsi="Arial"/>
          <w:sz w:val="16"/>
          <w:szCs w:val="16"/>
          <w:b w:val="1"/>
          <w:bCs w:val="1"/>
          <w:color w:val="000000"/>
        </w:rPr>
        <w:t>Agreement</w:t>
      </w:r>
      <w:r>
        <w:rPr>
          <w:rFonts w:ascii="Arial" w:cs="Arial" w:eastAsia="Arial" w:hAnsi="Arial"/>
          <w:sz w:val="16"/>
          <w:szCs w:val="16"/>
          <w:color w:val="000000"/>
        </w:rPr>
        <w:t>”), among YELLOW CORPORATION (formerly known as YRC Worldwide Inc.), a</w:t>
      </w:r>
      <w:r>
        <w:rPr>
          <w:rFonts w:ascii="Arial" w:cs="Arial" w:eastAsia="Arial" w:hAnsi="Arial"/>
          <w:sz w:val="16"/>
          <w:szCs w:val="16"/>
          <w:color w:val="FF0000"/>
        </w:rPr>
        <w:t xml:space="preserve"> </w:t>
      </w:r>
      <w:r>
        <w:rPr>
          <w:rFonts w:ascii="Arial" w:cs="Arial" w:eastAsia="Arial" w:hAnsi="Arial"/>
          <w:sz w:val="16"/>
          <w:szCs w:val="16"/>
          <w:color w:val="000000"/>
        </w:rPr>
        <w:t>Delaware corporation (the “</w:t>
      </w:r>
      <w:r>
        <w:rPr>
          <w:rFonts w:ascii="Arial" w:cs="Arial" w:eastAsia="Arial" w:hAnsi="Arial"/>
          <w:sz w:val="16"/>
          <w:szCs w:val="16"/>
          <w:b w:val="1"/>
          <w:bCs w:val="1"/>
          <w:color w:val="000000"/>
        </w:rPr>
        <w:t>Borrower</w:t>
      </w:r>
      <w:r>
        <w:rPr>
          <w:rFonts w:ascii="Arial" w:cs="Arial" w:eastAsia="Arial" w:hAnsi="Arial"/>
          <w:sz w:val="16"/>
          <w:szCs w:val="16"/>
          <w:color w:val="000000"/>
        </w:rPr>
        <w:t>”), the Guarantors party hereto from time to time, the Lenders (such term and each other capitalized term used but not defined in this introductory statement having the meaning given it in Article 1), and ALTER DOMUS PRODUCTS CORP. (formerly known as CORTLAND PRODUCTS CORP.), as administrative agent (in such capacity, including any permitted successor or assign thereto, the “</w:t>
      </w:r>
      <w:r>
        <w:rPr>
          <w:rFonts w:ascii="Arial" w:cs="Arial" w:eastAsia="Arial" w:hAnsi="Arial"/>
          <w:sz w:val="16"/>
          <w:szCs w:val="16"/>
          <w:b w:val="1"/>
          <w:bCs w:val="1"/>
          <w:color w:val="000000"/>
        </w:rPr>
        <w:t>Administrative</w:t>
      </w:r>
      <w:r>
        <w:rPr>
          <w:rFonts w:ascii="Arial" w:cs="Arial" w:eastAsia="Arial" w:hAnsi="Arial"/>
          <w:sz w:val="16"/>
          <w:szCs w:val="16"/>
          <w:color w:val="000000"/>
        </w:rPr>
        <w:t xml:space="preserve"> </w:t>
      </w:r>
      <w:r>
        <w:rPr>
          <w:rFonts w:ascii="Arial" w:cs="Arial" w:eastAsia="Arial" w:hAnsi="Arial"/>
          <w:sz w:val="16"/>
          <w:szCs w:val="16"/>
          <w:b w:val="1"/>
          <w:bCs w:val="1"/>
          <w:color w:val="000000"/>
        </w:rPr>
        <w:t>Agent</w:t>
      </w:r>
      <w:r>
        <w:rPr>
          <w:rFonts w:ascii="Arial" w:cs="Arial" w:eastAsia="Arial" w:hAnsi="Arial"/>
          <w:sz w:val="16"/>
          <w:szCs w:val="16"/>
          <w:color w:val="000000"/>
        </w:rPr>
        <w:t>”) and as collateral agent (in such capacity, including any permitted successor or assign thereto, the “</w:t>
      </w:r>
      <w:r>
        <w:rPr>
          <w:rFonts w:ascii="Arial" w:cs="Arial" w:eastAsia="Arial" w:hAnsi="Arial"/>
          <w:sz w:val="16"/>
          <w:szCs w:val="16"/>
          <w:b w:val="1"/>
          <w:bCs w:val="1"/>
          <w:color w:val="000000"/>
        </w:rPr>
        <w:t>Collateral Agent</w:t>
      </w:r>
      <w:r>
        <w:rPr>
          <w:rFonts w:ascii="Arial" w:cs="Arial" w:eastAsia="Arial" w:hAnsi="Arial"/>
          <w:sz w:val="16"/>
          <w:szCs w:val="16"/>
          <w:color w:val="000000"/>
        </w:rPr>
        <w:t>”)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-563245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-563245</wp:posOffset>
            </wp:positionV>
            <wp:extent cx="10801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44"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 xml:space="preserve">WHEREAS, the Borrower, the financial institutions party thereto and Credit Suisse AG, Cayman Islands Branch, as predecessor Administrative Agent and predecessor Collateral Agent, </w:t>
      </w:r>
      <w:r>
        <w:rPr>
          <w:rFonts w:ascii="Arial" w:cs="Arial" w:eastAsia="Arial" w:hAnsi="Arial"/>
          <w:sz w:val="16"/>
          <w:szCs w:val="16"/>
          <w:color w:val="FF0000"/>
          <w:strike w:val="1"/>
        </w:rPr>
        <w:t>are</w:t>
      </w:r>
      <w:r>
        <w:rPr>
          <w:rFonts w:ascii="Arial" w:cs="Arial" w:eastAsia="Arial" w:hAnsi="Arial"/>
          <w:sz w:val="16"/>
          <w:szCs w:val="16"/>
          <w:u w:val="single" w:color="auto"/>
          <w:color w:val="0000FF"/>
        </w:rPr>
        <w:t>were</w:t>
      </w:r>
      <w:r>
        <w:rPr>
          <w:rFonts w:ascii="Arial" w:cs="Arial" w:eastAsia="Arial" w:hAnsi="Arial"/>
          <w:sz w:val="16"/>
          <w:szCs w:val="16"/>
          <w:color w:val="auto"/>
        </w:rPr>
        <w:t xml:space="preserve"> parties to a Credit Agreement dated as of February 13, 2014 (as amend</w:t>
      </w:r>
      <w:r>
        <w:rPr>
          <w:rFonts w:ascii="Arial" w:cs="Arial" w:eastAsia="Arial" w:hAnsi="Arial"/>
          <w:sz w:val="16"/>
          <w:szCs w:val="16"/>
          <w:color w:val="FF0000"/>
          <w:strike w:val="1"/>
        </w:rPr>
        <w:t>m</w:t>
      </w:r>
      <w:r>
        <w:rPr>
          <w:rFonts w:ascii="Arial" w:cs="Arial" w:eastAsia="Arial" w:hAnsi="Arial"/>
          <w:sz w:val="16"/>
          <w:szCs w:val="16"/>
          <w:color w:val="auto"/>
        </w:rPr>
        <w:t>e</w:t>
      </w:r>
      <w:r>
        <w:rPr>
          <w:rFonts w:ascii="Arial" w:cs="Arial" w:eastAsia="Arial" w:hAnsi="Arial"/>
          <w:sz w:val="16"/>
          <w:szCs w:val="16"/>
          <w:color w:val="FF0000"/>
          <w:strike w:val="1"/>
        </w:rPr>
        <w:t>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w:t>
      </w:r>
      <w:r>
        <w:rPr>
          <w:rFonts w:ascii="Arial" w:cs="Arial" w:eastAsia="Arial" w:hAnsi="Arial"/>
          <w:sz w:val="16"/>
          <w:szCs w:val="16"/>
          <w:color w:val="auto"/>
        </w:rPr>
        <w:t xml:space="preserve">, supplemented and modified and in effect on </w:t>
      </w:r>
      <w:r>
        <w:rPr>
          <w:rFonts w:ascii="Arial" w:cs="Arial" w:eastAsia="Arial" w:hAnsi="Arial"/>
          <w:sz w:val="16"/>
          <w:szCs w:val="16"/>
          <w:color w:val="FF0000"/>
          <w:strike w:val="1"/>
        </w:rPr>
        <w:t>the Restatement Effective Date, the “</w:t>
      </w:r>
      <w:r>
        <w:rPr>
          <w:rFonts w:ascii="Arial" w:cs="Arial" w:eastAsia="Arial" w:hAnsi="Arial"/>
          <w:sz w:val="16"/>
          <w:szCs w:val="16"/>
          <w:b w:val="1"/>
          <w:bCs w:val="1"/>
          <w:color w:val="FF0000"/>
          <w:strike w:val="1"/>
        </w:rPr>
        <w:t>Existing</w:t>
      </w:r>
      <w:r>
        <w:rPr>
          <w:rFonts w:ascii="Arial" w:cs="Arial" w:eastAsia="Arial" w:hAnsi="Arial"/>
          <w:sz w:val="16"/>
          <w:szCs w:val="16"/>
          <w:u w:val="single" w:color="auto"/>
          <w:color w:val="0000FF"/>
        </w:rPr>
        <w:t>September 11, 2019, the “Original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-161290</wp:posOffset>
            </wp:positionV>
            <wp:extent cx="2228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-161290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-24130</wp:posOffset>
            </wp:positionV>
            <wp:extent cx="15944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2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u w:val="single" w:color="auto"/>
          <w:color w:val="0000FF"/>
        </w:rPr>
        <w:t>WHEREAS, as of September 11, 2019, the Original Credit Agreement was amended and restated pursuant to an Amended and Restated Credit Agreement dated as of September 11, 2019 (as subsequently amended by Amendment No. 1, Amendment No. 2 and Amendment No. 3 and as in effect prior to the effectiveness of the DIP Term Sheet (as defined below), the “Prepetition B-2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-288290</wp:posOffset>
            </wp:positionV>
            <wp:extent cx="65233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909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537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37835" cy="8890"/>
                    </a:xfrm>
                    <a:prstGeom prst="rect">
                      <a:avLst/>
                    </a:prstGeom>
                    <a:noFill/>
                  </pic:spPr>
                </pic:pic>
              </a:graphicData>
            </a:graphic>
          </wp:anchor>
        </w:drawing>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WHEREAS, on August 6, 2023 (the “</w:t>
      </w:r>
      <w:r>
        <w:rPr>
          <w:rFonts w:ascii="Arial" w:cs="Arial" w:eastAsia="Arial" w:hAnsi="Arial"/>
          <w:sz w:val="16"/>
          <w:szCs w:val="16"/>
          <w:b w:val="1"/>
          <w:bCs w:val="1"/>
          <w:u w:val="single" w:color="auto"/>
          <w:color w:val="0000FF"/>
        </w:rPr>
        <w:t>Petition Date</w:t>
      </w:r>
      <w:r>
        <w:rPr>
          <w:rFonts w:ascii="Arial" w:cs="Arial" w:eastAsia="Arial" w:hAnsi="Arial"/>
          <w:sz w:val="16"/>
          <w:szCs w:val="16"/>
          <w:u w:val="single" w:color="auto"/>
          <w:color w:val="0000FF"/>
        </w:rPr>
        <w:t>”), the Borrower and certain of its Subsidiaries (together with the Borrower, collectively,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Debtors</w:t>
      </w:r>
      <w:r>
        <w:rPr>
          <w:rFonts w:ascii="Arial" w:cs="Arial" w:eastAsia="Arial" w:hAnsi="Arial"/>
          <w:sz w:val="16"/>
          <w:szCs w:val="16"/>
          <w:u w:val="single" w:color="auto"/>
          <w:color w:val="0000FF"/>
        </w:rPr>
        <w:t>” ) commenced voluntary cases under Chapter 11 of the Bankruptcy Code (the “</w:t>
      </w:r>
      <w:r>
        <w:rPr>
          <w:rFonts w:ascii="Arial" w:cs="Arial" w:eastAsia="Arial" w:hAnsi="Arial"/>
          <w:sz w:val="16"/>
          <w:szCs w:val="16"/>
          <w:b w:val="1"/>
          <w:bCs w:val="1"/>
          <w:u w:val="single" w:color="auto"/>
          <w:color w:val="0000FF"/>
        </w:rPr>
        <w:t>Chapter 11 Cases</w:t>
      </w:r>
      <w:r>
        <w:rPr>
          <w:rFonts w:ascii="Arial" w:cs="Arial" w:eastAsia="Arial" w:hAnsi="Arial"/>
          <w:sz w:val="16"/>
          <w:szCs w:val="16"/>
          <w:u w:val="single" w:color="auto"/>
          <w:color w:val="0000FF"/>
        </w:rPr>
        <w:t>”) in the United States Bankruptcy Court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-107315</wp:posOffset>
            </wp:positionV>
            <wp:extent cx="65836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the District of Delaware (the “</w:t>
      </w:r>
      <w:r>
        <w:rPr>
          <w:rFonts w:ascii="Arial" w:cs="Arial" w:eastAsia="Arial" w:hAnsi="Arial"/>
          <w:sz w:val="17"/>
          <w:szCs w:val="17"/>
          <w:b w:val="1"/>
          <w:bCs w:val="1"/>
          <w:u w:val="single" w:color="auto"/>
          <w:color w:val="0000FF"/>
        </w:rPr>
        <w:t>Bankruptcy Court</w:t>
      </w:r>
      <w:r>
        <w:rPr>
          <w:rFonts w:ascii="Arial" w:cs="Arial" w:eastAsia="Arial" w:hAnsi="Arial"/>
          <w:sz w:val="17"/>
          <w:szCs w:val="17"/>
          <w:u w:val="single" w:color="auto"/>
          <w:color w:val="0000FF"/>
        </w:rPr>
        <w:t>”), and the Debtors have continued to operate their businesses and manage their properties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978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debtors-in-possession pursuant to sections 1107 and 1108 of the Bankruptcy Code in order to effect a wind down of their businesses and sale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540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properties to repay existing Indebtedness (including the Obligations hereunder and the Junior DIP Obligations) with the net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7894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6454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pacing w:after="0" w:line="20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u w:val="single" w:color="auto"/>
          <w:color w:val="0000FF"/>
        </w:rPr>
        <w:t>WHEREAS, the Borrower, in its capacity as “foreign representative” on behalf of the Debtors, commenced proceedings before the Ontario Superior Court of Justice (Commercial List) in Toronto, Ontario, Canada (the “</w:t>
      </w:r>
      <w:r>
        <w:rPr>
          <w:rFonts w:ascii="Arial" w:cs="Arial" w:eastAsia="Arial" w:hAnsi="Arial"/>
          <w:sz w:val="18"/>
          <w:szCs w:val="18"/>
          <w:b w:val="1"/>
          <w:bCs w:val="1"/>
          <w:u w:val="single" w:color="auto"/>
          <w:color w:val="0000FF"/>
        </w:rPr>
        <w:t>Canadian Court</w:t>
      </w:r>
      <w:r>
        <w:rPr>
          <w:rFonts w:ascii="Arial" w:cs="Arial" w:eastAsia="Arial" w:hAnsi="Arial"/>
          <w:sz w:val="18"/>
          <w:szCs w:val="18"/>
          <w:u w:val="single" w:color="auto"/>
          <w:color w:val="0000FF"/>
        </w:rPr>
        <w:t>”) under Part IV of the Companies’ Creditors Arrangement Act (Canada), R.S.C. 1985, c. C-36, as amended (the “</w:t>
      </w:r>
      <w:r>
        <w:rPr>
          <w:rFonts w:ascii="Arial" w:cs="Arial" w:eastAsia="Arial" w:hAnsi="Arial"/>
          <w:sz w:val="18"/>
          <w:szCs w:val="18"/>
          <w:b w:val="1"/>
          <w:bCs w:val="1"/>
          <w:u w:val="single" w:color="auto"/>
          <w:color w:val="0000FF"/>
        </w:rPr>
        <w:t>CCAA</w:t>
      </w:r>
      <w:r>
        <w:rPr>
          <w:rFonts w:ascii="Arial" w:cs="Arial" w:eastAsia="Arial" w:hAnsi="Arial"/>
          <w:sz w:val="18"/>
          <w:szCs w:val="18"/>
          <w:u w:val="single" w:color="auto"/>
          <w:color w:val="0000FF"/>
        </w:rPr>
        <w:t>” ) bearing Court File No. CV-23-00704038-00CL, recognizing the Chapter 11 Cases as “foreign main proceedings” in respect of the Canadian Debtors (as defined herein) (the “</w:t>
      </w:r>
      <w:r>
        <w:rPr>
          <w:rFonts w:ascii="Arial" w:cs="Arial" w:eastAsia="Arial" w:hAnsi="Arial"/>
          <w:sz w:val="18"/>
          <w:szCs w:val="18"/>
          <w:b w:val="1"/>
          <w:bCs w:val="1"/>
          <w:u w:val="single" w:color="auto"/>
          <w:color w:val="0000FF"/>
        </w:rPr>
        <w:t>Canadian Recognition Proceedings</w:t>
      </w:r>
      <w:r>
        <w:rPr>
          <w:rFonts w:ascii="Arial" w:cs="Arial" w:eastAsia="Arial" w:hAnsi="Arial"/>
          <w:sz w:val="18"/>
          <w:szCs w:val="18"/>
          <w:u w:val="single" w:color="auto"/>
          <w:color w:val="0000FF"/>
        </w:rPr>
        <w:t>”) and granting certain customary related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3436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4808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917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5919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8599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color w:val="FF0000"/>
          <w:strike w:val="1"/>
        </w:rPr>
        <w:t>(i)</w:t>
      </w:r>
      <w:r>
        <w:rPr>
          <w:rFonts w:ascii="Arial" w:cs="Arial" w:eastAsia="Arial" w:hAnsi="Arial"/>
          <w:sz w:val="18"/>
          <w:szCs w:val="18"/>
          <w:color w:val="auto"/>
        </w:rPr>
        <w:t xml:space="preserve"> the Borrower has requested </w:t>
      </w:r>
      <w:r>
        <w:rPr>
          <w:rFonts w:ascii="Arial" w:cs="Arial" w:eastAsia="Arial" w:hAnsi="Arial"/>
          <w:sz w:val="18"/>
          <w:szCs w:val="18"/>
          <w:color w:val="FF0000"/>
          <w:strike w:val="1"/>
        </w:rPr>
        <w:t>that the Tranche B-2 Term Lenders (as defined below) make, and the Tranche B-2 Term</w:t>
      </w:r>
      <w:r>
        <w:rPr>
          <w:rFonts w:ascii="Arial" w:cs="Arial" w:eastAsia="Arial" w:hAnsi="Arial"/>
          <w:sz w:val="18"/>
          <w:szCs w:val="18"/>
          <w:u w:val="single" w:color="auto"/>
          <w:color w:val="0000FF"/>
        </w:rPr>
        <w:t>and the</w:t>
      </w:r>
      <w:r>
        <w:rPr>
          <w:rFonts w:ascii="Arial" w:cs="Arial" w:eastAsia="Arial" w:hAnsi="Arial"/>
          <w:sz w:val="18"/>
          <w:szCs w:val="18"/>
          <w:color w:val="auto"/>
        </w:rPr>
        <w:t xml:space="preserve"> Lenders have agreed to </w:t>
      </w:r>
      <w:r>
        <w:rPr>
          <w:rFonts w:ascii="Arial" w:cs="Arial" w:eastAsia="Arial" w:hAnsi="Arial"/>
          <w:sz w:val="18"/>
          <w:szCs w:val="18"/>
          <w:color w:val="FF0000"/>
          <w:strike w:val="1"/>
        </w:rPr>
        <w:t>make subject to the conditions set forth herein, the Tranche B-2 Term Loans the proceeds of which shall be used to refinance the</w:t>
      </w:r>
      <w:r>
        <w:rPr>
          <w:rFonts w:ascii="Arial" w:cs="Arial" w:eastAsia="Arial" w:hAnsi="Arial"/>
          <w:sz w:val="18"/>
          <w:szCs w:val="18"/>
          <w:color w:val="auto"/>
        </w:rPr>
        <w:t xml:space="preserve"> </w:t>
      </w:r>
      <w:r>
        <w:rPr>
          <w:rFonts w:ascii="Arial" w:cs="Arial" w:eastAsia="Arial" w:hAnsi="Arial"/>
          <w:sz w:val="18"/>
          <w:szCs w:val="18"/>
          <w:color w:val="FF0000"/>
          <w:strike w:val="1"/>
        </w:rPr>
        <w:t>Term Loans outstanding under the Existing Credit Agreement in full (the “</w:t>
      </w:r>
      <w:r>
        <w:rPr>
          <w:rFonts w:ascii="Arial" w:cs="Arial" w:eastAsia="Arial" w:hAnsi="Arial"/>
          <w:sz w:val="18"/>
          <w:szCs w:val="18"/>
          <w:b w:val="1"/>
          <w:bCs w:val="1"/>
          <w:color w:val="FF0000"/>
          <w:strike w:val="1"/>
        </w:rPr>
        <w:t>Refinancing Transaction</w:t>
      </w:r>
      <w:r>
        <w:rPr>
          <w:rFonts w:ascii="Arial" w:cs="Arial" w:eastAsia="Arial" w:hAnsi="Arial"/>
          <w:sz w:val="18"/>
          <w:szCs w:val="18"/>
          <w:color w:val="FF0000"/>
          <w:strike w:val="1"/>
        </w:rPr>
        <w:t>”), for working capital and other corporate purposes and (ii) in connection with the Refinancing Transaction, the Borrower and the other Loan Parties and the Tranche B-2 Term Lenders, have agreed to amend and restate the Existing Credit Agreement in its entirety pursuant to this Agreement (the “</w:t>
      </w:r>
      <w:r>
        <w:rPr>
          <w:rFonts w:ascii="Arial" w:cs="Arial" w:eastAsia="Arial" w:hAnsi="Arial"/>
          <w:sz w:val="18"/>
          <w:szCs w:val="18"/>
          <w:b w:val="1"/>
          <w:bCs w:val="1"/>
          <w:color w:val="FF0000"/>
          <w:strike w:val="1"/>
        </w:rPr>
        <w:t>Restatement</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provide a senior secured super-priority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debtor-in-possession term loan facility to the Borrower (the “</w:t>
      </w:r>
      <w:r>
        <w:rPr>
          <w:rFonts w:ascii="Arial" w:cs="Arial" w:eastAsia="Arial" w:hAnsi="Arial"/>
          <w:sz w:val="18"/>
          <w:szCs w:val="18"/>
          <w:b w:val="1"/>
          <w:bCs w:val="1"/>
          <w:u w:val="single" w:color="auto"/>
          <w:color w:val="0000FF"/>
          <w:strike w:val="1"/>
        </w:rPr>
        <w:t>Postpetition B-2 Facility</w:t>
      </w:r>
      <w:r>
        <w:rPr>
          <w:rFonts w:ascii="Arial" w:cs="Arial" w:eastAsia="Arial" w:hAnsi="Arial"/>
          <w:sz w:val="18"/>
          <w:szCs w:val="18"/>
          <w:u w:val="single" w:color="auto"/>
          <w:color w:val="0000FF"/>
          <w:strike w:val="1"/>
        </w:rPr>
        <w:t>”) consisting of New Money Postpetition Term Loans in an aggregate committed amount of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-818515</wp:posOffset>
            </wp:positionV>
            <wp:extent cx="3340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-269875</wp:posOffset>
            </wp:positionV>
            <wp:extent cx="17659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6776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2143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7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u w:val="single" w:color="auto"/>
          <w:color w:val="0000FF"/>
        </w:rPr>
        <w:t>WHEREAS, on August 21, 2023, the Lenders advanced the Initial Postpetition Loan as the first installment of the New Money Postpetition Loans to the Borrower pursuant to the terms of that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694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3742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35" w:name="page136"/>
    <w:bookmarkEnd w:id="135"/>
    <w:p>
      <w:pPr>
        <w:ind w:right="200"/>
        <w:spacing w:after="0" w:line="261"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Debtor-In-Possession Credit Facility Term Sheet (as amended, restated, amended and restated, supplemented or otherwise modified, the “</w:t>
      </w:r>
      <w:r>
        <w:rPr>
          <w:rFonts w:ascii="Arial" w:cs="Arial" w:eastAsia="Arial" w:hAnsi="Arial"/>
          <w:sz w:val="18"/>
          <w:szCs w:val="18"/>
          <w:b w:val="1"/>
          <w:bCs w:val="1"/>
          <w:u w:val="single" w:color="auto"/>
          <w:color w:val="0000FF"/>
        </w:rPr>
        <w:t>DIP Term</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Sheet</w:t>
      </w:r>
      <w:r>
        <w:rPr>
          <w:rFonts w:ascii="Arial" w:cs="Arial" w:eastAsia="Arial" w:hAnsi="Arial"/>
          <w:sz w:val="18"/>
          <w:szCs w:val="18"/>
          <w:u w:val="single" w:color="auto"/>
          <w:color w:val="0000FF"/>
        </w:rPr>
        <w:t>”), by and among the Loan Parties, the Lenders, the Junior DIP Lenders, the Administrative Agent, the Junior DIP Agent and the Stalking Horse</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Purchaser (as defined therein), and the Interim Order (as defined herein). This Agreement restates and replaces the DIP Term Sheet insofar as the DIP Term Sheet relates to the Postpetition B-2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67805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66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491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3056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u w:val="single" w:color="auto"/>
          <w:color w:val="0000FF"/>
        </w:rPr>
        <w:t>WHEREAS, the Guarantors have agreed to guarantee</w:t>
      </w:r>
      <w:r>
        <w:rPr>
          <w:rFonts w:ascii="Arial" w:cs="Arial" w:eastAsia="Arial" w:hAnsi="Arial"/>
          <w:sz w:val="18"/>
          <w:szCs w:val="18"/>
          <w:color w:val="0000FF"/>
        </w:rPr>
        <w:t xml:space="preserve"> </w:t>
      </w:r>
      <w:r>
        <w:rPr>
          <w:rFonts w:ascii="Arial" w:cs="Arial" w:eastAsia="Arial" w:hAnsi="Arial"/>
          <w:sz w:val="18"/>
          <w:szCs w:val="18"/>
          <w:color w:val="008000"/>
        </w:rPr>
        <w:t>the obligations of the Borrower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hereunder and the Borrower and the Guarantors have agreed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to secure their respective Obligations by granting to the Collateral Agent, for the benefit of Secured Parties, a lien on substantially all of their respective assets, in accordance with the priorities provided in the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-311150</wp:posOffset>
            </wp:positionV>
            <wp:extent cx="6703695"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0369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43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0429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4" w:lineRule="exact"/>
        <w:rPr>
          <w:sz w:val="20"/>
          <w:szCs w:val="20"/>
          <w:color w:val="auto"/>
        </w:rPr>
      </w:pPr>
    </w:p>
    <w:p>
      <w:pPr>
        <w:jc w:val="both"/>
        <w:ind w:right="240" w:firstLine="440"/>
        <w:spacing w:after="0" w:line="342" w:lineRule="auto"/>
        <w:rPr>
          <w:sz w:val="20"/>
          <w:szCs w:val="20"/>
          <w:color w:val="auto"/>
        </w:rPr>
      </w:pPr>
      <w:r>
        <w:rPr>
          <w:rFonts w:ascii="Arial" w:cs="Arial" w:eastAsia="Arial" w:hAnsi="Arial"/>
          <w:sz w:val="16"/>
          <w:szCs w:val="16"/>
          <w:color w:val="auto"/>
        </w:rPr>
        <w:t xml:space="preserve">NOW, THEREFORE, for good and valuable consideration, the receipt and sufficiency of which are hereby acknowledged by the parties hereto, the parties hereto agree that the </w:t>
      </w:r>
      <w:r>
        <w:rPr>
          <w:rFonts w:ascii="Arial" w:cs="Arial" w:eastAsia="Arial" w:hAnsi="Arial"/>
          <w:sz w:val="16"/>
          <w:szCs w:val="16"/>
          <w:color w:val="FF0000"/>
          <w:strike w:val="1"/>
        </w:rPr>
        <w:t>Existing</w:t>
      </w:r>
      <w:r>
        <w:rPr>
          <w:rFonts w:ascii="Arial" w:cs="Arial" w:eastAsia="Arial" w:hAnsi="Arial"/>
          <w:sz w:val="16"/>
          <w:szCs w:val="16"/>
          <w:u w:val="single" w:color="auto"/>
          <w:color w:val="0000FF"/>
        </w:rPr>
        <w:t>Prepetition B-2 Term Loan</w:t>
      </w:r>
      <w:r>
        <w:rPr>
          <w:rFonts w:ascii="Arial" w:cs="Arial" w:eastAsia="Arial" w:hAnsi="Arial"/>
          <w:sz w:val="16"/>
          <w:szCs w:val="16"/>
          <w:color w:val="auto"/>
        </w:rPr>
        <w:t xml:space="preserve"> Credit Agreement shall be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-40640</wp:posOffset>
            </wp:positionV>
            <wp:extent cx="12255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1.01</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w:t>
      </w:r>
      <w:r>
        <w:rPr>
          <w:rFonts w:ascii="Arial" w:cs="Arial" w:eastAsia="Arial" w:hAnsi="Arial"/>
          <w:sz w:val="18"/>
          <w:szCs w:val="18"/>
          <w:color w:val="0000FF"/>
        </w:rPr>
        <w:t xml:space="preserve"> </w:t>
      </w:r>
      <w:r>
        <w:rPr>
          <w:rFonts w:ascii="Arial" w:cs="Arial" w:eastAsia="Arial" w:hAnsi="Arial"/>
          <w:sz w:val="18"/>
          <w:szCs w:val="18"/>
          <w:i w:val="1"/>
          <w:iCs w:val="1"/>
          <w:color w:val="000000"/>
        </w:rPr>
        <w:t>Defined Terms.</w:t>
      </w:r>
      <w:r>
        <w:rPr>
          <w:rFonts w:ascii="Arial" w:cs="Arial" w:eastAsia="Arial" w:hAnsi="Arial"/>
          <w:sz w:val="18"/>
          <w:szCs w:val="18"/>
          <w:color w:val="0000FF"/>
        </w:rPr>
        <w:t xml:space="preserve"> </w:t>
      </w:r>
      <w:r>
        <w:rPr>
          <w:rFonts w:ascii="Arial" w:cs="Arial" w:eastAsia="Arial" w:hAnsi="Arial"/>
          <w:sz w:val="18"/>
          <w:szCs w:val="18"/>
          <w:color w:val="000000"/>
        </w:rPr>
        <w:t>As used in this Agreement, the following terms shall have the meanings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000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1"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008000"/>
          <w:strike w:val="1"/>
        </w:rPr>
        <w:t>ABL</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Agent” shall mean, as the context may require, Citizens Business Capital (a division of Citizens Asset Finance, Inc., a subsidiary of</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Citizens, N.A.), in its capacity as administrative agent under the ABL Facility Documentation, Citizens Business Capital (a division of Citizens Asset Finance, Inc., a subsidiary of Citizens, N.A.), in its capacity as collateral agent under the </w:t>
      </w:r>
      <w:r>
        <w:rPr>
          <w:rFonts w:ascii="Arial" w:cs="Arial" w:eastAsia="Arial" w:hAnsi="Arial"/>
          <w:sz w:val="17"/>
          <w:szCs w:val="17"/>
          <w:color w:val="FF0000"/>
          <w:strike w:val="1"/>
        </w:rPr>
        <w:t>ABL Facility Documentation, such agents collectively or any</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permitted successor or assignee administrative agent or collateral agent under the ABL Facility Documentation.</w:t>
      </w:r>
    </w:p>
    <w:p>
      <w:pPr>
        <w:spacing w:after="0" w:line="169"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color w:val="008000"/>
          <w:strike w:val="1"/>
        </w:rPr>
        <w:t>ABL Credit Agreement” shall mean that certain asset-based revolving credit agreement dated as of the</w:t>
      </w:r>
      <w:r>
        <w:rPr>
          <w:rFonts w:ascii="Arial" w:cs="Arial" w:eastAsia="Arial" w:hAnsi="Arial"/>
          <w:sz w:val="16"/>
          <w:szCs w:val="16"/>
          <w:color w:val="FF0000"/>
          <w:strike w:val="1"/>
        </w:rPr>
        <w:t xml:space="preserve"> Original Closing Date, </w:t>
      </w:r>
      <w:r>
        <w:rPr>
          <w:rFonts w:ascii="Arial" w:cs="Arial" w:eastAsia="Arial" w:hAnsi="Arial"/>
          <w:sz w:val="16"/>
          <w:szCs w:val="16"/>
          <w:color w:val="008000"/>
          <w:strike w:val="1"/>
        </w:rPr>
        <w:t>among the</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Borrower, YRC Inc., a Delaware corporation, USF Reddaway Inc., an Oregon corporation, USF Holland LLC, a Delaware limited liability company (as successor to USF Holland, Inc., a Michigan corporation) and New Penn Motor Express, LLC, a Delaware limited liability company (as successor to New Penn Motor Express, Inc., a Pennsylvania corporation), the other subsidiaries of the Borrower party thereto, the lenders party thereto and the </w:t>
      </w:r>
      <w:r>
        <w:rPr>
          <w:rFonts w:ascii="Arial" w:cs="Arial" w:eastAsia="Arial" w:hAnsi="Arial"/>
          <w:sz w:val="16"/>
          <w:szCs w:val="16"/>
          <w:color w:val="FF0000"/>
          <w:strike w:val="1"/>
        </w:rPr>
        <w:t>ABL</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Agent, as amended by that certain Amendment No. 1, dated September 23, 2015, Amendment No. 2, dated June 28, 2016, Amendment No. 3 and Limited Consent, dated January 30, 2018, Amendment No. 4, dated February 12, 2019, Amendment No. 5, dated September 11, 2019, Amendment No. 6, dated July 7, 2020 and Amendment No. 7, dated October 31, 2022, and as the same may be further amended, restated, modified, supplemented, extended, renewed, restructured, refunded, replaced or refinanced from time to time in one or more agreements (in each case with the same or new lenders, institutional investors or agents and resulting in a financing that constitutes (or that would constitute if incurred as a new financing) a Permitted Refinancing of the ABL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if applicable, the ABL Intercreditor Agreement;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any such amendment, restatement, modification supplement, extension, renewal, restructuring, refunding, replacement or refinancing shall be permitted hereunder only if all commitments thereunder are </w:t>
      </w:r>
      <w:r>
        <w:rPr>
          <w:rFonts w:ascii="Arial" w:cs="Arial" w:eastAsia="Arial" w:hAnsi="Arial"/>
          <w:sz w:val="16"/>
          <w:szCs w:val="16"/>
          <w:color w:val="008000"/>
          <w:strike w:val="1"/>
        </w:rPr>
        <w:t>provided by lenders who are third party commercial banks or other financial institutions that customarily provide asset based lending credit facilities</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and other financial institutions consented to by the Administrative Agent (such consent not to be unreasonably withheld or delayed).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36" w:name="page137"/>
    <w:bookmarkEnd w:id="136"/>
    <w:p>
      <w:pPr>
        <w:ind w:right="80" w:firstLine="440"/>
        <w:spacing w:after="0" w:line="282"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008000"/>
          <w:strike w:val="1"/>
        </w:rPr>
        <w:t>ABL Facility</w:t>
      </w:r>
      <w:r>
        <w:rPr>
          <w:rFonts w:ascii="Arial" w:cs="Arial" w:eastAsia="Arial" w:hAnsi="Arial"/>
          <w:sz w:val="18"/>
          <w:szCs w:val="18"/>
          <w:color w:val="008000"/>
          <w:strike w:val="1"/>
        </w:rPr>
        <w:t>” shall mean the asset-based revolving credit facility made available to the Borrower and certain of its Subsidiaries pursuant to the</w:t>
      </w:r>
      <w:r>
        <w:rPr>
          <w:rFonts w:ascii="Arial" w:cs="Arial" w:eastAsia="Arial" w:hAnsi="Arial"/>
          <w:sz w:val="18"/>
          <w:szCs w:val="18"/>
          <w:color w:val="FF0000"/>
          <w:strike w:val="1"/>
        </w:rPr>
        <w:t xml:space="preserve"> ABL Credit Agreement.</w:t>
      </w:r>
    </w:p>
    <w:p>
      <w:pPr>
        <w:spacing w:after="0" w:line="16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ABL Facility Documentation</w:t>
      </w:r>
      <w:r>
        <w:rPr>
          <w:rFonts w:ascii="Arial" w:cs="Arial" w:eastAsia="Arial" w:hAnsi="Arial"/>
          <w:sz w:val="18"/>
          <w:szCs w:val="18"/>
          <w:color w:val="008000"/>
          <w:strike w:val="1"/>
        </w:rPr>
        <w:t>” shall mean the ABL Credit Agreement and all security agreements, guarantees, pledge agreements and other</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agreements or instruments executed in connection therewith and including all “Loan Documents” (as defined in the ABL Credit Agreement) or similar term.</w:t>
      </w:r>
    </w:p>
    <w:p>
      <w:pPr>
        <w:spacing w:after="0" w:line="176"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ABL Facility Indebtedness</w:t>
      </w:r>
      <w:r>
        <w:rPr>
          <w:rFonts w:ascii="Arial" w:cs="Arial" w:eastAsia="Arial" w:hAnsi="Arial"/>
          <w:sz w:val="18"/>
          <w:szCs w:val="18"/>
          <w:color w:val="008000"/>
          <w:strike w:val="1"/>
        </w:rPr>
        <w:t>” shall mean Indebtedness of the Borrower or any</w:t>
      </w:r>
      <w:r>
        <w:rPr>
          <w:rFonts w:ascii="Arial" w:cs="Arial" w:eastAsia="Arial" w:hAnsi="Arial"/>
          <w:sz w:val="18"/>
          <w:szCs w:val="18"/>
          <w:color w:val="FF0000"/>
          <w:strike w:val="1"/>
        </w:rPr>
        <w:t xml:space="preserve"> Restricted </w:t>
      </w:r>
      <w:r>
        <w:rPr>
          <w:rFonts w:ascii="Arial" w:cs="Arial" w:eastAsia="Arial" w:hAnsi="Arial"/>
          <w:sz w:val="18"/>
          <w:szCs w:val="18"/>
          <w:color w:val="008000"/>
          <w:strike w:val="1"/>
        </w:rPr>
        <w:t>Subsidiary outstanding under the ABL Facility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Documentation, including Bank Product Debt (as defined in the </w:t>
      </w:r>
      <w:r>
        <w:rPr>
          <w:rFonts w:ascii="Arial" w:cs="Arial" w:eastAsia="Arial" w:hAnsi="Arial"/>
          <w:sz w:val="18"/>
          <w:szCs w:val="18"/>
          <w:color w:val="FF0000"/>
          <w:strike w:val="1"/>
        </w:rPr>
        <w:t>ABL Credit Agreement).</w:t>
      </w:r>
    </w:p>
    <w:p>
      <w:pPr>
        <w:spacing w:after="0" w:line="162" w:lineRule="exact"/>
        <w:rPr>
          <w:sz w:val="20"/>
          <w:szCs w:val="20"/>
          <w:color w:val="auto"/>
        </w:rPr>
      </w:pPr>
    </w:p>
    <w:p>
      <w:pPr>
        <w:ind w:right="180" w:firstLine="440"/>
        <w:spacing w:after="0" w:line="314"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008000"/>
          <w:strike w:val="1"/>
        </w:rPr>
        <w:t>ABL Intercreditor Agreement</w:t>
      </w:r>
      <w:r>
        <w:rPr>
          <w:rFonts w:ascii="Arial" w:cs="Arial" w:eastAsia="Arial" w:hAnsi="Arial"/>
          <w:sz w:val="16"/>
          <w:szCs w:val="16"/>
          <w:color w:val="008000"/>
          <w:strike w:val="1"/>
        </w:rPr>
        <w:t>” shall mean the Amended and Restated Intercreditor Agreement dated as of July 7, 2020, among the</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Administrative Agent and/or Collateral Agent, the </w:t>
      </w:r>
      <w:r>
        <w:rPr>
          <w:rFonts w:ascii="Arial" w:cs="Arial" w:eastAsia="Arial" w:hAnsi="Arial"/>
          <w:sz w:val="16"/>
          <w:szCs w:val="16"/>
          <w:color w:val="FF0000"/>
          <w:strike w:val="1"/>
        </w:rPr>
        <w:t>ABL Agent, the</w:t>
      </w:r>
      <w:r>
        <w:rPr>
          <w:rFonts w:ascii="Arial" w:cs="Arial" w:eastAsia="Arial" w:hAnsi="Arial"/>
          <w:sz w:val="16"/>
          <w:szCs w:val="16"/>
          <w:color w:val="008000"/>
          <w:strike w:val="1"/>
        </w:rPr>
        <w:t xml:space="preserve"> UST Tranche A Agent, the </w:t>
      </w:r>
      <w:r>
        <w:rPr>
          <w:rFonts w:ascii="Arial" w:cs="Arial" w:eastAsia="Arial" w:hAnsi="Arial"/>
          <w:sz w:val="16"/>
          <w:szCs w:val="16"/>
          <w:color w:val="FF0000"/>
          <w:strike w:val="1"/>
        </w:rPr>
        <w:t>UST</w:t>
      </w:r>
      <w:r>
        <w:rPr>
          <w:rFonts w:ascii="Arial" w:cs="Arial" w:eastAsia="Arial" w:hAnsi="Arial"/>
          <w:sz w:val="16"/>
          <w:szCs w:val="16"/>
          <w:color w:val="008000"/>
          <w:strike w:val="1"/>
        </w:rPr>
        <w:t xml:space="preserve"> Tranche B Agent and the Loan Parties, and as the same may be further amended, restated, modified, supplemented, extended, renewed, restructured, waived or replaced from time to time.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ABL Priority Collateral</w:t>
      </w:r>
      <w:r>
        <w:rPr>
          <w:rFonts w:ascii="Arial" w:cs="Arial" w:eastAsia="Arial" w:hAnsi="Arial"/>
          <w:sz w:val="18"/>
          <w:szCs w:val="18"/>
          <w:color w:val="008000"/>
          <w:strike w:val="1"/>
        </w:rPr>
        <w:t>” shall have the meaning assigned to such term in the</w:t>
      </w:r>
      <w:r>
        <w:rPr>
          <w:rFonts w:ascii="Arial" w:cs="Arial" w:eastAsia="Arial" w:hAnsi="Arial"/>
          <w:sz w:val="18"/>
          <w:szCs w:val="18"/>
          <w:color w:val="FF0000"/>
          <w:strike w:val="1"/>
        </w:rPr>
        <w:t xml:space="preserve"> ABL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ABL Secured Parties</w:t>
      </w:r>
      <w:r>
        <w:rPr>
          <w:rFonts w:ascii="Arial" w:cs="Arial" w:eastAsia="Arial" w:hAnsi="Arial"/>
          <w:sz w:val="18"/>
          <w:szCs w:val="18"/>
          <w:color w:val="008000"/>
          <w:strike w:val="1"/>
        </w:rPr>
        <w:t>” shall have the meaning assigned to such term in the</w:t>
      </w:r>
      <w:r>
        <w:rPr>
          <w:rFonts w:ascii="Arial" w:cs="Arial" w:eastAsia="Arial" w:hAnsi="Arial"/>
          <w:sz w:val="18"/>
          <w:szCs w:val="18"/>
          <w:color w:val="FF0000"/>
          <w:strike w:val="1"/>
        </w:rPr>
        <w:t xml:space="preserve"> ABL Intercreditor Agreement.</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Acceptable Plan</w:t>
      </w:r>
      <w:r>
        <w:rPr>
          <w:rFonts w:ascii="Arial" w:cs="Arial" w:eastAsia="Arial" w:hAnsi="Arial"/>
          <w:sz w:val="18"/>
          <w:szCs w:val="18"/>
          <w:u w:val="single" w:color="auto"/>
          <w:color w:val="0000FF"/>
        </w:rPr>
        <w:t>” shall mean a Plan of Reorganization that, upon the consummation thereof, provides for the termination of all unused Commitments and the indefeasible payment in full of all Obligations and all Junior DIP Obligations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231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946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4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Additional Lender</w:t>
      </w:r>
      <w:r>
        <w:rPr>
          <w:rFonts w:ascii="Arial" w:cs="Arial" w:eastAsia="Arial" w:hAnsi="Arial"/>
          <w:sz w:val="18"/>
          <w:szCs w:val="18"/>
          <w:color w:val="FF0000"/>
          <w:strike w:val="1"/>
        </w:rPr>
        <w:t xml:space="preserve">” shall mean, with respect to any Refinancing Amendment or in respect of any bank, financial institution or investor not theretofor a Lender that agrees to provide an Other Term Loan pursuant thereto,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the Administrative Agent shall have consented (not to be unreasonably withheld, conditioned or delayed) to such bank, financial institution or investor as would be required under Section 10.04(b) for an assignment of Loans to such bank, financial institution or investor.</w:t>
      </w:r>
    </w:p>
    <w:p>
      <w:pPr>
        <w:spacing w:after="0" w:line="180"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Adjusted Term SOFR</w:t>
      </w:r>
      <w:r>
        <w:rPr>
          <w:rFonts w:ascii="Arial" w:cs="Arial" w:eastAsia="Arial" w:hAnsi="Arial"/>
          <w:sz w:val="16"/>
          <w:szCs w:val="16"/>
          <w:color w:val="FF0000"/>
          <w:strike w:val="1"/>
        </w:rPr>
        <w:t xml:space="preserve">” shall mean, for purposes of any calculation, an interest rate per annum equal to (a) Term SOFR plus (b) (i) in the case of an Interest Period of one-month’s duration, 0.11448% (11.448 basis points), (ii) in the case of an Interest Period of three-months’ duration, 0.26161% (26.161 basis points), and (iii) in the case of an Interest Period of six-months’ duration, 0.42826% (42.826 basis points);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if Adjusted Term SOFR determined as provided above shall ever be less than the Floor, then Adjusted Term SOFR shall be deemed to be the Floor.</w:t>
      </w:r>
    </w:p>
    <w:p>
      <w:pPr>
        <w:spacing w:after="0" w:line="151"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have the meaning assigned to such term in the introductory statement to this Agreement, together with its successors and any replacement designated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this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137" w:name="page138"/>
    <w:bookmarkEnd w:id="137"/>
    <w:p>
      <w:pPr>
        <w:ind w:right="480" w:firstLine="440"/>
        <w:spacing w:after="0" w:line="312"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rFonts w:ascii="Arial" w:cs="Arial" w:eastAsia="Arial" w:hAnsi="Arial"/>
          <w:sz w:val="17"/>
          <w:szCs w:val="17"/>
          <w:b w:val="1"/>
          <w:bCs w:val="1"/>
          <w:color w:val="FF0000"/>
          <w:strike w:val="1"/>
        </w:rPr>
        <w:t>Administrative Agent</w:t>
      </w:r>
      <w:r>
        <w:rPr>
          <w:rFonts w:ascii="Arial" w:cs="Arial" w:eastAsia="Arial" w:hAnsi="Arial"/>
          <w:sz w:val="17"/>
          <w:szCs w:val="17"/>
          <w:color w:val="FF0000"/>
          <w:strike w:val="1"/>
        </w:rPr>
        <w:t xml:space="preserve"> </w:t>
      </w:r>
      <w:r>
        <w:rPr>
          <w:rFonts w:ascii="Arial" w:cs="Arial" w:eastAsia="Arial" w:hAnsi="Arial"/>
          <w:sz w:val="17"/>
          <w:szCs w:val="17"/>
          <w:b w:val="1"/>
          <w:bCs w:val="1"/>
          <w:color w:val="008000"/>
          <w:strike w:val="1"/>
        </w:rPr>
        <w:t>Fee Letter</w:t>
      </w:r>
      <w:r>
        <w:rPr>
          <w:rFonts w:ascii="Arial" w:cs="Arial" w:eastAsia="Arial" w:hAnsi="Arial"/>
          <w:sz w:val="17"/>
          <w:szCs w:val="17"/>
          <w:color w:val="008000"/>
          <w:strike w:val="1"/>
        </w:rPr>
        <w:t>” means that certain fee letter dated as of</w:t>
      </w:r>
      <w:r>
        <w:rPr>
          <w:rFonts w:ascii="Arial" w:cs="Arial" w:eastAsia="Arial" w:hAnsi="Arial"/>
          <w:sz w:val="17"/>
          <w:szCs w:val="17"/>
          <w:color w:val="FF0000"/>
          <w:strike w:val="1"/>
        </w:rPr>
        <w:t xml:space="preserve"> the date hereof</w:t>
      </w:r>
      <w:r>
        <w:rPr>
          <w:rFonts w:ascii="Arial" w:cs="Arial" w:eastAsia="Arial" w:hAnsi="Arial"/>
          <w:sz w:val="17"/>
          <w:szCs w:val="17"/>
          <w:color w:val="008000"/>
          <w:strike w:val="1"/>
        </w:rPr>
        <w:t>, by and between Borrower and</w:t>
      </w:r>
      <w:r>
        <w:rPr>
          <w:rFonts w:ascii="Arial" w:cs="Arial" w:eastAsia="Arial" w:hAnsi="Arial"/>
          <w:sz w:val="17"/>
          <w:szCs w:val="17"/>
          <w:color w:val="FF0000"/>
          <w:strike w:val="1"/>
        </w:rPr>
        <w:t xml:space="preserve"> Administrative Agent</w:t>
      </w:r>
      <w:r>
        <w:rPr>
          <w:rFonts w:ascii="Arial" w:cs="Arial" w:eastAsia="Arial" w:hAnsi="Arial"/>
          <w:sz w:val="17"/>
          <w:szCs w:val="17"/>
          <w:color w:val="008000"/>
          <w:strike w:val="1"/>
        </w:rPr>
        <w:t>, as amended, amended and restated, supplemented, waived, replaced or otherwise modified from time to time.</w:t>
      </w:r>
    </w:p>
    <w:p>
      <w:pPr>
        <w:spacing w:after="0" w:line="140"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means the Administrative Agent’s office or account as it may from time to time designate, in writing, to the Borrower and each Lender.</w:t>
      </w:r>
    </w:p>
    <w:p>
      <w:pPr>
        <w:spacing w:after="0" w:line="162"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Questionnaire</w:t>
      </w:r>
      <w:r>
        <w:rPr>
          <w:rFonts w:ascii="Arial" w:cs="Arial" w:eastAsia="Arial" w:hAnsi="Arial"/>
          <w:sz w:val="16"/>
          <w:szCs w:val="16"/>
          <w:color w:val="auto"/>
        </w:rPr>
        <w:t xml:space="preserve">” shall mean an Administrative Questionnaire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such other form as may be supplied from time to time by the Administrative Agent </w:t>
      </w:r>
      <w:r>
        <w:rPr>
          <w:rFonts w:ascii="Arial" w:cs="Arial" w:eastAsia="Arial" w:hAnsi="Arial"/>
          <w:sz w:val="16"/>
          <w:szCs w:val="16"/>
          <w:color w:val="FF0000"/>
        </w:rPr>
        <w:t>and approved by the Borrower (such approval</w:t>
      </w:r>
      <w:r>
        <w:rPr>
          <w:rFonts w:ascii="Arial" w:cs="Arial" w:eastAsia="Arial" w:hAnsi="Arial"/>
          <w:sz w:val="16"/>
          <w:szCs w:val="16"/>
          <w:color w:val="auto"/>
        </w:rPr>
        <w:t xml:space="preserve"> </w:t>
      </w:r>
      <w:r>
        <w:rPr>
          <w:rFonts w:ascii="Arial" w:cs="Arial" w:eastAsia="Arial" w:hAnsi="Arial"/>
          <w:sz w:val="16"/>
          <w:szCs w:val="16"/>
          <w:color w:val="008000"/>
          <w:strike w:val="1"/>
        </w:rPr>
        <w:t>not to be unreasonably withheld</w:t>
      </w:r>
      <w:r>
        <w:rPr>
          <w:rFonts w:ascii="Arial" w:cs="Arial" w:eastAsia="Arial" w:hAnsi="Arial"/>
          <w:sz w:val="16"/>
          <w:szCs w:val="16"/>
          <w:color w:val="FF0000"/>
          <w:strike w:val="1"/>
        </w:rPr>
        <w:t>, conditioned or delayed)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-128270</wp:posOffset>
            </wp:positionV>
            <wp:extent cx="21577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7730" cy="8890"/>
                    </a:xfrm>
                    <a:prstGeom prst="rect">
                      <a:avLst/>
                    </a:prstGeom>
                    <a:noFill/>
                  </pic:spPr>
                </pic:pic>
              </a:graphicData>
            </a:graphic>
          </wp:anchor>
        </w:drawing>
      </w:r>
    </w:p>
    <w:p>
      <w:pPr>
        <w:spacing w:after="0" w:line="96"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the Borrower and its Subsidiaries, in no case shall any Governmental Authority constitute an “Affiliate”. “</w:t>
      </w:r>
      <w:r>
        <w:rPr>
          <w:rFonts w:ascii="Arial" w:cs="Arial" w:eastAsia="Arial" w:hAnsi="Arial"/>
          <w:sz w:val="18"/>
          <w:szCs w:val="18"/>
          <w:b w:val="1"/>
          <w:b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thereto.</w:t>
      </w:r>
    </w:p>
    <w:p>
      <w:pPr>
        <w:spacing w:after="0" w:line="183"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Agency</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Fee Letter</w:t>
      </w:r>
      <w:r>
        <w:rPr>
          <w:rFonts w:ascii="Arial" w:cs="Arial" w:eastAsia="Arial" w:hAnsi="Arial"/>
          <w:sz w:val="18"/>
          <w:szCs w:val="18"/>
          <w:u w:val="single" w:color="auto"/>
          <w:color w:val="008000"/>
        </w:rPr>
        <w:t>” means that certain fee letter dated as of</w:t>
      </w:r>
      <w:r>
        <w:rPr>
          <w:rFonts w:ascii="Arial" w:cs="Arial" w:eastAsia="Arial" w:hAnsi="Arial"/>
          <w:sz w:val="18"/>
          <w:szCs w:val="18"/>
          <w:u w:val="single" w:color="auto"/>
          <w:color w:val="0000FF"/>
        </w:rPr>
        <w:t xml:space="preserve"> August 21, 2023</w:t>
      </w:r>
      <w:r>
        <w:rPr>
          <w:rFonts w:ascii="Arial" w:cs="Arial" w:eastAsia="Arial" w:hAnsi="Arial"/>
          <w:sz w:val="18"/>
          <w:szCs w:val="18"/>
          <w:u w:val="single" w:color="auto"/>
          <w:color w:val="008000"/>
        </w:rPr>
        <w:t>, by and between Borrower and</w:t>
      </w:r>
      <w:r>
        <w:rPr>
          <w:rFonts w:ascii="Arial" w:cs="Arial" w:eastAsia="Arial" w:hAnsi="Arial"/>
          <w:sz w:val="18"/>
          <w:szCs w:val="18"/>
          <w:u w:val="single" w:color="auto"/>
          <w:color w:val="0000FF"/>
        </w:rPr>
        <w:t xml:space="preserve"> Agents</w:t>
      </w:r>
      <w:r>
        <w:rPr>
          <w:rFonts w:ascii="Arial" w:cs="Arial" w:eastAsia="Arial" w:hAnsi="Arial"/>
          <w:sz w:val="18"/>
          <w:szCs w:val="18"/>
          <w:u w:val="single" w:color="auto"/>
          <w:color w:val="008000"/>
        </w:rPr>
        <w:t>, as amended, amended and</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restated, supplemented, waived, replaced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605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7719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Indemnitees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have the meaning assigned to such term in Article 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assigned to such term in the introductory statement to this Agreement.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Alternate Base Rate</w:t>
      </w:r>
      <w:r>
        <w:rPr>
          <w:rFonts w:ascii="Arial" w:cs="Arial" w:eastAsia="Arial" w:hAnsi="Arial"/>
          <w:sz w:val="17"/>
          <w:szCs w:val="17"/>
          <w:color w:val="auto"/>
        </w:rPr>
        <w:t>” shall mean, for any day, a rate per annum equal to the greatest of (a) the Prime Rate in effect on such day</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w:t>
      </w:r>
      <w:r>
        <w:rPr>
          <w:rFonts w:ascii="Arial" w:cs="Arial" w:eastAsia="Arial" w:hAnsi="Arial"/>
          <w:sz w:val="17"/>
          <w:szCs w:val="17"/>
          <w:color w:val="auto"/>
        </w:rPr>
        <w:t xml:space="preserve"> (b) the Federal Funds Effective Rate in effect on such day plus 1/2 of 1</w:t>
      </w:r>
      <w:r>
        <w:rPr>
          <w:rFonts w:ascii="Arial" w:cs="Arial" w:eastAsia="Arial" w:hAnsi="Arial"/>
          <w:sz w:val="17"/>
          <w:szCs w:val="17"/>
          <w:color w:val="FF0000"/>
          <w:strike w:val="1"/>
        </w:rPr>
        <w:t>% and (c) the Adjusted Term SOFR Rate for a one month Interest Period on such day (or</w:t>
      </w:r>
      <w:r>
        <w:rPr>
          <w:rFonts w:ascii="Arial" w:cs="Arial" w:eastAsia="Arial" w:hAnsi="Arial"/>
          <w:sz w:val="17"/>
          <w:szCs w:val="17"/>
          <w:color w:val="auto"/>
        </w:rPr>
        <w:t xml:space="preserve"> </w:t>
      </w:r>
      <w:r>
        <w:rPr>
          <w:rFonts w:ascii="Arial" w:cs="Arial" w:eastAsia="Arial" w:hAnsi="Arial"/>
          <w:sz w:val="17"/>
          <w:szCs w:val="17"/>
          <w:color w:val="FF0000"/>
          <w:strike w:val="1"/>
        </w:rPr>
        <w:t>if such day is not a Business Day, the immediately preceding Business Day) plus 1.00</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i w:val="1"/>
          <w:iCs w:val="1"/>
          <w:color w:val="000000"/>
        </w:rPr>
        <w:t>provided</w:t>
      </w:r>
      <w:r>
        <w:rPr>
          <w:rFonts w:ascii="Arial" w:cs="Arial" w:eastAsia="Arial" w:hAnsi="Arial"/>
          <w:sz w:val="17"/>
          <w:szCs w:val="17"/>
          <w:color w:val="FF0000"/>
        </w:rPr>
        <w:t xml:space="preserve"> </w:t>
      </w:r>
      <w:r>
        <w:rPr>
          <w:rFonts w:ascii="Arial" w:cs="Arial" w:eastAsia="Arial" w:hAnsi="Arial"/>
          <w:sz w:val="17"/>
          <w:szCs w:val="17"/>
          <w:color w:val="000000"/>
        </w:rPr>
        <w:t>that in no event shall the Alternate Base Rate be less</w:t>
      </w:r>
      <w:r>
        <w:rPr>
          <w:rFonts w:ascii="Arial" w:cs="Arial" w:eastAsia="Arial" w:hAnsi="Arial"/>
          <w:sz w:val="17"/>
          <w:szCs w:val="17"/>
          <w:color w:val="FF0000"/>
        </w:rPr>
        <w:t xml:space="preserve"> </w:t>
      </w:r>
      <w:r>
        <w:rPr>
          <w:rFonts w:ascii="Arial" w:cs="Arial" w:eastAsia="Arial" w:hAnsi="Arial"/>
          <w:sz w:val="17"/>
          <w:szCs w:val="17"/>
          <w:color w:val="000000"/>
        </w:rPr>
        <w:t>than 2.00% per annum.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Any change in the Alternate Base Rate due to a change in the Prime Rate</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or</w:t>
      </w:r>
      <w:r>
        <w:rPr>
          <w:rFonts w:ascii="Arial" w:cs="Arial" w:eastAsia="Arial" w:hAnsi="Arial"/>
          <w:sz w:val="17"/>
          <w:szCs w:val="17"/>
          <w:color w:val="000000"/>
        </w:rPr>
        <w:t xml:space="preserve"> the Federal Funds Effective Rate </w:t>
      </w:r>
      <w:r>
        <w:rPr>
          <w:rFonts w:ascii="Arial" w:cs="Arial" w:eastAsia="Arial" w:hAnsi="Arial"/>
          <w:sz w:val="17"/>
          <w:szCs w:val="17"/>
          <w:color w:val="FF0000"/>
          <w:strike w:val="1"/>
        </w:rPr>
        <w:t>or the Adjusted Term SOFR Rate</w:t>
      </w:r>
      <w:r>
        <w:rPr>
          <w:rFonts w:ascii="Arial" w:cs="Arial" w:eastAsia="Arial" w:hAnsi="Arial"/>
          <w:sz w:val="17"/>
          <w:szCs w:val="17"/>
          <w:color w:val="000000"/>
        </w:rPr>
        <w:t xml:space="preserve"> shall be effective on the effective date of such change in the Prime Rate</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or</w:t>
      </w:r>
      <w:r>
        <w:rPr>
          <w:rFonts w:ascii="Arial" w:cs="Arial" w:eastAsia="Arial" w:hAnsi="Arial"/>
          <w:sz w:val="17"/>
          <w:szCs w:val="17"/>
          <w:color w:val="000000"/>
        </w:rPr>
        <w:t xml:space="preserve"> the Federal Funds Effective Rate </w:t>
      </w:r>
      <w:r>
        <w:rPr>
          <w:rFonts w:ascii="Arial" w:cs="Arial" w:eastAsia="Arial" w:hAnsi="Arial"/>
          <w:sz w:val="17"/>
          <w:szCs w:val="17"/>
          <w:color w:val="FF0000"/>
        </w:rPr>
        <w:t>or the Adjusted Term SOFR Rate</w:t>
      </w:r>
      <w:r>
        <w:rPr>
          <w:rFonts w:ascii="Arial" w:cs="Arial" w:eastAsia="Arial" w:hAnsi="Arial"/>
          <w:sz w:val="17"/>
          <w:szCs w:val="17"/>
          <w:color w:val="000000"/>
        </w:rPr>
        <w: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-1103630</wp:posOffset>
            </wp:positionV>
            <wp:extent cx="1631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-143510</wp:posOffset>
            </wp:positionV>
            <wp:extent cx="946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-6350</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-92075</wp:posOffset>
            </wp:positionV>
            <wp:extent cx="15532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53210" cy="8255"/>
                    </a:xfrm>
                    <a:prstGeom prst="rect">
                      <a:avLst/>
                    </a:prstGeom>
                    <a:noFill/>
                  </pic:spPr>
                </pic:pic>
              </a:graphicData>
            </a:graphic>
          </wp:anchor>
        </w:drawing>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Alternate Base Rate Term SOFR Determination Day</w:t>
      </w:r>
      <w:r>
        <w:rPr>
          <w:rFonts w:ascii="Arial" w:cs="Arial" w:eastAsia="Arial" w:hAnsi="Arial"/>
          <w:sz w:val="18"/>
          <w:szCs w:val="18"/>
          <w:color w:val="FF0000"/>
          <w:strike w:val="1"/>
        </w:rPr>
        <w:t>” has the meaning specified in the definition of “Term SOFR”.</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w:t>
      </w:r>
      <w:r>
        <w:rPr>
          <w:rFonts w:ascii="Arial" w:cs="Arial" w:eastAsia="Arial" w:hAnsi="Arial"/>
          <w:sz w:val="18"/>
          <w:szCs w:val="18"/>
          <w:color w:val="auto"/>
        </w:rPr>
        <w:t>” means that certain Amendment No. 1 to Amended and Restated Credit Agreement, dated as of the Amendment No. 1 Effective Date, by and among the Borrower, the “Guarantors” referred to on the signature pages thereto, the Administrative Agent and the Lenders party thereto.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38" w:name="page139"/>
    <w:bookmarkEnd w:id="138"/>
    <w:p>
      <w:pPr>
        <w:ind w:right="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Amendment No. 1 Effective Date</w:t>
      </w:r>
      <w:r>
        <w:rPr>
          <w:rFonts w:ascii="Arial" w:cs="Arial" w:eastAsia="Arial" w:hAnsi="Arial"/>
          <w:sz w:val="18"/>
          <w:szCs w:val="18"/>
          <w:color w:val="auto"/>
        </w:rPr>
        <w:t>” means the date on which the conditions set forth in Section 2 of the Amendment No. 1 were satisfied, which date was April 7, 2020.</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2</w:t>
      </w:r>
      <w:r>
        <w:rPr>
          <w:rFonts w:ascii="Arial" w:cs="Arial" w:eastAsia="Arial" w:hAnsi="Arial"/>
          <w:sz w:val="18"/>
          <w:szCs w:val="18"/>
          <w:color w:val="auto"/>
        </w:rPr>
        <w:t>” means that certain Amendment No. 2 to Amended and Restated Credit Agreement, dated as of the Amendment No. 2 Effective Date, by and among the Borrower, the “Guarantors” referred to on the signature pages thereto, the Administrative Agent and the Lenders party thereto.</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2 Effective Date</w:t>
      </w:r>
      <w:r>
        <w:rPr>
          <w:rFonts w:ascii="Arial" w:cs="Arial" w:eastAsia="Arial" w:hAnsi="Arial"/>
          <w:sz w:val="18"/>
          <w:szCs w:val="18"/>
          <w:color w:val="auto"/>
        </w:rPr>
        <w:t>” means the date on which the conditions set forth in Section 2 of the Amendment No. 2 were satisfied, which date was July 7, 2020.</w:t>
      </w:r>
    </w:p>
    <w:p>
      <w:pPr>
        <w:spacing w:after="0" w:line="162"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Amendment No. 2 Transactions</w:t>
      </w:r>
      <w:r>
        <w:rPr>
          <w:rFonts w:ascii="Arial" w:cs="Arial" w:eastAsia="Arial" w:hAnsi="Arial"/>
          <w:sz w:val="17"/>
          <w:szCs w:val="17"/>
          <w:color w:val="FF0000"/>
          <w:strike w:val="1"/>
        </w:rPr>
        <w:t xml:space="preserve">” shall mean, collectively, (a) the negotiation, execution and delivery by the Loan Parties of Amendment No. 2 and the Loan Documents delivered in connection therewith, (b) the negotiation, execution and delivery of the UST Tranche A Facility Documentation and incurrence of UST Tranche A Facility Indebtedness, (c) the negotiation, execution and delivery of the UST Tranche B Facility Documentation and incurrence of UST Tranche B Facility Indebtedness, (d) the negotiation, execution and delivery by the Borrower and the Subsidiaries party thereto of amendments to the ABL Facility Documentation in connection with </w:t>
      </w:r>
      <w:r>
        <w:rPr>
          <w:rFonts w:ascii="Arial" w:cs="Arial" w:eastAsia="Arial" w:hAnsi="Arial"/>
          <w:sz w:val="17"/>
          <w:szCs w:val="17"/>
          <w:color w:val="008000"/>
          <w:strike w:val="1"/>
        </w:rPr>
        <w:t>the matters described in clauses (a)</w:t>
      </w:r>
      <w:r>
        <w:rPr>
          <w:rFonts w:ascii="Arial" w:cs="Arial" w:eastAsia="Arial" w:hAnsi="Arial"/>
          <w:sz w:val="17"/>
          <w:szCs w:val="17"/>
          <w:color w:val="FF0000"/>
          <w:strike w:val="1"/>
        </w:rPr>
        <w:t xml:space="preserve"> through (c) and effecting certain other amendments in connection therewith, (e) the Treasury Equity Issuance and the negotiation, execution and delivery of the Treasury Equity Documents and (f) the payment of fees, costs and expenses in connection with the foregoing.</w:t>
      </w:r>
    </w:p>
    <w:p>
      <w:pPr>
        <w:spacing w:after="0" w:line="172"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3</w:t>
      </w:r>
      <w:r>
        <w:rPr>
          <w:rFonts w:ascii="Arial" w:cs="Arial" w:eastAsia="Arial" w:hAnsi="Arial"/>
          <w:sz w:val="18"/>
          <w:szCs w:val="18"/>
          <w:color w:val="auto"/>
        </w:rPr>
        <w:t xml:space="preserve">” shall mean that certain Amendment No. 3 and Limited Waiver to Amended and Restated Credit Agreement, dated as of the Amendment No. 3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Effective</w:t>
      </w:r>
      <w:r>
        <w:rPr>
          <w:rFonts w:ascii="Arial" w:cs="Arial" w:eastAsia="Arial" w:hAnsi="Arial"/>
          <w:sz w:val="18"/>
          <w:szCs w:val="18"/>
          <w:color w:val="auto"/>
        </w:rPr>
        <w:t xml:space="preserve"> Date, by and among the Borrower, the “Guarantors” referred to on the signature pages thereto, the Administrative Agent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-141605</wp:posOffset>
            </wp:positionV>
            <wp:extent cx="4114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5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3</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Closing</w:t>
      </w:r>
      <w:r>
        <w:rPr>
          <w:rFonts w:ascii="Arial" w:cs="Arial" w:eastAsia="Arial" w:hAnsi="Arial"/>
          <w:sz w:val="18"/>
          <w:szCs w:val="18"/>
          <w:b w:val="1"/>
          <w:bCs w:val="1"/>
          <w:u w:val="single" w:color="auto"/>
          <w:color w:val="0000FF"/>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mean the date on which the conditions set forth in Section 3 of the Amendment No. 3 were satisfied, which date was July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-151130</wp:posOffset>
            </wp:positionV>
            <wp:extent cx="4286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42" w:lineRule="exact"/>
        <w:rPr>
          <w:sz w:val="20"/>
          <w:szCs w:val="20"/>
          <w:color w:val="auto"/>
        </w:rPr>
      </w:pPr>
    </w:p>
    <w:p>
      <w:pPr>
        <w:jc w:val="both"/>
        <w:ind w:right="40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Amendment No. 4</w:t>
      </w:r>
      <w:r>
        <w:rPr>
          <w:rFonts w:ascii="Arial" w:cs="Arial" w:eastAsia="Arial" w:hAnsi="Arial"/>
          <w:sz w:val="18"/>
          <w:szCs w:val="18"/>
          <w:u w:val="single" w:color="auto"/>
          <w:color w:val="0000FF"/>
        </w:rPr>
        <w:t xml:space="preserve"> ” means that certain Amendment No. 4 to Amended and Restated Credit Agreement, </w:t>
      </w:r>
      <w:r>
        <w:rPr>
          <w:rFonts w:ascii="Arial" w:cs="Arial" w:eastAsia="Arial" w:hAnsi="Arial"/>
          <w:sz w:val="18"/>
          <w:szCs w:val="18"/>
          <w:u w:val="single" w:color="auto"/>
          <w:color w:val="008000"/>
        </w:rPr>
        <w:t>dated as of the Amendment No.</w:t>
      </w:r>
      <w:r>
        <w:rPr>
          <w:rFonts w:ascii="Arial" w:cs="Arial" w:eastAsia="Arial" w:hAnsi="Arial"/>
          <w:sz w:val="18"/>
          <w:szCs w:val="18"/>
          <w:u w:val="single" w:color="auto"/>
          <w:color w:val="0000FF"/>
        </w:rPr>
        <w:t xml:space="preserve"> 4 Effective Date, by and among the Borrower, the “Guarantors ” referred to on the signature pages thereto, the Administrative Agent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293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37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083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56"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w:t>
      </w:r>
      <w:r>
        <w:rPr>
          <w:rFonts w:ascii="Arial" w:cs="Arial" w:eastAsia="Arial" w:hAnsi="Arial"/>
          <w:sz w:val="18"/>
          <w:szCs w:val="18"/>
          <w:color w:val="auto"/>
        </w:rPr>
        <w:t xml:space="preserve"> </w:t>
      </w:r>
      <w:r>
        <w:rPr>
          <w:rFonts w:ascii="Arial" w:cs="Arial" w:eastAsia="Arial" w:hAnsi="Arial"/>
          <w:sz w:val="18"/>
          <w:szCs w:val="18"/>
          <w:b w:val="1"/>
          <w:bCs w:val="1"/>
          <w:color w:val="FF0000"/>
        </w:rPr>
        <w:t>3</w:t>
      </w:r>
      <w:r>
        <w:rPr>
          <w:rFonts w:ascii="Arial" w:cs="Arial" w:eastAsia="Arial" w:hAnsi="Arial"/>
          <w:sz w:val="18"/>
          <w:szCs w:val="18"/>
          <w:b w:val="1"/>
          <w:bCs w:val="1"/>
          <w:u w:val="single" w:color="auto"/>
          <w:color w:val="0000FF"/>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shall mean </w:t>
      </w:r>
      <w:r>
        <w:rPr>
          <w:rFonts w:ascii="Arial" w:cs="Arial" w:eastAsia="Arial" w:hAnsi="Arial"/>
          <w:sz w:val="18"/>
          <w:szCs w:val="18"/>
          <w:color w:val="FF0000"/>
          <w:strike w:val="1"/>
        </w:rPr>
        <w:t>June 30</w:t>
      </w:r>
      <w:r>
        <w:rPr>
          <w:rFonts w:ascii="Arial" w:cs="Arial" w:eastAsia="Arial" w:hAnsi="Arial"/>
          <w:sz w:val="18"/>
          <w:szCs w:val="18"/>
          <w:u w:val="single" w:color="auto"/>
          <w:color w:val="0000FF"/>
        </w:rPr>
        <w:t>the date on which</w:t>
      </w:r>
      <w:r>
        <w:rPr>
          <w:rFonts w:ascii="Arial" w:cs="Arial" w:eastAsia="Arial" w:hAnsi="Arial"/>
          <w:sz w:val="18"/>
          <w:szCs w:val="18"/>
          <w:color w:val="auto"/>
        </w:rPr>
        <w:t xml:space="preserve"> </w:t>
      </w:r>
      <w:r>
        <w:rPr>
          <w:rFonts w:ascii="Arial" w:cs="Arial" w:eastAsia="Arial" w:hAnsi="Arial"/>
          <w:sz w:val="18"/>
          <w:szCs w:val="18"/>
          <w:u w:val="single" w:color="auto"/>
          <w:color w:val="008000"/>
        </w:rPr>
        <w:t>the conditions set forth in Section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 of Amendment No. 4 were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satisfied, which date was September 6</w:t>
      </w:r>
      <w:r>
        <w:rPr>
          <w:rFonts w:ascii="Arial" w:cs="Arial" w:eastAsia="Arial" w:hAnsi="Arial"/>
          <w:sz w:val="18"/>
          <w:szCs w:val="18"/>
          <w:color w:val="0000FF"/>
        </w:rPr>
        <w:t xml:space="preserve"> </w:t>
      </w:r>
      <w:r>
        <w:rPr>
          <w:rFonts w:ascii="Arial" w:cs="Arial" w:eastAsia="Arial" w:hAnsi="Arial"/>
          <w:sz w:val="18"/>
          <w:szCs w:val="18"/>
          <w:color w:val="000000"/>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-236855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-151130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-151130</wp:posOffset>
            </wp:positionV>
            <wp:extent cx="37115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7741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Apollo</w:t>
      </w:r>
      <w:r>
        <w:rPr>
          <w:rFonts w:ascii="Arial" w:cs="Arial" w:eastAsia="Arial" w:hAnsi="Arial"/>
          <w:sz w:val="18"/>
          <w:szCs w:val="18"/>
          <w:color w:val="FF0000"/>
          <w:strike w:val="1"/>
        </w:rPr>
        <w:t>” means, collectively, Apollo Capital Management, L.P. and one or more funds and/or accounts managed by its affiliates.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Applicable ECF Percentage</w:t>
      </w:r>
      <w:r>
        <w:rPr>
          <w:rFonts w:ascii="Arial" w:cs="Arial" w:eastAsia="Arial" w:hAnsi="Arial"/>
          <w:sz w:val="18"/>
          <w:szCs w:val="18"/>
          <w:color w:val="FF0000"/>
          <w:strike w:val="1"/>
        </w:rPr>
        <w:t>” shall mean, for any Excess Cash Flow Period, (a) 75% if the Total Leverage Ratio as of the last day of such Excess Cash Flow Period is greater than 3.25:1.00, (b) 50% if the Total Leverage Ratio as of the last day of such Excess Cash Flow Period is less than or equal to 3.25:1.00 and greater than 3.00:1.00, (c) 25% if the Total Leverage Ratio as of the last day of such Excess Cash Flow Period is less than or equal to 3.00:1.00 but is greater than 2.50:1.00, and (d) 0% if the Total Leverage Ratio as of the last day of such Excess Cash Flow Period is less than or equal to 2.50:1.00.</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w:t>
      </w:r>
      <w:r>
        <w:rPr>
          <w:rFonts w:ascii="Arial" w:cs="Arial" w:eastAsia="Arial" w:hAnsi="Arial"/>
          <w:sz w:val="18"/>
          <w:szCs w:val="18"/>
          <w:u w:val="single" w:color="auto"/>
          <w:color w:val="0000FF"/>
        </w:rPr>
        <w:t>New Money Postpetition Term</w:t>
      </w:r>
      <w:r>
        <w:rPr>
          <w:rFonts w:ascii="Arial" w:cs="Arial" w:eastAsia="Arial" w:hAnsi="Arial"/>
          <w:sz w:val="18"/>
          <w:szCs w:val="18"/>
          <w:color w:val="auto"/>
        </w:rPr>
        <w:t xml:space="preserve"> Loan, a percentage per annum equal to</w:t>
      </w:r>
      <w:r>
        <w:rPr>
          <w:rFonts w:ascii="Arial" w:cs="Arial" w:eastAsia="Arial" w:hAnsi="Arial"/>
          <w:sz w:val="18"/>
          <w:szCs w:val="18"/>
          <w:color w:val="FF0000"/>
          <w:strike w:val="1"/>
        </w:rPr>
        <w:t>, (a) until delivery</w:t>
      </w:r>
      <w:r>
        <w:rPr>
          <w:rFonts w:ascii="Arial" w:cs="Arial" w:eastAsia="Arial" w:hAnsi="Arial"/>
          <w:sz w:val="18"/>
          <w:szCs w:val="18"/>
          <w:color w:val="auto"/>
        </w:rPr>
        <w:t xml:space="preserve"> </w:t>
      </w:r>
      <w:r>
        <w:rPr>
          <w:rFonts w:ascii="Arial" w:cs="Arial" w:eastAsia="Arial" w:hAnsi="Arial"/>
          <w:sz w:val="18"/>
          <w:szCs w:val="18"/>
          <w:color w:val="FF0000"/>
          <w:strike w:val="1"/>
        </w:rPr>
        <w:t>of financial statements and Compliance Certificate for the fiscal quarter ending September 30, 2019 pursuant to Sections 6.01(b) and 6.02(a), (i) 7.50% per annum for SOFR Term Loans and (ii) 6.50% per annum for ABR Term Loans; and (b) thereafter,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-278765</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-278765</wp:posOffset>
            </wp:positionV>
            <wp:extent cx="1440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39" w:name="page140"/>
    <w:bookmarkEnd w:id="139"/>
    <w:p>
      <w:pPr>
        <w:ind w:right="80"/>
        <w:spacing w:after="0" w:line="286"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8.50%</w:t>
      </w:r>
      <w:r>
        <w:rPr>
          <w:rFonts w:ascii="Arial" w:cs="Arial" w:eastAsia="Arial" w:hAnsi="Arial"/>
          <w:sz w:val="17"/>
          <w:szCs w:val="17"/>
          <w:u w:val="single" w:color="auto"/>
          <w:color w:val="008000"/>
        </w:rPr>
        <w:t>, and (b) with respect to any</w:t>
      </w:r>
      <w:r>
        <w:rPr>
          <w:rFonts w:ascii="Arial" w:cs="Arial" w:eastAsia="Arial" w:hAnsi="Arial"/>
          <w:sz w:val="17"/>
          <w:szCs w:val="17"/>
          <w:u w:val="single" w:color="auto"/>
          <w:color w:val="0000FF"/>
        </w:rPr>
        <w:t xml:space="preserve"> Prepetition Term Loan, a percentage per annum </w:t>
      </w:r>
      <w:r>
        <w:rPr>
          <w:rFonts w:ascii="Arial" w:cs="Arial" w:eastAsia="Arial" w:hAnsi="Arial"/>
          <w:sz w:val="17"/>
          <w:szCs w:val="17"/>
          <w:color w:val="FF0000"/>
          <w:strike w:val="1"/>
        </w:rPr>
        <w:t>set forth in the table below, based upon Consolidated EBITDA for</w:t>
      </w:r>
      <w:r>
        <w:rPr>
          <w:rFonts w:ascii="Arial" w:cs="Arial" w:eastAsia="Arial" w:hAnsi="Arial"/>
          <w:sz w:val="17"/>
          <w:szCs w:val="17"/>
          <w:u w:val="single" w:color="auto"/>
          <w:color w:val="0000FF"/>
        </w:rPr>
        <w:t xml:space="preserve"> </w:t>
      </w:r>
      <w:r>
        <w:rPr>
          <w:rFonts w:ascii="Arial" w:cs="Arial" w:eastAsia="Arial" w:hAnsi="Arial"/>
          <w:sz w:val="17"/>
          <w:szCs w:val="17"/>
          <w:color w:val="FF0000"/>
          <w:strike w:val="1"/>
        </w:rPr>
        <w:t xml:space="preserve">the most recent Test Period </w:t>
      </w:r>
      <w:r>
        <w:rPr>
          <w:rFonts w:ascii="Arial" w:cs="Arial" w:eastAsia="Arial" w:hAnsi="Arial"/>
          <w:sz w:val="17"/>
          <w:szCs w:val="17"/>
          <w:color w:val="008000"/>
          <w:strike w:val="1"/>
        </w:rPr>
        <w:t>as set forth in the</w:t>
      </w:r>
      <w:r>
        <w:rPr>
          <w:rFonts w:ascii="Arial" w:cs="Arial" w:eastAsia="Arial" w:hAnsi="Arial"/>
          <w:sz w:val="17"/>
          <w:szCs w:val="17"/>
          <w:color w:val="FF0000"/>
          <w:strike w:val="1"/>
        </w:rPr>
        <w:t xml:space="preserve"> most recent Compliance Certificate received by the Administrative Agent pursuant to </w:t>
      </w:r>
      <w:r>
        <w:rPr>
          <w:rFonts w:ascii="Arial" w:cs="Arial" w:eastAsia="Arial" w:hAnsi="Arial"/>
          <w:sz w:val="17"/>
          <w:szCs w:val="17"/>
          <w:u w:val="single" w:color="auto"/>
          <w:color w:val="0000FF"/>
          <w:strike w:val="1"/>
        </w:rPr>
        <w:t>equal to 6.50% plus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the 2.00% default rate contemplated by Section 2.07 of the Prepetition B-2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37801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-151130</wp:posOffset>
            </wp:positionV>
            <wp:extent cx="9086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8260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0" w:type="dxa"/>
            <w:vAlign w:val="bottom"/>
            <w:gridSpan w:val="2"/>
          </w:tcPr>
          <w:p>
            <w:pPr>
              <w:spacing w:after="0"/>
              <w:rPr>
                <w:sz w:val="20"/>
                <w:szCs w:val="20"/>
                <w:color w:val="auto"/>
              </w:rPr>
            </w:pPr>
            <w:r>
              <w:rPr>
                <w:rFonts w:ascii="Arial" w:cs="Arial" w:eastAsia="Arial" w:hAnsi="Arial"/>
                <w:sz w:val="14"/>
                <w:szCs w:val="14"/>
                <w:b w:val="1"/>
                <w:bCs w:val="1"/>
                <w:color w:val="FF0000"/>
                <w:strike w:val="1"/>
                <w:w w:val="88"/>
              </w:rPr>
              <w:t>Pricing</w:t>
            </w:r>
          </w:p>
        </w:tc>
        <w:tc>
          <w:tcPr>
            <w:tcW w:w="3680" w:type="dxa"/>
            <w:vAlign w:val="bottom"/>
          </w:tcPr>
          <w:p>
            <w:pPr>
              <w:spacing w:after="0"/>
              <w:rPr>
                <w:sz w:val="14"/>
                <w:szCs w:val="14"/>
                <w:color w:val="auto"/>
              </w:rPr>
            </w:pPr>
          </w:p>
        </w:tc>
        <w:tc>
          <w:tcPr>
            <w:tcW w:w="370" w:type="dxa"/>
            <w:vAlign w:val="bottom"/>
          </w:tcPr>
          <w:p>
            <w:pPr>
              <w:spacing w:after="0"/>
              <w:rPr>
                <w:sz w:val="14"/>
                <w:szCs w:val="14"/>
                <w:color w:val="auto"/>
              </w:rPr>
            </w:pPr>
          </w:p>
        </w:tc>
        <w:tc>
          <w:tcPr>
            <w:tcW w:w="103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FF0000"/>
                <w:strike w:val="1"/>
              </w:rPr>
              <w:t>ABR</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FF0000"/>
                <w:strike w:val="1"/>
                <w:w w:val="89"/>
              </w:rPr>
              <w:t>Level</w:t>
            </w:r>
          </w:p>
        </w:tc>
        <w:tc>
          <w:tcPr>
            <w:tcW w:w="100" w:type="dxa"/>
            <w:vAlign w:val="bottom"/>
          </w:tcPr>
          <w:p>
            <w:pPr>
              <w:spacing w:after="0"/>
              <w:rPr>
                <w:sz w:val="15"/>
                <w:szCs w:val="15"/>
                <w:color w:val="auto"/>
              </w:rPr>
            </w:pPr>
          </w:p>
        </w:tc>
        <w:tc>
          <w:tcPr>
            <w:tcW w:w="5080" w:type="dxa"/>
            <w:vAlign w:val="bottom"/>
            <w:gridSpan w:val="3"/>
          </w:tcPr>
          <w:p>
            <w:pPr>
              <w:ind w:left="3680"/>
              <w:spacing w:after="0"/>
              <w:rPr>
                <w:sz w:val="20"/>
                <w:szCs w:val="20"/>
                <w:color w:val="auto"/>
              </w:rPr>
            </w:pPr>
            <w:r>
              <w:rPr>
                <w:rFonts w:ascii="Arial" w:cs="Arial" w:eastAsia="Arial" w:hAnsi="Arial"/>
                <w:sz w:val="14"/>
                <w:szCs w:val="14"/>
                <w:b w:val="1"/>
                <w:bCs w:val="1"/>
                <w:color w:val="FF0000"/>
                <w:strike w:val="1"/>
                <w:w w:val="95"/>
              </w:rPr>
              <w:t>Consolidated EBITDA</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FF0000"/>
                <w:strike w:val="1"/>
              </w:rPr>
              <w:t>Term Loans</w:t>
            </w:r>
          </w:p>
        </w:tc>
        <w:tc>
          <w:tcPr>
            <w:tcW w:w="5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FF0000"/>
                <w:strike w:val="1"/>
              </w:rPr>
              <w:t>SOFR Term Loans</w:t>
            </w:r>
          </w:p>
        </w:tc>
        <w:tc>
          <w:tcPr>
            <w:tcW w:w="220" w:type="dxa"/>
            <w:vAlign w:val="bottom"/>
            <w:gridSpan w:val="2"/>
          </w:tcPr>
          <w:p>
            <w:pPr>
              <w:spacing w:after="0"/>
              <w:rPr>
                <w:sz w:val="15"/>
                <w:szCs w:val="15"/>
                <w:color w:val="auto"/>
              </w:rPr>
            </w:pPr>
          </w:p>
        </w:tc>
      </w:tr>
      <w:tr>
        <w:trPr>
          <w:trHeight w:val="203"/>
        </w:trPr>
        <w:tc>
          <w:tcPr>
            <w:tcW w:w="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FF0000"/>
                <w:strike w:val="1"/>
              </w:rPr>
              <w:t>I</w:t>
            </w:r>
          </w:p>
        </w:tc>
        <w:tc>
          <w:tcPr>
            <w:tcW w:w="3680" w:type="dxa"/>
            <w:vAlign w:val="bottom"/>
            <w:tcBorders>
              <w:top w:val="single" w:sz="8" w:color="CCEEFF"/>
            </w:tcBorders>
            <w:shd w:val="clear" w:color="auto" w:fill="CCEEFF"/>
          </w:tcPr>
          <w:p>
            <w:pPr>
              <w:spacing w:after="0"/>
              <w:rPr>
                <w:sz w:val="17"/>
                <w:szCs w:val="17"/>
                <w:color w:val="auto"/>
              </w:rPr>
            </w:pPr>
          </w:p>
        </w:tc>
        <w:tc>
          <w:tcPr>
            <w:tcW w:w="37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FF0000"/>
                <w:strike w:val="1"/>
              </w:rPr>
              <w:t>≤ $</w:t>
            </w:r>
          </w:p>
        </w:tc>
        <w:tc>
          <w:tcPr>
            <w:tcW w:w="103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FF0000"/>
                <w:strike w:val="1"/>
                <w:w w:val="99"/>
              </w:rPr>
              <w:t>400,000,000</w:t>
            </w:r>
          </w:p>
        </w:tc>
        <w:tc>
          <w:tcPr>
            <w:tcW w:w="7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FF0000"/>
                <w:strike w:val="1"/>
              </w:rPr>
              <w:t>6.50</w:t>
            </w:r>
          </w:p>
        </w:tc>
        <w:tc>
          <w:tcPr>
            <w:tcW w:w="500" w:type="dxa"/>
            <w:vAlign w:val="bottom"/>
            <w:tcBorders>
              <w:top w:val="single" w:sz="8" w:color="CCEEFF"/>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FF0000"/>
                <w:w w:val="74"/>
              </w:rPr>
              <w:t>%</w:t>
            </w:r>
          </w:p>
        </w:tc>
        <w:tc>
          <w:tcPr>
            <w:tcW w:w="3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FF0000"/>
                <w:strike w:val="1"/>
              </w:rPr>
              <w:t>7.50</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FF0000"/>
                <w:w w:val="74"/>
              </w:rPr>
              <w:t>%</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FF0000"/>
                <w:strike w:val="1"/>
              </w:rPr>
              <w:t>II</w:t>
            </w:r>
          </w:p>
        </w:tc>
        <w:tc>
          <w:tcPr>
            <w:tcW w:w="100" w:type="dxa"/>
            <w:vAlign w:val="bottom"/>
          </w:tcPr>
          <w:p>
            <w:pPr>
              <w:spacing w:after="0"/>
              <w:rPr>
                <w:sz w:val="20"/>
                <w:szCs w:val="20"/>
                <w:color w:val="auto"/>
              </w:rPr>
            </w:pPr>
          </w:p>
        </w:tc>
        <w:tc>
          <w:tcPr>
            <w:tcW w:w="4050" w:type="dxa"/>
            <w:vAlign w:val="bottom"/>
            <w:gridSpan w:val="2"/>
          </w:tcPr>
          <w:p>
            <w:pPr>
              <w:ind w:left="3680"/>
              <w:spacing w:after="0"/>
              <w:rPr>
                <w:sz w:val="20"/>
                <w:szCs w:val="20"/>
                <w:color w:val="auto"/>
              </w:rPr>
            </w:pPr>
            <w:r>
              <w:rPr>
                <w:rFonts w:ascii="Arial" w:cs="Arial" w:eastAsia="Arial" w:hAnsi="Arial"/>
                <w:sz w:val="18"/>
                <w:szCs w:val="18"/>
                <w:color w:val="FF0000"/>
                <w:strike w:val="1"/>
              </w:rPr>
              <w:t>&gt; $</w:t>
            </w:r>
          </w:p>
        </w:tc>
        <w:tc>
          <w:tcPr>
            <w:tcW w:w="1030" w:type="dxa"/>
            <w:vAlign w:val="bottom"/>
          </w:tcPr>
          <w:p>
            <w:pPr>
              <w:jc w:val="right"/>
              <w:spacing w:after="0"/>
              <w:rPr>
                <w:sz w:val="20"/>
                <w:szCs w:val="20"/>
                <w:color w:val="auto"/>
              </w:rPr>
            </w:pPr>
            <w:r>
              <w:rPr>
                <w:rFonts w:ascii="Arial" w:cs="Arial" w:eastAsia="Arial" w:hAnsi="Arial"/>
                <w:sz w:val="18"/>
                <w:szCs w:val="18"/>
                <w:color w:val="FF0000"/>
                <w:strike w:val="1"/>
                <w:w w:val="99"/>
              </w:rPr>
              <w:t>400,000,000</w:t>
            </w:r>
          </w:p>
        </w:tc>
        <w:tc>
          <w:tcPr>
            <w:tcW w:w="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FF0000"/>
                <w:strike w:val="1"/>
              </w:rPr>
              <w:t>5.50</w:t>
            </w:r>
          </w:p>
        </w:tc>
        <w:tc>
          <w:tcPr>
            <w:tcW w:w="500" w:type="dxa"/>
            <w:vAlign w:val="bottom"/>
          </w:tcPr>
          <w:p>
            <w:pPr>
              <w:jc w:val="right"/>
              <w:ind w:right="270"/>
              <w:spacing w:after="0"/>
              <w:rPr>
                <w:sz w:val="20"/>
                <w:szCs w:val="20"/>
                <w:color w:val="auto"/>
              </w:rPr>
            </w:pPr>
            <w:r>
              <w:rPr>
                <w:rFonts w:ascii="Arial" w:cs="Arial" w:eastAsia="Arial" w:hAnsi="Arial"/>
                <w:sz w:val="18"/>
                <w:szCs w:val="18"/>
                <w:color w:val="FF0000"/>
                <w:w w:val="74"/>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FF0000"/>
                <w:strike w:val="1"/>
              </w:rPr>
              <w:t>6.50</w:t>
            </w:r>
          </w:p>
        </w:tc>
        <w:tc>
          <w:tcPr>
            <w:tcW w:w="220" w:type="dxa"/>
            <w:vAlign w:val="bottom"/>
            <w:gridSpan w:val="2"/>
          </w:tcPr>
          <w:p>
            <w:pPr>
              <w:jc w:val="right"/>
              <w:spacing w:after="0"/>
              <w:rPr>
                <w:sz w:val="20"/>
                <w:szCs w:val="20"/>
                <w:color w:val="auto"/>
              </w:rPr>
            </w:pPr>
            <w:r>
              <w:rPr>
                <w:rFonts w:ascii="Arial" w:cs="Arial" w:eastAsia="Arial" w:hAnsi="Arial"/>
                <w:sz w:val="18"/>
                <w:szCs w:val="18"/>
                <w:color w:val="FF0000"/>
                <w:w w:val="87"/>
              </w:rPr>
              <w:t>%</w:t>
            </w:r>
          </w:p>
        </w:tc>
      </w:tr>
    </w:tbl>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FF0000"/>
          <w:strike w:val="1"/>
        </w:rPr>
        <w:t xml:space="preserve">Any increase or decrease in the Applicable Margin resulting from a change in Consolidated EBITDA shall become effective as of the first Business Day immediately following the date a Compliance Certificate is delivered pursuant to </w:t>
      </w:r>
      <w:r>
        <w:rPr>
          <w:rFonts w:ascii="Arial" w:cs="Arial" w:eastAsia="Arial" w:hAnsi="Arial"/>
          <w:sz w:val="18"/>
          <w:szCs w:val="18"/>
          <w:u w:val="single" w:color="auto"/>
          <w:color w:val="FF0000"/>
          <w:strike w:val="1"/>
        </w:rPr>
        <w:t>Section 6.02(a)</w:t>
      </w:r>
      <w:r>
        <w:rPr>
          <w:rFonts w:ascii="Arial" w:cs="Arial" w:eastAsia="Arial" w:hAnsi="Arial"/>
          <w:sz w:val="18"/>
          <w:szCs w:val="18"/>
          <w:color w:val="FF0000"/>
          <w:strike w:val="1"/>
        </w:rPr>
        <w:t>.</w:t>
      </w:r>
    </w:p>
    <w:p>
      <w:pPr>
        <w:spacing w:after="0" w:line="170"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FF0000"/>
          <w:strike w:val="1"/>
        </w:rPr>
        <w:t xml:space="preserve">In addition, at any time an Event of Default exists </w:t>
      </w:r>
      <w:r>
        <w:rPr>
          <w:rFonts w:ascii="Arial" w:cs="Arial" w:eastAsia="Arial" w:hAnsi="Arial"/>
          <w:sz w:val="17"/>
          <w:szCs w:val="17"/>
          <w:color w:val="008000"/>
          <w:strike w:val="1"/>
        </w:rPr>
        <w:t>as a result of the</w:t>
      </w:r>
      <w:r>
        <w:rPr>
          <w:rFonts w:ascii="Arial" w:cs="Arial" w:eastAsia="Arial" w:hAnsi="Arial"/>
          <w:sz w:val="17"/>
          <w:szCs w:val="17"/>
          <w:color w:val="FF0000"/>
          <w:strike w:val="1"/>
        </w:rPr>
        <w:t xml:space="preserve"> Borrower failing to deliver the applicable Compliance Certificate, at the option of the Lenders having more than 50</w:t>
      </w:r>
      <w:r>
        <w:rPr>
          <w:rFonts w:ascii="Arial" w:cs="Arial" w:eastAsia="Arial" w:hAnsi="Arial"/>
          <w:sz w:val="17"/>
          <w:szCs w:val="17"/>
          <w:color w:val="008000"/>
          <w:strike w:val="1"/>
        </w:rPr>
        <w:t>% of the sum of the</w:t>
      </w:r>
      <w:r>
        <w:rPr>
          <w:rFonts w:ascii="Arial" w:cs="Arial" w:eastAsia="Arial" w:hAnsi="Arial"/>
          <w:sz w:val="17"/>
          <w:szCs w:val="17"/>
          <w:color w:val="FF0000"/>
          <w:strike w:val="1"/>
        </w:rPr>
        <w:t xml:space="preserve"> outstanding Term Loans, Consolidated EBITDA </w:t>
      </w:r>
      <w:r>
        <w:rPr>
          <w:rFonts w:ascii="Arial" w:cs="Arial" w:eastAsia="Arial" w:hAnsi="Arial"/>
          <w:sz w:val="17"/>
          <w:szCs w:val="17"/>
          <w:color w:val="008000"/>
          <w:strike w:val="1"/>
        </w:rPr>
        <w:t>shall be deemed to be</w:t>
      </w:r>
      <w:r>
        <w:rPr>
          <w:rFonts w:ascii="Arial" w:cs="Arial" w:eastAsia="Arial" w:hAnsi="Arial"/>
          <w:sz w:val="17"/>
          <w:szCs w:val="17"/>
          <w:color w:val="FF0000"/>
          <w:strike w:val="1"/>
        </w:rPr>
        <w:t xml:space="preserve"> in Pricing Level I solely for the purposes of determining the Applicable Margin (but only for so long as such failure continues, after which such ratio and the Pricing Level shall be determined based on Consolidated EBITDA as set forth in the most recently-delivered Compliance Certificate).</w:t>
      </w:r>
    </w:p>
    <w:p>
      <w:pPr>
        <w:spacing w:after="0" w:line="17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FF0000"/>
          <w:strike w:val="1"/>
        </w:rPr>
        <w:t>In the event that any financial statement or compliance certificate delivered pursuant to Sections 6.01 or 6.02 is inaccurate (and this Agreement remains in effect when such inaccuracy is discovered), and such inaccuracy, if corrected, would have led to the application of a higher Applicable Margin for any period (an “</w:t>
      </w:r>
      <w:r>
        <w:rPr>
          <w:rFonts w:ascii="Arial" w:cs="Arial" w:eastAsia="Arial" w:hAnsi="Arial"/>
          <w:sz w:val="16"/>
          <w:szCs w:val="16"/>
          <w:b w:val="1"/>
          <w:bCs w:val="1"/>
          <w:color w:val="FF0000"/>
          <w:strike w:val="1"/>
        </w:rPr>
        <w:t>Applicable Period</w:t>
      </w:r>
      <w:r>
        <w:rPr>
          <w:rFonts w:ascii="Arial" w:cs="Arial" w:eastAsia="Arial" w:hAnsi="Arial"/>
          <w:sz w:val="16"/>
          <w:szCs w:val="16"/>
          <w:color w:val="FF0000"/>
          <w:strike w:val="1"/>
        </w:rPr>
        <w:t>”) than the Applicable Margin applied for such Applicable Period, then (i) the Borrower shall promptly upon obtaining knowledge of such inaccuracy deliver to the Administrative Agent a corrected financial statement and a corrected compliance certificate for such Applicable Period, (ii) the Applicable Margin shall be determined based on the corrected financial statement and corrected compliance certificate for such Applicable Period and (iii) the Borrower shall promptly pay to the Administrative Agent (for the account of the Lenders during the Applicable Period or their successors and assigns) the accrued additional interest owing as a result of such increased Applicable Margin for such Applicable Period. This paragraph shall not limit the rights of the Administrative Agent or the Lenders with respect to Section 2.07 hereof. No Default or Event of Default shall arise or exist as a result of the initial non-payment of such amounts so long as the Borrower complies with this paragraph.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Budget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6.02(l)</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an assignment and acceptance entered into by a Lender and an Eligible Assignee, and accepted by the Administrative Agent,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shall be approved by the Administrative Agent </w:t>
      </w:r>
      <w:r>
        <w:rPr>
          <w:rFonts w:ascii="Arial" w:cs="Arial" w:eastAsia="Arial" w:hAnsi="Arial"/>
          <w:sz w:val="18"/>
          <w:szCs w:val="18"/>
          <w:color w:val="FF0000"/>
        </w:rPr>
        <w:t>and the Borrower (such approval of</w:t>
      </w:r>
      <w:r>
        <w:rPr>
          <w:rFonts w:ascii="Arial" w:cs="Arial" w:eastAsia="Arial" w:hAnsi="Arial"/>
          <w:sz w:val="18"/>
          <w:szCs w:val="18"/>
          <w:color w:val="auto"/>
        </w:rPr>
        <w:t xml:space="preserve"> </w:t>
      </w:r>
      <w:r>
        <w:rPr>
          <w:rFonts w:ascii="Arial" w:cs="Arial" w:eastAsia="Arial" w:hAnsi="Arial"/>
          <w:sz w:val="18"/>
          <w:szCs w:val="18"/>
          <w:color w:val="FF0000"/>
          <w:strike w:val="1"/>
        </w:rPr>
        <w:t>the Borrower shall not be unreasonably withheld, conditioned or delayed)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-227330</wp:posOffset>
            </wp:positionV>
            <wp:extent cx="16560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15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Attorney Costs</w:t>
      </w:r>
      <w:r>
        <w:rPr>
          <w:rFonts w:ascii="Arial" w:cs="Arial" w:eastAsia="Arial" w:hAnsi="Arial"/>
          <w:sz w:val="18"/>
          <w:szCs w:val="18"/>
          <w:color w:val="auto"/>
        </w:rPr>
        <w:t xml:space="preserve">” shall mean and shall include all reasonable and documented </w:t>
      </w:r>
      <w:r>
        <w:rPr>
          <w:rFonts w:ascii="Arial" w:cs="Arial" w:eastAsia="Arial" w:hAnsi="Arial"/>
          <w:sz w:val="18"/>
          <w:szCs w:val="18"/>
          <w:u w:val="single" w:color="auto"/>
          <w:color w:val="0000FF"/>
        </w:rPr>
        <w:t>out-of-pocket</w:t>
      </w:r>
      <w:r>
        <w:rPr>
          <w:rFonts w:ascii="Arial" w:cs="Arial" w:eastAsia="Arial" w:hAnsi="Arial"/>
          <w:sz w:val="18"/>
          <w:szCs w:val="18"/>
          <w:color w:val="auto"/>
        </w:rPr>
        <w:t xml:space="preserve"> fees, expenses and disbursements of any law firm or other external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-151130</wp:posOffset>
            </wp:positionV>
            <wp:extent cx="6426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4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shall mean, on any date, in respect of any Capitalized Lease of any Person, the capitalized amount thereof that would appear on a balance sheet of such Person prepared as of such date in accordance with GAAP.</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40" w:name="page141"/>
    <w:bookmarkEnd w:id="140"/>
    <w:p>
      <w:pPr>
        <w:ind w:left="4" w:firstLine="440"/>
        <w:spacing w:after="0" w:line="282"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FF0000"/>
          <w:strike w:val="1"/>
        </w:rPr>
        <w:t>Auction Procedures</w:t>
      </w:r>
      <w:r>
        <w:rPr>
          <w:rFonts w:ascii="Arial" w:cs="Arial" w:eastAsia="Arial" w:hAnsi="Arial"/>
          <w:sz w:val="18"/>
          <w:szCs w:val="18"/>
          <w:color w:val="FF0000"/>
          <w:strike w:val="1"/>
        </w:rPr>
        <w:t xml:space="preserve">” shall mean the auction procedures with respect to non-pro rata assignments of Term Loans pursuant to </w:t>
      </w:r>
      <w:r>
        <w:rPr>
          <w:rFonts w:ascii="Arial" w:cs="Arial" w:eastAsia="Arial" w:hAnsi="Arial"/>
          <w:sz w:val="18"/>
          <w:szCs w:val="18"/>
          <w:u w:val="single" w:color="auto"/>
          <w:color w:val="FF0000"/>
          <w:strike w:val="1"/>
        </w:rPr>
        <w:t>Section 10.04(k)</w:t>
      </w:r>
      <w:r>
        <w:rPr>
          <w:rFonts w:ascii="Arial" w:cs="Arial" w:eastAsia="Arial" w:hAnsi="Arial"/>
          <w:sz w:val="18"/>
          <w:szCs w:val="18"/>
          <w:color w:val="FF0000"/>
          <w:strike w:val="1"/>
        </w:rPr>
        <w:t xml:space="preserve"> set forth in </w:t>
      </w:r>
      <w:r>
        <w:rPr>
          <w:rFonts w:ascii="Arial" w:cs="Arial" w:eastAsia="Arial" w:hAnsi="Arial"/>
          <w:sz w:val="18"/>
          <w:szCs w:val="18"/>
          <w:u w:val="single" w:color="auto"/>
          <w:color w:val="FF0000"/>
          <w:strike w:val="1"/>
        </w:rPr>
        <w:t>Exhibit K</w:t>
      </w:r>
      <w:r>
        <w:rPr>
          <w:rFonts w:ascii="Arial" w:cs="Arial" w:eastAsia="Arial" w:hAnsi="Arial"/>
          <w:sz w:val="18"/>
          <w:szCs w:val="18"/>
          <w:color w:val="FF0000"/>
          <w:strike w:val="1"/>
        </w:rPr>
        <w:t xml:space="preserve"> hereto.</w:t>
      </w:r>
    </w:p>
    <w:p>
      <w:pPr>
        <w:spacing w:after="0" w:line="162" w:lineRule="exact"/>
        <w:rPr>
          <w:sz w:val="20"/>
          <w:szCs w:val="20"/>
          <w:color w:val="auto"/>
        </w:rPr>
      </w:pPr>
    </w:p>
    <w:p>
      <w:pPr>
        <w:jc w:val="both"/>
        <w:ind w:left="4"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shall mean the audited consolidated balance sheets of the Borrower and its consolidated subsidiaries for the fiscal years ending December 31, 20</w:t>
      </w:r>
      <w:r>
        <w:rPr>
          <w:rFonts w:ascii="Arial" w:cs="Arial" w:eastAsia="Arial" w:hAnsi="Arial"/>
          <w:sz w:val="18"/>
          <w:szCs w:val="18"/>
          <w:u w:val="single" w:color="auto"/>
          <w:color w:val="0000FF"/>
        </w:rPr>
        <w:t>2</w:t>
      </w:r>
      <w:r>
        <w:rPr>
          <w:rFonts w:ascii="Arial" w:cs="Arial" w:eastAsia="Arial" w:hAnsi="Arial"/>
          <w:sz w:val="18"/>
          <w:szCs w:val="18"/>
          <w:color w:val="auto"/>
        </w:rPr>
        <w:t>1</w:t>
      </w:r>
      <w:r>
        <w:rPr>
          <w:rFonts w:ascii="Arial" w:cs="Arial" w:eastAsia="Arial" w:hAnsi="Arial"/>
          <w:sz w:val="18"/>
          <w:szCs w:val="18"/>
          <w:color w:val="FF0000"/>
          <w:strike w:val="1"/>
        </w:rPr>
        <w:t>8</w:t>
      </w:r>
      <w:r>
        <w:rPr>
          <w:rFonts w:ascii="Arial" w:cs="Arial" w:eastAsia="Arial" w:hAnsi="Arial"/>
          <w:sz w:val="18"/>
          <w:szCs w:val="18"/>
          <w:color w:val="auto"/>
        </w:rPr>
        <w:t xml:space="preserve"> and December 31, 20</w:t>
      </w:r>
      <w:r>
        <w:rPr>
          <w:rFonts w:ascii="Arial" w:cs="Arial" w:eastAsia="Arial" w:hAnsi="Arial"/>
          <w:sz w:val="18"/>
          <w:szCs w:val="18"/>
          <w:color w:val="FF0000"/>
          <w:strike w:val="1"/>
        </w:rPr>
        <w:t>17</w:t>
      </w:r>
      <w:r>
        <w:rPr>
          <w:rFonts w:ascii="Arial" w:cs="Arial" w:eastAsia="Arial" w:hAnsi="Arial"/>
          <w:sz w:val="18"/>
          <w:szCs w:val="18"/>
          <w:u w:val="single" w:color="auto"/>
          <w:color w:val="0000FF"/>
        </w:rPr>
        <w:t>22</w:t>
      </w:r>
      <w:r>
        <w:rPr>
          <w:rFonts w:ascii="Arial" w:cs="Arial" w:eastAsia="Arial" w:hAnsi="Arial"/>
          <w:sz w:val="18"/>
          <w:szCs w:val="18"/>
          <w:color w:val="auto"/>
        </w:rPr>
        <w:t xml:space="preserve"> and the related consolidated statements of operations, changes in shareholders’ equity and cash flows of the Borrower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-141605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-141605</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6" w:lineRule="exact"/>
        <w:rPr>
          <w:sz w:val="20"/>
          <w:szCs w:val="20"/>
          <w:color w:val="auto"/>
        </w:rPr>
      </w:pPr>
    </w:p>
    <w:p>
      <w:pPr>
        <w:jc w:val="both"/>
        <w:ind w:left="4" w:right="6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Benchmark</w:t>
      </w:r>
      <w:r>
        <w:rPr>
          <w:rFonts w:ascii="Arial" w:cs="Arial" w:eastAsia="Arial" w:hAnsi="Arial"/>
          <w:sz w:val="18"/>
          <w:szCs w:val="18"/>
          <w:color w:val="FF0000"/>
          <w:strike w:val="1"/>
        </w:rPr>
        <w:t xml:space="preserve">” shall mean,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Arial" w:cs="Arial" w:eastAsia="Arial" w:hAnsi="Arial"/>
          <w:sz w:val="18"/>
          <w:szCs w:val="18"/>
          <w:u w:val="single" w:color="auto"/>
          <w:color w:val="FF0000"/>
          <w:strike w:val="1"/>
        </w:rPr>
        <w:t>Section 2.08</w:t>
      </w:r>
      <w:r>
        <w:rPr>
          <w:rFonts w:ascii="Arial" w:cs="Arial" w:eastAsia="Arial" w:hAnsi="Arial"/>
          <w:sz w:val="18"/>
          <w:szCs w:val="18"/>
          <w:color w:val="FF0000"/>
          <w:strike w:val="1"/>
        </w:rPr>
        <w:t>.</w:t>
      </w:r>
    </w:p>
    <w:p>
      <w:pPr>
        <w:spacing w:after="0" w:line="176"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B-2</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Priority Collateral</w:t>
      </w:r>
      <w:r>
        <w:rPr>
          <w:rFonts w:ascii="Arial" w:cs="Arial" w:eastAsia="Arial" w:hAnsi="Arial"/>
          <w:sz w:val="18"/>
          <w:szCs w:val="18"/>
          <w:u w:val="single" w:color="auto"/>
          <w:color w:val="0000FF"/>
        </w:rPr>
        <w:t>” shall have the meaning assigned to the term “Non-UST Tranche B Term Priority Collateral” in the 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5062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1315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42"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Bankruptcy Code</w:t>
      </w:r>
      <w:r>
        <w:rPr>
          <w:rFonts w:ascii="Arial" w:cs="Arial" w:eastAsia="Arial" w:hAnsi="Arial"/>
          <w:sz w:val="18"/>
          <w:szCs w:val="18"/>
          <w:u w:val="single" w:color="auto"/>
          <w:color w:val="0000FF"/>
        </w:rPr>
        <w:t>” means Title 11 of the United States Code entitled “Bankruptcy, ” as applicable to the Chapter 11 Cases (unless the context requires otherwise), now and hereafter in effect or any successors to such statute.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Bankruptcy Court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shall have the meaning assigned to such term in the recitals</w:t>
      </w:r>
      <w:r>
        <w:rPr>
          <w:rFonts w:ascii="Arial" w:cs="Arial" w:eastAsia="Arial" w:hAnsi="Arial"/>
          <w:sz w:val="18"/>
          <w:szCs w:val="18"/>
          <w:u w:val="single" w:color="auto"/>
          <w:color w:val="0000FF"/>
        </w:rPr>
        <w:t xml:space="preserv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-384810</wp:posOffset>
            </wp:positionV>
            <wp:extent cx="65919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-247650</wp:posOffset>
            </wp:positionV>
            <wp:extent cx="3703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26035</wp:posOffset>
            </wp:positionV>
            <wp:extent cx="46462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205"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Benchmark Replacement</w:t>
      </w:r>
      <w:r>
        <w:rPr>
          <w:rFonts w:ascii="Arial" w:cs="Arial" w:eastAsia="Arial" w:hAnsi="Arial"/>
          <w:sz w:val="18"/>
          <w:szCs w:val="18"/>
          <w:color w:val="FF0000"/>
          <w:strike w:val="1"/>
        </w:rPr>
        <w:t>” shall mean the first alternative set forth in the order below that can be determined by the Administrative Agent for the applicable Benchmark Replacement Date,</w:t>
      </w:r>
    </w:p>
    <w:p>
      <w:pPr>
        <w:spacing w:after="0" w:line="162"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Bidding Procedures Order</w:t>
      </w:r>
      <w:r>
        <w:rPr>
          <w:rFonts w:ascii="Arial" w:cs="Arial" w:eastAsia="Arial" w:hAnsi="Arial"/>
          <w:sz w:val="16"/>
          <w:szCs w:val="16"/>
          <w:u w:val="single" w:color="auto"/>
          <w:color w:val="0000FF"/>
        </w:rPr>
        <w:t xml:space="preserve">” means a final order approving procedures for one or more sales </w:t>
      </w:r>
      <w:r>
        <w:rPr>
          <w:rFonts w:ascii="Arial" w:cs="Arial" w:eastAsia="Arial" w:hAnsi="Arial"/>
          <w:sz w:val="16"/>
          <w:szCs w:val="16"/>
          <w:u w:val="single" w:color="auto"/>
          <w:color w:val="008000"/>
        </w:rPr>
        <w:t>of all or substantially all of the</w:t>
      </w:r>
      <w:r>
        <w:rPr>
          <w:rFonts w:ascii="Arial" w:cs="Arial" w:eastAsia="Arial" w:hAnsi="Arial"/>
          <w:sz w:val="16"/>
          <w:szCs w:val="16"/>
          <w:u w:val="single" w:color="auto"/>
          <w:color w:val="0000FF"/>
        </w:rPr>
        <w:t xml:space="preserve"> Debtors’ assets and permitting the Lenders (or the Agents on behalf of the Lenders) to credit bid the full amount of the Obligations </w:t>
      </w:r>
      <w:r>
        <w:rPr>
          <w:rFonts w:ascii="Arial" w:cs="Arial" w:eastAsia="Arial" w:hAnsi="Arial"/>
          <w:sz w:val="16"/>
          <w:szCs w:val="16"/>
          <w:u w:val="single" w:color="auto"/>
          <w:color w:val="008000"/>
        </w:rPr>
        <w:t>(including, for the avoidance of doubt,</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the </w:t>
      </w:r>
      <w:r>
        <w:rPr>
          <w:rFonts w:ascii="Arial" w:cs="Arial" w:eastAsia="Arial" w:hAnsi="Arial"/>
          <w:sz w:val="16"/>
          <w:szCs w:val="16"/>
          <w:u w:val="single" w:color="auto"/>
          <w:color w:val="0000FF"/>
        </w:rPr>
        <w:t>Obligations in respect of the Prepetition Term Loans) in form and substance in all material respects satisfactory to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-300355</wp:posOffset>
            </wp:positionV>
            <wp:extent cx="66948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858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64890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126" w:lineRule="exact"/>
        <w:rPr>
          <w:sz w:val="20"/>
          <w:szCs w:val="20"/>
          <w:color w:val="auto"/>
        </w:rPr>
      </w:pPr>
    </w:p>
    <w:p>
      <w:pPr>
        <w:ind w:left="684" w:hanging="244"/>
        <w:spacing w:after="0"/>
        <w:tabs>
          <w:tab w:leader="none" w:pos="684" w:val="left"/>
        </w:tabs>
        <w:numPr>
          <w:ilvl w:val="1"/>
          <w:numId w:val="42"/>
        </w:numPr>
        <w:rPr>
          <w:rFonts w:ascii="Arial" w:cs="Arial" w:eastAsia="Arial" w:hAnsi="Arial"/>
          <w:sz w:val="18"/>
          <w:szCs w:val="18"/>
          <w:color w:val="FF0000"/>
          <w:strike w:val="1"/>
        </w:rPr>
      </w:pPr>
      <w:r>
        <w:rPr>
          <w:rFonts w:ascii="Arial" w:cs="Arial" w:eastAsia="Arial" w:hAnsi="Arial"/>
          <w:sz w:val="18"/>
          <w:szCs w:val="18"/>
          <w:color w:val="FF0000"/>
          <w:strike w:val="1"/>
        </w:rPr>
        <w:t>the sum of (i) Daily Simple SOFR plus (ii) 0.11448% (11.448 basis points);</w:t>
      </w:r>
    </w:p>
    <w:p>
      <w:pPr>
        <w:spacing w:after="0" w:line="225" w:lineRule="exact"/>
        <w:rPr>
          <w:rFonts w:ascii="Arial" w:cs="Arial" w:eastAsia="Arial" w:hAnsi="Arial"/>
          <w:sz w:val="18"/>
          <w:szCs w:val="18"/>
          <w:color w:val="FF0000"/>
          <w:strike w:val="1"/>
        </w:rPr>
      </w:pPr>
    </w:p>
    <w:p>
      <w:pPr>
        <w:ind w:left="704" w:hanging="264"/>
        <w:spacing w:after="0"/>
        <w:tabs>
          <w:tab w:leader="none" w:pos="704" w:val="left"/>
        </w:tabs>
        <w:numPr>
          <w:ilvl w:val="1"/>
          <w:numId w:val="4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sum of: (i) the alternate benchmark rate that has been selected </w:t>
      </w:r>
      <w:r>
        <w:rPr>
          <w:rFonts w:ascii="Arial" w:cs="Arial" w:eastAsia="Arial" w:hAnsi="Arial"/>
          <w:sz w:val="16"/>
          <w:szCs w:val="16"/>
          <w:color w:val="008000"/>
          <w:strike w:val="1"/>
        </w:rPr>
        <w:t>by the Administrative Agent and the</w:t>
      </w:r>
      <w:r>
        <w:rPr>
          <w:rFonts w:ascii="Arial" w:cs="Arial" w:eastAsia="Arial" w:hAnsi="Arial"/>
          <w:sz w:val="16"/>
          <w:szCs w:val="16"/>
          <w:color w:val="FF0000"/>
          <w:strike w:val="1"/>
        </w:rPr>
        <w:t xml:space="preserve"> Borrower giving due consideration to</w:t>
      </w:r>
    </w:p>
    <w:p>
      <w:pPr>
        <w:spacing w:after="0" w:line="46" w:lineRule="exact"/>
        <w:rPr>
          <w:rFonts w:ascii="Arial" w:cs="Arial" w:eastAsia="Arial" w:hAnsi="Arial"/>
          <w:sz w:val="16"/>
          <w:szCs w:val="16"/>
          <w:color w:val="FF0000"/>
          <w:strike w:val="1"/>
        </w:rPr>
      </w:pPr>
    </w:p>
    <w:p>
      <w:pPr>
        <w:ind w:left="4" w:right="120" w:hanging="4"/>
        <w:spacing w:after="0" w:line="255" w:lineRule="auto"/>
        <w:tabs>
          <w:tab w:leader="none" w:pos="299" w:val="left"/>
        </w:tabs>
        <w:numPr>
          <w:ilvl w:val="0"/>
          <w:numId w:val="43"/>
        </w:numPr>
        <w:rPr>
          <w:rFonts w:ascii="Arial" w:cs="Arial" w:eastAsia="Arial" w:hAnsi="Arial"/>
          <w:sz w:val="18"/>
          <w:szCs w:val="18"/>
          <w:color w:val="FF0000"/>
          <w:strike w:val="1"/>
        </w:rPr>
      </w:pPr>
      <w:r>
        <w:rPr>
          <w:rFonts w:ascii="Arial" w:cs="Arial" w:eastAsia="Arial" w:hAnsi="Arial"/>
          <w:sz w:val="18"/>
          <w:szCs w:val="18"/>
          <w:color w:val="FF0000"/>
          <w:strike w:val="1"/>
        </w:rPr>
        <w:t>any selection or recommendation of a replacement benchmark rate or the mechanism for determining such a rate by the Relevant Governmental Body and (B) any evolving or then-prevailing market convention for determining a benchmark rate as a replacement to the then-current Benchmark for Dollar-denominated syndicated credit facilities and (ii) the related Benchmark Replacement Adjustment.</w:t>
      </w:r>
    </w:p>
    <w:p>
      <w:pPr>
        <w:spacing w:after="0" w:line="190"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FF0000"/>
          <w:strike w:val="1"/>
        </w:rPr>
        <w:t>If the Benchmark Replacement as determined pursuant to clause (a) or (b) above would be less than the Floor, the Benchmark Replacement will be deemed to be the Floor.</w:t>
      </w:r>
    </w:p>
    <w:p>
      <w:pPr>
        <w:spacing w:after="0" w:line="166"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Benchmark Replacement Adjustment</w:t>
      </w:r>
      <w:r>
        <w:rPr>
          <w:rFonts w:ascii="Arial" w:cs="Arial" w:eastAsia="Arial" w:hAnsi="Arial"/>
          <w:sz w:val="17"/>
          <w:szCs w:val="17"/>
          <w:color w:val="FF0000"/>
          <w:strike w:val="1"/>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141" w:name="page142"/>
    <w:bookmarkEnd w:id="141"/>
    <w:p>
      <w:pPr>
        <w:ind w:left="440"/>
        <w:spacing w:after="0"/>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rFonts w:ascii="Arial" w:cs="Arial" w:eastAsia="Arial" w:hAnsi="Arial"/>
          <w:sz w:val="17"/>
          <w:szCs w:val="17"/>
          <w:b w:val="1"/>
          <w:bCs w:val="1"/>
          <w:color w:val="FF0000"/>
          <w:strike w:val="1"/>
        </w:rPr>
        <w:t>Benchmark Replacement Date</w:t>
      </w:r>
      <w:r>
        <w:rPr>
          <w:rFonts w:ascii="Arial" w:cs="Arial" w:eastAsia="Arial" w:hAnsi="Arial"/>
          <w:sz w:val="17"/>
          <w:szCs w:val="17"/>
          <w:color w:val="FF0000"/>
          <w:strike w:val="1"/>
        </w:rPr>
        <w:t xml:space="preserve">” shall mean the earlier </w:t>
      </w:r>
      <w:r>
        <w:rPr>
          <w:rFonts w:ascii="Arial" w:cs="Arial" w:eastAsia="Arial" w:hAnsi="Arial"/>
          <w:sz w:val="17"/>
          <w:szCs w:val="17"/>
          <w:color w:val="008000"/>
          <w:strike w:val="1"/>
        </w:rPr>
        <w:t>to occur of the following</w:t>
      </w:r>
      <w:r>
        <w:rPr>
          <w:rFonts w:ascii="Arial" w:cs="Arial" w:eastAsia="Arial" w:hAnsi="Arial"/>
          <w:sz w:val="17"/>
          <w:szCs w:val="17"/>
          <w:color w:val="FF0000"/>
          <w:strike w:val="1"/>
        </w:rPr>
        <w:t xml:space="preserve"> events with respect to the then-current Benchmark:</w:t>
      </w:r>
    </w:p>
    <w:p>
      <w:pPr>
        <w:spacing w:after="0" w:line="241"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color w:val="000000"/>
        </w:rPr>
        <w:t xml:space="preserve">  </w:t>
      </w:r>
      <w:r>
        <w:rPr>
          <w:rFonts w:ascii="Arial" w:cs="Arial" w:eastAsia="Arial" w:hAnsi="Arial"/>
          <w:sz w:val="16"/>
          <w:szCs w:val="16"/>
          <w:color w:val="FF0000"/>
          <w:strike w:val="1"/>
        </w:rPr>
        <w:t>in the case of clause (a) or (b) of the definition of “Benchmark Transition Event,” the later of (a) the date of the public statement or</w:t>
      </w:r>
      <w:r>
        <w:rPr>
          <w:rFonts w:ascii="Arial" w:cs="Arial" w:eastAsia="Arial" w:hAnsi="Arial"/>
          <w:sz w:val="16"/>
          <w:szCs w:val="16"/>
          <w:color w:val="FF0000"/>
        </w:rPr>
        <w:t xml:space="preserve"> </w:t>
      </w:r>
      <w:r>
        <w:rPr>
          <w:rFonts w:ascii="Arial" w:cs="Arial" w:eastAsia="Arial" w:hAnsi="Arial"/>
          <w:sz w:val="16"/>
          <w:szCs w:val="16"/>
          <w:color w:val="FF0000"/>
          <w:strike w:val="1"/>
        </w:rPr>
        <w:t>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49"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FF0000"/>
          <w:strike w:val="1"/>
        </w:rPr>
        <w:t>(b)</w:t>
      </w:r>
      <w:r>
        <w:rPr>
          <w:rFonts w:ascii="Arial" w:cs="Arial" w:eastAsia="Arial" w:hAnsi="Arial"/>
          <w:sz w:val="16"/>
          <w:szCs w:val="16"/>
          <w:color w:val="000000"/>
        </w:rPr>
        <w:t xml:space="preserve">  </w:t>
      </w:r>
      <w:r>
        <w:rPr>
          <w:rFonts w:ascii="Arial" w:cs="Arial" w:eastAsia="Arial" w:hAnsi="Arial"/>
          <w:sz w:val="16"/>
          <w:szCs w:val="16"/>
          <w:color w:val="FF0000"/>
          <w:strike w:val="1"/>
        </w:rPr>
        <w:t>in the case of clause (c) of the definition of “Benchmark Transition Event,” the first date on which such Benchmark (or the published</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component used in the calculation thereof) has been determined and announced </w:t>
      </w:r>
      <w:r>
        <w:rPr>
          <w:rFonts w:ascii="Arial" w:cs="Arial" w:eastAsia="Arial" w:hAnsi="Arial"/>
          <w:sz w:val="16"/>
          <w:szCs w:val="16"/>
          <w:color w:val="008000"/>
          <w:strike w:val="1"/>
        </w:rPr>
        <w:t>by or on behalf of the</w:t>
      </w:r>
      <w:r>
        <w:rPr>
          <w:rFonts w:ascii="Arial" w:cs="Arial" w:eastAsia="Arial" w:hAnsi="Arial"/>
          <w:sz w:val="16"/>
          <w:szCs w:val="16"/>
          <w:color w:val="FF0000"/>
          <w:strike w:val="1"/>
        </w:rPr>
        <w:t xml:space="preserv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6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008000"/>
          <w:strike w:val="1"/>
        </w:rPr>
        <w:t xml:space="preserve">For the avoidance of doubt, the </w:t>
      </w:r>
      <w:r>
        <w:rPr>
          <w:rFonts w:ascii="Arial" w:cs="Arial" w:eastAsia="Arial" w:hAnsi="Arial"/>
          <w:sz w:val="18"/>
          <w:szCs w:val="18"/>
          <w:color w:val="FF0000"/>
          <w:strike w:val="1"/>
        </w:rPr>
        <w:t>“Benchmark Replacement Date” will be deemed to have occurred in the case of clause (a) or (b) with respect to</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Benchmark Transition Event</w:t>
      </w:r>
      <w:r>
        <w:rPr>
          <w:rFonts w:ascii="Arial" w:cs="Arial" w:eastAsia="Arial" w:hAnsi="Arial"/>
          <w:sz w:val="16"/>
          <w:szCs w:val="16"/>
          <w:color w:val="FF0000"/>
          <w:strike w:val="1"/>
        </w:rPr>
        <w:t>” shall mean the occurrence of one or more of the following events with respect to the then-current Benchmark:</w:t>
      </w:r>
    </w:p>
    <w:p>
      <w:pPr>
        <w:spacing w:after="0" w:line="25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FF0000"/>
          <w:strike w:val="1"/>
        </w:rPr>
        <w:t>(a)</w:t>
      </w:r>
      <w:r>
        <w:rPr>
          <w:rFonts w:ascii="Arial" w:cs="Arial" w:eastAsia="Arial" w:hAnsi="Arial"/>
          <w:sz w:val="18"/>
          <w:szCs w:val="18"/>
          <w:color w:val="000000"/>
        </w:rPr>
        <w:t xml:space="preserve"> </w:t>
      </w:r>
      <w:r>
        <w:rPr>
          <w:rFonts w:ascii="Arial" w:cs="Arial" w:eastAsia="Arial" w:hAnsi="Arial"/>
          <w:sz w:val="18"/>
          <w:szCs w:val="18"/>
          <w:color w:val="FF0000"/>
          <w:strike w:val="1"/>
        </w:rPr>
        <w:t>a public statement or publication of information</w:t>
      </w:r>
      <w:r>
        <w:rPr>
          <w:rFonts w:ascii="Arial" w:cs="Arial" w:eastAsia="Arial" w:hAnsi="Arial"/>
          <w:sz w:val="18"/>
          <w:szCs w:val="18"/>
          <w:color w:val="FF0000"/>
        </w:rPr>
        <w:t xml:space="preserve"> </w:t>
      </w:r>
      <w:r>
        <w:rPr>
          <w:rFonts w:ascii="Arial" w:cs="Arial" w:eastAsia="Arial" w:hAnsi="Arial"/>
          <w:sz w:val="18"/>
          <w:szCs w:val="18"/>
          <w:color w:val="008000"/>
          <w:strike w:val="1"/>
        </w:rPr>
        <w:t>by or on behalf of the</w:t>
      </w:r>
      <w:r>
        <w:rPr>
          <w:rFonts w:ascii="Arial" w:cs="Arial" w:eastAsia="Arial" w:hAnsi="Arial"/>
          <w:sz w:val="18"/>
          <w:szCs w:val="18"/>
          <w:color w:val="FF0000"/>
        </w:rPr>
        <w:t xml:space="preserve"> </w:t>
      </w:r>
      <w:r>
        <w:rPr>
          <w:rFonts w:ascii="Arial" w:cs="Arial" w:eastAsia="Arial" w:hAnsi="Arial"/>
          <w:sz w:val="18"/>
          <w:szCs w:val="18"/>
          <w:color w:val="FF0000"/>
          <w:strike w:val="1"/>
        </w:rPr>
        <w:t>administrator of such Benchmark (or the published component used in</w:t>
      </w:r>
      <w:r>
        <w:rPr>
          <w:rFonts w:ascii="Arial" w:cs="Arial" w:eastAsia="Arial" w:hAnsi="Arial"/>
          <w:sz w:val="18"/>
          <w:szCs w:val="18"/>
          <w:color w:val="FF0000"/>
        </w:rPr>
        <w:t xml:space="preserve"> </w:t>
      </w:r>
      <w:r>
        <w:rPr>
          <w:rFonts w:ascii="Arial" w:cs="Arial" w:eastAsia="Arial" w:hAnsi="Arial"/>
          <w:sz w:val="18"/>
          <w:szCs w:val="18"/>
          <w:color w:val="FF0000"/>
          <w:strike w:val="1"/>
        </w:rPr>
        <w:t>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0000"/>
        </w:rPr>
        <w:t xml:space="preserve"> </w:t>
      </w:r>
      <w:r>
        <w:rPr>
          <w:rFonts w:ascii="Arial" w:cs="Arial" w:eastAsia="Arial" w:hAnsi="Arial"/>
          <w:sz w:val="17"/>
          <w:szCs w:val="17"/>
          <w:color w:val="FF0000"/>
          <w:strike w:val="1"/>
        </w:rPr>
        <w:t>a public statement or publication of information by the regulatory supervisor for the administrator of such Benchmark (or the published</w:t>
      </w:r>
      <w:r>
        <w:rPr>
          <w:rFonts w:ascii="Arial" w:cs="Arial" w:eastAsia="Arial" w:hAnsi="Arial"/>
          <w:sz w:val="17"/>
          <w:szCs w:val="17"/>
          <w:color w:val="FF0000"/>
        </w:rPr>
        <w:t xml:space="preserve"> </w:t>
      </w:r>
      <w:r>
        <w:rPr>
          <w:rFonts w:ascii="Arial" w:cs="Arial" w:eastAsia="Arial" w:hAnsi="Arial"/>
          <w:sz w:val="17"/>
          <w:szCs w:val="17"/>
          <w:color w:val="FF0000"/>
          <w:strike w:val="1"/>
        </w:rPr>
        <w:t>component used in the calculation thereof), the relevant Governmental Authority,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FF0000"/>
          <w:strike w:val="1"/>
        </w:rPr>
        <w:t>(c)</w:t>
      </w:r>
      <w:r>
        <w:rPr>
          <w:rFonts w:ascii="Arial" w:cs="Arial" w:eastAsia="Arial" w:hAnsi="Arial"/>
          <w:sz w:val="17"/>
          <w:szCs w:val="17"/>
          <w:color w:val="000000"/>
        </w:rPr>
        <w:t xml:space="preserve">  </w:t>
      </w:r>
      <w:r>
        <w:rPr>
          <w:rFonts w:ascii="Arial" w:cs="Arial" w:eastAsia="Arial" w:hAnsi="Arial"/>
          <w:sz w:val="17"/>
          <w:szCs w:val="17"/>
          <w:color w:val="FF0000"/>
          <w:strike w:val="1"/>
        </w:rPr>
        <w:t>a public statement or publication of information by or on behalf of the administrator of such Benchmark (or the published component used</w:t>
      </w:r>
      <w:r>
        <w:rPr>
          <w:rFonts w:ascii="Arial" w:cs="Arial" w:eastAsia="Arial" w:hAnsi="Arial"/>
          <w:sz w:val="17"/>
          <w:szCs w:val="17"/>
          <w:color w:val="FF0000"/>
        </w:rPr>
        <w:t xml:space="preserve"> </w:t>
      </w:r>
      <w:r>
        <w:rPr>
          <w:rFonts w:ascii="Arial" w:cs="Arial" w:eastAsia="Arial" w:hAnsi="Arial"/>
          <w:sz w:val="17"/>
          <w:szCs w:val="17"/>
          <w:color w:val="FF0000"/>
          <w:strike w:val="1"/>
        </w:rPr>
        <w:t>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42" w:name="page143"/>
    <w:bookmarkEnd w:id="142"/>
    <w:p>
      <w:pPr>
        <w:ind w:firstLine="440"/>
        <w:spacing w:after="0" w:line="263" w:lineRule="auto"/>
        <w:rPr>
          <w:sz w:val="20"/>
          <w:szCs w:val="20"/>
          <w:color w:val="auto"/>
        </w:rPr>
      </w:pPr>
      <w:r>
        <w:rPr>
          <w:rFonts w:ascii="Arial" w:cs="Arial" w:eastAsia="Arial" w:hAnsi="Arial"/>
          <w:sz w:val="18"/>
          <w:szCs w:val="18"/>
          <w:color w:val="008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w:t>
      </w:r>
      <w:r>
        <w:rPr>
          <w:rFonts w:ascii="Arial" w:cs="Arial" w:eastAsia="Arial" w:hAnsi="Arial"/>
          <w:sz w:val="18"/>
          <w:szCs w:val="18"/>
          <w:color w:val="FF0000"/>
          <w:strike w:val="1"/>
        </w:rPr>
        <w:t>a “Benchmark Transition Event” will be deemed to have occurred with respect to any Benchmark if a public statement</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Benchmark Unavailability Period</w:t>
      </w:r>
      <w:r>
        <w:rPr>
          <w:rFonts w:ascii="Arial" w:cs="Arial" w:eastAsia="Arial" w:hAnsi="Arial"/>
          <w:sz w:val="18"/>
          <w:szCs w:val="18"/>
          <w:color w:val="FF0000"/>
          <w:strike w:val="1"/>
        </w:rPr>
        <w:t>” shall mean the period (if any) (x) beginning at the time that such Benchmark Replacement Date has occurred if, at such time, no Benchmark Replacement has replaced the then-current Benchmark for all purposes hereunder and under any Loan Document in accordance with the Section 2.08 and (y) ending at the time that a Benchmark Replacement has replaced the then-current Benchmark for all purposes hereunder and under any Loan Document pursuant to the Section 2.08.</w:t>
      </w:r>
    </w:p>
    <w:p>
      <w:pPr>
        <w:spacing w:after="0" w:line="180"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shall mean any Person that is publicly identified on the most current list of “Specially Designated Nationals and Blocked Persons” published by the Office of Foreign Assets Control of the U.S.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Board Meeting</w:t>
      </w:r>
      <w:r>
        <w:rPr>
          <w:rFonts w:ascii="Arial" w:cs="Arial" w:eastAsia="Arial" w:hAnsi="Arial"/>
          <w:sz w:val="18"/>
          <w:szCs w:val="18"/>
          <w:color w:val="FF0000"/>
          <w:strike w:val="1"/>
        </w:rPr>
        <w:t>” as defined in Section 6.18.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Board Observer</w:t>
      </w:r>
      <w:r>
        <w:rPr>
          <w:rFonts w:ascii="Arial" w:cs="Arial" w:eastAsia="Arial" w:hAnsi="Arial"/>
          <w:sz w:val="18"/>
          <w:szCs w:val="18"/>
          <w:color w:val="FF0000"/>
          <w:strike w:val="1"/>
        </w:rPr>
        <w:t>” as defined in Section 6.18.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assigned to such term in the introductory statement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xml:space="preserve">” shall mean Loans of the same Class </w:t>
      </w:r>
      <w:r>
        <w:rPr>
          <w:rFonts w:ascii="Arial" w:cs="Arial" w:eastAsia="Arial" w:hAnsi="Arial"/>
          <w:sz w:val="18"/>
          <w:szCs w:val="18"/>
          <w:color w:val="FF0000"/>
        </w:rPr>
        <w:t>and Type</w:t>
      </w:r>
      <w:r>
        <w:rPr>
          <w:rFonts w:ascii="Arial" w:cs="Arial" w:eastAsia="Arial" w:hAnsi="Arial"/>
          <w:sz w:val="18"/>
          <w:szCs w:val="18"/>
          <w:color w:val="auto"/>
        </w:rPr>
        <w:t xml:space="preserve"> made</w:t>
      </w:r>
      <w:r>
        <w:rPr>
          <w:rFonts w:ascii="Arial" w:cs="Arial" w:eastAsia="Arial" w:hAnsi="Arial"/>
          <w:sz w:val="18"/>
          <w:szCs w:val="18"/>
          <w:color w:val="FF0000"/>
          <w:strike w:val="1"/>
        </w:rPr>
        <w:t>, converted or continued</w:t>
      </w:r>
      <w:r>
        <w:rPr>
          <w:rFonts w:ascii="Arial" w:cs="Arial" w:eastAsia="Arial" w:hAnsi="Arial"/>
          <w:sz w:val="18"/>
          <w:szCs w:val="18"/>
          <w:color w:val="auto"/>
        </w:rPr>
        <w:t xml:space="preserve"> on the same date </w:t>
      </w:r>
      <w:r>
        <w:rPr>
          <w:rFonts w:ascii="Arial" w:cs="Arial" w:eastAsia="Arial" w:hAnsi="Arial"/>
          <w:sz w:val="18"/>
          <w:szCs w:val="18"/>
          <w:color w:val="FF0000"/>
          <w:strike w:val="1"/>
        </w:rPr>
        <w:t>and, in the case of SOFR Loans, as to</w:t>
      </w:r>
      <w:r>
        <w:rPr>
          <w:rFonts w:ascii="Arial" w:cs="Arial" w:eastAsia="Arial" w:hAnsi="Arial"/>
          <w:sz w:val="18"/>
          <w:szCs w:val="18"/>
          <w:color w:val="auto"/>
        </w:rPr>
        <w:t xml:space="preserve"> </w:t>
      </w:r>
      <w:r>
        <w:rPr>
          <w:rFonts w:ascii="Arial" w:cs="Arial" w:eastAsia="Arial" w:hAnsi="Arial"/>
          <w:sz w:val="18"/>
          <w:szCs w:val="18"/>
          <w:color w:val="FF0000"/>
          <w:strike w:val="1"/>
        </w:rPr>
        <w:t>which a single Interest Period is in effect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-236855</wp:posOffset>
            </wp:positionV>
            <wp:extent cx="4775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Budget Variance Report</w:t>
      </w:r>
      <w:r>
        <w:rPr>
          <w:rFonts w:ascii="Arial" w:cs="Arial" w:eastAsia="Arial" w:hAnsi="Arial"/>
          <w:sz w:val="16"/>
          <w:szCs w:val="16"/>
          <w:color w:val="auto"/>
        </w:rPr>
        <w:t>” shall mean a weekly variance report prepared by management of the Borrower (</w:t>
      </w:r>
      <w:r>
        <w:rPr>
          <w:rFonts w:ascii="Arial" w:cs="Arial" w:eastAsia="Arial" w:hAnsi="Arial"/>
          <w:sz w:val="16"/>
          <w:szCs w:val="16"/>
          <w:color w:val="FF0000"/>
          <w:strike w:val="1"/>
        </w:rPr>
        <w:t>and after the Operational Advisor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Appointment Date,</w:t>
      </w:r>
      <w:r>
        <w:rPr>
          <w:rFonts w:ascii="Arial" w:cs="Arial" w:eastAsia="Arial" w:hAnsi="Arial"/>
          <w:sz w:val="16"/>
          <w:szCs w:val="16"/>
          <w:color w:val="FF0000"/>
        </w:rPr>
        <w:t xml:space="preserve"> </w:t>
      </w:r>
      <w:r>
        <w:rPr>
          <w:rFonts w:ascii="Arial" w:cs="Arial" w:eastAsia="Arial" w:hAnsi="Arial"/>
          <w:sz w:val="16"/>
          <w:szCs w:val="16"/>
          <w:color w:val="000000"/>
        </w:rPr>
        <w:t>in consultation with the Borrower’s Operational Advisor), in form and detail reasonably satisfactory to the</w:t>
      </w:r>
      <w:r>
        <w:rPr>
          <w:rFonts w:ascii="Arial" w:cs="Arial" w:eastAsia="Arial" w:hAnsi="Arial"/>
          <w:sz w:val="16"/>
          <w:szCs w:val="16"/>
          <w:color w:val="FF0000"/>
        </w:rPr>
        <w:t xml:space="preserve"> </w:t>
      </w:r>
      <w:r>
        <w:rPr>
          <w:rFonts w:ascii="Arial" w:cs="Arial" w:eastAsia="Arial" w:hAnsi="Arial"/>
          <w:sz w:val="16"/>
          <w:szCs w:val="16"/>
          <w:color w:val="FF0000"/>
          <w:strike w:val="1"/>
        </w:rPr>
        <w:t>Required</w:t>
      </w:r>
      <w:r>
        <w:rPr>
          <w:rFonts w:ascii="Arial" w:cs="Arial" w:eastAsia="Arial" w:hAnsi="Arial"/>
          <w:sz w:val="16"/>
          <w:szCs w:val="16"/>
          <w:u w:val="single" w:color="auto"/>
          <w:color w:val="0000FF"/>
        </w:rPr>
        <w:t>Lenders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Junior DIP</w:t>
      </w:r>
      <w:r>
        <w:rPr>
          <w:rFonts w:ascii="Arial" w:cs="Arial" w:eastAsia="Arial" w:hAnsi="Arial"/>
          <w:sz w:val="17"/>
          <w:szCs w:val="17"/>
          <w:color w:val="0000FF"/>
        </w:rPr>
        <w:t xml:space="preserve"> </w:t>
      </w:r>
      <w:r>
        <w:rPr>
          <w:rFonts w:ascii="Arial" w:cs="Arial" w:eastAsia="Arial" w:hAnsi="Arial"/>
          <w:sz w:val="17"/>
          <w:szCs w:val="17"/>
          <w:color w:val="000000"/>
        </w:rPr>
        <w:t>Lenders, comparing for each applicable Budget Variance Test Period the actual</w:t>
      </w:r>
      <w:r>
        <w:rPr>
          <w:rFonts w:ascii="Arial" w:cs="Arial" w:eastAsia="Arial" w:hAnsi="Arial"/>
          <w:sz w:val="17"/>
          <w:szCs w:val="17"/>
          <w:color w:val="0000FF"/>
        </w:rPr>
        <w:t xml:space="preserve"> </w:t>
      </w:r>
      <w:r>
        <w:rPr>
          <w:rFonts w:ascii="Arial" w:cs="Arial" w:eastAsia="Arial" w:hAnsi="Arial"/>
          <w:sz w:val="17"/>
          <w:szCs w:val="17"/>
          <w:color w:val="FF0000"/>
          <w:strike w:val="1"/>
        </w:rPr>
        <w:t>results</w:t>
      </w:r>
      <w:r>
        <w:rPr>
          <w:rFonts w:ascii="Arial" w:cs="Arial" w:eastAsia="Arial" w:hAnsi="Arial"/>
          <w:sz w:val="17"/>
          <w:szCs w:val="17"/>
          <w:u w:val="single" w:color="auto"/>
          <w:color w:val="0000FF"/>
        </w:rPr>
        <w:t>receipts and disbursements</w:t>
      </w:r>
      <w:r>
        <w:rPr>
          <w:rFonts w:ascii="Arial" w:cs="Arial" w:eastAsia="Arial" w:hAnsi="Arial"/>
          <w:sz w:val="17"/>
          <w:szCs w:val="17"/>
          <w:color w:val="0000FF"/>
        </w:rPr>
        <w:t xml:space="preserve"> </w:t>
      </w:r>
      <w:r>
        <w:rPr>
          <w:rFonts w:ascii="Arial" w:cs="Arial" w:eastAsia="Arial" w:hAnsi="Arial"/>
          <w:sz w:val="17"/>
          <w:szCs w:val="17"/>
          <w:color w:val="000000"/>
        </w:rPr>
        <w:t>against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-114935</wp:posOffset>
            </wp:positionV>
            <wp:extent cx="7283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results</w:t>
      </w:r>
      <w:r>
        <w:rPr>
          <w:rFonts w:ascii="Arial" w:cs="Arial" w:eastAsia="Arial" w:hAnsi="Arial"/>
          <w:sz w:val="16"/>
          <w:szCs w:val="16"/>
          <w:u w:val="single" w:color="auto"/>
          <w:color w:val="0000FF"/>
        </w:rPr>
        <w:t>receipts and disbursements</w:t>
      </w:r>
      <w:r>
        <w:rPr>
          <w:rFonts w:ascii="Arial" w:cs="Arial" w:eastAsia="Arial" w:hAnsi="Arial"/>
          <w:sz w:val="16"/>
          <w:szCs w:val="16"/>
          <w:color w:val="FF0000"/>
        </w:rPr>
        <w:t xml:space="preserve"> </w:t>
      </w:r>
      <w:r>
        <w:rPr>
          <w:rFonts w:ascii="Arial" w:cs="Arial" w:eastAsia="Arial" w:hAnsi="Arial"/>
          <w:sz w:val="16"/>
          <w:szCs w:val="16"/>
          <w:color w:val="000000"/>
        </w:rPr>
        <w:t>under the applicable Approved Budget, on a</w:t>
      </w:r>
      <w:r>
        <w:rPr>
          <w:rFonts w:ascii="Arial" w:cs="Arial" w:eastAsia="Arial" w:hAnsi="Arial"/>
          <w:sz w:val="16"/>
          <w:szCs w:val="16"/>
          <w:color w:val="FF0000"/>
        </w:rPr>
        <w:t xml:space="preserve"> </w:t>
      </w:r>
      <w:r>
        <w:rPr>
          <w:rFonts w:ascii="Arial" w:cs="Arial" w:eastAsia="Arial" w:hAnsi="Arial"/>
          <w:sz w:val="16"/>
          <w:szCs w:val="16"/>
          <w:color w:val="FF0000"/>
          <w:strike w:val="1"/>
        </w:rPr>
        <w:t>line-by-line</w:t>
      </w:r>
      <w:r>
        <w:rPr>
          <w:rFonts w:ascii="Arial" w:cs="Arial" w:eastAsia="Arial" w:hAnsi="Arial"/>
          <w:sz w:val="16"/>
          <w:szCs w:val="16"/>
          <w:u w:val="single" w:color="auto"/>
          <w:color w:val="0000FF"/>
        </w:rPr>
        <w:t>line by line</w:t>
      </w:r>
      <w:r>
        <w:rPr>
          <w:rFonts w:ascii="Arial" w:cs="Arial" w:eastAsia="Arial" w:hAnsi="Arial"/>
          <w:sz w:val="16"/>
          <w:szCs w:val="16"/>
          <w:color w:val="FF0000"/>
        </w:rPr>
        <w:t xml:space="preserve"> </w:t>
      </w:r>
      <w:r>
        <w:rPr>
          <w:rFonts w:ascii="Arial" w:cs="Arial" w:eastAsia="Arial" w:hAnsi="Arial"/>
          <w:sz w:val="16"/>
          <w:szCs w:val="16"/>
          <w:color w:val="000000"/>
        </w:rPr>
        <w:t>and aggregate basis and in the same level of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4972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-107315</wp:posOffset>
            </wp:positionV>
            <wp:extent cx="12255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the Approved Budget</w:t>
      </w:r>
      <w:r>
        <w:rPr>
          <w:rFonts w:ascii="Arial" w:cs="Arial" w:eastAsia="Arial" w:hAnsi="Arial"/>
          <w:sz w:val="16"/>
          <w:szCs w:val="16"/>
          <w:color w:val="FF0000"/>
          <w:strike w:val="1"/>
        </w:rPr>
        <w:t>(s)</w:t>
      </w:r>
      <w:r>
        <w:rPr>
          <w:rFonts w:ascii="Arial" w:cs="Arial" w:eastAsia="Arial" w:hAnsi="Arial"/>
          <w:sz w:val="16"/>
          <w:szCs w:val="16"/>
          <w:color w:val="auto"/>
        </w:rPr>
        <w:t>, together with a written explanation for all material variances in any given Budget Variance Test Period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-107315</wp:posOffset>
            </wp:positionV>
            <wp:extent cx="12255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-107315</wp:posOffset>
            </wp:positionV>
            <wp:extent cx="5143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related information as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may reasonably request.</w:t>
      </w:r>
    </w:p>
    <w:p>
      <w:pPr>
        <w:spacing w:after="0" w:line="207"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 Variance Test Date</w:t>
      </w:r>
      <w:r>
        <w:rPr>
          <w:rFonts w:ascii="Arial" w:cs="Arial" w:eastAsia="Arial" w:hAnsi="Arial"/>
          <w:sz w:val="18"/>
          <w:szCs w:val="18"/>
          <w:color w:val="auto"/>
        </w:rPr>
        <w:t xml:space="preserve">” shall mean </w:t>
      </w:r>
      <w:r>
        <w:rPr>
          <w:rFonts w:ascii="Arial" w:cs="Arial" w:eastAsia="Arial" w:hAnsi="Arial"/>
          <w:sz w:val="18"/>
          <w:szCs w:val="18"/>
          <w:color w:val="FF0000"/>
          <w:strike w:val="1"/>
        </w:rPr>
        <w:t>the Wednesday of each calendar week</w:t>
      </w:r>
      <w:r>
        <w:rPr>
          <w:rFonts w:ascii="Arial" w:cs="Arial" w:eastAsia="Arial" w:hAnsi="Arial"/>
          <w:sz w:val="18"/>
          <w:szCs w:val="18"/>
          <w:u w:val="single" w:color="auto"/>
          <w:color w:val="0000FF"/>
        </w:rPr>
        <w:t>each of (a) Friday August 25, 2023, (b) Friday September 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2023, (c) Wednesday September 6, 2023 and (d) each Wednesday thereafter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-151130</wp:posOffset>
            </wp:positionV>
            <wp:extent cx="27514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4632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4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 Variance Test Period</w:t>
      </w:r>
      <w:r>
        <w:rPr>
          <w:rFonts w:ascii="Arial" w:cs="Arial" w:eastAsia="Arial" w:hAnsi="Arial"/>
          <w:sz w:val="18"/>
          <w:szCs w:val="18"/>
          <w:color w:val="auto"/>
        </w:rPr>
        <w:t xml:space="preserve">” </w:t>
      </w:r>
      <w:r>
        <w:rPr>
          <w:rFonts w:ascii="Arial" w:cs="Arial" w:eastAsia="Arial" w:hAnsi="Arial"/>
          <w:sz w:val="18"/>
          <w:szCs w:val="18"/>
          <w:color w:val="FF0000"/>
          <w:strike w:val="1"/>
        </w:rPr>
        <w:t>shall mean</w:t>
      </w:r>
      <w:r>
        <w:rPr>
          <w:rFonts w:ascii="Arial" w:cs="Arial" w:eastAsia="Arial" w:hAnsi="Arial"/>
          <w:sz w:val="18"/>
          <w:szCs w:val="18"/>
          <w:u w:val="single" w:color="auto"/>
          <w:color w:val="0000FF"/>
        </w:rPr>
        <w:t>means</w:t>
      </w:r>
      <w:r>
        <w:rPr>
          <w:rFonts w:ascii="Arial" w:cs="Arial" w:eastAsia="Arial" w:hAnsi="Arial"/>
          <w:sz w:val="18"/>
          <w:szCs w:val="18"/>
          <w:color w:val="auto"/>
        </w:rPr>
        <w:t xml:space="preserve">, as of any date of determination </w:t>
      </w:r>
      <w:r>
        <w:rPr>
          <w:rFonts w:ascii="Arial" w:cs="Arial" w:eastAsia="Arial" w:hAnsi="Arial"/>
          <w:sz w:val="18"/>
          <w:szCs w:val="18"/>
          <w:color w:val="FF0000"/>
          <w:strike w:val="1"/>
        </w:rPr>
        <w:t>under this Agreement, the most recent period as of such date of</w:t>
      </w:r>
      <w:r>
        <w:rPr>
          <w:rFonts w:ascii="Arial" w:cs="Arial" w:eastAsia="Arial" w:hAnsi="Arial"/>
          <w:sz w:val="18"/>
          <w:szCs w:val="18"/>
          <w:color w:val="auto"/>
        </w:rPr>
        <w:t xml:space="preserve"> </w:t>
      </w:r>
      <w:r>
        <w:rPr>
          <w:rFonts w:ascii="Arial" w:cs="Arial" w:eastAsia="Arial" w:hAnsi="Arial"/>
          <w:sz w:val="18"/>
          <w:szCs w:val="18"/>
          <w:color w:val="FF0000"/>
          <w:strike w:val="1"/>
        </w:rPr>
        <w:t>seven (7) consecutive days ending on a Friday for which a</w:t>
      </w:r>
      <w:r>
        <w:rPr>
          <w:rFonts w:ascii="Arial" w:cs="Arial" w:eastAsia="Arial" w:hAnsi="Arial"/>
          <w:sz w:val="18"/>
          <w:szCs w:val="18"/>
          <w:u w:val="single" w:color="auto"/>
          <w:color w:val="0000FF"/>
        </w:rPr>
        <w:t>, (a) with respect to the first</w:t>
      </w:r>
      <w:r>
        <w:rPr>
          <w:rFonts w:ascii="Arial" w:cs="Arial" w:eastAsia="Arial" w:hAnsi="Arial"/>
          <w:sz w:val="18"/>
          <w:szCs w:val="18"/>
          <w:color w:val="FF0000"/>
        </w:rPr>
        <w:t xml:space="preserve"> </w:t>
      </w:r>
      <w:r>
        <w:rPr>
          <w:rFonts w:ascii="Arial" w:cs="Arial" w:eastAsia="Arial" w:hAnsi="Arial"/>
          <w:sz w:val="18"/>
          <w:szCs w:val="18"/>
          <w:color w:val="000000"/>
        </w:rPr>
        <w:t>Budget Variance Report</w:t>
      </w:r>
      <w:r>
        <w:rPr>
          <w:rFonts w:ascii="Arial" w:cs="Arial" w:eastAsia="Arial" w:hAnsi="Arial"/>
          <w:sz w:val="18"/>
          <w:szCs w:val="18"/>
          <w:color w:val="FF0000"/>
        </w:rPr>
        <w:t xml:space="preserve"> </w:t>
      </w:r>
      <w:r>
        <w:rPr>
          <w:rFonts w:ascii="Arial" w:cs="Arial" w:eastAsia="Arial" w:hAnsi="Arial"/>
          <w:sz w:val="18"/>
          <w:szCs w:val="18"/>
          <w:color w:val="FF0000"/>
          <w:strike w:val="1"/>
        </w:rPr>
        <w:t>has been</w:t>
      </w:r>
      <w:r>
        <w:rPr>
          <w:rFonts w:ascii="Arial" w:cs="Arial" w:eastAsia="Arial" w:hAnsi="Arial"/>
          <w:sz w:val="18"/>
          <w:szCs w:val="18"/>
          <w:color w:val="FF0000"/>
        </w:rPr>
        <w:t xml:space="preserve"> </w:t>
      </w:r>
      <w:r>
        <w:rPr>
          <w:rFonts w:ascii="Arial" w:cs="Arial" w:eastAsia="Arial" w:hAnsi="Arial"/>
          <w:sz w:val="18"/>
          <w:szCs w:val="18"/>
          <w:color w:val="000000"/>
        </w:rPr>
        <w:t>delivered</w:t>
      </w:r>
      <w:r>
        <w:rPr>
          <w:rFonts w:ascii="Arial" w:cs="Arial" w:eastAsia="Arial" w:hAnsi="Arial"/>
          <w:sz w:val="18"/>
          <w:szCs w:val="18"/>
          <w:color w:val="FF0000"/>
        </w:rPr>
        <w:t xml:space="preserve"> </w:t>
      </w:r>
      <w:r>
        <w:rPr>
          <w:rFonts w:ascii="Arial" w:cs="Arial" w:eastAsia="Arial" w:hAnsi="Arial"/>
          <w:sz w:val="18"/>
          <w:szCs w:val="18"/>
          <w:color w:val="FF0000"/>
          <w:strike w:val="1"/>
        </w:rPr>
        <w:t>(or was required to</w:t>
      </w:r>
      <w:r>
        <w:rPr>
          <w:rFonts w:ascii="Arial" w:cs="Arial" w:eastAsia="Arial" w:hAnsi="Arial"/>
          <w:sz w:val="18"/>
          <w:szCs w:val="18"/>
          <w:color w:val="FF0000"/>
        </w:rPr>
        <w:t xml:space="preserve"> </w:t>
      </w:r>
      <w:r>
        <w:rPr>
          <w:rFonts w:ascii="Arial" w:cs="Arial" w:eastAsia="Arial" w:hAnsi="Arial"/>
          <w:sz w:val="18"/>
          <w:szCs w:val="18"/>
          <w:color w:val="FF0000"/>
          <w:strike w:val="1"/>
        </w:rPr>
        <w:t>have been delivered)</w:t>
      </w:r>
      <w:r>
        <w:rPr>
          <w:rFonts w:ascii="Arial" w:cs="Arial" w:eastAsia="Arial" w:hAnsi="Arial"/>
          <w:sz w:val="18"/>
          <w:szCs w:val="18"/>
          <w:u w:val="single" w:color="auto"/>
          <w:color w:val="0000FF"/>
        </w:rPr>
        <w:t>after the Postpetition B-2 Facility Closing Date</w:t>
      </w:r>
      <w:r>
        <w:rPr>
          <w:rFonts w:ascii="Arial" w:cs="Arial" w:eastAsia="Arial" w:hAnsi="Arial"/>
          <w:sz w:val="18"/>
          <w:szCs w:val="18"/>
          <w:color w:val="FF0000"/>
        </w:rPr>
        <w:t xml:space="preserve"> </w:t>
      </w:r>
      <w:r>
        <w:rPr>
          <w:rFonts w:ascii="Arial" w:cs="Arial" w:eastAsia="Arial" w:hAnsi="Arial"/>
          <w:sz w:val="18"/>
          <w:szCs w:val="18"/>
          <w:color w:val="000000"/>
        </w:rPr>
        <w:t>pursuant to</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6.02(n)(i)</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-278765</wp:posOffset>
            </wp:positionV>
            <wp:extent cx="2914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-141605</wp:posOffset>
            </wp:positionV>
            <wp:extent cx="12687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6873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-4445</wp:posOffset>
            </wp:positionV>
            <wp:extent cx="21602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-4445</wp:posOffset>
            </wp:positionV>
            <wp:extent cx="3346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3" w:name="page144"/>
    <w:bookmarkEnd w:id="143"/>
    <w:p>
      <w:pPr>
        <w:jc w:val="both"/>
        <w:ind w:right="60"/>
        <w:spacing w:after="0" w:line="29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Budget Variance Test Date occurring on Friday August 25, 2023, the period starting on the Petition Date and ending on August 18, 2023, (b) with respect to the second Budget Variance Report delivered after the Postpetition B-2 Facility Closing Date pursuant to Section 6.02(n)(i) and the Budget Variance Test Date occurring on Friday September 1, 2023, the period starting on the Petition Date and ending on August 25, 2023, (c) with respect to the third Budget Variance Report delivered after the Postpetition B-2 Facility Closing Date pursuant to Section 6.02(n)(i) and the Budget Variance Test Date occurring on Wednesday September 6, 2023, the period starting on the Petition Date and ending on September 1, 2023 and (d) with respect to each Budget Variance Report delivered pursuant to Section 6.02(n)(i) thereafter and each the Budget Variance Test Date occurring thereafter, the four-week period ending on the Friday of the week immediately preceding the applicable Budget Variance Test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-836295</wp:posOffset>
            </wp:positionV>
            <wp:extent cx="68580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8237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8580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892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951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892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48520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142"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day on which banks in New York City are authorized or required by law to close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provided, however</w:t>
      </w:r>
      <w:r>
        <w:rPr>
          <w:rFonts w:ascii="Arial" w:cs="Arial" w:eastAsia="Arial" w:hAnsi="Arial"/>
          <w:sz w:val="18"/>
          <w:szCs w:val="18"/>
          <w:color w:val="FF0000"/>
          <w:strike w:val="1"/>
        </w:rPr>
        <w:t>, that when used in connection with a SOFR Loan, the term “</w:t>
      </w:r>
      <w:r>
        <w:rPr>
          <w:rFonts w:ascii="Arial" w:cs="Arial" w:eastAsia="Arial" w:hAnsi="Arial"/>
          <w:sz w:val="18"/>
          <w:szCs w:val="18"/>
          <w:b w:val="1"/>
          <w:bCs w:val="1"/>
          <w:color w:val="FF0000"/>
          <w:strike w:val="1"/>
        </w:rPr>
        <w:t>Business Day</w:t>
      </w:r>
      <w:r>
        <w:rPr>
          <w:rFonts w:ascii="Arial" w:cs="Arial" w:eastAsia="Arial" w:hAnsi="Arial"/>
          <w:sz w:val="18"/>
          <w:szCs w:val="18"/>
          <w:color w:val="FF0000"/>
          <w:strike w:val="1"/>
        </w:rPr>
        <w:t>” shall also exclude any day that is not a U.S.</w:t>
      </w:r>
      <w:r>
        <w:rPr>
          <w:rFonts w:ascii="Arial" w:cs="Arial" w:eastAsia="Arial" w:hAnsi="Arial"/>
          <w:sz w:val="18"/>
          <w:szCs w:val="18"/>
          <w:color w:val="auto"/>
        </w:rPr>
        <w:t xml:space="preserve"> </w:t>
      </w:r>
      <w:r>
        <w:rPr>
          <w:rFonts w:ascii="Arial" w:cs="Arial" w:eastAsia="Arial" w:hAnsi="Arial"/>
          <w:sz w:val="18"/>
          <w:szCs w:val="18"/>
          <w:color w:val="FF0000"/>
          <w:strike w:val="1"/>
        </w:rPr>
        <w:t>Government Securities Business Day</w:t>
      </w:r>
      <w:r>
        <w:rPr>
          <w:rFonts w:ascii="Arial" w:cs="Arial" w:eastAsia="Arial" w:hAnsi="Arial"/>
          <w:sz w:val="18"/>
          <w:szCs w:val="18"/>
          <w:color w:val="000000"/>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Call Date</w:t>
      </w:r>
      <w:r>
        <w:rPr>
          <w:rFonts w:ascii="Arial" w:cs="Arial" w:eastAsia="Arial" w:hAnsi="Arial"/>
          <w:sz w:val="18"/>
          <w:szCs w:val="18"/>
          <w:u w:val="single" w:color="auto"/>
          <w:color w:val="008000"/>
        </w:rPr>
        <w:t>” shall have the meaning assigned to such term in Section</w:t>
      </w:r>
      <w:r>
        <w:rPr>
          <w:rFonts w:ascii="Arial" w:cs="Arial" w:eastAsia="Arial" w:hAnsi="Arial"/>
          <w:sz w:val="18"/>
          <w:szCs w:val="18"/>
          <w:u w:val="single" w:color="auto"/>
          <w:color w:val="0000FF"/>
        </w:rPr>
        <w:t xml:space="preserve">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3947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0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Administration Charge</w:t>
      </w:r>
      <w:r>
        <w:rPr>
          <w:rFonts w:ascii="Arial" w:cs="Arial" w:eastAsia="Arial" w:hAnsi="Arial"/>
          <w:sz w:val="18"/>
          <w:szCs w:val="18"/>
          <w:u w:val="single" w:color="auto"/>
          <w:color w:val="0000FF"/>
        </w:rPr>
        <w:t>” shall mean a super priority charge granted by the Canadian Court over the Canadian Collateral to secure payment of the professional fees and disbursements of the Debtors’ Canadian counsel, the Information Officer and counsel to the Information Officer (in a maximum amount not to exceed CDN$700,000).</w:t>
      </w:r>
    </w:p>
    <w:p>
      <w:pPr>
        <w:spacing w:after="0" w:line="17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AML Legislation</w:t>
      </w:r>
      <w:r>
        <w:rPr>
          <w:rFonts w:ascii="Arial" w:cs="Arial" w:eastAsia="Arial" w:hAnsi="Arial"/>
          <w:sz w:val="18"/>
          <w:szCs w:val="18"/>
          <w:u w:val="single" w:color="auto"/>
          <w:color w:val="0000FF"/>
        </w:rPr>
        <w:t>” shall mean the Proceeds of Crime (Money Laundering) and Terrorist Financing Act (Canada) and other applicable anti-money laundering, anti-terrorist financing, government sanction and “know your client” laws within Canada (including any guidelines or orders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-827405</wp:posOffset>
            </wp:positionV>
            <wp:extent cx="65576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-690245</wp:posOffset>
            </wp:positionV>
            <wp:extent cx="69862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-553085</wp:posOffset>
            </wp:positionV>
            <wp:extent cx="23145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-278765</wp:posOffset>
            </wp:positionV>
            <wp:extent cx="62147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780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8655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Canadian Collateral</w:t>
      </w:r>
      <w:r>
        <w:rPr>
          <w:rFonts w:ascii="Arial" w:cs="Arial" w:eastAsia="Arial" w:hAnsi="Arial"/>
          <w:sz w:val="18"/>
          <w:szCs w:val="18"/>
          <w:u w:val="single" w:color="auto"/>
          <w:color w:val="0000FF"/>
        </w:rPr>
        <w:t>” shall mean the Collateral of the Canadian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4290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Court</w:t>
      </w:r>
      <w:r>
        <w:rPr>
          <w:rFonts w:ascii="Arial" w:cs="Arial" w:eastAsia="Arial" w:hAnsi="Arial"/>
          <w:sz w:val="18"/>
          <w:szCs w:val="18"/>
          <w:u w:val="single" w:color="auto"/>
          <w:color w:val="008000"/>
        </w:rPr>
        <w:t>” shall have the meaning assigned to such term in the recitals</w:t>
      </w:r>
      <w:r>
        <w:rPr>
          <w:rFonts w:ascii="Arial" w:cs="Arial" w:eastAsia="Arial" w:hAnsi="Arial"/>
          <w:sz w:val="18"/>
          <w:szCs w:val="18"/>
          <w:u w:val="single" w:color="auto"/>
          <w:color w:val="0000FF"/>
        </w:rPr>
        <w:t xml:space="preserve"> hereto.</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D&amp;O Charge</w:t>
      </w:r>
      <w:r>
        <w:rPr>
          <w:rFonts w:ascii="Arial" w:cs="Arial" w:eastAsia="Arial" w:hAnsi="Arial"/>
          <w:sz w:val="18"/>
          <w:szCs w:val="18"/>
          <w:u w:val="single" w:color="auto"/>
          <w:color w:val="0000FF"/>
        </w:rPr>
        <w:t>” shall mean a charge granted by the Canadian Court on the Canadian Collateral (in a maximum amount not to exceed CDN$3,500,000), securing an indemnity by the Canadian Debtors in favor of their directors and officers against any obligations or liabilities that they may incur as directors and officers of the Canadian Debtors on or after the commencement of the Canadian Recognition Proceedings</w:t>
      </w:r>
      <w:r>
        <w:rPr>
          <w:rFonts w:ascii="Arial" w:cs="Arial" w:eastAsia="Arial" w:hAnsi="Arial"/>
          <w:sz w:val="18"/>
          <w:szCs w:val="18"/>
          <w:u w:val="single" w:color="auto"/>
          <w:color w:val="008000"/>
        </w:rPr>
        <w:t>, as provided for in</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the </w:t>
      </w:r>
      <w:r>
        <w:rPr>
          <w:rFonts w:ascii="Arial" w:cs="Arial" w:eastAsia="Arial" w:hAnsi="Arial"/>
          <w:sz w:val="18"/>
          <w:szCs w:val="18"/>
          <w:u w:val="single" w:color="auto"/>
          <w:color w:val="0000FF"/>
        </w:rPr>
        <w:t>Canadian Supplemental Order.</w:t>
      </w:r>
    </w:p>
    <w:p>
      <w:pPr>
        <w:spacing w:after="0" w:line="179"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Debtors</w:t>
      </w:r>
      <w:r>
        <w:rPr>
          <w:rFonts w:ascii="Arial" w:cs="Arial" w:eastAsia="Arial" w:hAnsi="Arial"/>
          <w:sz w:val="18"/>
          <w:szCs w:val="18"/>
          <w:u w:val="single" w:color="auto"/>
          <w:color w:val="0000FF"/>
        </w:rPr>
        <w:t>” shall mean YRC Freight Canada Company, YRC Logistics Inc., USF Holland International Sales Corporation and 1105481 Ontario Inc.</w:t>
      </w:r>
    </w:p>
    <w:p>
      <w:pPr>
        <w:spacing w:after="0" w:line="161"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Defined Benefit Pension Plan</w:t>
      </w:r>
      <w:r>
        <w:rPr>
          <w:rFonts w:ascii="Arial" w:cs="Arial" w:eastAsia="Arial" w:hAnsi="Arial"/>
          <w:sz w:val="18"/>
          <w:szCs w:val="18"/>
          <w:u w:val="single" w:color="auto"/>
          <w:color w:val="0000FF"/>
        </w:rPr>
        <w:t>” shall mean each pension plan or arrangement required to be registered under Canadian federal or provincial pension standards legislation and which contains a “defined benefit provision” as defined in subsection 147.1(1) of the Income Tax Act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-1650365</wp:posOffset>
            </wp:positionV>
            <wp:extent cx="40030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030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-1376045</wp:posOffset>
            </wp:positionV>
            <wp:extent cx="66351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-1238885</wp:posOffset>
            </wp:positionV>
            <wp:extent cx="68580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-1101725</wp:posOffset>
            </wp:positionV>
            <wp:extent cx="6943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-964565</wp:posOffset>
            </wp:positionV>
            <wp:extent cx="15773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-690245</wp:posOffset>
            </wp:positionV>
            <wp:extent cx="66865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-553085</wp:posOffset>
            </wp:positionV>
            <wp:extent cx="5486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-278765</wp:posOffset>
            </wp:positionV>
            <wp:extent cx="64979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6776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457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6" w:lineRule="exact"/>
        <w:rPr>
          <w:sz w:val="20"/>
          <w:szCs w:val="20"/>
          <w:color w:val="auto"/>
        </w:rPr>
      </w:pPr>
    </w:p>
    <w:p>
      <w:pPr>
        <w:jc w:val="both"/>
        <w:ind w:right="60" w:firstLine="440"/>
        <w:spacing w:after="0" w:line="347"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Canadian DIP Charge</w:t>
      </w:r>
      <w:r>
        <w:rPr>
          <w:rFonts w:ascii="Arial" w:cs="Arial" w:eastAsia="Arial" w:hAnsi="Arial"/>
          <w:sz w:val="16"/>
          <w:szCs w:val="16"/>
          <w:u w:val="single" w:color="auto"/>
          <w:color w:val="0000FF"/>
        </w:rPr>
        <w:t>” shall mean the super priority charge granted by the Canadian Court pursuant to the Canadian DIP Recognition Order in favor of the DIP Secured Parties (as defined in the DIP Order) on the Canadian Collateral, other than the Prepetition UST Tranche B Priority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-179705</wp:posOffset>
            </wp:positionV>
            <wp:extent cx="66694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6943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9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DIP Recognition Order</w:t>
      </w:r>
      <w:r>
        <w:rPr>
          <w:rFonts w:ascii="Arial" w:cs="Arial" w:eastAsia="Arial" w:hAnsi="Arial"/>
          <w:sz w:val="18"/>
          <w:szCs w:val="18"/>
          <w:u w:val="single" w:color="auto"/>
          <w:color w:val="0000FF"/>
        </w:rPr>
        <w:t>” shall mean the Canadian Interim DIP Recognition Order, unless the Canadian Final DIP Recognition Order shall have been issued by the Canadian Court, in which case it shall mean the Canadian Final DIP Recognition Order and the Canadian Interim DIP Recognition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7036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551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8743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Canadian Dollar</w:t>
      </w:r>
      <w:r>
        <w:rPr>
          <w:rFonts w:ascii="Arial" w:cs="Arial" w:eastAsia="Arial" w:hAnsi="Arial"/>
          <w:sz w:val="18"/>
          <w:szCs w:val="18"/>
          <w:u w:val="single" w:color="auto"/>
          <w:color w:val="0000FF"/>
        </w:rPr>
        <w:t>” and “</w:t>
      </w:r>
      <w:r>
        <w:rPr>
          <w:rFonts w:ascii="Arial" w:cs="Arial" w:eastAsia="Arial" w:hAnsi="Arial"/>
          <w:sz w:val="18"/>
          <w:szCs w:val="18"/>
          <w:b w:val="1"/>
          <w:bCs w:val="1"/>
          <w:u w:val="single" w:color="auto"/>
          <w:color w:val="0000FF"/>
        </w:rPr>
        <w:t>CDN$</w:t>
      </w:r>
      <w:r>
        <w:rPr>
          <w:rFonts w:ascii="Arial" w:cs="Arial" w:eastAsia="Arial" w:hAnsi="Arial"/>
          <w:sz w:val="18"/>
          <w:szCs w:val="18"/>
          <w:u w:val="single" w:color="auto"/>
          <w:color w:val="0000FF"/>
        </w:rPr>
        <w:t>” means lawful money of Canada.</w:t>
      </w:r>
    </w:p>
    <w:p>
      <w:pPr>
        <w:spacing w:after="0" w:line="225" w:lineRule="exact"/>
        <w:rPr>
          <w:sz w:val="20"/>
          <w:szCs w:val="20"/>
          <w:color w:val="auto"/>
        </w:rPr>
      </w:pPr>
    </w:p>
    <w:p>
      <w:pPr>
        <w:jc w:val="both"/>
        <w:ind w:right="20" w:firstLine="440"/>
        <w:spacing w:after="0" w:line="314"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Canadian Final DIP Recognition Order</w:t>
      </w:r>
      <w:r>
        <w:rPr>
          <w:rFonts w:ascii="Arial" w:cs="Arial" w:eastAsia="Arial" w:hAnsi="Arial"/>
          <w:sz w:val="16"/>
          <w:szCs w:val="16"/>
          <w:u w:val="single" w:color="auto"/>
          <w:color w:val="0000FF"/>
        </w:rPr>
        <w:t xml:space="preserve">” shall mean an order of the Canadian Court in the Canadian Recognition Proceedings, which order shall, among other things, recognize the Final Order and </w:t>
      </w:r>
      <w:r>
        <w:rPr>
          <w:rFonts w:ascii="Arial" w:cs="Arial" w:eastAsia="Arial" w:hAnsi="Arial"/>
          <w:sz w:val="16"/>
          <w:szCs w:val="16"/>
          <w:u w:val="single" w:color="auto"/>
          <w:color w:val="008000"/>
        </w:rPr>
        <w:t>shall be in form and substance satisfactory to the</w:t>
      </w:r>
      <w:r>
        <w:rPr>
          <w:rFonts w:ascii="Arial" w:cs="Arial" w:eastAsia="Arial" w:hAnsi="Arial"/>
          <w:sz w:val="16"/>
          <w:szCs w:val="16"/>
          <w:u w:val="single" w:color="auto"/>
          <w:color w:val="0000FF"/>
        </w:rPr>
        <w:t xml:space="preserve"> Lenders and the Junior DIP Lenders, and </w:t>
      </w:r>
      <w:r>
        <w:rPr>
          <w:rFonts w:ascii="Arial" w:cs="Arial" w:eastAsia="Arial" w:hAnsi="Arial"/>
          <w:sz w:val="16"/>
          <w:szCs w:val="16"/>
          <w:u w:val="single" w:color="auto"/>
          <w:color w:val="008000"/>
        </w:rPr>
        <w:t>as</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the same may be amended, </w:t>
      </w:r>
      <w:r>
        <w:rPr>
          <w:rFonts w:ascii="Arial" w:cs="Arial" w:eastAsia="Arial" w:hAnsi="Arial"/>
          <w:sz w:val="16"/>
          <w:szCs w:val="16"/>
          <w:u w:val="single" w:color="auto"/>
          <w:color w:val="0000FF"/>
        </w:rPr>
        <w:t>supplemented, or modified from time to time after entry thereof with the consent of the Lenders and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-574675</wp:posOffset>
            </wp:positionV>
            <wp:extent cx="30772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-300355</wp:posOffset>
            </wp:positionV>
            <wp:extent cx="65493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68580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6951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12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u w:val="single" w:color="auto"/>
          <w:color w:val="0000FF"/>
        </w:rPr>
        <w:t xml:space="preserve">“Canadian Initial Recognition Order” </w:t>
      </w:r>
      <w:r>
        <w:rPr>
          <w:rFonts w:ascii="Arial" w:cs="Arial" w:eastAsia="Arial" w:hAnsi="Arial"/>
          <w:sz w:val="18"/>
          <w:szCs w:val="18"/>
          <w:u w:val="single" w:color="auto"/>
          <w:color w:val="0000FF"/>
        </w:rPr>
        <w:t>shall mean the Initial Recognition Order of the Canadian Court granted on August 29, 2023, which,</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 xml:space="preserve">among other things, recognized the Chapter 11 Cases as “foreign main proceedings” under Part IV of the CCAA, and granted a stay of proceedings in respect of the Canadian Debtors and the Borrower in Canada, as the same may be amended, supplemented, or modified </w:t>
      </w:r>
      <w:r>
        <w:rPr>
          <w:rFonts w:ascii="Arial" w:cs="Arial" w:eastAsia="Arial" w:hAnsi="Arial"/>
          <w:sz w:val="18"/>
          <w:szCs w:val="18"/>
          <w:u w:val="single" w:color="auto"/>
          <w:color w:val="008000"/>
        </w:rPr>
        <w:t>from time to time after</w:t>
      </w:r>
      <w:r>
        <w:rPr>
          <w:rFonts w:ascii="Arial" w:cs="Arial" w:eastAsia="Arial" w:hAnsi="Arial"/>
          <w:sz w:val="18"/>
          <w:szCs w:val="18"/>
          <w:u w:val="single" w:color="auto"/>
          <w:color w:val="0000FF"/>
        </w:rPr>
        <w:t xml:space="preserve"> entry thereof with the consent of the Lenders and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4376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491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894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1032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0"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b w:val="1"/>
          <w:bCs w:val="1"/>
          <w:u w:val="single" w:color="auto"/>
          <w:color w:val="0000FF"/>
        </w:rPr>
        <w:t xml:space="preserve">“Canadian Interim DIP Recognition Order” </w:t>
      </w:r>
      <w:r>
        <w:rPr>
          <w:rFonts w:ascii="Arial" w:cs="Arial" w:eastAsia="Arial" w:hAnsi="Arial"/>
          <w:sz w:val="18"/>
          <w:szCs w:val="18"/>
          <w:u w:val="single" w:color="auto"/>
          <w:color w:val="0000FF"/>
        </w:rPr>
        <w:t>shall mean the Supplemental Order of the Canadian Court granted on August 29, 2023 in the</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Canadian Recognition Proceedings, which, among other things, recognized the Interim Order and granted the Canadian DIP Charge subject to the Canadian Priority Charges, as the same may be amended, supplemented, or modified from time to time after entry thereof with the consent of the Lenders and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4293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6694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351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6802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6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Orders</w:t>
      </w:r>
      <w:r>
        <w:rPr>
          <w:rFonts w:ascii="Arial" w:cs="Arial" w:eastAsia="Arial" w:hAnsi="Arial"/>
          <w:sz w:val="18"/>
          <w:szCs w:val="18"/>
          <w:u w:val="single" w:color="auto"/>
          <w:color w:val="0000FF"/>
        </w:rPr>
        <w:t>” means, as applicable and as the context may require, the Canadian Initial Recognition Order, the Canadian DIP Recognition Order and/or the Canadian Supplemental Order, or such other orders as may be granted by the Canadian Court in the Canadian Recognition Proceedings in form and substance satisfactory to the Lenders, whichever is then applicable or collectively.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Canadian Priority Charges</w:t>
      </w:r>
      <w:r>
        <w:rPr>
          <w:rFonts w:ascii="Arial" w:cs="Arial" w:eastAsia="Arial" w:hAnsi="Arial"/>
          <w:sz w:val="18"/>
          <w:szCs w:val="18"/>
          <w:u w:val="single" w:color="auto"/>
          <w:color w:val="0000FF"/>
        </w:rPr>
        <w:t>” shall mean the Canadian Administration Charge and the Canadian D&amp;O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-521970</wp:posOffset>
            </wp:positionV>
            <wp:extent cx="66694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-384810</wp:posOffset>
            </wp:positionV>
            <wp:extent cx="69691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43116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26035</wp:posOffset>
            </wp:positionV>
            <wp:extent cx="51689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Canadian Recognition Proceedings</w:t>
      </w:r>
      <w:r>
        <w:rPr>
          <w:rFonts w:ascii="Arial" w:cs="Arial" w:eastAsia="Arial" w:hAnsi="Arial"/>
          <w:sz w:val="18"/>
          <w:szCs w:val="18"/>
          <w:u w:val="single" w:color="auto"/>
          <w:color w:val="0000FF"/>
        </w:rPr>
        <w:t>” shall have the meaning assigned to such term in the recitals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4886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20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Subsidiary</w:t>
      </w:r>
      <w:r>
        <w:rPr>
          <w:rFonts w:ascii="Arial" w:cs="Arial" w:eastAsia="Arial" w:hAnsi="Arial"/>
          <w:sz w:val="18"/>
          <w:szCs w:val="18"/>
          <w:color w:val="auto"/>
        </w:rPr>
        <w:t xml:space="preserve">” shall mean any Subsidiary that is </w:t>
      </w:r>
      <w:r>
        <w:rPr>
          <w:rFonts w:ascii="Arial" w:cs="Arial" w:eastAsia="Arial" w:hAnsi="Arial"/>
          <w:sz w:val="18"/>
          <w:szCs w:val="18"/>
          <w:u w:val="single" w:color="auto"/>
          <w:color w:val="0000FF"/>
        </w:rPr>
        <w:t>incorporated, amalgamated, continued or otherwise</w:t>
      </w:r>
      <w:r>
        <w:rPr>
          <w:rFonts w:ascii="Arial" w:cs="Arial" w:eastAsia="Arial" w:hAnsi="Arial"/>
          <w:sz w:val="18"/>
          <w:szCs w:val="18"/>
          <w:color w:val="auto"/>
        </w:rPr>
        <w:t xml:space="preserve"> organized </w:t>
      </w:r>
      <w:r>
        <w:rPr>
          <w:rFonts w:ascii="Arial" w:cs="Arial" w:eastAsia="Arial" w:hAnsi="Arial"/>
          <w:sz w:val="18"/>
          <w:szCs w:val="18"/>
          <w:u w:val="single" w:color="auto"/>
          <w:color w:val="0000FF"/>
        </w:rPr>
        <w:t>or formed</w:t>
      </w:r>
      <w:r>
        <w:rPr>
          <w:rFonts w:ascii="Arial" w:cs="Arial" w:eastAsia="Arial" w:hAnsi="Arial"/>
          <w:sz w:val="18"/>
          <w:szCs w:val="18"/>
          <w:color w:val="auto"/>
        </w:rPr>
        <w:t xml:space="preserve"> under the Laws of Canada or any </w:t>
      </w:r>
      <w:r>
        <w:rPr>
          <w:rFonts w:ascii="Arial" w:cs="Arial" w:eastAsia="Arial" w:hAnsi="Arial"/>
          <w:sz w:val="18"/>
          <w:szCs w:val="18"/>
          <w:color w:val="FF0000"/>
          <w:strike w:val="1"/>
        </w:rPr>
        <w:t>state or</w:t>
      </w:r>
      <w:r>
        <w:rPr>
          <w:rFonts w:ascii="Arial" w:cs="Arial" w:eastAsia="Arial" w:hAnsi="Arial"/>
          <w:sz w:val="18"/>
          <w:szCs w:val="18"/>
          <w:color w:val="auto"/>
        </w:rPr>
        <w:t xml:space="preserve"> province </w:t>
      </w:r>
      <w:r>
        <w:rPr>
          <w:rFonts w:ascii="Arial" w:cs="Arial" w:eastAsia="Arial" w:hAnsi="Arial"/>
          <w:sz w:val="18"/>
          <w:szCs w:val="18"/>
          <w:u w:val="single" w:color="auto"/>
          <w:color w:val="0000FF"/>
        </w:rPr>
        <w:t>or territory</w:t>
      </w:r>
      <w:r>
        <w:rPr>
          <w:rFonts w:ascii="Arial" w:cs="Arial" w:eastAsia="Arial" w:hAnsi="Arial"/>
          <w:sz w:val="18"/>
          <w:szCs w:val="18"/>
          <w:color w:val="auto"/>
        </w:rPr>
        <w:t xml:space="preserv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-151130</wp:posOffset>
            </wp:positionV>
            <wp:extent cx="33343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-13970</wp:posOffset>
            </wp:positionV>
            <wp:extent cx="5314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42"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u w:val="single" w:color="auto"/>
          <w:color w:val="0000FF"/>
        </w:rPr>
        <w:t xml:space="preserve">“Canadian Supplemental Order” </w:t>
      </w:r>
      <w:r>
        <w:rPr>
          <w:rFonts w:ascii="Arial" w:cs="Arial" w:eastAsia="Arial" w:hAnsi="Arial"/>
          <w:sz w:val="18"/>
          <w:szCs w:val="18"/>
          <w:u w:val="single" w:color="auto"/>
          <w:color w:val="0000FF"/>
        </w:rPr>
        <w:t>shall mean the Supplemental Order of the Canadian Court granted on August 29, 2023 in the Canadian</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Recognition Proceedings, which order, among other things, granted the CCAA Charges and recognized the Interim Order and granted such additional relief as is customary in the proceedings under Part IV of the CCAA, as the same may be amended, supplemented, or modified from time to time after entry thereof with the consent of the Lenders and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3519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408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66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3686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0"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Expenditures</w:t>
      </w:r>
      <w:r>
        <w:rPr>
          <w:rFonts w:ascii="Arial" w:cs="Arial" w:eastAsia="Arial" w:hAnsi="Arial"/>
          <w:sz w:val="17"/>
          <w:szCs w:val="17"/>
          <w:color w:val="auto"/>
        </w:rPr>
        <w:t xml:space="preserve">” shall mean, for any period, the aggregate of (a) all amounts that would be reflected as additions to property, plant or equipment on a consolidated statement of cash flows of the Borrower and its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 in accordance with GAAP and (b) the value of all assets under Capitalized Leases incurred by the Borrower and its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 during such period.</w:t>
      </w:r>
    </w:p>
    <w:p>
      <w:pPr>
        <w:spacing w:after="0" w:line="158"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Leases</w:t>
      </w:r>
      <w:r>
        <w:rPr>
          <w:rFonts w:ascii="Arial" w:cs="Arial" w:eastAsia="Arial" w:hAnsi="Arial"/>
          <w:sz w:val="18"/>
          <w:szCs w:val="18"/>
          <w:color w:val="auto"/>
        </w:rPr>
        <w:t xml:space="preserve">” shall mean all leases that have been or are required to be, in accordance with GAAP, recorded as capitalized leases;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color w:val="auto"/>
        </w:rPr>
        <w:t>, for all purposes hereunder the amount of obligations under any Capitalized Lease shall be the amount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a liability in accordance with GAAP.</w:t>
      </w:r>
    </w:p>
    <w:p>
      <w:pPr>
        <w:spacing w:after="0" w:line="17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Cash Collateral Account</w:t>
      </w:r>
      <w:r>
        <w:rPr>
          <w:rFonts w:ascii="Arial" w:cs="Arial" w:eastAsia="Arial" w:hAnsi="Arial"/>
          <w:sz w:val="18"/>
          <w:szCs w:val="18"/>
          <w:color w:val="FF0000"/>
          <w:strike w:val="1"/>
        </w:rPr>
        <w:t xml:space="preserve">” shall mean a blocked account at a commercial bank reasonably satisfactory to the Required Lenders and the Administrative Agent, in the name </w:t>
      </w:r>
      <w:r>
        <w:rPr>
          <w:rFonts w:ascii="Arial" w:cs="Arial" w:eastAsia="Arial" w:hAnsi="Arial"/>
          <w:sz w:val="18"/>
          <w:szCs w:val="18"/>
          <w:color w:val="008000"/>
          <w:strike w:val="1"/>
        </w:rPr>
        <w:t>of the Administrative Agent and</w:t>
      </w:r>
      <w:r>
        <w:rPr>
          <w:rFonts w:ascii="Arial" w:cs="Arial" w:eastAsia="Arial" w:hAnsi="Arial"/>
          <w:sz w:val="18"/>
          <w:szCs w:val="18"/>
          <w:color w:val="FF0000"/>
          <w:strike w:val="1"/>
        </w:rPr>
        <w:t xml:space="preserve"> under the sole dominion and control of the Administrative Agent, and otherwise established in a manner reasonably satisfactory to the Administrative Agent.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145" w:name="page146"/>
    <w:bookmarkEnd w:id="145"/>
    <w:p>
      <w:pPr>
        <w:ind w:right="60" w:firstLine="440"/>
        <w:spacing w:after="0" w:line="303"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rFonts w:ascii="Arial" w:cs="Arial" w:eastAsia="Arial" w:hAnsi="Arial"/>
          <w:sz w:val="16"/>
          <w:szCs w:val="16"/>
          <w:b w:val="1"/>
          <w:bCs w:val="1"/>
          <w:u w:val="single" w:color="auto"/>
          <w:color w:val="0000FF"/>
        </w:rPr>
        <w:t>Carve-Out</w:t>
      </w:r>
      <w:r>
        <w:rPr>
          <w:rFonts w:ascii="Arial" w:cs="Arial" w:eastAsia="Arial" w:hAnsi="Arial"/>
          <w:sz w:val="16"/>
          <w:szCs w:val="16"/>
          <w:u w:val="single" w:color="auto"/>
          <w:color w:val="0000FF"/>
        </w:rPr>
        <w:t xml:space="preserve">” shall have the meaning assigned to such term in the DIP Order (and which Carve-Out shall include an amount up to CDN$700,000 (or such other amount as agreed by the Lenders) for the benefit of the beneficiaries of the Canadian Administration Charge,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such amount shall not be duplicative of the Canadian Administration Charge); </w:t>
      </w:r>
      <w:r>
        <w:rPr>
          <w:rFonts w:ascii="Arial" w:cs="Arial" w:eastAsia="Arial" w:hAnsi="Arial"/>
          <w:sz w:val="16"/>
          <w:szCs w:val="16"/>
          <w:i w:val="1"/>
          <w:iCs w:val="1"/>
          <w:u w:val="single" w:color="auto"/>
          <w:color w:val="0000FF"/>
        </w:rPr>
        <w:t>provided further</w:t>
      </w:r>
      <w:r>
        <w:rPr>
          <w:rFonts w:ascii="Arial" w:cs="Arial" w:eastAsia="Arial" w:hAnsi="Arial"/>
          <w:sz w:val="16"/>
          <w:szCs w:val="16"/>
          <w:u w:val="single" w:color="auto"/>
          <w:color w:val="0000FF"/>
        </w:rPr>
        <w:t xml:space="preserve"> that, the Carve-Out post-trigger notice professional fee cap may by increased by up to $1,000,000 to include amounts for an official committee of equityholders in the event one is appointed.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Cash Collateral</w:t>
      </w:r>
      <w:r>
        <w:rPr>
          <w:rFonts w:ascii="Arial" w:cs="Arial" w:eastAsia="Arial" w:hAnsi="Arial"/>
          <w:sz w:val="18"/>
          <w:szCs w:val="18"/>
          <w:u w:val="single" w:color="auto"/>
          <w:color w:val="0000FF"/>
        </w:rPr>
        <w:t>” shall have the meaning assigned to such term in the Interim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-659130</wp:posOffset>
            </wp:positionV>
            <wp:extent cx="66694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-521970</wp:posOffset>
            </wp:positionV>
            <wp:extent cx="68834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-384810</wp:posOffset>
            </wp:positionV>
            <wp:extent cx="682371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55803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26035</wp:posOffset>
            </wp:positionV>
            <wp:extent cx="395160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xml:space="preserve">” shall mean any of the following types of Investments, to the extent owned by the Borrower or any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(a) Dollars and, to the extent consistent with past practice, Canadian Dollars;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(c) investments in commercial paper maturing within 270 days from the date of issuance thereof and having, at such date of acquisition, rated at least A-2 or P-2 by S&amp;P or Moody’s;</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(d) investments in demand deposits, certificates of deposit, banker’s acceptances and time deposits maturing within one year from the date of acquisition thereof issued or guaranteed by or placed with, and money market deposit accounts issued or offered by, the Administrative Agent, the </w:t>
      </w:r>
      <w:r>
        <w:rPr>
          <w:rFonts w:ascii="Arial" w:cs="Arial" w:eastAsia="Arial" w:hAnsi="Arial"/>
          <w:sz w:val="18"/>
          <w:szCs w:val="18"/>
          <w:u w:val="single" w:color="auto"/>
          <w:color w:val="0000FF"/>
        </w:rPr>
        <w:t>Prepetition</w:t>
      </w:r>
      <w:r>
        <w:rPr>
          <w:rFonts w:ascii="Arial" w:cs="Arial" w:eastAsia="Arial" w:hAnsi="Arial"/>
          <w:sz w:val="18"/>
          <w:szCs w:val="18"/>
          <w:color w:val="0000FF"/>
        </w:rPr>
        <w:t xml:space="preserve"> </w:t>
      </w:r>
      <w:r>
        <w:rPr>
          <w:rFonts w:ascii="Arial" w:cs="Arial" w:eastAsia="Arial" w:hAnsi="Arial"/>
          <w:sz w:val="18"/>
          <w:szCs w:val="18"/>
          <w:color w:val="000000"/>
        </w:rPr>
        <w:t>ABL Agent,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Prepetition</w:t>
      </w:r>
      <w:r>
        <w:rPr>
          <w:rFonts w:ascii="Arial" w:cs="Arial" w:eastAsia="Arial" w:hAnsi="Arial"/>
          <w:sz w:val="18"/>
          <w:szCs w:val="18"/>
          <w:color w:val="0000FF"/>
        </w:rPr>
        <w:t xml:space="preserve"> </w:t>
      </w:r>
      <w:r>
        <w:rPr>
          <w:rFonts w:ascii="Arial" w:cs="Arial" w:eastAsia="Arial" w:hAnsi="Arial"/>
          <w:sz w:val="18"/>
          <w:szCs w:val="18"/>
          <w:color w:val="000000"/>
        </w:rPr>
        <w:t>UST Tranche A Agent,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Prepetition</w:t>
      </w:r>
      <w:r>
        <w:rPr>
          <w:rFonts w:ascii="Arial" w:cs="Arial" w:eastAsia="Arial" w:hAnsi="Arial"/>
          <w:sz w:val="18"/>
          <w:szCs w:val="18"/>
          <w:color w:val="0000FF"/>
        </w:rPr>
        <w:t xml:space="preserve"> </w:t>
      </w:r>
      <w:r>
        <w:rPr>
          <w:rFonts w:ascii="Arial" w:cs="Arial" w:eastAsia="Arial" w:hAnsi="Arial"/>
          <w:sz w:val="18"/>
          <w:szCs w:val="18"/>
          <w:color w:val="000000"/>
        </w:rPr>
        <w:t>UST Tranche B Agent or any domestic office of any commercial bank</w:t>
      </w:r>
      <w:r>
        <w:rPr>
          <w:rFonts w:ascii="Arial" w:cs="Arial" w:eastAsia="Arial" w:hAnsi="Arial"/>
          <w:sz w:val="18"/>
          <w:szCs w:val="18"/>
          <w:color w:val="0000FF"/>
        </w:rPr>
        <w:t xml:space="preserve"> </w:t>
      </w:r>
      <w:r>
        <w:rPr>
          <w:rFonts w:ascii="Arial" w:cs="Arial" w:eastAsia="Arial" w:hAnsi="Arial"/>
          <w:sz w:val="18"/>
          <w:szCs w:val="18"/>
          <w:color w:val="000000"/>
        </w:rPr>
        <w:t>organized under the laws of the United States of America or any State thereof that has a combined capital and surplus and undivided profits of not less than $500,000,000 and that issues (or the parent of which issues) commercial paper rated at least “Prime 1” (or the then equivalent grade) by Moody’s or “A 1” (or the then equivalent grade) by 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-408305</wp:posOffset>
            </wp:positionV>
            <wp:extent cx="5314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-408305</wp:posOffset>
            </wp:positionV>
            <wp:extent cx="5226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-408305</wp:posOffset>
            </wp:positionV>
            <wp:extent cx="5314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(e) fully collateralized repurchase agreements with a term of not more than 30 days for securities described in clause (b) above and entered into with a financial institution satisfying the criteria of clause (d) above;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(f) investments in “money market funds” within the meaning of Rule 2a-7 of the Investment Company Act of 1940, as amended, substantially all of whose assets are invested in investments of the type described in clauses (a) through (e) above; and</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(g) other short-term investments entered into in accordance with normal investment policies and practices of any Foreign Subsidiary consistent with past practices for cash management and constituting investments in governmental obligations and investment funds analogous to and having a credit risk not greater than investments of the type described in clauses (a) through (f) above.</w:t>
      </w:r>
    </w:p>
    <w:p>
      <w:pPr>
        <w:spacing w:after="0" w:line="184"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color w:val="auto"/>
        </w:rPr>
        <w:t xml:space="preserve">Notwithstanding the foregoing, Cash Equivalents shall include amounts denominated in currencies other than set forth in clause (a)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amounts are converted into currencies listed in clause (a) within ten Business Days following the receipt of such amounts.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46" w:name="page147"/>
    <w:bookmarkEnd w:id="146"/>
    <w:p>
      <w:pPr>
        <w:ind w:left="440"/>
        <w:spacing w:after="0"/>
        <w:rPr>
          <w:sz w:val="20"/>
          <w:szCs w:val="20"/>
          <w:color w:val="auto"/>
        </w:rPr>
      </w:pPr>
      <w:r>
        <w:rPr>
          <w:rFonts w:ascii="Arial" w:cs="Arial" w:eastAsia="Arial" w:hAnsi="Arial"/>
          <w:sz w:val="18"/>
          <w:szCs w:val="18"/>
          <w:b w:val="1"/>
          <w:b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Interest Portion</w:t>
      </w:r>
      <w:r>
        <w:rPr>
          <w:rFonts w:ascii="Arial" w:cs="Arial" w:eastAsia="Arial" w:hAnsi="Arial"/>
          <w:sz w:val="18"/>
          <w:szCs w:val="18"/>
          <w:color w:val="008000"/>
          <w:strike w:val="1"/>
        </w:rPr>
        <w:t>” shall have the meaning assigned to such term in</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8000"/>
          <w:strike w:val="1"/>
        </w:rPr>
        <w:t>Section</w:t>
      </w:r>
      <w:r>
        <w:rPr>
          <w:rFonts w:ascii="Arial" w:cs="Arial" w:eastAsia="Arial" w:hAnsi="Arial"/>
          <w:sz w:val="18"/>
          <w:szCs w:val="18"/>
          <w:b w:val="1"/>
          <w:bCs w:val="1"/>
          <w:color w:val="FF0000"/>
        </w:rPr>
        <w:t xml:space="preserve"> </w:t>
      </w:r>
      <w:r>
        <w:rPr>
          <w:rFonts w:ascii="Arial" w:cs="Arial" w:eastAsia="Arial" w:hAnsi="Arial"/>
          <w:sz w:val="18"/>
          <w:szCs w:val="18"/>
          <w:color w:val="FF0000"/>
        </w:rPr>
        <w:t>2.06(d)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-7620</wp:posOffset>
            </wp:positionV>
            <wp:extent cx="389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9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-59055</wp:posOffset>
            </wp:positionV>
            <wp:extent cx="4184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18465" cy="8890"/>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xml:space="preserve">” shall mean any event that gives rise to the receipt by the Borrower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of any insurance proceeds or condemnation awards in respect of any equipment, fixed assets or Real Property (including any improvements thereon) to replace or repair such equipment, fixed assets or Real Property or as compensation for such condemnation event.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CCAA</w:t>
      </w:r>
      <w:r>
        <w:rPr>
          <w:rFonts w:ascii="Arial" w:cs="Arial" w:eastAsia="Arial" w:hAnsi="Arial"/>
          <w:sz w:val="18"/>
          <w:szCs w:val="18"/>
          <w:u w:val="single" w:color="auto"/>
          <w:color w:val="0000FF"/>
        </w:rPr>
        <w:t>” shall have the meaning assigned to such term in the recitals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540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CCAA Charges</w:t>
      </w:r>
      <w:r>
        <w:rPr>
          <w:rFonts w:ascii="Arial" w:cs="Arial" w:eastAsia="Arial" w:hAnsi="Arial"/>
          <w:sz w:val="18"/>
          <w:szCs w:val="18"/>
          <w:u w:val="single" w:color="auto"/>
          <w:color w:val="0000FF"/>
        </w:rPr>
        <w:t>” shall mean the Canadian Administration Charge, the Canadian D&amp;O Charge and the Canadian DIP Charge, as granted by the Canadian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090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7454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42" w:lineRule="exact"/>
        <w:rPr>
          <w:sz w:val="20"/>
          <w:szCs w:val="20"/>
          <w:color w:val="auto"/>
        </w:rPr>
      </w:pPr>
    </w:p>
    <w:p>
      <w:pPr>
        <w:ind w:left="440" w:right="3320"/>
        <w:spacing w:after="0" w:line="563"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Chapter 11 Cases</w:t>
      </w:r>
      <w:r>
        <w:rPr>
          <w:rFonts w:ascii="Arial" w:cs="Arial" w:eastAsia="Arial" w:hAnsi="Arial"/>
          <w:sz w:val="16"/>
          <w:szCs w:val="16"/>
          <w:u w:val="single" w:color="auto"/>
          <w:color w:val="0000FF"/>
        </w:rPr>
        <w:t>” shall have the meaning assigned to such term in the recitals to this Agreement. “</w:t>
      </w:r>
      <w:r>
        <w:rPr>
          <w:rFonts w:ascii="Arial" w:cs="Arial" w:eastAsia="Arial" w:hAnsi="Arial"/>
          <w:sz w:val="16"/>
          <w:szCs w:val="16"/>
          <w:b w:val="1"/>
          <w:bCs w:val="1"/>
          <w:u w:val="single" w:color="auto"/>
          <w:color w:val="0000FF"/>
        </w:rPr>
        <w:t>Chapter 11 Milestones</w:t>
      </w:r>
      <w:r>
        <w:rPr>
          <w:rFonts w:ascii="Arial" w:cs="Arial" w:eastAsia="Arial" w:hAnsi="Arial"/>
          <w:sz w:val="16"/>
          <w:szCs w:val="16"/>
          <w:u w:val="single" w:color="auto"/>
          <w:color w:val="0000FF"/>
        </w:rPr>
        <w:t>” shall have the meaning assigned to such term in Section 8.01(o)(xxvii).</w:t>
      </w:r>
    </w:p>
    <w:p>
      <w:pPr>
        <w:jc w:val="both"/>
        <w:ind w:firstLine="440"/>
        <w:spacing w:after="0" w:line="289" w:lineRule="auto"/>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Chapter 11 Orders</w:t>
      </w:r>
      <w:r>
        <w:rPr>
          <w:rFonts w:ascii="Arial" w:cs="Arial" w:eastAsia="Arial" w:hAnsi="Arial"/>
          <w:sz w:val="17"/>
          <w:szCs w:val="17"/>
          <w:u w:val="single" w:color="auto"/>
          <w:color w:val="0000FF"/>
        </w:rPr>
        <w:t>” means, collectively, each order entered by the Bankruptcy Court, including the DIP Order and any cash management order, cash collateral order and adequate protection order, in each case, which shall have been reviewed in advance by the Lenders and the Junior DIP Lenders and shall be in form and substance acceptable to the Agents, the Lenders, the Junior DIP Agent and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-838835</wp:posOffset>
            </wp:positionV>
            <wp:extent cx="45948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-564515</wp:posOffset>
            </wp:positionV>
            <wp:extent cx="45002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5002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-290195</wp:posOffset>
            </wp:positionV>
            <wp:extent cx="67036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-153035</wp:posOffset>
            </wp:positionV>
            <wp:extent cx="6951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566610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Change of Control</w:t>
      </w:r>
      <w:r>
        <w:rPr>
          <w:rFonts w:ascii="Arial" w:cs="Arial" w:eastAsia="Arial" w:hAnsi="Arial"/>
          <w:sz w:val="18"/>
          <w:szCs w:val="18"/>
          <w:color w:val="FF0000"/>
          <w:strike w:val="1"/>
        </w:rPr>
        <w:t>” shall mean:</w:t>
      </w:r>
    </w:p>
    <w:p>
      <w:pPr>
        <w:spacing w:after="0" w:line="229"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FF0000"/>
          <w:strike w:val="1"/>
        </w:rPr>
        <w:t>(a)</w:t>
      </w:r>
      <w:r>
        <w:rPr>
          <w:rFonts w:ascii="Arial" w:cs="Arial" w:eastAsia="Arial" w:hAnsi="Arial"/>
          <w:sz w:val="17"/>
          <w:szCs w:val="17"/>
          <w:color w:val="000000"/>
        </w:rPr>
        <w:t xml:space="preserve">  </w:t>
      </w:r>
      <w:r>
        <w:rPr>
          <w:rFonts w:ascii="Arial" w:cs="Arial" w:eastAsia="Arial" w:hAnsi="Arial"/>
          <w:sz w:val="17"/>
          <w:szCs w:val="17"/>
          <w:color w:val="FF0000"/>
          <w:strike w:val="1"/>
        </w:rPr>
        <w:t>the acquisition of ownership, directly or indirectly, beneficially or of record, by any Person or group (within the meaning of the Securities</w:t>
      </w:r>
      <w:r>
        <w:rPr>
          <w:rFonts w:ascii="Arial" w:cs="Arial" w:eastAsia="Arial" w:hAnsi="Arial"/>
          <w:sz w:val="17"/>
          <w:szCs w:val="17"/>
          <w:color w:val="FF0000"/>
        </w:rPr>
        <w:t xml:space="preserve"> </w:t>
      </w:r>
      <w:r>
        <w:rPr>
          <w:rFonts w:ascii="Arial" w:cs="Arial" w:eastAsia="Arial" w:hAnsi="Arial"/>
          <w:sz w:val="17"/>
          <w:szCs w:val="17"/>
          <w:color w:val="FF0000"/>
          <w:strike w:val="1"/>
        </w:rPr>
        <w:t>Exchange Act of 1934 and the rules of the Securities and Exchange Commission thereunder as in effect on the date hereof), in each case, other than the United States federal government or any other Governmental Authority on behalf thereof (or, in each case, any agent, trustee or other Person on behalf thereof, including, for the avoidance of doubt, any voting trust and the trustee thereof created to hold the Equity Interests for the benefit of the United States federal government or any other Governmental Authority), of Equity Interests representing more than 35% of the aggregate ordinary voting power represented by the issued and outstanding Equity Interests of the Borrower;</w:t>
      </w:r>
    </w:p>
    <w:p>
      <w:pPr>
        <w:spacing w:after="0" w:line="178" w:lineRule="exact"/>
        <w:rPr>
          <w:sz w:val="20"/>
          <w:szCs w:val="20"/>
          <w:color w:val="auto"/>
        </w:rPr>
      </w:pPr>
    </w:p>
    <w:p>
      <w:pPr>
        <w:ind w:right="580" w:firstLine="440"/>
        <w:spacing w:after="0" w:line="308"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0000"/>
        </w:rPr>
        <w:t xml:space="preserve">  </w:t>
      </w:r>
      <w:r>
        <w:rPr>
          <w:rFonts w:ascii="Arial" w:cs="Arial" w:eastAsia="Arial" w:hAnsi="Arial"/>
          <w:sz w:val="17"/>
          <w:szCs w:val="17"/>
          <w:color w:val="FF0000"/>
          <w:strike w:val="1"/>
        </w:rPr>
        <w:t>occupation of a majority of the seats (other than vacant seats) on the board of directors of the Borrower by Persons who were neither</w:t>
      </w:r>
      <w:r>
        <w:rPr>
          <w:rFonts w:ascii="Arial" w:cs="Arial" w:eastAsia="Arial" w:hAnsi="Arial"/>
          <w:sz w:val="17"/>
          <w:szCs w:val="17"/>
          <w:color w:val="FF0000"/>
        </w:rPr>
        <w:t xml:space="preserve"> </w:t>
      </w:r>
      <w:r>
        <w:rPr>
          <w:rFonts w:ascii="Arial" w:cs="Arial" w:eastAsia="Arial" w:hAnsi="Arial"/>
          <w:sz w:val="17"/>
          <w:szCs w:val="17"/>
          <w:color w:val="FF0000"/>
          <w:strike w:val="1"/>
        </w:rPr>
        <w:t>(i) nominated or approved by the board of directors of the Borrower nor (ii) appointed by directors so nominated or approved; or</w:t>
      </w:r>
    </w:p>
    <w:p>
      <w:pPr>
        <w:spacing w:after="0" w:line="142" w:lineRule="exact"/>
        <w:rPr>
          <w:sz w:val="20"/>
          <w:szCs w:val="20"/>
          <w:color w:val="auto"/>
        </w:rPr>
      </w:pPr>
    </w:p>
    <w:p>
      <w:pPr>
        <w:ind w:right="140" w:firstLine="440"/>
        <w:spacing w:after="0" w:line="347" w:lineRule="auto"/>
        <w:rPr>
          <w:sz w:val="20"/>
          <w:szCs w:val="20"/>
          <w:color w:val="auto"/>
        </w:rPr>
      </w:pPr>
      <w:r>
        <w:rPr>
          <w:rFonts w:ascii="Arial" w:cs="Arial" w:eastAsia="Arial" w:hAnsi="Arial"/>
          <w:sz w:val="16"/>
          <w:szCs w:val="16"/>
          <w:color w:val="FF0000"/>
          <w:strike w:val="1"/>
        </w:rPr>
        <w:t>(c)</w:t>
      </w:r>
      <w:r>
        <w:rPr>
          <w:rFonts w:ascii="Arial" w:cs="Arial" w:eastAsia="Arial" w:hAnsi="Arial"/>
          <w:sz w:val="16"/>
          <w:szCs w:val="16"/>
          <w:color w:val="000000"/>
        </w:rPr>
        <w:t xml:space="preserve"> </w:t>
      </w:r>
      <w:r>
        <w:rPr>
          <w:rFonts w:ascii="Arial" w:cs="Arial" w:eastAsia="Arial" w:hAnsi="Arial"/>
          <w:sz w:val="16"/>
          <w:szCs w:val="16"/>
          <w:color w:val="FF0000"/>
          <w:strike w:val="1"/>
        </w:rPr>
        <w:t>a “</w:t>
      </w:r>
      <w:r>
        <w:rPr>
          <w:rFonts w:ascii="Arial" w:cs="Arial" w:eastAsia="Arial" w:hAnsi="Arial"/>
          <w:sz w:val="16"/>
          <w:szCs w:val="16"/>
          <w:b w:val="1"/>
          <w:bCs w:val="1"/>
          <w:color w:val="FF0000"/>
          <w:strike w:val="1"/>
        </w:rPr>
        <w:t>change of control</w:t>
      </w:r>
      <w:r>
        <w:rPr>
          <w:rFonts w:ascii="Arial" w:cs="Arial" w:eastAsia="Arial" w:hAnsi="Arial"/>
          <w:sz w:val="16"/>
          <w:szCs w:val="16"/>
          <w:color w:val="FF0000"/>
          <w:strike w:val="1"/>
        </w:rPr>
        <w:t>” (or similar event) shall occur under (i) the ABL Facility Documentation or any Permitted Refinancing thereof or</w:t>
      </w:r>
      <w:r>
        <w:rPr>
          <w:rFonts w:ascii="Arial" w:cs="Arial" w:eastAsia="Arial" w:hAnsi="Arial"/>
          <w:sz w:val="16"/>
          <w:szCs w:val="16"/>
          <w:color w:val="FF0000"/>
        </w:rPr>
        <w:t xml:space="preserve"> </w:t>
      </w:r>
      <w:r>
        <w:rPr>
          <w:rFonts w:ascii="Arial" w:cs="Arial" w:eastAsia="Arial" w:hAnsi="Arial"/>
          <w:sz w:val="16"/>
          <w:szCs w:val="16"/>
          <w:color w:val="FF0000"/>
          <w:strike w:val="1"/>
        </w:rPr>
        <w:t>(ii) any other Indebtedness for borrowed money, with an aggregate principal amount (in the case of this clause (ii)) in excess of the Threshold Amount.</w:t>
      </w:r>
    </w:p>
    <w:p>
      <w:pPr>
        <w:spacing w:after="0" w:line="12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FF0000"/>
          <w:strike w:val="1"/>
        </w:rPr>
        <w:t>provided, that, notwithstanding anything in this definition to the contrary, in no event shall the Amendment No. 2 Transactions constitute a Change of Control.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left="5420" w:right="3960" w:hanging="4978"/>
        <w:spacing w:after="0" w:line="495" w:lineRule="auto"/>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Claim</w:t>
      </w:r>
      <w:r>
        <w:rPr>
          <w:rFonts w:ascii="Arial" w:cs="Arial" w:eastAsia="Arial" w:hAnsi="Arial"/>
          <w:sz w:val="17"/>
          <w:szCs w:val="17"/>
          <w:u w:val="single" w:color="auto"/>
          <w:color w:val="0000FF"/>
        </w:rPr>
        <w:t xml:space="preserve">” has the meaning assigned to such term in Section 101(5) of the Bankruptcy Code.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-353695</wp:posOffset>
            </wp:positionV>
            <wp:extent cx="41833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47" w:name="page148"/>
    <w:bookmarkEnd w:id="147"/>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Class</w:t>
      </w:r>
      <w:r>
        <w:rPr>
          <w:rFonts w:ascii="Arial" w:cs="Arial" w:eastAsia="Arial" w:hAnsi="Arial"/>
          <w:sz w:val="17"/>
          <w:szCs w:val="17"/>
          <w:color w:val="auto"/>
        </w:rPr>
        <w:t xml:space="preserve">” when used in reference to (a) any Loan or Borrowing, refers to whether such Loan, or the Loans comprising such Borrowing, are </w:t>
      </w:r>
      <w:r>
        <w:rPr>
          <w:rFonts w:ascii="Arial" w:cs="Arial" w:eastAsia="Arial" w:hAnsi="Arial"/>
          <w:sz w:val="17"/>
          <w:szCs w:val="17"/>
          <w:color w:val="FF0000"/>
          <w:strike w:val="1"/>
        </w:rPr>
        <w:t>Tranche</w:t>
      </w:r>
      <w:r>
        <w:rPr>
          <w:rFonts w:ascii="Arial" w:cs="Arial" w:eastAsia="Arial" w:hAnsi="Arial"/>
          <w:sz w:val="17"/>
          <w:szCs w:val="17"/>
          <w:color w:val="auto"/>
        </w:rPr>
        <w:t xml:space="preserve"> </w:t>
      </w:r>
      <w:r>
        <w:rPr>
          <w:rFonts w:ascii="Arial" w:cs="Arial" w:eastAsia="Arial" w:hAnsi="Arial"/>
          <w:sz w:val="17"/>
          <w:szCs w:val="17"/>
          <w:color w:val="FF0000"/>
          <w:strike w:val="1"/>
        </w:rPr>
        <w:t>B-2 Term Loans, Other Term Loans or Extended Term Loans</w:t>
      </w:r>
      <w:r>
        <w:rPr>
          <w:rFonts w:ascii="Arial" w:cs="Arial" w:eastAsia="Arial" w:hAnsi="Arial"/>
          <w:sz w:val="17"/>
          <w:szCs w:val="17"/>
          <w:u w:val="single" w:color="auto"/>
          <w:color w:val="0000FF"/>
          <w:strike w:val="1"/>
        </w:rPr>
        <w:t>“Initial Postpetition Loans”, “Second Postpetition Loans”, “Final Postpetition Loans”,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“New Money Postpetition Term Loans” or “Prepetition Term Loans”</w:t>
      </w:r>
      <w:r>
        <w:rPr>
          <w:rFonts w:ascii="Arial" w:cs="Arial" w:eastAsia="Arial" w:hAnsi="Arial"/>
          <w:sz w:val="17"/>
          <w:szCs w:val="17"/>
          <w:color w:val="000000"/>
          <w:strike w:val="1"/>
        </w:rPr>
        <w:t>, (b) any Commitment, refers to whether such Commitment is</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a Term Loan</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 xml:space="preserve">Commitment, Other Term Loan Commitment </w:t>
      </w:r>
      <w:r>
        <w:rPr>
          <w:rFonts w:ascii="Arial" w:cs="Arial" w:eastAsia="Arial" w:hAnsi="Arial"/>
          <w:sz w:val="17"/>
          <w:szCs w:val="17"/>
          <w:color w:val="008000"/>
          <w:strike w:val="1"/>
        </w:rPr>
        <w:t>(and, in the case of</w:t>
      </w:r>
      <w:r>
        <w:rPr>
          <w:rFonts w:ascii="Arial" w:cs="Arial" w:eastAsia="Arial" w:hAnsi="Arial"/>
          <w:sz w:val="17"/>
          <w:szCs w:val="17"/>
          <w:color w:val="FF0000"/>
          <w:strike w:val="1"/>
        </w:rPr>
        <w:t xml:space="preserve"> an Other Term Loan Commitment, the Class of Term Loans to which such commitment relates), or a commitment in respect of Term Loans to be made pursuant to an Extension Offer</w:t>
      </w:r>
      <w:r>
        <w:rPr>
          <w:rFonts w:ascii="Arial" w:cs="Arial" w:eastAsia="Arial" w:hAnsi="Arial"/>
          <w:sz w:val="17"/>
          <w:szCs w:val="17"/>
          <w:u w:val="single" w:color="auto"/>
          <w:color w:val="0000FF"/>
          <w:strike w:val="1"/>
        </w:rPr>
        <w:t>an “Initial Postpetition Commitment”, a</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“Second Postpetition Commitment” or a “Final Postpetition Commitment”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and (c) any Lender, refers to whether such Lender has a Loan or</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Commitment with respect to a particular Class of Loans or Commitments. </w:t>
      </w:r>
      <w:r>
        <w:rPr>
          <w:rFonts w:ascii="Arial" w:cs="Arial" w:eastAsia="Arial" w:hAnsi="Arial"/>
          <w:sz w:val="17"/>
          <w:szCs w:val="17"/>
          <w:color w:val="FF0000"/>
          <w:strike w:val="1"/>
        </w:rPr>
        <w:t>Other Term Loan Commitments, Other Term Loans and Extended Term</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Loans that have different terms and conditions, and each tranche of Extended Term Loans, shall be construed to be in different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-829945</wp:posOffset>
            </wp:positionV>
            <wp:extent cx="39344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-692785</wp:posOffset>
            </wp:positionV>
            <wp:extent cx="31457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-418465</wp:posOffset>
            </wp:positionV>
            <wp:extent cx="18256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-281305</wp:posOffset>
            </wp:positionV>
            <wp:extent cx="342011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5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Collateral</w:t>
      </w:r>
      <w:r>
        <w:rPr>
          <w:rFonts w:ascii="Arial" w:cs="Arial" w:eastAsia="Arial" w:hAnsi="Arial"/>
          <w:sz w:val="18"/>
          <w:szCs w:val="18"/>
          <w:color w:val="FF0000"/>
          <w:strike w:val="1"/>
        </w:rPr>
        <w:t>” shall mean all the “</w:t>
      </w:r>
      <w:r>
        <w:rPr>
          <w:rFonts w:ascii="Arial" w:cs="Arial" w:eastAsia="Arial" w:hAnsi="Arial"/>
          <w:sz w:val="18"/>
          <w:szCs w:val="18"/>
          <w:b w:val="1"/>
          <w:bCs w:val="1"/>
          <w:color w:val="FF0000"/>
          <w:strike w:val="1"/>
        </w:rPr>
        <w:t>Collateral</w:t>
      </w:r>
      <w:r>
        <w:rPr>
          <w:rFonts w:ascii="Arial" w:cs="Arial" w:eastAsia="Arial" w:hAnsi="Arial"/>
          <w:sz w:val="18"/>
          <w:szCs w:val="18"/>
          <w:color w:val="FF0000"/>
          <w:strike w:val="1"/>
        </w:rPr>
        <w:t>” as defined in any Collateral Document and shall also include the Mortgaged Properties.</w:t>
      </w:r>
    </w:p>
    <w:p>
      <w:pPr>
        <w:spacing w:after="0" w:line="225" w:lineRule="exact"/>
        <w:rPr>
          <w:sz w:val="20"/>
          <w:szCs w:val="20"/>
          <w:color w:val="auto"/>
        </w:rPr>
      </w:pPr>
    </w:p>
    <w:p>
      <w:pPr>
        <w:jc w:val="both"/>
        <w:ind w:left="4" w:right="240" w:firstLine="440"/>
        <w:spacing w:after="0" w:line="293"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Collateral</w:t>
      </w:r>
      <w:r>
        <w:rPr>
          <w:rFonts w:ascii="Arial" w:cs="Arial" w:eastAsia="Arial" w:hAnsi="Arial"/>
          <w:sz w:val="16"/>
          <w:szCs w:val="16"/>
          <w:u w:val="single" w:color="auto"/>
          <w:color w:val="0000FF"/>
        </w:rPr>
        <w:t>” shall mean (a) all of the assets, property, rights and interests of the Loan Parties that are or are intended to be subject to the Liens created by or pursuant to the Collateral Documents, the DIP Order, the Canadian DIP Recognition Order and the Canadian Supplemental Order, and</w:t>
      </w:r>
    </w:p>
    <w:p>
      <w:pPr>
        <w:spacing w:after="0" w:line="1" w:lineRule="exact"/>
        <w:rPr>
          <w:sz w:val="20"/>
          <w:szCs w:val="20"/>
          <w:color w:val="auto"/>
        </w:rPr>
      </w:pPr>
    </w:p>
    <w:p>
      <w:pPr>
        <w:ind w:left="4" w:right="80" w:hanging="4"/>
        <w:spacing w:after="0" w:line="270" w:lineRule="auto"/>
        <w:tabs>
          <w:tab w:leader="none" w:pos="259" w:val="left"/>
        </w:tabs>
        <w:numPr>
          <w:ilvl w:val="0"/>
          <w:numId w:val="5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the “Collateral ” and “DIP Collateral” referred to in the DIP Order, in each case, except for Excluded Property. </w:t>
      </w:r>
      <w:r>
        <w:rPr>
          <w:rFonts w:ascii="Arial" w:cs="Arial" w:eastAsia="Arial" w:hAnsi="Arial"/>
          <w:sz w:val="17"/>
          <w:szCs w:val="17"/>
          <w:u w:val="single" w:color="auto"/>
          <w:color w:val="008000"/>
        </w:rPr>
        <w:t>For the avoidance of doubt,</w:t>
      </w:r>
      <w:r>
        <w:rPr>
          <w:rFonts w:ascii="Arial" w:cs="Arial" w:eastAsia="Arial" w:hAnsi="Arial"/>
          <w:sz w:val="17"/>
          <w:szCs w:val="17"/>
          <w:u w:val="single" w:color="auto"/>
          <w:color w:val="0000FF"/>
        </w:rPr>
        <w:t xml:space="preserve"> and without </w:t>
      </w:r>
      <w:r>
        <w:rPr>
          <w:rFonts w:ascii="Arial" w:cs="Arial" w:eastAsia="Arial" w:hAnsi="Arial"/>
          <w:sz w:val="17"/>
          <w:szCs w:val="17"/>
          <w:u w:val="single" w:color="auto"/>
          <w:color w:val="008000"/>
        </w:rPr>
        <w:t>limiting the generality of the foregoing,</w:t>
      </w:r>
      <w:r>
        <w:rPr>
          <w:rFonts w:ascii="Arial" w:cs="Arial" w:eastAsia="Arial" w:hAnsi="Arial"/>
          <w:sz w:val="17"/>
          <w:szCs w:val="17"/>
          <w:u w:val="single" w:color="auto"/>
          <w:color w:val="0000FF"/>
        </w:rPr>
        <w:t xml:space="preserve"> “Collateral ” shall include (i) all property or assets of any Canadian Subsidiary of the Borrower, (ii) all claims and causes of action in connection with the any commercial tort and breach of contract claims, (iii) the proceeds of all claims and causes of action (excluding the claims and causes of actions themselves) arising under sections 502(d), 542, 544, 545, 547, 548, 549, 550, 551, 553(b), or 724(a) of the Bankruptcy Code or any other avoidance actions under the Bankruptcy Code or applicable federal and/or state-law equivalents, (iv) all leasehold interests of each Loan Party, and (v) the proceeds of each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-965835</wp:posOffset>
            </wp:positionV>
            <wp:extent cx="65233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-828675</wp:posOffset>
            </wp:positionV>
            <wp:extent cx="67722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-691515</wp:posOffset>
            </wp:positionV>
            <wp:extent cx="67036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6909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wp:posOffset>
            </wp:positionV>
            <wp:extent cx="66865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-280035</wp:posOffset>
            </wp:positionV>
            <wp:extent cx="68922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909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34201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shall have the meaning assigned to such term in the introductory statement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and Guarantee Requirement</w:t>
      </w:r>
      <w:r>
        <w:rPr>
          <w:rFonts w:ascii="Arial" w:cs="Arial" w:eastAsia="Arial" w:hAnsi="Arial"/>
          <w:sz w:val="18"/>
          <w:szCs w:val="18"/>
          <w:color w:val="auto"/>
        </w:rPr>
        <w:t>” shall mean, at any time, the requirement that:</w:t>
      </w:r>
    </w:p>
    <w:p>
      <w:pPr>
        <w:spacing w:after="0" w:line="229"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 xml:space="preserve">(a) on the </w:t>
      </w:r>
      <w:r>
        <w:rPr>
          <w:rFonts w:ascii="Arial" w:cs="Arial" w:eastAsia="Arial" w:hAnsi="Arial"/>
          <w:sz w:val="17"/>
          <w:szCs w:val="17"/>
          <w:color w:val="FF0000"/>
          <w:strike w:val="1"/>
        </w:rPr>
        <w:t>Restatement</w:t>
      </w:r>
      <w:r>
        <w:rPr>
          <w:rFonts w:ascii="Arial" w:cs="Arial" w:eastAsia="Arial" w:hAnsi="Arial"/>
          <w:sz w:val="17"/>
          <w:szCs w:val="17"/>
          <w:u w:val="single" w:color="auto"/>
          <w:color w:val="0000FF"/>
        </w:rPr>
        <w:t>Amendment No. 4</w:t>
      </w:r>
      <w:r>
        <w:rPr>
          <w:rFonts w:ascii="Arial" w:cs="Arial" w:eastAsia="Arial" w:hAnsi="Arial"/>
          <w:sz w:val="17"/>
          <w:szCs w:val="17"/>
          <w:color w:val="auto"/>
        </w:rPr>
        <w:t xml:space="preserve"> Effective Date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Administrative Agent and the Collateral Agent shall have received each Collateral Document to the extent required to be delivered on the </w:t>
      </w:r>
      <w:r>
        <w:rPr>
          <w:rFonts w:ascii="Arial" w:cs="Arial" w:eastAsia="Arial" w:hAnsi="Arial"/>
          <w:sz w:val="17"/>
          <w:szCs w:val="17"/>
          <w:color w:val="FF0000"/>
          <w:strike w:val="1"/>
        </w:rPr>
        <w:t>Restatement</w:t>
      </w:r>
      <w:r>
        <w:rPr>
          <w:rFonts w:ascii="Arial" w:cs="Arial" w:eastAsia="Arial" w:hAnsi="Arial"/>
          <w:sz w:val="17"/>
          <w:szCs w:val="17"/>
          <w:u w:val="single" w:color="auto"/>
          <w:color w:val="0000FF"/>
        </w:rPr>
        <w:t>Amendment No. 4</w:t>
      </w:r>
      <w:r>
        <w:rPr>
          <w:rFonts w:ascii="Arial" w:cs="Arial" w:eastAsia="Arial" w:hAnsi="Arial"/>
          <w:sz w:val="17"/>
          <w:szCs w:val="17"/>
          <w:color w:val="auto"/>
        </w:rPr>
        <w:t xml:space="preserve"> Effective Date pursuant to Section </w:t>
      </w:r>
      <w:r>
        <w:rPr>
          <w:rFonts w:ascii="Arial" w:cs="Arial" w:eastAsia="Arial" w:hAnsi="Arial"/>
          <w:sz w:val="17"/>
          <w:szCs w:val="17"/>
          <w:color w:val="FF0000"/>
        </w:rPr>
        <w:t>4.02(d), subject to the</w:t>
      </w:r>
      <w:r>
        <w:rPr>
          <w:rFonts w:ascii="Arial" w:cs="Arial" w:eastAsia="Arial" w:hAnsi="Arial"/>
          <w:sz w:val="17"/>
          <w:szCs w:val="17"/>
          <w:color w:val="auto"/>
        </w:rPr>
        <w:t xml:space="preserve"> </w:t>
      </w:r>
      <w:r>
        <w:rPr>
          <w:rFonts w:ascii="Arial" w:cs="Arial" w:eastAsia="Arial" w:hAnsi="Arial"/>
          <w:sz w:val="17"/>
          <w:szCs w:val="17"/>
          <w:color w:val="FF0000"/>
          <w:strike w:val="1"/>
        </w:rPr>
        <w:t>limitations and exceptions of this Agreement,</w:t>
      </w:r>
      <w:r>
        <w:rPr>
          <w:rFonts w:ascii="Arial" w:cs="Arial" w:eastAsia="Arial" w:hAnsi="Arial"/>
          <w:sz w:val="17"/>
          <w:szCs w:val="17"/>
          <w:u w:val="single" w:color="auto"/>
          <w:color w:val="0000FF"/>
        </w:rPr>
        <w:t>2 of Amendment No. 4</w:t>
      </w:r>
      <w:r>
        <w:rPr>
          <w:rFonts w:ascii="Arial" w:cs="Arial" w:eastAsia="Arial" w:hAnsi="Arial"/>
          <w:sz w:val="17"/>
          <w:szCs w:val="17"/>
          <w:color w:val="FF0000"/>
        </w:rPr>
        <w:t xml:space="preserve"> </w:t>
      </w:r>
      <w:r>
        <w:rPr>
          <w:rFonts w:ascii="Arial" w:cs="Arial" w:eastAsia="Arial" w:hAnsi="Arial"/>
          <w:sz w:val="17"/>
          <w:szCs w:val="17"/>
          <w:color w:val="000000"/>
        </w:rPr>
        <w:t>duly executed by each Loan Party that is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-288290</wp:posOffset>
            </wp:positionV>
            <wp:extent cx="8743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-288290</wp:posOffset>
            </wp:positionV>
            <wp:extent cx="254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-151130</wp:posOffset>
            </wp:positionV>
            <wp:extent cx="8826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-236855</wp:posOffset>
            </wp:positionV>
            <wp:extent cx="10280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-13970</wp:posOffset>
            </wp:positionV>
            <wp:extent cx="10883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145"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color w:val="auto"/>
        </w:rPr>
        <w:t xml:space="preserve">(b) in each case subject to the limitations and exceptions set forth in this Agreement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Collateral Documents</w:t>
      </w:r>
      <w:r>
        <w:rPr>
          <w:rFonts w:ascii="Arial" w:cs="Arial" w:eastAsia="Arial" w:hAnsi="Arial"/>
          <w:sz w:val="17"/>
          <w:szCs w:val="17"/>
          <w:u w:val="single" w:color="auto"/>
          <w:color w:val="0000FF"/>
        </w:rPr>
        <w:t>, the DIP Order and, in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case of the Canadian Collateral, the DIP Order and the Canadian Orders</w:t>
      </w:r>
      <w:r>
        <w:rPr>
          <w:rFonts w:ascii="Arial" w:cs="Arial" w:eastAsia="Arial" w:hAnsi="Arial"/>
          <w:sz w:val="17"/>
          <w:szCs w:val="17"/>
          <w:color w:val="000000"/>
        </w:rPr>
        <w:t>, and to any action required to be taken by the Collateral Agent or the</w:t>
      </w:r>
      <w:r>
        <w:rPr>
          <w:rFonts w:ascii="Arial" w:cs="Arial" w:eastAsia="Arial" w:hAnsi="Arial"/>
          <w:sz w:val="17"/>
          <w:szCs w:val="17"/>
          <w:color w:val="0000FF"/>
        </w:rPr>
        <w:t xml:space="preserve"> </w:t>
      </w:r>
      <w:r>
        <w:rPr>
          <w:rFonts w:ascii="Arial" w:cs="Arial" w:eastAsia="Arial" w:hAnsi="Arial"/>
          <w:sz w:val="17"/>
          <w:szCs w:val="17"/>
          <w:color w:val="000000"/>
        </w:rPr>
        <w:t>Administrative Agent to effectuate the same, the Obligations shall have been secured by</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 perfected security interest in all Collateral with the priority</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set forth herein and in the DIP Order, the Canadian Orders and the 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-507365</wp:posOffset>
            </wp:positionV>
            <wp:extent cx="1936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-421640</wp:posOffset>
            </wp:positionV>
            <wp:extent cx="342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-421640</wp:posOffset>
            </wp:positionV>
            <wp:extent cx="12172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32918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-147320</wp:posOffset>
            </wp:positionV>
            <wp:extent cx="27686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686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49891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57" w:lineRule="exact"/>
        <w:rPr>
          <w:sz w:val="20"/>
          <w:szCs w:val="20"/>
          <w:color w:val="auto"/>
        </w:rPr>
      </w:pPr>
    </w:p>
    <w:p>
      <w:pPr>
        <w:ind w:left="964" w:right="80" w:hanging="532"/>
        <w:spacing w:after="0" w:line="277" w:lineRule="auto"/>
        <w:tabs>
          <w:tab w:leader="none" w:pos="964" w:val="left"/>
        </w:tabs>
        <w:numPr>
          <w:ilvl w:val="0"/>
          <w:numId w:val="53"/>
        </w:numPr>
        <w:rPr>
          <w:rFonts w:ascii="Arial" w:cs="Arial" w:eastAsia="Arial" w:hAnsi="Arial"/>
          <w:sz w:val="18"/>
          <w:szCs w:val="18"/>
          <w:color w:val="FF0000"/>
          <w:strike w:val="1"/>
        </w:rPr>
      </w:pPr>
      <w:r>
        <w:rPr>
          <w:rFonts w:ascii="Arial" w:cs="Arial" w:eastAsia="Arial" w:hAnsi="Arial"/>
          <w:sz w:val="18"/>
          <w:szCs w:val="18"/>
          <w:color w:val="FF0000"/>
          <w:strike w:val="1"/>
        </w:rPr>
        <w:t>a perfected second priority security interest (subject to Liens permitted by Section 7.01) in all personal property of the Borrower and each Guarantor consisting of all accounts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0" w:right="499" w:bottom="1440" w:gutter="0" w:footer="0" w:header="0"/>
        </w:sectPr>
      </w:pPr>
    </w:p>
    <w:bookmarkStart w:id="148" w:name="page149"/>
    <w:bookmarkEnd w:id="148"/>
    <w:p>
      <w:pPr>
        <w:ind w:left="980"/>
        <w:spacing w:after="0" w:line="308"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receivable, cash and Cash Equivalents, deposit accounts (other than First Lien Term Priority Accounts and UST Tranche B Joint Accounts) and supporting obligations and books and records related to the foregoing and, in each case, proceeds thereof;</w:t>
      </w:r>
    </w:p>
    <w:p>
      <w:pPr>
        <w:spacing w:after="0" w:line="52" w:lineRule="exact"/>
        <w:rPr>
          <w:sz w:val="20"/>
          <w:szCs w:val="20"/>
          <w:color w:val="auto"/>
        </w:rPr>
      </w:pPr>
    </w:p>
    <w:p>
      <w:pPr>
        <w:ind w:left="960" w:right="320" w:hanging="532"/>
        <w:spacing w:after="0" w:line="277" w:lineRule="auto"/>
        <w:tabs>
          <w:tab w:leader="none" w:pos="960" w:val="left"/>
        </w:tabs>
        <w:numPr>
          <w:ilvl w:val="0"/>
          <w:numId w:val="5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 perfected first priority pledge (subject to Liens permitted by </w:t>
      </w:r>
      <w:r>
        <w:rPr>
          <w:rFonts w:ascii="Arial" w:cs="Arial" w:eastAsia="Arial" w:hAnsi="Arial"/>
          <w:sz w:val="18"/>
          <w:szCs w:val="18"/>
          <w:u w:val="single" w:color="auto"/>
          <w:color w:val="FF0000"/>
          <w:strike w:val="1"/>
        </w:rPr>
        <w:t>Section 7.01</w:t>
      </w:r>
      <w:r>
        <w:rPr>
          <w:rFonts w:ascii="Arial" w:cs="Arial" w:eastAsia="Arial" w:hAnsi="Arial"/>
          <w:sz w:val="18"/>
          <w:szCs w:val="18"/>
          <w:color w:val="FF0000"/>
          <w:strike w:val="1"/>
        </w:rPr>
        <w:t>) of all Equity Interests directly held by the Borrower or any Guarantor;</w:t>
      </w:r>
    </w:p>
    <w:p>
      <w:pPr>
        <w:spacing w:after="0" w:line="62" w:lineRule="exact"/>
        <w:rPr>
          <w:rFonts w:ascii="Arial" w:cs="Arial" w:eastAsia="Arial" w:hAnsi="Arial"/>
          <w:sz w:val="18"/>
          <w:szCs w:val="18"/>
          <w:color w:val="FF0000"/>
          <w:strike w:val="1"/>
        </w:rPr>
      </w:pPr>
    </w:p>
    <w:p>
      <w:pPr>
        <w:ind w:left="960" w:right="40" w:hanging="532"/>
        <w:spacing w:after="0" w:line="255" w:lineRule="auto"/>
        <w:tabs>
          <w:tab w:leader="none" w:pos="960" w:val="left"/>
        </w:tabs>
        <w:numPr>
          <w:ilvl w:val="0"/>
          <w:numId w:val="5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with respect to each Material Real Property, (1) a first priority mortgage, deed of trust or deed to secure debt (as applicable) (subject to Liens permitted by </w:t>
      </w:r>
      <w:r>
        <w:rPr>
          <w:rFonts w:ascii="Arial" w:cs="Arial" w:eastAsia="Arial" w:hAnsi="Arial"/>
          <w:sz w:val="18"/>
          <w:szCs w:val="18"/>
          <w:u w:val="single" w:color="auto"/>
          <w:color w:val="FF0000"/>
          <w:strike w:val="1"/>
        </w:rPr>
        <w:t>Section 7.01</w:t>
      </w:r>
      <w:r>
        <w:rPr>
          <w:rFonts w:ascii="Arial" w:cs="Arial" w:eastAsia="Arial" w:hAnsi="Arial"/>
          <w:sz w:val="18"/>
          <w:szCs w:val="18"/>
          <w:color w:val="FF0000"/>
          <w:strike w:val="1"/>
        </w:rPr>
        <w:t xml:space="preserve">) on such Material Real Property pursuant to Mortgages that satisfy the requirements of clause (c)(i) below and (2) a perfected first priority security interest (subject to Liens permitted by </w:t>
      </w:r>
      <w:r>
        <w:rPr>
          <w:rFonts w:ascii="Arial" w:cs="Arial" w:eastAsia="Arial" w:hAnsi="Arial"/>
          <w:sz w:val="18"/>
          <w:szCs w:val="18"/>
          <w:u w:val="single" w:color="auto"/>
          <w:color w:val="FF0000"/>
          <w:strike w:val="1"/>
        </w:rPr>
        <w:t>Section 7.01</w:t>
      </w:r>
      <w:r>
        <w:rPr>
          <w:rFonts w:ascii="Arial" w:cs="Arial" w:eastAsia="Arial" w:hAnsi="Arial"/>
          <w:sz w:val="18"/>
          <w:szCs w:val="18"/>
          <w:color w:val="FF0000"/>
          <w:strike w:val="1"/>
        </w:rPr>
        <w:t>) in all personal property relating to such Material Real Property and all fixtures thereon, provided, that, to the extent the opinion delivered to Collateral Agent confirms that the filing of the applicable Mortgage itself perfects Collateral Agent’s first priority security interest in such fixtures, no separate fixture filing shall be required; and</w:t>
      </w:r>
    </w:p>
    <w:p>
      <w:pPr>
        <w:spacing w:after="0" w:line="70" w:lineRule="exact"/>
        <w:rPr>
          <w:rFonts w:ascii="Arial" w:cs="Arial" w:eastAsia="Arial" w:hAnsi="Arial"/>
          <w:sz w:val="18"/>
          <w:szCs w:val="18"/>
          <w:color w:val="FF0000"/>
          <w:strike w:val="1"/>
        </w:rPr>
      </w:pPr>
    </w:p>
    <w:p>
      <w:pPr>
        <w:ind w:left="960" w:right="20" w:hanging="532"/>
        <w:spacing w:after="0" w:line="253" w:lineRule="auto"/>
        <w:tabs>
          <w:tab w:leader="none" w:pos="960" w:val="left"/>
        </w:tabs>
        <w:numPr>
          <w:ilvl w:val="0"/>
          <w:numId w:val="54"/>
        </w:numPr>
        <w:rPr>
          <w:rFonts w:ascii="Arial" w:cs="Arial" w:eastAsia="Arial" w:hAnsi="Arial"/>
          <w:sz w:val="18"/>
          <w:szCs w:val="18"/>
          <w:color w:val="FF0000"/>
          <w:strike w:val="1"/>
        </w:rPr>
      </w:pPr>
      <w:r>
        <w:rPr>
          <w:rFonts w:ascii="Arial" w:cs="Arial" w:eastAsia="Arial" w:hAnsi="Arial"/>
          <w:sz w:val="18"/>
          <w:szCs w:val="18"/>
          <w:color w:val="FF0000"/>
          <w:strike w:val="1"/>
        </w:rPr>
        <w:t>within one hundred twenty (120) days following the repayment in full of the CDA First Lien Obligations (or, if the proviso to this clause (iv) applies, the date the Requisite CDA Consent is obtained, as applicable), a first priority mortgage, deed of trust or deed to secure debt (as applicable) on each Pension Real Property (such mortgage, deed of trust or deed, a “</w:t>
      </w:r>
      <w:r>
        <w:rPr>
          <w:rFonts w:ascii="Arial" w:cs="Arial" w:eastAsia="Arial" w:hAnsi="Arial"/>
          <w:sz w:val="18"/>
          <w:szCs w:val="18"/>
          <w:b w:val="1"/>
          <w:bCs w:val="1"/>
          <w:color w:val="FF0000"/>
          <w:strike w:val="1"/>
        </w:rPr>
        <w:t>Pension Property Mortgage</w:t>
      </w:r>
      <w:r>
        <w:rPr>
          <w:rFonts w:ascii="Arial" w:cs="Arial" w:eastAsia="Arial" w:hAnsi="Arial"/>
          <w:sz w:val="18"/>
          <w:szCs w:val="18"/>
          <w:color w:val="FF0000"/>
          <w:strike w:val="1"/>
        </w:rPr>
        <w:t xml:space="preserve">”) pursuant to Mortgages that satisfy the requirements of clause (c)(i) below (subject to Liens permitted by </w:t>
      </w:r>
      <w:r>
        <w:rPr>
          <w:rFonts w:ascii="Arial" w:cs="Arial" w:eastAsia="Arial" w:hAnsi="Arial"/>
          <w:sz w:val="18"/>
          <w:szCs w:val="18"/>
          <w:u w:val="single" w:color="auto"/>
          <w:color w:val="FF0000"/>
          <w:strike w:val="1"/>
        </w:rPr>
        <w:t>Section 7.01</w:t>
      </w:r>
      <w:r>
        <w:rPr>
          <w:rFonts w:ascii="Arial" w:cs="Arial" w:eastAsia="Arial" w:hAnsi="Arial"/>
          <w:sz w:val="18"/>
          <w:szCs w:val="18"/>
          <w:color w:val="FF0000"/>
          <w:strike w:val="1"/>
        </w:rPr>
        <w:t xml:space="preserve">) and a perfected first priority security interest (subject to Liens permitted by </w:t>
      </w:r>
      <w:r>
        <w:rPr>
          <w:rFonts w:ascii="Arial" w:cs="Arial" w:eastAsia="Arial" w:hAnsi="Arial"/>
          <w:sz w:val="18"/>
          <w:szCs w:val="18"/>
          <w:u w:val="single" w:color="auto"/>
          <w:color w:val="FF0000"/>
          <w:strike w:val="1"/>
        </w:rPr>
        <w:t>Section 7.01</w:t>
      </w:r>
      <w:r>
        <w:rPr>
          <w:rFonts w:ascii="Arial" w:cs="Arial" w:eastAsia="Arial" w:hAnsi="Arial"/>
          <w:sz w:val="18"/>
          <w:szCs w:val="18"/>
          <w:color w:val="FF0000"/>
          <w:strike w:val="1"/>
        </w:rPr>
        <w:t xml:space="preserve">) in all personal property relating to such Pension Real Property and all fixtures thereon;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to the extent such Pension Property Mortgage is prohibited under the terms of the Contribution Deferral Agreement (as in effect as of the date hereof), the Loan Parties shall use commercially reasonable efforts to obtain the necessary consents under the Contribution Deferral Agreement to permit such Pension Property Mortgage (the “</w:t>
      </w:r>
      <w:r>
        <w:rPr>
          <w:rFonts w:ascii="Arial" w:cs="Arial" w:eastAsia="Arial" w:hAnsi="Arial"/>
          <w:sz w:val="18"/>
          <w:szCs w:val="18"/>
          <w:u w:val="single" w:color="auto"/>
          <w:color w:val="FF0000"/>
          <w:strike w:val="1"/>
        </w:rPr>
        <w:t>Requisite CDA Consent</w:t>
      </w:r>
      <w:r>
        <w:rPr>
          <w:rFonts w:ascii="Arial" w:cs="Arial" w:eastAsia="Arial" w:hAnsi="Arial"/>
          <w:sz w:val="18"/>
          <w:szCs w:val="18"/>
          <w:color w:val="FF0000"/>
          <w:strike w:val="1"/>
        </w:rPr>
        <w:t>”) and if after using such commercially reasonable efforts, such consent is not obtained</w:t>
      </w:r>
      <w:r>
        <w:rPr>
          <w:rFonts w:ascii="Arial" w:cs="Arial" w:eastAsia="Arial" w:hAnsi="Arial"/>
          <w:sz w:val="18"/>
          <w:szCs w:val="18"/>
          <w:color w:val="008000"/>
          <w:strike w:val="1"/>
        </w:rPr>
        <w:t>, the Loan Parties shall not be required to</w:t>
      </w:r>
      <w:r>
        <w:rPr>
          <w:rFonts w:ascii="Arial" w:cs="Arial" w:eastAsia="Arial" w:hAnsi="Arial"/>
          <w:sz w:val="18"/>
          <w:szCs w:val="18"/>
          <w:color w:val="FF0000"/>
          <w:strike w:val="1"/>
        </w:rPr>
        <w:t xml:space="preserve"> deliver such Pension Property Mortgage until all obligations under the Contribution Deferral Agreement to the extent permitted under </w:t>
      </w:r>
      <w:r>
        <w:rPr>
          <w:rFonts w:ascii="Arial" w:cs="Arial" w:eastAsia="Arial" w:hAnsi="Arial"/>
          <w:sz w:val="18"/>
          <w:szCs w:val="18"/>
          <w:u w:val="single" w:color="auto"/>
          <w:color w:val="FF0000"/>
          <w:strike w:val="1"/>
        </w:rPr>
        <w:t>Section 7.03(u)</w:t>
      </w:r>
      <w:r>
        <w:rPr>
          <w:rFonts w:ascii="Arial" w:cs="Arial" w:eastAsia="Arial" w:hAnsi="Arial"/>
          <w:sz w:val="18"/>
          <w:szCs w:val="18"/>
          <w:color w:val="FF0000"/>
          <w:strike w:val="1"/>
        </w:rPr>
        <w:t xml:space="preserve"> shall have been paid in full;</w:t>
      </w:r>
    </w:p>
    <w:p>
      <w:pPr>
        <w:spacing w:after="0" w:line="83" w:lineRule="exact"/>
        <w:rPr>
          <w:rFonts w:ascii="Arial" w:cs="Arial" w:eastAsia="Arial" w:hAnsi="Arial"/>
          <w:sz w:val="18"/>
          <w:szCs w:val="18"/>
          <w:color w:val="FF0000"/>
          <w:strike w:val="1"/>
        </w:rPr>
      </w:pPr>
    </w:p>
    <w:p>
      <w:pPr>
        <w:ind w:left="960" w:right="80" w:hanging="532"/>
        <w:spacing w:after="0" w:line="273" w:lineRule="auto"/>
        <w:tabs>
          <w:tab w:leader="none" w:pos="960" w:val="left"/>
        </w:tabs>
        <w:numPr>
          <w:ilvl w:val="0"/>
          <w:numId w:val="54"/>
        </w:numPr>
        <w:rPr>
          <w:rFonts w:ascii="Arial" w:cs="Arial" w:eastAsia="Arial" w:hAnsi="Arial"/>
          <w:sz w:val="17"/>
          <w:szCs w:val="17"/>
          <w:color w:val="FF0000"/>
          <w:strike w:val="1"/>
        </w:rPr>
      </w:pPr>
      <w:r>
        <w:rPr>
          <w:rFonts w:ascii="Arial" w:cs="Arial" w:eastAsia="Arial" w:hAnsi="Arial"/>
          <w:sz w:val="17"/>
          <w:szCs w:val="17"/>
          <w:color w:val="FF0000"/>
          <w:strike w:val="1"/>
        </w:rPr>
        <w:t xml:space="preserve">subject to clause (vi) below, a perfected first priority security interest (subject to Liens permitted by </w:t>
      </w:r>
      <w:r>
        <w:rPr>
          <w:rFonts w:ascii="Arial" w:cs="Arial" w:eastAsia="Arial" w:hAnsi="Arial"/>
          <w:sz w:val="17"/>
          <w:szCs w:val="17"/>
          <w:u w:val="single" w:color="auto"/>
          <w:color w:val="FF0000"/>
          <w:strike w:val="1"/>
        </w:rPr>
        <w:t>Section 7.01</w:t>
      </w:r>
      <w:r>
        <w:rPr>
          <w:rFonts w:ascii="Arial" w:cs="Arial" w:eastAsia="Arial" w:hAnsi="Arial"/>
          <w:sz w:val="17"/>
          <w:szCs w:val="17"/>
          <w:color w:val="FF0000"/>
          <w:strike w:val="1"/>
        </w:rPr>
        <w:t>) in substantially all other personal property (other than UST Tranche B Priority Accounts (as defined in the ABL Intercreditor Agreement)) of the Borrower and each Guarantor, including First Lien Term Priority Accounts, UST Tranche B Joint Accounts, investment property, contracts, patents, copyrights, trademarks and other general intangibles (subject to a license in favor of the ABL Agent and/or the UST Tranche A Agent and/or the UST Tranche B Agent, as applicable, to use intellectual property, subject to the ABL Intercreditor Agreement), commercial tort claims, letter of credit rights, intercompany notes and proceeds of the foregoing; and</w:t>
      </w:r>
    </w:p>
    <w:p>
      <w:pPr>
        <w:spacing w:after="0" w:line="69" w:lineRule="exact"/>
        <w:rPr>
          <w:rFonts w:ascii="Arial" w:cs="Arial" w:eastAsia="Arial" w:hAnsi="Arial"/>
          <w:sz w:val="17"/>
          <w:szCs w:val="17"/>
          <w:color w:val="FF0000"/>
          <w:strike w:val="1"/>
        </w:rPr>
      </w:pPr>
    </w:p>
    <w:p>
      <w:pPr>
        <w:ind w:left="960" w:right="240" w:hanging="532"/>
        <w:spacing w:after="0" w:line="342" w:lineRule="auto"/>
        <w:tabs>
          <w:tab w:leader="none" w:pos="960" w:val="left"/>
        </w:tabs>
        <w:numPr>
          <w:ilvl w:val="0"/>
          <w:numId w:val="54"/>
        </w:numPr>
        <w:rPr>
          <w:rFonts w:ascii="Arial" w:cs="Arial" w:eastAsia="Arial" w:hAnsi="Arial"/>
          <w:sz w:val="16"/>
          <w:szCs w:val="16"/>
          <w:color w:val="FF0000"/>
          <w:strike w:val="1"/>
        </w:rPr>
      </w:pPr>
      <w:r>
        <w:rPr>
          <w:rFonts w:ascii="Arial" w:cs="Arial" w:eastAsia="Arial" w:hAnsi="Arial"/>
          <w:sz w:val="16"/>
          <w:szCs w:val="16"/>
          <w:color w:val="FF0000"/>
          <w:strike w:val="1"/>
        </w:rPr>
        <w:t xml:space="preserve">(1) a perfected first priority security interest (subject to Liens permitted by </w:t>
      </w:r>
      <w:r>
        <w:rPr>
          <w:rFonts w:ascii="Arial" w:cs="Arial" w:eastAsia="Arial" w:hAnsi="Arial"/>
          <w:sz w:val="16"/>
          <w:szCs w:val="16"/>
          <w:u w:val="single" w:color="auto"/>
          <w:color w:val="FF0000"/>
          <w:strike w:val="1"/>
        </w:rPr>
        <w:t>Section 7.01</w:t>
      </w:r>
      <w:r>
        <w:rPr>
          <w:rFonts w:ascii="Arial" w:cs="Arial" w:eastAsia="Arial" w:hAnsi="Arial"/>
          <w:sz w:val="16"/>
          <w:szCs w:val="16"/>
          <w:color w:val="FF0000"/>
          <w:strike w:val="1"/>
        </w:rPr>
        <w:t xml:space="preserve">) in all </w:t>
      </w:r>
      <w:r>
        <w:rPr>
          <w:rFonts w:ascii="Arial" w:cs="Arial" w:eastAsia="Arial" w:hAnsi="Arial"/>
          <w:sz w:val="16"/>
          <w:szCs w:val="16"/>
          <w:color w:val="008000"/>
          <w:strike w:val="1"/>
        </w:rPr>
        <w:t>UST Tranche B Joint Collateral and</w:t>
      </w:r>
      <w:r>
        <w:rPr>
          <w:rFonts w:ascii="Arial" w:cs="Arial" w:eastAsia="Arial" w:hAnsi="Arial"/>
          <w:sz w:val="16"/>
          <w:szCs w:val="16"/>
          <w:color w:val="FF0000"/>
          <w:strike w:val="1"/>
        </w:rPr>
        <w:t xml:space="preserve"> (2) a perfected second priority security interest in all </w:t>
      </w:r>
      <w:r>
        <w:rPr>
          <w:rFonts w:ascii="Arial" w:cs="Arial" w:eastAsia="Arial" w:hAnsi="Arial"/>
          <w:sz w:val="16"/>
          <w:szCs w:val="16"/>
          <w:color w:val="008000"/>
          <w:strike w:val="1"/>
        </w:rPr>
        <w:t>UST Tranche B Priority Collateral</w:t>
      </w:r>
      <w:r>
        <w:rPr>
          <w:rFonts w:ascii="Arial" w:cs="Arial" w:eastAsia="Arial" w:hAnsi="Arial"/>
          <w:sz w:val="16"/>
          <w:szCs w:val="16"/>
          <w:color w:val="FF0000"/>
          <w:strike w:val="1"/>
        </w:rPr>
        <w:t xml:space="preserve"> (subject to Liens permitted by </w:t>
      </w:r>
      <w:r>
        <w:rPr>
          <w:rFonts w:ascii="Arial" w:cs="Arial" w:eastAsia="Arial" w:hAnsi="Arial"/>
          <w:sz w:val="16"/>
          <w:szCs w:val="16"/>
          <w:u w:val="single" w:color="auto"/>
          <w:color w:val="FF0000"/>
          <w:strike w:val="1"/>
        </w:rPr>
        <w:t>Section 7.01</w:t>
      </w:r>
      <w:r>
        <w:rPr>
          <w:rFonts w:ascii="Arial" w:cs="Arial" w:eastAsia="Arial" w:hAnsi="Arial"/>
          <w:sz w:val="16"/>
          <w:szCs w:val="16"/>
          <w:color w:val="FF0000"/>
          <w:strike w:val="1"/>
        </w:rPr>
        <w:t>);</w:t>
      </w:r>
    </w:p>
    <w:p>
      <w:pPr>
        <w:spacing w:after="0" w:line="9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color w:val="FF0000"/>
          <w:strike w:val="1"/>
        </w:rPr>
        <w:t>subject to the limitations and exceptions set forth in this Agreement and the Collateral Documents, to the extent a security interest in and</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mortgage lien on any Material Real Property (or, solely with respect to clause (b)(iv) above, any Pension Real Property) is required under </w:t>
      </w:r>
      <w:r>
        <w:rPr>
          <w:rFonts w:ascii="Arial" w:cs="Arial" w:eastAsia="Arial" w:hAnsi="Arial"/>
          <w:sz w:val="18"/>
          <w:szCs w:val="18"/>
          <w:u w:val="single" w:color="auto"/>
          <w:color w:val="FF0000"/>
          <w:strike w:val="1"/>
        </w:rPr>
        <w:t>Section 4.02</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 xml:space="preserve">6.11 </w:t>
      </w:r>
      <w:r>
        <w:rPr>
          <w:rFonts w:ascii="Arial" w:cs="Arial" w:eastAsia="Arial" w:hAnsi="Arial"/>
          <w:sz w:val="18"/>
          <w:szCs w:val="18"/>
          <w:color w:val="FF0000"/>
          <w:strike w:val="1"/>
        </w:rPr>
        <w:t>or</w:t>
      </w:r>
      <w:r>
        <w:rPr>
          <w:rFonts w:ascii="Arial" w:cs="Arial" w:eastAsia="Arial" w:hAnsi="Arial"/>
          <w:sz w:val="18"/>
          <w:szCs w:val="18"/>
          <w:u w:val="single" w:color="auto"/>
          <w:color w:val="FF0000"/>
          <w:strike w:val="1"/>
        </w:rPr>
        <w:t xml:space="preserve"> 6.13 </w:t>
      </w:r>
      <w:r>
        <w:rPr>
          <w:rFonts w:ascii="Arial" w:cs="Arial" w:eastAsia="Arial" w:hAnsi="Arial"/>
          <w:sz w:val="18"/>
          <w:szCs w:val="18"/>
          <w:color w:val="FF0000"/>
          <w:strike w:val="1"/>
        </w:rPr>
        <w:t>(together with any Material Real Property that is subject to a Mortgage on the Restatement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49" w:name="page150"/>
    <w:bookmarkEnd w:id="149"/>
    <w:p>
      <w:pPr>
        <w:ind w:left="4" w:right="340"/>
        <w:spacing w:after="0" w:line="287"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Effective Date pursuant to </w:t>
      </w:r>
      <w:r>
        <w:rPr>
          <w:rFonts w:ascii="Arial" w:cs="Arial" w:eastAsia="Arial" w:hAnsi="Arial"/>
          <w:sz w:val="16"/>
          <w:szCs w:val="16"/>
          <w:u w:val="single" w:color="auto"/>
          <w:color w:val="FF0000"/>
          <w:strike w:val="1"/>
        </w:rPr>
        <w:t>clause (b)(iii)</w:t>
      </w:r>
      <w:r>
        <w:rPr>
          <w:rFonts w:ascii="Arial" w:cs="Arial" w:eastAsia="Arial" w:hAnsi="Arial"/>
          <w:sz w:val="16"/>
          <w:szCs w:val="16"/>
          <w:color w:val="FF0000"/>
          <w:strike w:val="1"/>
        </w:rPr>
        <w:t xml:space="preserve"> above, each, a “</w:t>
      </w:r>
      <w:r>
        <w:rPr>
          <w:rFonts w:ascii="Arial" w:cs="Arial" w:eastAsia="Arial" w:hAnsi="Arial"/>
          <w:sz w:val="16"/>
          <w:szCs w:val="16"/>
          <w:b w:val="1"/>
          <w:bCs w:val="1"/>
          <w:color w:val="FF0000"/>
          <w:strike w:val="1"/>
        </w:rPr>
        <w:t>Mortgaged Property</w:t>
      </w:r>
      <w:r>
        <w:rPr>
          <w:rFonts w:ascii="Arial" w:cs="Arial" w:eastAsia="Arial" w:hAnsi="Arial"/>
          <w:sz w:val="16"/>
          <w:szCs w:val="16"/>
          <w:color w:val="FF0000"/>
          <w:strike w:val="1"/>
        </w:rPr>
        <w:t xml:space="preserve">”), the Administrative Agent and </w:t>
      </w:r>
      <w:r>
        <w:rPr>
          <w:rFonts w:ascii="Arial" w:cs="Arial" w:eastAsia="Arial" w:hAnsi="Arial"/>
          <w:sz w:val="16"/>
          <w:szCs w:val="16"/>
          <w:u w:val="single" w:color="auto"/>
          <w:color w:val="0000FF"/>
          <w:strike w:val="1"/>
        </w:rPr>
        <w:t>after the Postpetition B-2 Facility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 xml:space="preserve">Closing Date, (x) each </w:t>
      </w:r>
      <w:r>
        <w:rPr>
          <w:rFonts w:ascii="Arial" w:cs="Arial" w:eastAsia="Arial" w:hAnsi="Arial"/>
          <w:sz w:val="16"/>
          <w:szCs w:val="16"/>
          <w:u w:val="single" w:color="auto"/>
          <w:color w:val="008000"/>
          <w:strike w:val="1"/>
        </w:rPr>
        <w:t>Subsidiary of the Borrower that is</w:t>
      </w:r>
      <w:r>
        <w:rPr>
          <w:rFonts w:ascii="Arial" w:cs="Arial" w:eastAsia="Arial" w:hAnsi="Arial"/>
          <w:sz w:val="16"/>
          <w:szCs w:val="16"/>
          <w:u w:val="single" w:color="auto"/>
          <w:color w:val="0000FF"/>
          <w:strike w:val="1"/>
        </w:rPr>
        <w:t xml:space="preserve"> an Excluded Subsidiary on the Postpetition B-2 Facility Closing Date and that ceases to constitute an Excluded Subsidiary pursuant to the definition thereof shall</w:t>
      </w:r>
      <w:r>
        <w:rPr>
          <w:rFonts w:ascii="Arial" w:cs="Arial" w:eastAsia="Arial" w:hAnsi="Arial"/>
          <w:sz w:val="16"/>
          <w:szCs w:val="16"/>
          <w:u w:val="single" w:color="auto"/>
          <w:color w:val="008000"/>
          <w:strike w:val="1"/>
        </w:rPr>
        <w:t>, at the request of the</w:t>
      </w:r>
      <w:r>
        <w:rPr>
          <w:rFonts w:ascii="Arial" w:cs="Arial" w:eastAsia="Arial" w:hAnsi="Arial"/>
          <w:sz w:val="16"/>
          <w:szCs w:val="16"/>
          <w:u w:val="single" w:color="auto"/>
          <w:color w:val="0000FF"/>
          <w:strike w:val="1"/>
        </w:rPr>
        <w:t xml:space="preserve"> Lenders (or the Administrative Agent on behalf of the Lenders) </w:t>
      </w:r>
      <w:r>
        <w:rPr>
          <w:rFonts w:ascii="Arial" w:cs="Arial" w:eastAsia="Arial" w:hAnsi="Arial"/>
          <w:sz w:val="16"/>
          <w:szCs w:val="16"/>
          <w:u w:val="single" w:color="auto"/>
          <w:color w:val="008000"/>
          <w:strike w:val="1"/>
        </w:rPr>
        <w:t>become a Guarantor and signatory to this Agreement pursuant to a joinder agreement in</w:t>
      </w:r>
      <w:r>
        <w:rPr>
          <w:rFonts w:ascii="Arial" w:cs="Arial" w:eastAsia="Arial" w:hAnsi="Arial"/>
          <w:sz w:val="16"/>
          <w:szCs w:val="16"/>
          <w:u w:val="single" w:color="auto"/>
          <w:color w:val="0000FF"/>
          <w:strike w:val="1"/>
        </w:rPr>
        <w:t xml:space="preserve"> connection with Section 6.11 or Section 6.13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-400685</wp:posOffset>
            </wp:positionV>
            <wp:extent cx="15259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6433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7894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ind w:left="4" w:right="380" w:hanging="4"/>
        <w:spacing w:after="0" w:line="260" w:lineRule="auto"/>
        <w:tabs>
          <w:tab w:leader="none" w:pos="259" w:val="left"/>
        </w:tabs>
        <w:numPr>
          <w:ilvl w:val="0"/>
          <w:numId w:val="5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each Subsidiary of the Borrower shall deliver such collateral documents and take such perfection steps as reasonably requested by</w:t>
      </w:r>
      <w:r>
        <w:rPr>
          <w:rFonts w:ascii="Arial" w:cs="Arial" w:eastAsia="Arial" w:hAnsi="Arial"/>
          <w:sz w:val="18"/>
          <w:szCs w:val="18"/>
          <w:color w:val="0000FF"/>
        </w:rPr>
        <w:t xml:space="preserve"> </w:t>
      </w:r>
      <w:r>
        <w:rPr>
          <w:rFonts w:ascii="Arial" w:cs="Arial" w:eastAsia="Arial" w:hAnsi="Arial"/>
          <w:sz w:val="18"/>
          <w:szCs w:val="18"/>
          <w:color w:val="000000"/>
        </w:rPr>
        <w:t>the Collateral</w:t>
      </w:r>
      <w:r>
        <w:rPr>
          <w:rFonts w:ascii="Arial" w:cs="Arial" w:eastAsia="Arial" w:hAnsi="Arial"/>
          <w:sz w:val="18"/>
          <w:szCs w:val="18"/>
          <w:color w:val="0000FF"/>
        </w:rPr>
        <w:t xml:space="preserve"> </w:t>
      </w:r>
      <w:r>
        <w:rPr>
          <w:rFonts w:ascii="Arial" w:cs="Arial" w:eastAsia="Arial" w:hAnsi="Arial"/>
          <w:sz w:val="18"/>
          <w:szCs w:val="18"/>
          <w:color w:val="000000"/>
        </w:rPr>
        <w:t xml:space="preserve">Agent </w:t>
      </w:r>
      <w:r>
        <w:rPr>
          <w:rFonts w:ascii="Arial" w:cs="Arial" w:eastAsia="Arial" w:hAnsi="Arial"/>
          <w:sz w:val="18"/>
          <w:szCs w:val="18"/>
          <w:color w:val="FF0000"/>
          <w:strike w:val="1"/>
        </w:rPr>
        <w:t>shall have received:</w:t>
      </w:r>
      <w:r>
        <w:rPr>
          <w:rFonts w:ascii="Arial" w:cs="Arial" w:eastAsia="Arial" w:hAnsi="Arial"/>
          <w:sz w:val="18"/>
          <w:szCs w:val="18"/>
          <w:u w:val="single" w:color="auto"/>
          <w:color w:val="0000FF"/>
        </w:rPr>
        <w:t>or the Lenders;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67208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1379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1217295</wp:posOffset>
            </wp:positionH>
            <wp:positionV relativeFrom="paragraph">
              <wp:posOffset>-1270</wp:posOffset>
            </wp:positionV>
            <wp:extent cx="88265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6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u w:val="single" w:color="auto"/>
          <w:color w:val="0000FF"/>
        </w:rPr>
        <w:t>(d)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notwithstanding that all of the security interests described herein with respect to the Collateral shall be effective and perfected by the DIP</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Order (and, in the case of Canadian Collateral, the Canadian Orders) and without the necessity of the execution of mortgages, security agreements, pledge agreements or other agreements, the Loan Parties shall take all actions that may be necessary or desirable, or that the Lenders or the Collateral Agent may reasonably request, to maintain the validity, perfection, enforceability and priority of the security interest and Liens of the Collateral Agent in the Collateral, or to enable the Collateral Agent to protect, exercise or enforce its rights hereunder, under the DIP Order (</w:t>
      </w:r>
      <w:r>
        <w:rPr>
          <w:rFonts w:ascii="Arial" w:cs="Arial" w:eastAsia="Arial" w:hAnsi="Arial"/>
          <w:sz w:val="18"/>
          <w:szCs w:val="18"/>
          <w:u w:val="single" w:color="auto"/>
          <w:color w:val="008000"/>
        </w:rPr>
        <w:t>and, in the case of</w:t>
      </w:r>
      <w:r>
        <w:rPr>
          <w:rFonts w:ascii="Arial" w:cs="Arial" w:eastAsia="Arial" w:hAnsi="Arial"/>
          <w:sz w:val="18"/>
          <w:szCs w:val="18"/>
          <w:u w:val="single" w:color="auto"/>
          <w:color w:val="0000FF"/>
        </w:rPr>
        <w:t xml:space="preserve"> Canadian Collateral, the Canadian Orders) and in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-682625</wp:posOffset>
            </wp:positionV>
            <wp:extent cx="65493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67119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68319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8148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4688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8" w:lineRule="exact"/>
        <w:rPr>
          <w:sz w:val="20"/>
          <w:szCs w:val="20"/>
          <w:color w:val="auto"/>
        </w:rPr>
      </w:pPr>
    </w:p>
    <w:p>
      <w:pPr>
        <w:ind w:left="964" w:right="120" w:hanging="532"/>
        <w:spacing w:after="0" w:line="290" w:lineRule="auto"/>
        <w:tabs>
          <w:tab w:leader="none" w:pos="964" w:val="left"/>
        </w:tabs>
        <w:numPr>
          <w:ilvl w:val="0"/>
          <w:numId w:val="56"/>
        </w:numPr>
        <w:rPr>
          <w:rFonts w:ascii="Arial" w:cs="Arial" w:eastAsia="Arial" w:hAnsi="Arial"/>
          <w:sz w:val="16"/>
          <w:szCs w:val="16"/>
          <w:color w:val="FF0000"/>
          <w:strike w:val="1"/>
        </w:rPr>
      </w:pPr>
      <w:r>
        <w:rPr>
          <w:rFonts w:ascii="Arial" w:cs="Arial" w:eastAsia="Arial" w:hAnsi="Arial"/>
          <w:sz w:val="16"/>
          <w:szCs w:val="16"/>
          <w:color w:val="FF0000"/>
          <w:strike w:val="1"/>
        </w:rPr>
        <w:t xml:space="preserve">counterparts of a Mortgage with respect to such Real Property duly executed and delivered by the record owner of such property in form suitable for filing or recording in all filing or recording offices that the Collateral Agent may reasonably deem necessary or desirable in order to create a valid and subsisting perfected Lien on the property and/or rights described therein </w:t>
      </w:r>
      <w:r>
        <w:rPr>
          <w:rFonts w:ascii="Arial" w:cs="Arial" w:eastAsia="Arial" w:hAnsi="Arial"/>
          <w:sz w:val="16"/>
          <w:szCs w:val="16"/>
          <w:color w:val="008000"/>
          <w:strike w:val="1"/>
        </w:rPr>
        <w:t>in favor of the Collateral Agent</w:t>
      </w:r>
      <w:r>
        <w:rPr>
          <w:rFonts w:ascii="Arial" w:cs="Arial" w:eastAsia="Arial" w:hAnsi="Arial"/>
          <w:sz w:val="16"/>
          <w:szCs w:val="16"/>
          <w:color w:val="FF0000"/>
          <w:strike w:val="1"/>
        </w:rPr>
        <w:t xml:space="preserve"> for the benefit of the Secured Parties, and evidence that all filing and recording taxes and fees have been paid or otherwise provided for in a manner reasonably satisfactory to the Collateral Agent and the Required Lenders (it being understood that if a mortgage tax will be owed on the entire amount of the indebtedness evidenced hereby, then the amount secured by the Mortgage shall be limited to 120% (or, in the case of Real Property located in the state of New York, 100%) of the fair market value of the property at the time the Mortgage is entered into if such limitation results in such mortgage tax being calculated based upon such fair market value);</w:t>
      </w:r>
    </w:p>
    <w:p>
      <w:pPr>
        <w:spacing w:after="0" w:line="70" w:lineRule="exact"/>
        <w:rPr>
          <w:rFonts w:ascii="Arial" w:cs="Arial" w:eastAsia="Arial" w:hAnsi="Arial"/>
          <w:sz w:val="16"/>
          <w:szCs w:val="16"/>
          <w:color w:val="FF0000"/>
          <w:strike w:val="1"/>
        </w:rPr>
      </w:pPr>
    </w:p>
    <w:p>
      <w:pPr>
        <w:ind w:left="964" w:right="60" w:hanging="532"/>
        <w:spacing w:after="0" w:line="287" w:lineRule="auto"/>
        <w:tabs>
          <w:tab w:leader="none" w:pos="964" w:val="left"/>
        </w:tabs>
        <w:numPr>
          <w:ilvl w:val="0"/>
          <w:numId w:val="56"/>
        </w:numPr>
        <w:rPr>
          <w:rFonts w:ascii="Arial" w:cs="Arial" w:eastAsia="Arial" w:hAnsi="Arial"/>
          <w:sz w:val="16"/>
          <w:szCs w:val="16"/>
          <w:color w:val="FF0000"/>
          <w:strike w:val="1"/>
        </w:rPr>
      </w:pPr>
      <w:r>
        <w:rPr>
          <w:rFonts w:ascii="Arial" w:cs="Arial" w:eastAsia="Arial" w:hAnsi="Arial"/>
          <w:sz w:val="16"/>
          <w:szCs w:val="16"/>
          <w:color w:val="FF0000"/>
          <w:strike w:val="1"/>
        </w:rPr>
        <w:t xml:space="preserve">fully paid policies of title insurance (or marked-up title insurance commitments having the effect of policies of title insurance) with respect to such Material Real Property issued by the Title Company or another nationally recognized title insurance company reasonably acceptable to the Collateral Agent in form and in an amount reasonably acceptable to the Collateral Agent (not to exceed 100% of the fair market value of such Material Real Property (or interest therein, as applicable) covered thereby), insuring the Mortgages to be valid, subsisting Liens on the property described therein, free and clear of all Liens other than Liens permitted pursuant to </w:t>
      </w:r>
      <w:r>
        <w:rPr>
          <w:rFonts w:ascii="Arial" w:cs="Arial" w:eastAsia="Arial" w:hAnsi="Arial"/>
          <w:sz w:val="16"/>
          <w:szCs w:val="16"/>
          <w:u w:val="single" w:color="auto"/>
          <w:color w:val="FF0000"/>
          <w:strike w:val="1"/>
        </w:rPr>
        <w:t>Section 7.01</w:t>
      </w:r>
      <w:r>
        <w:rPr>
          <w:rFonts w:ascii="Arial" w:cs="Arial" w:eastAsia="Arial" w:hAnsi="Arial"/>
          <w:sz w:val="16"/>
          <w:szCs w:val="16"/>
          <w:color w:val="FF0000"/>
          <w:strike w:val="1"/>
        </w:rPr>
        <w:t xml:space="preserve"> (such policies, “</w:t>
      </w:r>
      <w:r>
        <w:rPr>
          <w:rFonts w:ascii="Arial" w:cs="Arial" w:eastAsia="Arial" w:hAnsi="Arial"/>
          <w:sz w:val="16"/>
          <w:szCs w:val="16"/>
          <w:b w:val="1"/>
          <w:bCs w:val="1"/>
          <w:color w:val="FF0000"/>
          <w:strike w:val="1"/>
        </w:rPr>
        <w:t>Mortgage Policies</w:t>
      </w:r>
      <w:r>
        <w:rPr>
          <w:rFonts w:ascii="Arial" w:cs="Arial" w:eastAsia="Arial" w:hAnsi="Arial"/>
          <w:sz w:val="16"/>
          <w:szCs w:val="16"/>
          <w:color w:val="FF0000"/>
          <w:strike w:val="1"/>
        </w:rPr>
        <w:t xml:space="preserve">”), each of which shall (A) to the extent reasonably necessary, include such reinsurance arrangements (with provisions for direct access, if reasonably necessary) as shall be reasonably acceptable to the Collateral Agent, (B) contain a “tie-in” or “cluster” endorsement, if available under applicable law (i.e., policies which insure against losses regardless of location or allocated value of the insured property up to a stated maximum coverage amount), (C) have been supplemented by such endorsements (or where such endorsements are not available, customary opinions of special counsel, architects or other professionals reasonably acceptable to the Collateral Agent and the Required Lenders) as shall be </w:t>
      </w:r>
      <w:r>
        <w:rPr>
          <w:rFonts w:ascii="Arial" w:cs="Arial" w:eastAsia="Arial" w:hAnsi="Arial"/>
          <w:sz w:val="16"/>
          <w:szCs w:val="16"/>
          <w:color w:val="008000"/>
          <w:strike w:val="1"/>
        </w:rPr>
        <w:t>reasonably requested by the Collateral Agent or the</w:t>
      </w:r>
      <w:r>
        <w:rPr>
          <w:rFonts w:ascii="Arial" w:cs="Arial" w:eastAsia="Arial" w:hAnsi="Arial"/>
          <w:sz w:val="16"/>
          <w:szCs w:val="16"/>
          <w:color w:val="FF0000"/>
          <w:strike w:val="1"/>
        </w:rPr>
        <w:t xml:space="preserve"> Required Lenders (including endorsements on matters relating to usury, first loss, last dollar, zoning, contiguity, revolving credit (if available after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-2506980</wp:posOffset>
            </wp:positionV>
            <wp:extent cx="14941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6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0" w:right="439" w:bottom="1440" w:gutter="0" w:footer="0" w:header="0"/>
        </w:sectPr>
      </w:pPr>
    </w:p>
    <w:bookmarkStart w:id="150" w:name="page151"/>
    <w:bookmarkEnd w:id="150"/>
    <w:p>
      <w:pPr>
        <w:ind w:left="980" w:right="520"/>
        <w:spacing w:after="0" w:line="308"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Party uses commercially reasonable efforts), doing business, public road access, variable rate, environmental lien, subdivision, mortgage recording tax, separate tax lot and so-called comprehensive coverage over covenants and restrictions);</w:t>
      </w:r>
    </w:p>
    <w:p>
      <w:pPr>
        <w:spacing w:after="0" w:line="52" w:lineRule="exact"/>
        <w:rPr>
          <w:sz w:val="20"/>
          <w:szCs w:val="20"/>
          <w:color w:val="auto"/>
        </w:rPr>
      </w:pPr>
    </w:p>
    <w:p>
      <w:pPr>
        <w:ind w:left="960" w:right="140" w:hanging="532"/>
        <w:spacing w:after="0" w:line="296" w:lineRule="auto"/>
        <w:tabs>
          <w:tab w:leader="none" w:pos="960" w:val="left"/>
        </w:tabs>
        <w:numPr>
          <w:ilvl w:val="0"/>
          <w:numId w:val="57"/>
        </w:numPr>
        <w:rPr>
          <w:rFonts w:ascii="Arial" w:cs="Arial" w:eastAsia="Arial" w:hAnsi="Arial"/>
          <w:sz w:val="16"/>
          <w:szCs w:val="16"/>
          <w:color w:val="FF0000"/>
          <w:strike w:val="1"/>
        </w:rPr>
      </w:pPr>
      <w:r>
        <w:rPr>
          <w:rFonts w:ascii="Arial" w:cs="Arial" w:eastAsia="Arial" w:hAnsi="Arial"/>
          <w:sz w:val="16"/>
          <w:szCs w:val="16"/>
          <w:color w:val="FF0000"/>
          <w:strike w:val="1"/>
        </w:rPr>
        <w:t>either (1) an American Land Title Association/National Society for Professional Surveyors (ALTA/NSPS) form of survey for which all charges have been paid, dated a date, containing a certification and otherwise being in form and substance reasonably satisfactory to the Collateral Agent (a “</w:t>
      </w:r>
      <w:r>
        <w:rPr>
          <w:rFonts w:ascii="Arial" w:cs="Arial" w:eastAsia="Arial" w:hAnsi="Arial"/>
          <w:sz w:val="16"/>
          <w:szCs w:val="16"/>
          <w:b w:val="1"/>
          <w:bCs w:val="1"/>
          <w:color w:val="FF0000"/>
          <w:strike w:val="1"/>
        </w:rPr>
        <w:t>Survey</w:t>
      </w:r>
      <w:r>
        <w:rPr>
          <w:rFonts w:ascii="Arial" w:cs="Arial" w:eastAsia="Arial" w:hAnsi="Arial"/>
          <w:sz w:val="16"/>
          <w:szCs w:val="16"/>
          <w:color w:val="FF0000"/>
          <w:strike w:val="1"/>
        </w:rPr>
        <w:t>”) or (2) such documentation (“</w:t>
      </w:r>
      <w:r>
        <w:rPr>
          <w:rFonts w:ascii="Arial" w:cs="Arial" w:eastAsia="Arial" w:hAnsi="Arial"/>
          <w:sz w:val="16"/>
          <w:szCs w:val="16"/>
          <w:b w:val="1"/>
          <w:bCs w:val="1"/>
          <w:color w:val="FF0000"/>
          <w:strike w:val="1"/>
        </w:rPr>
        <w:t>Other Survey Documentation</w:t>
      </w:r>
      <w:r>
        <w:rPr>
          <w:rFonts w:ascii="Arial" w:cs="Arial" w:eastAsia="Arial" w:hAnsi="Arial"/>
          <w:sz w:val="16"/>
          <w:szCs w:val="16"/>
          <w:color w:val="FF0000"/>
          <w:strike w:val="1"/>
        </w:rPr>
        <w:t>”) as may be required by the Title Company to omit the standard survey exception to coverage under the Mortgage Policy with respect to such Material Real Property and issue affirmative endorsements reasonably requested by the Collateral Agent, including “same as” survey and comprehensive endorsements;</w:t>
      </w:r>
    </w:p>
    <w:p>
      <w:pPr>
        <w:spacing w:after="0" w:line="66" w:lineRule="exact"/>
        <w:rPr>
          <w:rFonts w:ascii="Arial" w:cs="Arial" w:eastAsia="Arial" w:hAnsi="Arial"/>
          <w:sz w:val="16"/>
          <w:szCs w:val="16"/>
          <w:color w:val="FF0000"/>
          <w:strike w:val="1"/>
        </w:rPr>
      </w:pPr>
    </w:p>
    <w:p>
      <w:pPr>
        <w:ind w:left="960" w:right="220" w:hanging="532"/>
        <w:spacing w:after="0" w:line="286" w:lineRule="auto"/>
        <w:tabs>
          <w:tab w:leader="none" w:pos="960" w:val="left"/>
        </w:tabs>
        <w:numPr>
          <w:ilvl w:val="0"/>
          <w:numId w:val="57"/>
        </w:numPr>
        <w:rPr>
          <w:rFonts w:ascii="Arial" w:cs="Arial" w:eastAsia="Arial" w:hAnsi="Arial"/>
          <w:sz w:val="17"/>
          <w:szCs w:val="17"/>
          <w:color w:val="FF0000"/>
          <w:strike w:val="1"/>
        </w:rPr>
      </w:pPr>
      <w:r>
        <w:rPr>
          <w:rFonts w:ascii="Arial" w:cs="Arial" w:eastAsia="Arial" w:hAnsi="Arial"/>
          <w:sz w:val="17"/>
          <w:szCs w:val="17"/>
          <w:color w:val="FF0000"/>
          <w:strike w:val="1"/>
        </w:rPr>
        <w:t>a customary legal opinion, addressed to the Collateral Agent and the Secured Parties with respect to the Mortgage on such Material Real Property; provided, however, with respect to any Material Real Property as of the Restatement Effective Date, Borrower shall only be required to deliver a legal opinion if such Material Real Property is located in a Required Opinion State; and</w:t>
      </w:r>
    </w:p>
    <w:p>
      <w:pPr>
        <w:spacing w:after="0" w:line="70" w:lineRule="exact"/>
        <w:rPr>
          <w:rFonts w:ascii="Arial" w:cs="Arial" w:eastAsia="Arial" w:hAnsi="Arial"/>
          <w:sz w:val="17"/>
          <w:szCs w:val="17"/>
          <w:color w:val="FF0000"/>
          <w:strike w:val="1"/>
        </w:rPr>
      </w:pPr>
    </w:p>
    <w:p>
      <w:pPr>
        <w:ind w:left="960" w:hanging="532"/>
        <w:spacing w:after="0" w:line="269" w:lineRule="auto"/>
        <w:tabs>
          <w:tab w:leader="none" w:pos="960" w:val="left"/>
        </w:tabs>
        <w:numPr>
          <w:ilvl w:val="0"/>
          <w:numId w:val="57"/>
        </w:numPr>
        <w:rPr>
          <w:rFonts w:ascii="Arial" w:cs="Arial" w:eastAsia="Arial" w:hAnsi="Arial"/>
          <w:sz w:val="17"/>
          <w:szCs w:val="17"/>
          <w:color w:val="FF0000"/>
          <w:strike w:val="1"/>
        </w:rPr>
      </w:pPr>
      <w:r>
        <w:rPr>
          <w:rFonts w:ascii="Arial" w:cs="Arial" w:eastAsia="Arial" w:hAnsi="Arial"/>
          <w:sz w:val="17"/>
          <w:szCs w:val="17"/>
          <w:color w:val="FF0000"/>
          <w:strike w:val="1"/>
        </w:rPr>
        <w:t>in order to comply with the Flood Laws, the following documents: (A) a completed standard “life of loan” flood hazard determination form (a “</w:t>
      </w:r>
      <w:r>
        <w:rPr>
          <w:rFonts w:ascii="Arial" w:cs="Arial" w:eastAsia="Arial" w:hAnsi="Arial"/>
          <w:sz w:val="17"/>
          <w:szCs w:val="17"/>
          <w:b w:val="1"/>
          <w:bCs w:val="1"/>
          <w:color w:val="FF0000"/>
          <w:strike w:val="1"/>
        </w:rPr>
        <w:t>Flood Determination Form</w:t>
      </w:r>
      <w:r>
        <w:rPr>
          <w:rFonts w:ascii="Arial" w:cs="Arial" w:eastAsia="Arial" w:hAnsi="Arial"/>
          <w:sz w:val="17"/>
          <w:szCs w:val="17"/>
          <w:color w:val="FF0000"/>
          <w:strike w:val="1"/>
        </w:rPr>
        <w:t>”); (B) if any of the material improvement(s) to the improved Material Real Property is located in a special flood hazard area, a notification thereof to the Borrower (“</w:t>
      </w:r>
      <w:r>
        <w:rPr>
          <w:rFonts w:ascii="Arial" w:cs="Arial" w:eastAsia="Arial" w:hAnsi="Arial"/>
          <w:sz w:val="17"/>
          <w:szCs w:val="17"/>
          <w:b w:val="1"/>
          <w:bCs w:val="1"/>
          <w:color w:val="FF0000"/>
          <w:strike w:val="1"/>
        </w:rPr>
        <w:t>Borrower Notice</w:t>
      </w:r>
      <w:r>
        <w:rPr>
          <w:rFonts w:ascii="Arial" w:cs="Arial" w:eastAsia="Arial" w:hAnsi="Arial"/>
          <w:sz w:val="17"/>
          <w:szCs w:val="17"/>
          <w:color w:val="FF0000"/>
          <w:strike w:val="1"/>
        </w:rPr>
        <w:t>”) and, if applicable, notification to the Borrower that flood insurance coverage under the National Flood Insurance Program (“</w:t>
      </w:r>
      <w:r>
        <w:rPr>
          <w:rFonts w:ascii="Arial" w:cs="Arial" w:eastAsia="Arial" w:hAnsi="Arial"/>
          <w:sz w:val="17"/>
          <w:szCs w:val="17"/>
          <w:b w:val="1"/>
          <w:bCs w:val="1"/>
          <w:color w:val="FF0000"/>
          <w:strike w:val="1"/>
        </w:rPr>
        <w:t>NFIP</w:t>
      </w:r>
      <w:r>
        <w:rPr>
          <w:rFonts w:ascii="Arial" w:cs="Arial" w:eastAsia="Arial" w:hAnsi="Arial"/>
          <w:sz w:val="17"/>
          <w:szCs w:val="17"/>
          <w:color w:val="FF0000"/>
          <w:strike w:val="1"/>
        </w:rPr>
        <w:t>”) is not available because the community in which the property is located does not participate in the NFIP; (C) documentation evidencing the Borrower’s receipt of the Borrower Notice (e.g., a countersigned Borrower Notice or return receipt of certified U.S. Mail or overnight delivery); and (D) if the Borrower Notice is required to be given and flood insurance is available in the community in which such Material Real Property is located, a copy of one of the following: the flood insurance policy, the Borrower’s application for a flood insurance policy plus proof of premium payment, a declaration page confirming that flood insurance has been issued or such other evidence of flood insurance reasonably satisfactory to the Required Lenders, Administrative Agent and the Collateral Agent (any of the foregoing being “</w:t>
      </w:r>
      <w:r>
        <w:rPr>
          <w:rFonts w:ascii="Arial" w:cs="Arial" w:eastAsia="Arial" w:hAnsi="Arial"/>
          <w:sz w:val="17"/>
          <w:szCs w:val="17"/>
          <w:b w:val="1"/>
          <w:bCs w:val="1"/>
          <w:color w:val="FF0000"/>
          <w:strike w:val="1"/>
        </w:rPr>
        <w:t>Evidence of Flood Insurance</w:t>
      </w:r>
      <w:r>
        <w:rPr>
          <w:rFonts w:ascii="Arial" w:cs="Arial" w:eastAsia="Arial" w:hAnsi="Arial"/>
          <w:sz w:val="17"/>
          <w:szCs w:val="17"/>
          <w:color w:val="FF0000"/>
          <w:strike w:val="1"/>
        </w:rPr>
        <w:t>”)(the foregoing, collectively, the “</w:t>
      </w:r>
      <w:r>
        <w:rPr>
          <w:rFonts w:ascii="Arial" w:cs="Arial" w:eastAsia="Arial" w:hAnsi="Arial"/>
          <w:sz w:val="17"/>
          <w:szCs w:val="17"/>
          <w:b w:val="1"/>
          <w:bCs w:val="1"/>
          <w:color w:val="FF0000"/>
          <w:strike w:val="1"/>
        </w:rPr>
        <w:t>Mortgage Policy Conditions</w:t>
      </w:r>
      <w:r>
        <w:rPr>
          <w:rFonts w:ascii="Arial" w:cs="Arial" w:eastAsia="Arial" w:hAnsi="Arial"/>
          <w:sz w:val="17"/>
          <w:szCs w:val="17"/>
          <w:color w:val="FF0000"/>
          <w:strike w:val="1"/>
        </w:rPr>
        <w:t>”);</w:t>
      </w:r>
    </w:p>
    <w:p>
      <w:pPr>
        <w:spacing w:after="0" w:line="182"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FF0000"/>
          <w:strike w:val="1"/>
        </w:rPr>
        <w:t xml:space="preserve">(d) after the Restatement Effective Date, each Restricted Subsidiary of the Borrower that is not an Excluded Subsidiary shall become a Guarantor and signatory to this Agreement pursuant to a joinder agreement in accordance with Section 6.11 or 6.13;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notwithstanding the foregoing provisions, any Subsidiary of the Borrower that would otherwise constitute an Excluded Subsidiary that Guarantees any ABL Facility Indebtedness, any UST Tranche A Facility Indebtedness, any UST Tranche B Facility Indebtedness, any Junior Financing, Permitted Additional Debt, or any Permitted Refinancing of any Indebtedness thereof, or that is a borrower under the ABL Facility (or any Permitted Refinancing thereof), the UST Tranche A Facility (or any Permitted Refinancing thereof) or the UST Tranche B Facility (or any Permitted Refinancing thereof) shall be a Guarantor hereunder for so long as it Guarantees such Indebtedness (or is a borrower with respect thereto);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51" w:name="page152"/>
    <w:bookmarkEnd w:id="151"/>
    <w:p>
      <w:pPr>
        <w:ind w:left="4" w:right="200" w:firstLine="440"/>
        <w:spacing w:after="0" w:line="308"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7"/>
          <w:szCs w:val="17"/>
          <w:color w:val="000000"/>
        </w:rPr>
        <w:t xml:space="preserve">  </w:t>
      </w:r>
      <w:r>
        <w:rPr>
          <w:rFonts w:ascii="Arial" w:cs="Arial" w:eastAsia="Arial" w:hAnsi="Arial"/>
          <w:sz w:val="17"/>
          <w:szCs w:val="17"/>
          <w:color w:val="FF0000"/>
          <w:strike w:val="1"/>
        </w:rPr>
        <w:t>after the Restatement Effective Date, YRC Freight Canada Company and Reimer Holding B.V. shall become a Guarantor and signatory to</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this Agreement pursuant to a joinder agreement in accordance with, and take the other actions specified in, </w:t>
      </w:r>
      <w:r>
        <w:rPr>
          <w:rFonts w:ascii="Arial" w:cs="Arial" w:eastAsia="Arial" w:hAnsi="Arial"/>
          <w:sz w:val="17"/>
          <w:szCs w:val="17"/>
          <w:u w:val="single" w:color="auto"/>
          <w:color w:val="FF0000"/>
          <w:strike w:val="1"/>
        </w:rPr>
        <w:t>Schedule 6.13(a)</w:t>
      </w:r>
      <w:r>
        <w:rPr>
          <w:rFonts w:ascii="Arial" w:cs="Arial" w:eastAsia="Arial" w:hAnsi="Arial"/>
          <w:sz w:val="17"/>
          <w:szCs w:val="17"/>
          <w:color w:val="FF0000"/>
          <w:strike w:val="1"/>
        </w:rPr>
        <w: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Notwithstanding the foregoing provisions of this definition or anything in this Agreement or any other Loan Document to the contrary:</w:t>
      </w:r>
    </w:p>
    <w:p>
      <w:pPr>
        <w:spacing w:after="0" w:line="225"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color w:val="000000"/>
        </w:rPr>
        <w:t xml:space="preserve">  </w:t>
      </w:r>
      <w:r>
        <w:rPr>
          <w:rFonts w:ascii="Arial" w:cs="Arial" w:eastAsia="Arial" w:hAnsi="Arial"/>
          <w:sz w:val="16"/>
          <w:szCs w:val="16"/>
          <w:color w:val="FF0000"/>
          <w:strike w:val="1"/>
        </w:rPr>
        <w:t>the foregoing definition shall not require, unless otherwise stated in this clause (A), the creation or perfection of pledges of, security</w:t>
      </w:r>
      <w:r>
        <w:rPr>
          <w:rFonts w:ascii="Arial" w:cs="Arial" w:eastAsia="Arial" w:hAnsi="Arial"/>
          <w:sz w:val="16"/>
          <w:szCs w:val="16"/>
          <w:color w:val="FF0000"/>
        </w:rPr>
        <w:t xml:space="preserve"> </w:t>
      </w:r>
      <w:r>
        <w:rPr>
          <w:rFonts w:ascii="Arial" w:cs="Arial" w:eastAsia="Arial" w:hAnsi="Arial"/>
          <w:sz w:val="16"/>
          <w:szCs w:val="16"/>
          <w:color w:val="FF0000"/>
          <w:strike w:val="1"/>
        </w:rPr>
        <w:t>interests in, Mortgages on, the obtaining of title insurance with respect to or the taking of any other actions with respect to: (i) any fee owned Real Property that is not Material Real Property (other than Pension Property Mortgages solely to the extent required to be delivered pursuant to clause (b)</w:t>
      </w:r>
    </w:p>
    <w:p>
      <w:pPr>
        <w:spacing w:after="0" w:line="2" w:lineRule="exact"/>
        <w:rPr>
          <w:sz w:val="20"/>
          <w:szCs w:val="20"/>
          <w:color w:val="auto"/>
        </w:rPr>
      </w:pPr>
    </w:p>
    <w:p>
      <w:pPr>
        <w:ind w:left="304" w:hanging="304"/>
        <w:spacing w:after="0"/>
        <w:tabs>
          <w:tab w:leader="none" w:pos="304" w:val="left"/>
        </w:tabs>
        <w:numPr>
          <w:ilvl w:val="0"/>
          <w:numId w:val="58"/>
        </w:numPr>
        <w:rPr>
          <w:rFonts w:ascii="Arial" w:cs="Arial" w:eastAsia="Arial" w:hAnsi="Arial"/>
          <w:sz w:val="17"/>
          <w:szCs w:val="17"/>
          <w:color w:val="FF0000"/>
          <w:strike w:val="1"/>
        </w:rPr>
      </w:pPr>
      <w:r>
        <w:rPr>
          <w:rFonts w:ascii="Arial" w:cs="Arial" w:eastAsia="Arial" w:hAnsi="Arial"/>
          <w:sz w:val="17"/>
          <w:szCs w:val="17"/>
          <w:color w:val="FF0000"/>
          <w:strike w:val="1"/>
        </w:rPr>
        <w:t>of this definition) and any Leasehold Property (it being understood there shall be no requirement to obtain any landlord waivers, estoppels or</w:t>
      </w:r>
    </w:p>
    <w:p>
      <w:pPr>
        <w:spacing w:after="0" w:line="20" w:lineRule="exact"/>
        <w:rPr>
          <w:rFonts w:ascii="Arial" w:cs="Arial" w:eastAsia="Arial" w:hAnsi="Arial"/>
          <w:sz w:val="17"/>
          <w:szCs w:val="17"/>
          <w:color w:val="FF0000"/>
          <w:strike w:val="1"/>
        </w:rPr>
      </w:pPr>
    </w:p>
    <w:p>
      <w:pPr>
        <w:ind w:left="4"/>
        <w:spacing w:after="0" w:line="281" w:lineRule="auto"/>
        <w:rPr>
          <w:rFonts w:ascii="Arial" w:cs="Arial" w:eastAsia="Arial" w:hAnsi="Arial"/>
          <w:sz w:val="17"/>
          <w:szCs w:val="17"/>
          <w:color w:val="FF0000"/>
          <w:strike w:val="1"/>
        </w:rPr>
      </w:pPr>
      <w:r>
        <w:rPr>
          <w:rFonts w:ascii="Arial" w:cs="Arial" w:eastAsia="Arial" w:hAnsi="Arial"/>
          <w:sz w:val="16"/>
          <w:szCs w:val="16"/>
          <w:color w:val="FF0000"/>
          <w:strike w:val="1"/>
        </w:rPr>
        <w:t xml:space="preserve">collateral access letters), (ii) motor vehicles (other than tractors, trucks, trailers and other rolling stock) consisting of an employee or light vehicle and other assets subject to certificates of title with an individual fair market value of less than $40,000,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aggregate fair market value of all assets excluded from the Collateral and Guarantee Requirement pursuant to this sub-clause (ii) of this clause (A), together with the aggregate book value of all assets excluded from the Collateral and Guarantee Requirement pursuant to sub-clause (xiv) of this clause (A), shall not exceed $5,000,000 in the aggregate at any time outstanding, (iii) letter of credit rights (other than to the extent consisting of supporting obligations that can be perfected solely by the filing of a UCC financing statement) of an amount less than $5,000,000 and commercial tort claims where the amount of damages claimed by the applicable Loan Party is less than $5,000,000, (iv) any governmental licenses or state or local franchises, charters and authorizations, to the extent security interests in such licenses, franchises, charters or authorizations are prohibited or restricted thereby (except to the extent such prohibition or restriction is rendered ineffective under the UCC or other applicable law), (v) Collateral in which pledges or security interests are prohibited or restricted by applicable law or require the consent of any governmental authority or third party, which consent has not been obtained, (vi) Margin Stock,</w:t>
      </w:r>
    </w:p>
    <w:p>
      <w:pPr>
        <w:spacing w:after="0" w:line="5" w:lineRule="exact"/>
        <w:rPr>
          <w:rFonts w:ascii="Arial" w:cs="Arial" w:eastAsia="Arial" w:hAnsi="Arial"/>
          <w:sz w:val="17"/>
          <w:szCs w:val="17"/>
          <w:color w:val="FF0000"/>
          <w:strike w:val="1"/>
        </w:rPr>
      </w:pPr>
    </w:p>
    <w:p>
      <w:pPr>
        <w:ind w:left="4" w:hanging="4"/>
        <w:spacing w:after="0" w:line="266" w:lineRule="auto"/>
        <w:tabs>
          <w:tab w:leader="none" w:pos="359" w:val="left"/>
        </w:tabs>
        <w:numPr>
          <w:ilvl w:val="0"/>
          <w:numId w:val="59"/>
        </w:numPr>
        <w:rPr>
          <w:rFonts w:ascii="Arial" w:cs="Arial" w:eastAsia="Arial" w:hAnsi="Arial"/>
          <w:sz w:val="17"/>
          <w:szCs w:val="17"/>
          <w:color w:val="FF0000"/>
          <w:strike w:val="1"/>
        </w:rPr>
      </w:pPr>
      <w:r>
        <w:rPr>
          <w:rFonts w:ascii="Arial" w:cs="Arial" w:eastAsia="Arial" w:hAnsi="Arial"/>
          <w:sz w:val="17"/>
          <w:szCs w:val="17"/>
          <w:color w:val="FF0000"/>
          <w:strike w:val="1"/>
        </w:rPr>
        <w:t xml:space="preserve">Equity Interests in a bona fide joint venture formed after the Restatement Effective Date with any Person that is not an Affiliate of any Loan Party (but only to the extent that the organizational documents of such Subsidiaries or agreements with other equity holders prohibit or restrict the pledge thereof without the consent of the other equity holders under restrictions that are enforceable under the UCC or other applicable law and such consent has not been obtained), (viii) Equity Interests of (or held as assets by) Immaterial Subsidiaries, or captive insurance Subsidiaries, (ix) any lease, license or agreement or any property to the extent a grant of a security interest therein would violate or invalidate such lease, license or agreement or similar arrangement or create a right of termination in favor of any other party thereto after giving effect to the applicable anti-assignment provisions of the UCC or other applicable law, other than proceeds and receivables thereof, the assignment of which is deemed effective under the UCC or other applicable law, notwithstanding such prohibition, (x) any assets or rights subject to a purchase money security interest, Capitalized Lease or similar arrangement, other than in each case, the UST Tranche B Priority Collateral and UST Tranche B Joint Collateral, (xi) Treasury Only Collateral, (xii) any assets to the extent a security interest in such assets could result in adverse Tax consequences as reasonably determined by the Borrower, in consultation with the Administrative Agent (provided that the Borrower shall give notice of such determination to the Required Lenders and, at the request of the Required Lenders, shall consult with the Required Lenders), (xiii)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(xiv) any equipment or other collateral with a net book value </w:t>
      </w:r>
      <w:r>
        <w:rPr>
          <w:rFonts w:ascii="Arial" w:cs="Arial" w:eastAsia="Arial" w:hAnsi="Arial"/>
          <w:sz w:val="17"/>
          <w:szCs w:val="17"/>
          <w:color w:val="008000"/>
          <w:strike w:val="1"/>
        </w:rPr>
        <w:t>in an aggregate amount not to exceed $</w:t>
      </w:r>
      <w:r>
        <w:rPr>
          <w:rFonts w:ascii="Arial" w:cs="Arial" w:eastAsia="Arial" w:hAnsi="Arial"/>
          <w:sz w:val="17"/>
          <w:szCs w:val="17"/>
          <w:color w:val="FF0000"/>
          <w:strike w:val="1"/>
        </w:rPr>
        <w:t xml:space="preserve">5,000,000 for all such equipment or other collateral (other than to the extent consisting of supporting obligations that can be perfected solely by the filing of a UCC financing statement);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the aggregate fair market value of all</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52" w:name="page153"/>
    <w:bookmarkEnd w:id="152"/>
    <w:p>
      <w:pPr>
        <w:ind w:right="20"/>
        <w:spacing w:after="0" w:line="25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assets excluded from the Collateral and Guarantee Requirement pursuant to this sub-clause (xiv), together with the aggregate net book value of all assets excluded from the Collateral and Guarantee Requirement pursuant to sub-clause (ii) of this clause (A), shall not exceed $5,000,000 in the aggregate at any time outstanding, and (xv) other assets not specifically included in the Collateral in circumstances where the cost of obtaining a security interest in such assets exceeds the practical benefit to the Lenders afforded thereby as reasonably determined by the Administrative Agent in consultation with the Borrower.</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FF0000"/>
          <w:strike w:val="1"/>
        </w:rPr>
        <w:t>(B)</w:t>
      </w:r>
      <w:r>
        <w:rPr>
          <w:rFonts w:ascii="Arial" w:cs="Arial" w:eastAsia="Arial" w:hAnsi="Arial"/>
          <w:sz w:val="16"/>
          <w:szCs w:val="16"/>
          <w:color w:val="000000"/>
        </w:rPr>
        <w:t xml:space="preserve">  </w:t>
      </w:r>
      <w:r>
        <w:rPr>
          <w:rFonts w:ascii="Arial" w:cs="Arial" w:eastAsia="Arial" w:hAnsi="Arial"/>
          <w:sz w:val="16"/>
          <w:szCs w:val="16"/>
          <w:color w:val="FF0000"/>
          <w:strike w:val="1"/>
        </w:rPr>
        <w:t>(i) the foregoing definition shall not require perfection by “</w:t>
      </w:r>
      <w:r>
        <w:rPr>
          <w:rFonts w:ascii="Arial" w:cs="Arial" w:eastAsia="Arial" w:hAnsi="Arial"/>
          <w:sz w:val="16"/>
          <w:szCs w:val="16"/>
          <w:b w:val="1"/>
          <w:bCs w:val="1"/>
          <w:color w:val="FF0000"/>
          <w:strike w:val="1"/>
        </w:rPr>
        <w:t>control</w:t>
      </w:r>
      <w:r>
        <w:rPr>
          <w:rFonts w:ascii="Arial" w:cs="Arial" w:eastAsia="Arial" w:hAnsi="Arial"/>
          <w:sz w:val="16"/>
          <w:szCs w:val="16"/>
          <w:color w:val="FF0000"/>
        </w:rPr>
        <w:t xml:space="preserve"> </w:t>
      </w:r>
      <w:r>
        <w:rPr>
          <w:rFonts w:ascii="Arial" w:cs="Arial" w:eastAsia="Arial" w:hAnsi="Arial"/>
          <w:sz w:val="16"/>
          <w:szCs w:val="16"/>
          <w:color w:val="FF0000"/>
          <w:strike w:val="1"/>
        </w:rPr>
        <w:t>” except with respect to (1) Equity Interests or Indebtedness represented</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or evidenced by certificates or instruments and (2) deposit accounts and security accounts (which are required to be subject to Control Agreements pursuant to Section 3.04 of the Security Agreement), other than Excluded Accounts; (ii) perfection by possession or control shall not be required with respect to (x) any intercompany notes </w:t>
      </w:r>
      <w:r>
        <w:rPr>
          <w:rFonts w:ascii="Arial" w:cs="Arial" w:eastAsia="Arial" w:hAnsi="Arial"/>
          <w:sz w:val="16"/>
          <w:szCs w:val="16"/>
          <w:color w:val="008000"/>
          <w:strike w:val="1"/>
        </w:rPr>
        <w:t>in an aggregate principal amount not to exceed</w:t>
      </w:r>
      <w:r>
        <w:rPr>
          <w:rFonts w:ascii="Arial" w:cs="Arial" w:eastAsia="Arial" w:hAnsi="Arial"/>
          <w:sz w:val="16"/>
          <w:szCs w:val="16"/>
          <w:color w:val="FF0000"/>
          <w:strike w:val="1"/>
        </w:rPr>
        <w:t xml:space="preserve"> $5,000,000 and (y) any other notes or other evidence of Indebtedness </w:t>
      </w:r>
      <w:r>
        <w:rPr>
          <w:rFonts w:ascii="Arial" w:cs="Arial" w:eastAsia="Arial" w:hAnsi="Arial"/>
          <w:sz w:val="16"/>
          <w:szCs w:val="16"/>
          <w:color w:val="008000"/>
          <w:strike w:val="1"/>
        </w:rPr>
        <w:t>in an aggregate principal amount not to exceed</w:t>
      </w:r>
      <w:r>
        <w:rPr>
          <w:rFonts w:ascii="Arial" w:cs="Arial" w:eastAsia="Arial" w:hAnsi="Arial"/>
          <w:sz w:val="16"/>
          <w:szCs w:val="16"/>
          <w:color w:val="FF0000"/>
          <w:strike w:val="1"/>
        </w:rPr>
        <w:t xml:space="preserve"> $5,000,000; (iii) except in the case of (A) Canadian Subsidiaries, (B) Dutch Subsidiaries and (C) other Foreign Subsidiaries that are not Excluded Foreign Subsidiaries, no actions in any non-U.S. jurisdiction or required by the laws of any non-U.S. jurisdiction shall be required in order to create any security interests in assets located or titled outside of the United States (including the Equity Interests of any Foreign Subsidiary) or to perfect such security interests (it being understood that there shall be no security agreements or pledge agreements governed under the laws of any non-U.S. jurisdiction); and (iv) except to the extent that perfection and priority may be achieved (w) by the filing of a financing statement under the Uniform Commercial Code with respect to the Borrower or a Guarantor, (x) with respect to Real Property and the recordation of Mortgages in respect thereof, as contemplated by clauses (b)(iii) and (c) above, (y) with respect to Equity Interests or Indebtedness, by the delivery of certificates or instruments representing or evidencing such Equity Interests or Indebtedness along with appropriate undated instruments of transfer executed in blank or (z) by notation of liens on certificate of title, the Loan Documents shall not contain any requirements as to perfection or priority with respect to any assets or property described in clause (A) above and this clause (B);</w:t>
      </w:r>
    </w:p>
    <w:p>
      <w:pPr>
        <w:spacing w:after="0" w:line="175"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FF0000"/>
          <w:strike w:val="1"/>
        </w:rPr>
        <w:t>(C)</w:t>
      </w:r>
      <w:r>
        <w:rPr>
          <w:rFonts w:ascii="Arial" w:cs="Arial" w:eastAsia="Arial" w:hAnsi="Arial"/>
          <w:sz w:val="16"/>
          <w:szCs w:val="16"/>
          <w:color w:val="000000"/>
        </w:rPr>
        <w:t xml:space="preserve">  </w:t>
      </w:r>
      <w:r>
        <w:rPr>
          <w:rFonts w:ascii="Arial" w:cs="Arial" w:eastAsia="Arial" w:hAnsi="Arial"/>
          <w:sz w:val="16"/>
          <w:szCs w:val="16"/>
          <w:color w:val="FF0000"/>
          <w:strike w:val="1"/>
        </w:rPr>
        <w:t>the Collateral Agent in its reasonable discretion may grant extensions of time for the creation or perfection of security interests in, and</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Mortgages on, or obtaining of title insurance or taking of other actions with respect to, particular assets (including extensions beyond the Restatement Effective Date) or any other compliance with the requirements of this definition (or any similar requirements set forth herein or in any other Loan Documents) where it reasonably determines, in consultation with the Borrower, that such creation or perfection of security interests or Mortgages, or such obtaining of title insurance or taking of other actions, or any other compliance with the requirements of this definition cannot be accomplished without undue delay, burden or expense by the time or times at which such act would otherwise be required by this Agreement or any Collateral Documents;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Collateral Agent shall have received on or prior to the Restatement Effective Date, (i) UCC financing statements in appropriate form for filing under the UCC in the jurisdiction of incorporation or organization of each Loan Party, (ii) any certificates or instruments representing or evidencing Equity Interests of each direct wholly owned Subsidiary of the Borrower or any Guarantor, in each case accompanied by undated instruments of transfer and stock powers endorsed in blank and (iii) Mortgages and Mortgage Policies for each Material Real Property; and</w:t>
      </w:r>
    </w:p>
    <w:p>
      <w:pPr>
        <w:spacing w:after="0" w:line="16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FF0000"/>
          <w:strike w:val="1"/>
        </w:rPr>
        <w:t>(D)</w:t>
      </w:r>
      <w:r>
        <w:rPr>
          <w:rFonts w:ascii="Arial" w:cs="Arial" w:eastAsia="Arial" w:hAnsi="Arial"/>
          <w:sz w:val="18"/>
          <w:szCs w:val="18"/>
          <w:color w:val="000000"/>
        </w:rPr>
        <w:t xml:space="preserve">  </w:t>
      </w:r>
      <w:r>
        <w:rPr>
          <w:rFonts w:ascii="Arial" w:cs="Arial" w:eastAsia="Arial" w:hAnsi="Arial"/>
          <w:sz w:val="18"/>
          <w:szCs w:val="18"/>
          <w:color w:val="FF0000"/>
          <w:strike w:val="1"/>
        </w:rPr>
        <w:t>Liens required to be granted from time to time pursuant to the Collateral and Guarantee Requirement</w:t>
      </w:r>
      <w:r>
        <w:rPr>
          <w:rFonts w:ascii="Arial" w:cs="Arial" w:eastAsia="Arial" w:hAnsi="Arial"/>
          <w:sz w:val="18"/>
          <w:szCs w:val="18"/>
          <w:color w:val="FF0000"/>
        </w:rPr>
        <w:t xml:space="preserve"> </w:t>
      </w:r>
      <w:r>
        <w:rPr>
          <w:rFonts w:ascii="Arial" w:cs="Arial" w:eastAsia="Arial" w:hAnsi="Arial"/>
          <w:sz w:val="18"/>
          <w:szCs w:val="18"/>
          <w:color w:val="008000"/>
          <w:strike w:val="1"/>
        </w:rPr>
        <w:t>shall be subject to the</w:t>
      </w:r>
      <w:r>
        <w:rPr>
          <w:rFonts w:ascii="Arial" w:cs="Arial" w:eastAsia="Arial" w:hAnsi="Arial"/>
          <w:sz w:val="18"/>
          <w:szCs w:val="18"/>
          <w:color w:val="FF0000"/>
        </w:rPr>
        <w:t xml:space="preserve"> </w:t>
      </w:r>
      <w:r>
        <w:rPr>
          <w:rFonts w:ascii="Arial" w:cs="Arial" w:eastAsia="Arial" w:hAnsi="Arial"/>
          <w:sz w:val="18"/>
          <w:szCs w:val="18"/>
          <w:color w:val="FF0000"/>
          <w:strike w:val="1"/>
        </w:rPr>
        <w:t>exceptions and</w:t>
      </w:r>
      <w:r>
        <w:rPr>
          <w:rFonts w:ascii="Arial" w:cs="Arial" w:eastAsia="Arial" w:hAnsi="Arial"/>
          <w:sz w:val="18"/>
          <w:szCs w:val="18"/>
          <w:color w:val="FF0000"/>
        </w:rPr>
        <w:t xml:space="preserve"> </w:t>
      </w:r>
      <w:r>
        <w:rPr>
          <w:rFonts w:ascii="Arial" w:cs="Arial" w:eastAsia="Arial" w:hAnsi="Arial"/>
          <w:sz w:val="18"/>
          <w:szCs w:val="18"/>
          <w:color w:val="FF0000"/>
          <w:strike w:val="1"/>
        </w:rPr>
        <w:t>limitations set forth in this Agreement and the Collateral Documents.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53" w:name="page154"/>
    <w:bookmarkEnd w:id="153"/>
    <w:p>
      <w:pPr>
        <w:ind w:right="14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Collateral Documents</w:t>
      </w:r>
      <w:r>
        <w:rPr>
          <w:rFonts w:ascii="Arial" w:cs="Arial" w:eastAsia="Arial" w:hAnsi="Arial"/>
          <w:sz w:val="16"/>
          <w:szCs w:val="16"/>
          <w:color w:val="auto"/>
        </w:rPr>
        <w:t>” shall mean, collectively</w:t>
      </w:r>
      <w:r>
        <w:rPr>
          <w:rFonts w:ascii="Arial" w:cs="Arial" w:eastAsia="Arial" w:hAnsi="Arial"/>
          <w:sz w:val="16"/>
          <w:szCs w:val="16"/>
          <w:u w:val="single" w:color="auto"/>
          <w:color w:val="0000FF"/>
        </w:rPr>
        <w:t>, the DIP Order, the Canadian DIP Recognition Order</w:t>
      </w:r>
      <w:r>
        <w:rPr>
          <w:rFonts w:ascii="Arial" w:cs="Arial" w:eastAsia="Arial" w:hAnsi="Arial"/>
          <w:sz w:val="16"/>
          <w:szCs w:val="16"/>
          <w:color w:val="auto"/>
        </w:rPr>
        <w:t xml:space="preserve">, the Security Agreement, each of the Mortgages, collateral assignments, security agreements, pledge agreements, intellectual property security agreements, </w:t>
      </w:r>
      <w:r>
        <w:rPr>
          <w:rFonts w:ascii="Arial" w:cs="Arial" w:eastAsia="Arial" w:hAnsi="Arial"/>
          <w:sz w:val="16"/>
          <w:szCs w:val="16"/>
          <w:color w:val="FF0000"/>
          <w:strike w:val="1"/>
        </w:rPr>
        <w:t>Control Agreements</w:t>
      </w:r>
      <w:r>
        <w:rPr>
          <w:rFonts w:ascii="Arial" w:cs="Arial" w:eastAsia="Arial" w:hAnsi="Arial"/>
          <w:sz w:val="16"/>
          <w:szCs w:val="16"/>
          <w:u w:val="single" w:color="auto"/>
          <w:color w:val="0000FF"/>
        </w:rPr>
        <w:t>control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agreements</w:t>
      </w:r>
      <w:r>
        <w:rPr>
          <w:rFonts w:ascii="Arial" w:cs="Arial" w:eastAsia="Arial" w:hAnsi="Arial"/>
          <w:sz w:val="16"/>
          <w:szCs w:val="16"/>
          <w:color w:val="0000FF"/>
        </w:rPr>
        <w:t xml:space="preserve"> </w:t>
      </w:r>
      <w:r>
        <w:rPr>
          <w:rFonts w:ascii="Arial" w:cs="Arial" w:eastAsia="Arial" w:hAnsi="Arial"/>
          <w:sz w:val="16"/>
          <w:szCs w:val="16"/>
          <w:color w:val="000000"/>
        </w:rPr>
        <w:t>or other similar agreements delivered to the Administrative Agent or the Collateral Agent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the Existing Loan Documents,</w:t>
      </w:r>
      <w:r>
        <w:rPr>
          <w:rFonts w:ascii="Arial" w:cs="Arial" w:eastAsia="Arial" w:hAnsi="Arial"/>
          <w:sz w:val="16"/>
          <w:szCs w:val="16"/>
          <w:color w:val="0000FF"/>
        </w:rPr>
        <w:t xml:space="preserve"> </w:t>
      </w:r>
      <w:r>
        <w:rPr>
          <w:rFonts w:ascii="Arial" w:cs="Arial" w:eastAsia="Arial" w:hAnsi="Arial"/>
          <w:sz w:val="16"/>
          <w:szCs w:val="16"/>
          <w:color w:val="000000"/>
        </w:rPr>
        <w:t xml:space="preserve">Section </w:t>
      </w:r>
      <w:r>
        <w:rPr>
          <w:rFonts w:ascii="Arial" w:cs="Arial" w:eastAsia="Arial" w:hAnsi="Arial"/>
          <w:sz w:val="16"/>
          <w:szCs w:val="16"/>
          <w:u w:val="single" w:color="auto"/>
          <w:color w:val="FF0000"/>
          <w:strike w:val="1"/>
        </w:rPr>
        <w:t>4.02</w:t>
      </w:r>
      <w:r>
        <w:rPr>
          <w:rFonts w:ascii="Arial" w:cs="Arial" w:eastAsia="Arial" w:hAnsi="Arial"/>
          <w:sz w:val="16"/>
          <w:szCs w:val="16"/>
          <w:u w:val="single" w:color="auto"/>
          <w:color w:val="0000FF"/>
        </w:rPr>
        <w:t>2 of Amendment No. 4</w:t>
      </w:r>
      <w:r>
        <w:rPr>
          <w:rFonts w:ascii="Arial" w:cs="Arial" w:eastAsia="Arial" w:hAnsi="Arial"/>
          <w:sz w:val="16"/>
          <w:szCs w:val="16"/>
          <w:color w:val="000000"/>
        </w:rPr>
        <w:t xml:space="preserve"> , </w:t>
      </w:r>
      <w:r>
        <w:rPr>
          <w:rFonts w:ascii="Arial" w:cs="Arial" w:eastAsia="Arial" w:hAnsi="Arial"/>
          <w:sz w:val="16"/>
          <w:szCs w:val="16"/>
          <w:u w:val="single" w:color="auto"/>
          <w:color w:val="000000"/>
        </w:rPr>
        <w:t>Section 6.11</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6.13</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and</w:t>
      </w:r>
      <w:r>
        <w:rPr>
          <w:rFonts w:ascii="Arial" w:cs="Arial" w:eastAsia="Arial" w:hAnsi="Arial"/>
          <w:sz w:val="16"/>
          <w:szCs w:val="16"/>
          <w:color w:val="000000"/>
        </w:rPr>
        <w:t xml:space="preserve"> each of the other agreements, instruments or documents that creates or purports to create a Lien in favor of the Collateral Agent for the benefit of the Secured Parties and the </w:t>
      </w:r>
      <w:r>
        <w:rPr>
          <w:rFonts w:ascii="Arial" w:cs="Arial" w:eastAsia="Arial" w:hAnsi="Arial"/>
          <w:sz w:val="16"/>
          <w:szCs w:val="16"/>
          <w:u w:val="single" w:color="auto"/>
          <w:color w:val="0000FF"/>
        </w:rPr>
        <w:t>Prepetition</w:t>
      </w:r>
      <w:r>
        <w:rPr>
          <w:rFonts w:ascii="Arial" w:cs="Arial" w:eastAsia="Arial" w:hAnsi="Arial"/>
          <w:sz w:val="16"/>
          <w:szCs w:val="16"/>
          <w:color w:val="000000"/>
        </w:rPr>
        <w:t xml:space="preserve">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-567055</wp:posOffset>
            </wp:positionV>
            <wp:extent cx="24517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-429895</wp:posOffset>
            </wp:positionV>
            <wp:extent cx="325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-292735</wp:posOffset>
            </wp:positionV>
            <wp:extent cx="5226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-292735</wp:posOffset>
            </wp:positionV>
            <wp:extent cx="13887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-155575</wp:posOffset>
            </wp:positionV>
            <wp:extent cx="10801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-155575</wp:posOffset>
            </wp:positionV>
            <wp:extent cx="1968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-18415</wp:posOffset>
            </wp:positionV>
            <wp:extent cx="5314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34"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xml:space="preserve">” shall mean, with respect to any Lender, such Lender’s </w:t>
      </w:r>
      <w:r>
        <w:rPr>
          <w:rFonts w:ascii="Arial" w:cs="Arial" w:eastAsia="Arial" w:hAnsi="Arial"/>
          <w:sz w:val="17"/>
          <w:szCs w:val="17"/>
          <w:color w:val="FF0000"/>
          <w:strike w:val="1"/>
        </w:rPr>
        <w:t>Term Loan</w:t>
      </w:r>
      <w:r>
        <w:rPr>
          <w:rFonts w:ascii="Arial" w:cs="Arial" w:eastAsia="Arial" w:hAnsi="Arial"/>
          <w:sz w:val="17"/>
          <w:szCs w:val="17"/>
          <w:u w:val="single" w:color="auto"/>
          <w:color w:val="0000FF"/>
        </w:rPr>
        <w:t>Initial Postpetition</w:t>
      </w:r>
      <w:r>
        <w:rPr>
          <w:rFonts w:ascii="Arial" w:cs="Arial" w:eastAsia="Arial" w:hAnsi="Arial"/>
          <w:sz w:val="17"/>
          <w:szCs w:val="17"/>
          <w:color w:val="auto"/>
        </w:rPr>
        <w:t xml:space="preserve"> Commitment </w:t>
      </w:r>
      <w:r>
        <w:rPr>
          <w:rFonts w:ascii="Arial" w:cs="Arial" w:eastAsia="Arial" w:hAnsi="Arial"/>
          <w:sz w:val="17"/>
          <w:szCs w:val="17"/>
          <w:color w:val="FF0000"/>
          <w:strike w:val="1"/>
        </w:rPr>
        <w:t>(including pursuant to any</w:t>
      </w:r>
      <w:r>
        <w:rPr>
          <w:rFonts w:ascii="Arial" w:cs="Arial" w:eastAsia="Arial" w:hAnsi="Arial"/>
          <w:sz w:val="17"/>
          <w:szCs w:val="17"/>
          <w:color w:val="auto"/>
        </w:rPr>
        <w:t xml:space="preserve"> </w:t>
      </w:r>
      <w:r>
        <w:rPr>
          <w:rFonts w:ascii="Arial" w:cs="Arial" w:eastAsia="Arial" w:hAnsi="Arial"/>
          <w:sz w:val="17"/>
          <w:szCs w:val="17"/>
          <w:color w:val="FF0000"/>
          <w:strike w:val="1"/>
        </w:rPr>
        <w:t>Refinancing Amendment or Extension Amendment).</w:t>
      </w:r>
      <w:r>
        <w:rPr>
          <w:rFonts w:ascii="Arial" w:cs="Arial" w:eastAsia="Arial" w:hAnsi="Arial"/>
          <w:sz w:val="17"/>
          <w:szCs w:val="17"/>
          <w:u w:val="single" w:color="auto"/>
          <w:color w:val="0000FF"/>
          <w:strike w:val="1"/>
        </w:rPr>
        <w:t>, Second Postpetition Commitment and Final Postpetition Commitment. The aggregate amount of</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the Commitments immediately prior to the making of the Initial Postpetition Loans was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-290195</wp:posOffset>
            </wp:positionV>
            <wp:extent cx="8483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-153035</wp:posOffset>
            </wp:positionV>
            <wp:extent cx="44659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46888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Common stock</w:t>
      </w:r>
      <w:r>
        <w:rPr>
          <w:rFonts w:ascii="Arial" w:cs="Arial" w:eastAsia="Arial" w:hAnsi="Arial"/>
          <w:sz w:val="18"/>
          <w:szCs w:val="18"/>
          <w:color w:val="FF0000"/>
          <w:strike w:val="1"/>
        </w:rPr>
        <w:t>” means the common stock, par value $0.01 per share, of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Compton Sale</w:t>
      </w:r>
      <w:r>
        <w:rPr>
          <w:rFonts w:ascii="Arial" w:cs="Arial" w:eastAsia="Arial" w:hAnsi="Arial"/>
          <w:sz w:val="17"/>
          <w:szCs w:val="17"/>
          <w:color w:val="FF0000"/>
          <w:strike w:val="1"/>
        </w:rPr>
        <w:t xml:space="preserve">” shall mean (i) the sale by USF Reddaway Inc. of the Real Property located at 575 E Weber Avenue, Compton, California 90222 to UTSI Finance, Inc., as buyer, for a purchase price of $80,000,000, (ii) the payment by Chicago Title Insurance Company directly to the Administrative Agent of all Net Proceeds therefrom, which Net Proceeds shall be in an aggregate amount not less than $73,000,000, and (iii) the application of all such Net Proceeds to prepay the Term Loans in accordance with Section 2.13(a)(ii) without giving effect to any thresholds or reinvestment rights, in each case, on or prior to the date that is four (4) Business Days after the Amendment No. 3 Closing Date (or such later date as may be agreed in writing by the Required Lenders in their sole and absolute discretion </w:t>
      </w:r>
      <w:r>
        <w:rPr>
          <w:rFonts w:ascii="Arial" w:cs="Arial" w:eastAsia="Arial" w:hAnsi="Arial"/>
          <w:sz w:val="17"/>
          <w:szCs w:val="17"/>
          <w:color w:val="008000"/>
          <w:strike w:val="1"/>
        </w:rPr>
        <w:t>(which may be via e-mail)</w:t>
      </w:r>
      <w:r>
        <w:rPr>
          <w:rFonts w:ascii="Arial" w:cs="Arial" w:eastAsia="Arial" w:hAnsi="Arial"/>
          <w:sz w:val="17"/>
          <w:szCs w:val="17"/>
          <w:color w:val="FF0000"/>
          <w:strike w:val="1"/>
        </w:rPr>
        <w:t>).</w:t>
      </w:r>
    </w:p>
    <w:p>
      <w:pPr>
        <w:spacing w:after="0" w:line="173"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Conforming Changes</w:t>
      </w:r>
      <w:r>
        <w:rPr>
          <w:rFonts w:ascii="Arial" w:cs="Arial" w:eastAsia="Arial" w:hAnsi="Arial"/>
          <w:sz w:val="17"/>
          <w:szCs w:val="17"/>
          <w:color w:val="FF0000"/>
          <w:strike w:val="1"/>
        </w:rPr>
        <w:t xml:space="preserve">” shall mean, with respect to either the use or administration of Adjusted Term SOFR or any other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the Borrower) determines that no market practice for the administration of such Benchmark Replacement exists, in such other manner of administration as the Administrative Agent decides is reasonably necessary in connection with the administration of </w:t>
      </w:r>
      <w:r>
        <w:rPr>
          <w:rFonts w:ascii="Arial" w:cs="Arial" w:eastAsia="Arial" w:hAnsi="Arial"/>
          <w:sz w:val="17"/>
          <w:szCs w:val="17"/>
          <w:color w:val="008000"/>
          <w:strike w:val="1"/>
        </w:rPr>
        <w:t>this Agreement and the other</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Loan Documents</w:t>
      </w:r>
      <w:r>
        <w:rPr>
          <w:rFonts w:ascii="Arial" w:cs="Arial" w:eastAsia="Arial" w:hAnsi="Arial"/>
          <w:sz w:val="17"/>
          <w:szCs w:val="17"/>
          <w:color w:val="FF0000"/>
          <w:strike w:val="1"/>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154" w:name="page155"/>
    <w:bookmarkEnd w:id="154"/>
    <w:p>
      <w:pPr>
        <w:ind w:left="4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Consolidated EBITDA</w:t>
      </w:r>
      <w:r>
        <w:rPr>
          <w:rFonts w:ascii="Arial" w:cs="Arial" w:eastAsia="Arial" w:hAnsi="Arial"/>
          <w:sz w:val="18"/>
          <w:szCs w:val="18"/>
          <w:color w:val="FF0000"/>
          <w:strike w:val="1"/>
        </w:rPr>
        <w:t>” shall mean, for any period, the Consolidated Net Income for such period, plus:</w:t>
      </w:r>
    </w:p>
    <w:p>
      <w:pPr>
        <w:spacing w:after="0" w:line="229"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FF0000"/>
          <w:strike w:val="1"/>
        </w:rPr>
        <w:t>(a)</w:t>
      </w:r>
      <w:r>
        <w:rPr>
          <w:rFonts w:ascii="Arial" w:cs="Arial" w:eastAsia="Arial" w:hAnsi="Arial"/>
          <w:sz w:val="17"/>
          <w:szCs w:val="17"/>
          <w:color w:val="000000"/>
        </w:rPr>
        <w:t xml:space="preserve">  </w:t>
      </w:r>
      <w:r>
        <w:rPr>
          <w:rFonts w:ascii="Arial" w:cs="Arial" w:eastAsia="Arial" w:hAnsi="Arial"/>
          <w:sz w:val="17"/>
          <w:szCs w:val="17"/>
          <w:color w:val="FF0000"/>
          <w:strike w:val="1"/>
        </w:rPr>
        <w:t>without duplication and to the extent deducted (and not added back or excluded) in arriving at such Consolidated Net Income (other than</w:t>
      </w:r>
      <w:r>
        <w:rPr>
          <w:rFonts w:ascii="Arial" w:cs="Arial" w:eastAsia="Arial" w:hAnsi="Arial"/>
          <w:sz w:val="17"/>
          <w:szCs w:val="17"/>
          <w:color w:val="FF0000"/>
        </w:rPr>
        <w:t xml:space="preserve"> </w:t>
      </w:r>
      <w:r>
        <w:rPr>
          <w:rFonts w:ascii="Arial" w:cs="Arial" w:eastAsia="Arial" w:hAnsi="Arial"/>
          <w:sz w:val="17"/>
          <w:szCs w:val="17"/>
          <w:color w:val="FF0000"/>
          <w:strike w:val="1"/>
        </w:rPr>
        <w:t>clauses (viii) or (xi)), the sum of the following amounts for such period with respect to Borrower and its Restricted Subsidiaries:</w:t>
      </w:r>
    </w:p>
    <w:p>
      <w:pPr>
        <w:spacing w:after="0" w:line="38" w:lineRule="exact"/>
        <w:rPr>
          <w:sz w:val="20"/>
          <w:szCs w:val="20"/>
          <w:color w:val="auto"/>
        </w:rPr>
      </w:pPr>
    </w:p>
    <w:p>
      <w:pPr>
        <w:ind w:left="440" w:right="20" w:firstLine="419"/>
        <w:spacing w:after="0" w:line="290" w:lineRule="auto"/>
        <w:tabs>
          <w:tab w:leader="none" w:pos="1078" w:val="left"/>
        </w:tabs>
        <w:numPr>
          <w:ilvl w:val="1"/>
          <w:numId w:val="60"/>
        </w:numPr>
        <w:rPr>
          <w:rFonts w:ascii="Arial" w:cs="Arial" w:eastAsia="Arial" w:hAnsi="Arial"/>
          <w:sz w:val="16"/>
          <w:szCs w:val="16"/>
          <w:color w:val="FF0000"/>
          <w:strike w:val="1"/>
        </w:rPr>
      </w:pPr>
      <w:r>
        <w:rPr>
          <w:rFonts w:ascii="Arial" w:cs="Arial" w:eastAsia="Arial" w:hAnsi="Arial"/>
          <w:sz w:val="16"/>
          <w:szCs w:val="16"/>
          <w:color w:val="FF0000"/>
          <w:strike w:val="1"/>
        </w:rPr>
        <w:t>total interest expense determined in accordance with GAAP and, to the extent not reflected in such total interest expense, any expenses or losses on hedging obligations or other derivative instruments entered into for the purpose of hedging interest rate risk, net of interest income and gains on such hedging obligations or other derivative obligations, letter of credit fees, costs of surety bonds in connection with financing activities and any bank fees and financing fees (including commitment, underwriting, funding, “rollover” and similar fees and commissions, discounts, yields and other fees, charges and amounts incurred in connection with the issuance or incurrence of Indebtedness and all commissions, discounts and other fees and charges owed with respect to letters of credit and bankers’ acceptance financing and net costs under Swap Contracts entered into for the purpose of hedging interest or commodity rate risk) and annual agency, unused line, facility or similar fees paid under definitive documentation related to Indebtedness (whether amortized or immediately expensed),</w:t>
      </w:r>
    </w:p>
    <w:p>
      <w:pPr>
        <w:spacing w:after="0" w:line="57" w:lineRule="exact"/>
        <w:rPr>
          <w:rFonts w:ascii="Arial" w:cs="Arial" w:eastAsia="Arial" w:hAnsi="Arial"/>
          <w:sz w:val="16"/>
          <w:szCs w:val="16"/>
          <w:color w:val="FF0000"/>
          <w:strike w:val="1"/>
        </w:rPr>
      </w:pPr>
    </w:p>
    <w:p>
      <w:pPr>
        <w:ind w:left="440" w:right="700" w:firstLine="419"/>
        <w:spacing w:after="0" w:line="308" w:lineRule="auto"/>
        <w:tabs>
          <w:tab w:leader="none" w:pos="1128" w:val="left"/>
        </w:tabs>
        <w:numPr>
          <w:ilvl w:val="1"/>
          <w:numId w:val="60"/>
        </w:numPr>
        <w:rPr>
          <w:rFonts w:ascii="Arial" w:cs="Arial" w:eastAsia="Arial" w:hAnsi="Arial"/>
          <w:sz w:val="17"/>
          <w:szCs w:val="17"/>
          <w:color w:val="FF0000"/>
          <w:strike w:val="1"/>
        </w:rPr>
      </w:pPr>
      <w:r>
        <w:rPr>
          <w:rFonts w:ascii="Arial" w:cs="Arial" w:eastAsia="Arial" w:hAnsi="Arial"/>
          <w:sz w:val="17"/>
          <w:szCs w:val="17"/>
          <w:color w:val="FF0000"/>
          <w:strike w:val="1"/>
        </w:rPr>
        <w:t>provision for taxes based on income, profits or capital gains of the Borrower and the Restricted Subsidiaries, including, without limitation, federal, state, local, franchise and similar taxes and foreign withholding taxes paid or accrued during such period,</w:t>
      </w:r>
    </w:p>
    <w:p>
      <w:pPr>
        <w:spacing w:after="0" w:line="38" w:lineRule="exact"/>
        <w:rPr>
          <w:rFonts w:ascii="Arial" w:cs="Arial" w:eastAsia="Arial" w:hAnsi="Arial"/>
          <w:sz w:val="17"/>
          <w:szCs w:val="17"/>
          <w:color w:val="FF0000"/>
          <w:strike w:val="1"/>
        </w:rPr>
      </w:pPr>
    </w:p>
    <w:p>
      <w:pPr>
        <w:ind w:left="1180" w:hanging="321"/>
        <w:spacing w:after="0"/>
        <w:tabs>
          <w:tab w:leader="none" w:pos="1180" w:val="left"/>
        </w:tabs>
        <w:numPr>
          <w:ilvl w:val="1"/>
          <w:numId w:val="60"/>
        </w:numPr>
        <w:rPr>
          <w:rFonts w:ascii="Arial" w:cs="Arial" w:eastAsia="Arial" w:hAnsi="Arial"/>
          <w:sz w:val="18"/>
          <w:szCs w:val="18"/>
          <w:color w:val="FF0000"/>
          <w:strike w:val="1"/>
        </w:rPr>
      </w:pPr>
      <w:r>
        <w:rPr>
          <w:rFonts w:ascii="Arial" w:cs="Arial" w:eastAsia="Arial" w:hAnsi="Arial"/>
          <w:sz w:val="18"/>
          <w:szCs w:val="18"/>
          <w:color w:val="FF0000"/>
          <w:strike w:val="1"/>
        </w:rPr>
        <w:t>depreciation and amortization,</w:t>
      </w:r>
    </w:p>
    <w:p>
      <w:pPr>
        <w:spacing w:after="0" w:line="117" w:lineRule="exact"/>
        <w:rPr>
          <w:rFonts w:ascii="Arial" w:cs="Arial" w:eastAsia="Arial" w:hAnsi="Arial"/>
          <w:sz w:val="18"/>
          <w:szCs w:val="18"/>
          <w:color w:val="FF0000"/>
          <w:strike w:val="1"/>
        </w:rPr>
      </w:pPr>
    </w:p>
    <w:p>
      <w:pPr>
        <w:ind w:left="440" w:right="100" w:firstLine="419"/>
        <w:spacing w:after="0" w:line="291" w:lineRule="auto"/>
        <w:tabs>
          <w:tab w:leader="none" w:pos="1168" w:val="left"/>
        </w:tabs>
        <w:numPr>
          <w:ilvl w:val="1"/>
          <w:numId w:val="6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extraordinary, unusual or non-recurring charges, expenses or losses,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aggregate amount added to “Consolidated EBITDA” pursuant to this clause (a)(iv) in any period, together with the aggregate amount added to Consolidated EBITDA pursuant to clause (a)</w:t>
      </w:r>
    </w:p>
    <w:p>
      <w:pPr>
        <w:ind w:left="440" w:right="40" w:hanging="4"/>
        <w:spacing w:after="0" w:line="260" w:lineRule="auto"/>
        <w:tabs>
          <w:tab w:leader="none" w:pos="745" w:val="left"/>
        </w:tabs>
        <w:numPr>
          <w:ilvl w:val="0"/>
          <w:numId w:val="61"/>
        </w:numPr>
        <w:rPr>
          <w:rFonts w:ascii="Arial" w:cs="Arial" w:eastAsia="Arial" w:hAnsi="Arial"/>
          <w:sz w:val="18"/>
          <w:szCs w:val="18"/>
          <w:color w:val="FF0000"/>
          <w:strike w:val="1"/>
        </w:rPr>
      </w:pPr>
      <w:r>
        <w:rPr>
          <w:rFonts w:ascii="Arial" w:cs="Arial" w:eastAsia="Arial" w:hAnsi="Arial"/>
          <w:sz w:val="18"/>
          <w:szCs w:val="18"/>
          <w:color w:val="FF0000"/>
          <w:strike w:val="1"/>
        </w:rPr>
        <w:t>of the definition of “Consolidated EBITDA”, shall not exceed in the aggregate 10.0% of Consolidated EBITDA for such period (as calculated prior to giving effect to any such adjustments),</w:t>
      </w:r>
    </w:p>
    <w:p>
      <w:pPr>
        <w:spacing w:after="0" w:line="77" w:lineRule="exact"/>
        <w:rPr>
          <w:rFonts w:ascii="Arial" w:cs="Arial" w:eastAsia="Arial" w:hAnsi="Arial"/>
          <w:sz w:val="18"/>
          <w:szCs w:val="18"/>
          <w:color w:val="FF0000"/>
          <w:strike w:val="1"/>
        </w:rPr>
      </w:pPr>
    </w:p>
    <w:p>
      <w:pPr>
        <w:ind w:left="440" w:right="60" w:firstLine="419"/>
        <w:spacing w:after="0" w:line="271" w:lineRule="auto"/>
        <w:tabs>
          <w:tab w:leader="none" w:pos="1118" w:val="left"/>
        </w:tabs>
        <w:numPr>
          <w:ilvl w:val="1"/>
          <w:numId w:val="61"/>
        </w:numPr>
        <w:rPr>
          <w:rFonts w:ascii="Arial" w:cs="Arial" w:eastAsia="Arial" w:hAnsi="Arial"/>
          <w:sz w:val="17"/>
          <w:szCs w:val="17"/>
          <w:color w:val="FF0000"/>
          <w:strike w:val="1"/>
        </w:rPr>
      </w:pPr>
      <w:r>
        <w:rPr>
          <w:rFonts w:ascii="Arial" w:cs="Arial" w:eastAsia="Arial" w:hAnsi="Arial"/>
          <w:sz w:val="17"/>
          <w:szCs w:val="17"/>
          <w:color w:val="FF0000"/>
          <w:strike w:val="1"/>
        </w:rPr>
        <w:t>non-cash expenses, charges and losses (including reserves, impairment charges or asset write-offs, write-offs of deferred financing fees, losses from investments recorded using the equity method, purchase accounting adjustments and stock-based awards compensation expense</w:t>
      </w:r>
      <w:r>
        <w:rPr>
          <w:rFonts w:ascii="Arial" w:cs="Arial" w:eastAsia="Arial" w:hAnsi="Arial"/>
          <w:sz w:val="17"/>
          <w:szCs w:val="17"/>
          <w:color w:val="008000"/>
          <w:strike w:val="1"/>
        </w:rPr>
        <w:t>), in</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each case other than </w:t>
      </w:r>
      <w:r>
        <w:rPr>
          <w:rFonts w:ascii="Arial" w:cs="Arial" w:eastAsia="Arial" w:hAnsi="Arial"/>
          <w:sz w:val="17"/>
          <w:szCs w:val="17"/>
          <w:color w:val="FF0000"/>
          <w:strike w:val="1"/>
        </w:rPr>
        <w:t>(A) any non-cash charge representing amortization of a prepaid cash item that was paid and not expensed in a prior period</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 xml:space="preserve">and (B) any non-cash charge relating to write-offs, write-downs or reserves with respect to accounts receivable in the normal course or inventory; </w:t>
      </w:r>
      <w:r>
        <w:rPr>
          <w:rFonts w:ascii="Arial" w:cs="Arial" w:eastAsia="Arial" w:hAnsi="Arial"/>
          <w:sz w:val="17"/>
          <w:szCs w:val="17"/>
          <w:i w:val="1"/>
          <w:iCs w:val="1"/>
          <w:color w:val="FF0000"/>
          <w:strike w:val="1"/>
        </w:rPr>
        <w:t xml:space="preserve">provided </w:t>
      </w:r>
      <w:r>
        <w:rPr>
          <w:rFonts w:ascii="Arial" w:cs="Arial" w:eastAsia="Arial" w:hAnsi="Arial"/>
          <w:sz w:val="17"/>
          <w:szCs w:val="17"/>
          <w:color w:val="FF0000"/>
          <w:strike w:val="1"/>
        </w:rPr>
        <w:t>that if any of the non-cash charges referred to in this clause (v) represents an accrual or reserve for potential cash items in any future</w:t>
      </w:r>
      <w:r>
        <w:rPr>
          <w:rFonts w:ascii="Arial" w:cs="Arial" w:eastAsia="Arial" w:hAnsi="Arial"/>
          <w:sz w:val="17"/>
          <w:szCs w:val="17"/>
          <w:i w:val="1"/>
          <w:iCs w:val="1"/>
          <w:color w:val="FF0000"/>
          <w:strike w:val="1"/>
        </w:rPr>
        <w:t xml:space="preserve"> </w:t>
      </w:r>
      <w:r>
        <w:rPr>
          <w:rFonts w:ascii="Arial" w:cs="Arial" w:eastAsia="Arial" w:hAnsi="Arial"/>
          <w:sz w:val="17"/>
          <w:szCs w:val="17"/>
          <w:color w:val="FF0000"/>
          <w:strike w:val="1"/>
        </w:rPr>
        <w:t>period, (1) the Borrower may determine not to add back such non-cash charge in the current period and (2) to the extent the Borrower does decide to add back such non-cash charge, the cash payment in respect thereof in such future period shall be subtracted from Consolidated EBITDA in such future period to the extent paid,</w:t>
      </w:r>
    </w:p>
    <w:p>
      <w:pPr>
        <w:spacing w:after="0" w:line="70" w:lineRule="exact"/>
        <w:rPr>
          <w:rFonts w:ascii="Arial" w:cs="Arial" w:eastAsia="Arial" w:hAnsi="Arial"/>
          <w:sz w:val="17"/>
          <w:szCs w:val="17"/>
          <w:color w:val="FF0000"/>
          <w:strike w:val="1"/>
        </w:rPr>
      </w:pPr>
    </w:p>
    <w:p>
      <w:pPr>
        <w:ind w:left="440" w:firstLine="419"/>
        <w:spacing w:after="0" w:line="257" w:lineRule="auto"/>
        <w:tabs>
          <w:tab w:leader="none" w:pos="1168" w:val="left"/>
        </w:tabs>
        <w:numPr>
          <w:ilvl w:val="1"/>
          <w:numId w:val="6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restructuring costs and charges, integration costs, retention, recruiting, relocation and signing bonuses and expenses, and severance costs </w:t>
      </w:r>
      <w:r>
        <w:rPr>
          <w:rFonts w:ascii="Arial" w:cs="Arial" w:eastAsia="Arial" w:hAnsi="Arial"/>
          <w:sz w:val="18"/>
          <w:szCs w:val="18"/>
          <w:color w:val="008000"/>
          <w:strike w:val="1"/>
        </w:rPr>
        <w:t xml:space="preserve">(including, for the avoidance of doubt, </w:t>
      </w:r>
      <w:r>
        <w:rPr>
          <w:rFonts w:ascii="Arial" w:cs="Arial" w:eastAsia="Arial" w:hAnsi="Arial"/>
          <w:sz w:val="18"/>
          <w:szCs w:val="18"/>
          <w:color w:val="FF0000"/>
          <w:strike w:val="1"/>
        </w:rPr>
        <w:t>any bonuses payable in connection with the IBT Transactions);</w:t>
      </w:r>
      <w:r>
        <w:rPr>
          <w:rFonts w:ascii="Arial" w:cs="Arial" w:eastAsia="Arial" w:hAnsi="Arial"/>
          <w:sz w:val="18"/>
          <w:szCs w:val="18"/>
          <w:color w:val="008000"/>
          <w:strike w:val="1"/>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that the aggregate amount added</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to “Consolidated EBITDA” pursuant to this clause (a)(vi) in any period, together with the aggregate amount added to Consolidated EBITDA pursuant to clause (a)(iv) of the definition of “Consolidated EBITDA”, shall not exceed in the aggregate 10.0% of Consolidated EBITDA for such period (as calculated prior to giving effect to any such adjustments),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55" w:name="page156"/>
    <w:bookmarkEnd w:id="155"/>
    <w:p>
      <w:pPr>
        <w:ind w:left="4" w:right="340" w:firstLine="419"/>
        <w:spacing w:after="0" w:line="311" w:lineRule="auto"/>
        <w:tabs>
          <w:tab w:leader="none" w:pos="781" w:val="left"/>
        </w:tabs>
        <w:numPr>
          <w:ilvl w:val="1"/>
          <w:numId w:val="62"/>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Transaction Expenses, and any fees, costs and expenses in connection with any amendment, negotiation, modification, restatement, waiver, forbearance or other transaction in connection with the Amendment No. 2 Transactions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aggregate amount added to “Consolidated EBITDA” pursuant to this clause (a)(vii) with respect to the Amendment No. 2 Transactions shall not exceed $20,000,000,</w:t>
      </w:r>
    </w:p>
    <w:p>
      <w:pPr>
        <w:spacing w:after="0" w:line="40" w:lineRule="exact"/>
        <w:rPr>
          <w:rFonts w:ascii="Arial" w:cs="Arial" w:eastAsia="Arial" w:hAnsi="Arial"/>
          <w:sz w:val="16"/>
          <w:szCs w:val="16"/>
          <w:color w:val="FF0000"/>
          <w:strike w:val="1"/>
        </w:rPr>
      </w:pPr>
    </w:p>
    <w:p>
      <w:pPr>
        <w:ind w:left="4" w:firstLine="419"/>
        <w:spacing w:after="0" w:line="284" w:lineRule="auto"/>
        <w:tabs>
          <w:tab w:leader="none" w:pos="831" w:val="left"/>
        </w:tabs>
        <w:numPr>
          <w:ilvl w:val="1"/>
          <w:numId w:val="62"/>
        </w:numPr>
        <w:rPr>
          <w:rFonts w:ascii="Arial" w:cs="Arial" w:eastAsia="Arial" w:hAnsi="Arial"/>
          <w:sz w:val="16"/>
          <w:szCs w:val="16"/>
          <w:color w:val="FF0000"/>
          <w:strike w:val="1"/>
        </w:rPr>
      </w:pPr>
      <w:r>
        <w:rPr>
          <w:rFonts w:ascii="Arial" w:cs="Arial" w:eastAsia="Arial" w:hAnsi="Arial"/>
          <w:sz w:val="16"/>
          <w:szCs w:val="16"/>
          <w:color w:val="FF0000"/>
          <w:strike w:val="1"/>
        </w:rPr>
        <w:t>pro forma cost savings for acquisitions (including the commencement of activities constituting such business), material dispositions (including the termination or discontinuance of activities constituting such business) of business entities or properties or assets, constituting a division or line of business of any business entity, division or line of business that is the subject of any such acquisition or disposition and operational changes and operational initiatives (collectively, “</w:t>
      </w:r>
      <w:r>
        <w:rPr>
          <w:rFonts w:ascii="Arial" w:cs="Arial" w:eastAsia="Arial" w:hAnsi="Arial"/>
          <w:sz w:val="16"/>
          <w:szCs w:val="16"/>
          <w:b w:val="1"/>
          <w:bCs w:val="1"/>
          <w:color w:val="FF0000"/>
          <w:strike w:val="1"/>
        </w:rPr>
        <w:t>Cost Savings</w:t>
      </w:r>
      <w:r>
        <w:rPr>
          <w:rFonts w:ascii="Arial" w:cs="Arial" w:eastAsia="Arial" w:hAnsi="Arial"/>
          <w:sz w:val="16"/>
          <w:szCs w:val="16"/>
          <w:color w:val="FF0000"/>
          <w:strike w:val="1"/>
        </w:rPr>
        <w:t xml:space="preserve">”), scheduled to be executed and realized (in the good faith determination of a Senior Financial Officer of the Borrower) in connection with any such transaction permitted hereunder, net of the amount of actual Cost Savings realized from such actions during such period;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(A) such Cost Savings are factually supportable and specifically identified, (B) such Cost Savings are scheduled to be executed and realized within twelve (12) months after the consummation of such transaction,</w:t>
      </w:r>
    </w:p>
    <w:p>
      <w:pPr>
        <w:spacing w:after="0" w:line="2" w:lineRule="exact"/>
        <w:rPr>
          <w:rFonts w:ascii="Arial" w:cs="Arial" w:eastAsia="Arial" w:hAnsi="Arial"/>
          <w:sz w:val="16"/>
          <w:szCs w:val="16"/>
          <w:color w:val="FF0000"/>
          <w:strike w:val="1"/>
        </w:rPr>
      </w:pPr>
    </w:p>
    <w:p>
      <w:pPr>
        <w:ind w:left="4" w:right="60" w:hanging="4"/>
        <w:spacing w:after="0" w:line="268" w:lineRule="auto"/>
        <w:tabs>
          <w:tab w:leader="none" w:pos="288" w:val="left"/>
        </w:tabs>
        <w:numPr>
          <w:ilvl w:val="0"/>
          <w:numId w:val="63"/>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the Administrative Agent and the Required Lenders shall have received a certificate of a Senior Financial Officer of the Borrower, certifying the foregoing requirements and accompanied by a reasonably detailed statement or schedule of such Cost Savings; (D) the actions responsible for any expected Cost Savings are actually taken within twelve (12) months of the consummation of the relevant transaction, (E) any projected Cost Savings in respect of actions which are not actually taken within such twelve (12)-month period or have not been realized within such (12)-month period may no longer be added back in calculating Consolidated EBITDA pursuant to this clause (viii) for the applicable periods, (F) such Cost Savings are not duplicative of any other adjustments to Consolidated EBITDA pursuant to this definition and (G) the aggregate amount added to Consolidated EBITDA pursuant to this clause (a)(viii) in any period, together with the aggregate amount of all adjustments pursuant to </w:t>
      </w:r>
      <w:r>
        <w:rPr>
          <w:rFonts w:ascii="Arial" w:cs="Arial" w:eastAsia="Arial" w:hAnsi="Arial"/>
          <w:sz w:val="17"/>
          <w:szCs w:val="17"/>
          <w:u w:val="single" w:color="auto"/>
          <w:color w:val="FF0000"/>
          <w:strike w:val="1"/>
        </w:rPr>
        <w:t>Section 1.10(c)</w:t>
      </w:r>
      <w:r>
        <w:rPr>
          <w:rFonts w:ascii="Arial" w:cs="Arial" w:eastAsia="Arial" w:hAnsi="Arial"/>
          <w:sz w:val="17"/>
          <w:szCs w:val="17"/>
          <w:color w:val="FF0000"/>
          <w:strike w:val="1"/>
        </w:rPr>
        <w:t>, shall not exceed in the aggregate 5.0% of Consolidated EBITDA for such period (as calculated prior to giving effect to any such</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adjustments),</w:t>
      </w:r>
    </w:p>
    <w:p>
      <w:pPr>
        <w:spacing w:after="0" w:line="73" w:lineRule="exact"/>
        <w:rPr>
          <w:rFonts w:ascii="Arial" w:cs="Arial" w:eastAsia="Arial" w:hAnsi="Arial"/>
          <w:sz w:val="17"/>
          <w:szCs w:val="17"/>
          <w:color w:val="FF0000"/>
          <w:strike w:val="1"/>
        </w:rPr>
      </w:pPr>
    </w:p>
    <w:p>
      <w:pPr>
        <w:ind w:left="724" w:hanging="301"/>
        <w:spacing w:after="0"/>
        <w:tabs>
          <w:tab w:leader="none" w:pos="724" w:val="left"/>
        </w:tabs>
        <w:numPr>
          <w:ilvl w:val="1"/>
          <w:numId w:val="63"/>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ind w:left="4" w:right="40" w:firstLine="419"/>
        <w:spacing w:after="0" w:line="296" w:lineRule="auto"/>
        <w:tabs>
          <w:tab w:leader="none" w:pos="681" w:val="left"/>
        </w:tabs>
        <w:numPr>
          <w:ilvl w:val="1"/>
          <w:numId w:val="63"/>
        </w:numPr>
        <w:rPr>
          <w:rFonts w:ascii="Arial" w:cs="Arial" w:eastAsia="Arial" w:hAnsi="Arial"/>
          <w:sz w:val="16"/>
          <w:szCs w:val="16"/>
          <w:color w:val="FF0000"/>
          <w:strike w:val="1"/>
        </w:rPr>
      </w:pPr>
      <w:r>
        <w:rPr>
          <w:rFonts w:ascii="Arial" w:cs="Arial" w:eastAsia="Arial" w:hAnsi="Arial"/>
          <w:sz w:val="16"/>
          <w:szCs w:val="16"/>
          <w:color w:val="FF0000"/>
          <w:strike w:val="1"/>
        </w:rPr>
        <w:t>other transaction specific accruals, costs, charges, fees and expenses (including legal, tax, structuring and other costs and expenses) related to the Transactions, acquisitions, investments, restricted payments, dispositions or issuances, amendments, waivers or modifications of debt or equity (whether or not consummated) reasonably expected to be permitted under this Agreement or the consummation of which would result in the repayment in full of the Obligations (other than unasserted contingent indemnity and reimbursement obligations) (it being understood and agreed that this clause (a)(x) shall not permit adjustments of the type specified in clauses (a)(iv), (vi) or (viii)),</w:t>
      </w:r>
    </w:p>
    <w:p>
      <w:pPr>
        <w:spacing w:after="0" w:line="53" w:lineRule="exact"/>
        <w:rPr>
          <w:rFonts w:ascii="Arial" w:cs="Arial" w:eastAsia="Arial" w:hAnsi="Arial"/>
          <w:sz w:val="16"/>
          <w:szCs w:val="16"/>
          <w:color w:val="FF0000"/>
          <w:strike w:val="1"/>
        </w:rPr>
      </w:pPr>
    </w:p>
    <w:p>
      <w:pPr>
        <w:ind w:left="4" w:right="280" w:firstLine="419"/>
        <w:spacing w:after="0" w:line="279" w:lineRule="auto"/>
        <w:tabs>
          <w:tab w:leader="none" w:pos="731" w:val="left"/>
        </w:tabs>
        <w:numPr>
          <w:ilvl w:val="1"/>
          <w:numId w:val="63"/>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to the extent not already included in Consolidated Net Income, proceeds of business interruption insurance (other than business interruption insurance relating to COVID 19 (or any related virus) or any related events) received or reasonably expected to be received within 365 days after the end of such period;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any such expected proceeds that are not actually received in such 365 day period shall be deducted from Consolidated EBITDA in the fiscal quarter immediately following such 365 day period,</w:t>
      </w:r>
    </w:p>
    <w:p>
      <w:pPr>
        <w:spacing w:after="0" w:line="63" w:lineRule="exact"/>
        <w:rPr>
          <w:rFonts w:ascii="Arial" w:cs="Arial" w:eastAsia="Arial" w:hAnsi="Arial"/>
          <w:sz w:val="17"/>
          <w:szCs w:val="17"/>
          <w:color w:val="FF0000"/>
          <w:strike w:val="1"/>
        </w:rPr>
      </w:pPr>
    </w:p>
    <w:p>
      <w:pPr>
        <w:ind w:left="4" w:right="340" w:firstLine="419"/>
        <w:spacing w:after="0" w:line="277" w:lineRule="auto"/>
        <w:tabs>
          <w:tab w:leader="none" w:pos="781" w:val="left"/>
        </w:tabs>
        <w:numPr>
          <w:ilvl w:val="1"/>
          <w:numId w:val="63"/>
        </w:numPr>
        <w:rPr>
          <w:rFonts w:ascii="Arial" w:cs="Arial" w:eastAsia="Arial" w:hAnsi="Arial"/>
          <w:sz w:val="18"/>
          <w:szCs w:val="18"/>
          <w:color w:val="FF0000"/>
          <w:strike w:val="1"/>
        </w:rPr>
      </w:pPr>
      <w:r>
        <w:rPr>
          <w:rFonts w:ascii="Arial" w:cs="Arial" w:eastAsia="Arial" w:hAnsi="Arial"/>
          <w:sz w:val="18"/>
          <w:szCs w:val="18"/>
          <w:color w:val="FF0000"/>
          <w:strike w:val="1"/>
        </w:rPr>
        <w:t>charges, losses or expenses to the extent indemnified or insured or reimbursed or reasonably expected to be indemnified, insured or reimbursed by a third party within 365 days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4"/>
          </w:cols>
          <w:pgMar w:left="876" w:top="274" w:right="459" w:bottom="1440" w:gutter="0" w:footer="0" w:header="0"/>
        </w:sectPr>
      </w:pPr>
    </w:p>
    <w:bookmarkStart w:id="156" w:name="page157"/>
    <w:bookmarkEnd w:id="156"/>
    <w:p>
      <w:pPr>
        <w:ind w:left="440" w:right="2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after the end of such period;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any such expected amounts that are not actually received in such 365 day period shall be deducted from Consolidated EBITDA in the fiscal quarter immediately following such 365 day period,</w:t>
      </w:r>
    </w:p>
    <w:p>
      <w:pPr>
        <w:spacing w:after="0" w:line="62" w:lineRule="exact"/>
        <w:rPr>
          <w:sz w:val="20"/>
          <w:szCs w:val="20"/>
          <w:color w:val="auto"/>
        </w:rPr>
      </w:pPr>
    </w:p>
    <w:p>
      <w:pPr>
        <w:ind w:left="440" w:right="80" w:firstLine="419"/>
        <w:spacing w:after="0" w:line="277" w:lineRule="auto"/>
        <w:tabs>
          <w:tab w:leader="none" w:pos="1268"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the amount of any minority interest expense attributable to minority interests of third parties in the positive income of any non-wholly owned Restricted Subsidiary,</w:t>
      </w:r>
    </w:p>
    <w:p>
      <w:pPr>
        <w:spacing w:after="0" w:line="62" w:lineRule="exact"/>
        <w:rPr>
          <w:rFonts w:ascii="Arial" w:cs="Arial" w:eastAsia="Arial" w:hAnsi="Arial"/>
          <w:sz w:val="18"/>
          <w:szCs w:val="18"/>
          <w:color w:val="FF0000"/>
          <w:strike w:val="1"/>
        </w:rPr>
      </w:pPr>
    </w:p>
    <w:p>
      <w:pPr>
        <w:ind w:left="1260" w:hanging="401"/>
        <w:spacing w:after="0"/>
        <w:tabs>
          <w:tab w:leader="none" w:pos="1260"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any net loss from disposed, abandoned or discontinued operations,</w:t>
      </w:r>
    </w:p>
    <w:p>
      <w:pPr>
        <w:spacing w:after="0" w:line="117" w:lineRule="exact"/>
        <w:rPr>
          <w:rFonts w:ascii="Arial" w:cs="Arial" w:eastAsia="Arial" w:hAnsi="Arial"/>
          <w:sz w:val="18"/>
          <w:szCs w:val="18"/>
          <w:color w:val="FF0000"/>
          <w:strike w:val="1"/>
        </w:rPr>
      </w:pPr>
    </w:p>
    <w:p>
      <w:pPr>
        <w:ind w:left="1200" w:hanging="341"/>
        <w:spacing w:after="0"/>
        <w:tabs>
          <w:tab w:leader="none" w:pos="1200"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ind w:left="440" w:right="160" w:firstLine="419"/>
        <w:spacing w:after="0" w:line="277" w:lineRule="auto"/>
        <w:tabs>
          <w:tab w:leader="none" w:pos="1258"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net realized losses under any Swap Contract or embedded derivatives that require similar accounting treatment and the application of Accounting Standard Codification Topic 815 and related pronouncements,</w:t>
      </w:r>
    </w:p>
    <w:p>
      <w:pPr>
        <w:spacing w:after="0" w:line="62" w:lineRule="exact"/>
        <w:rPr>
          <w:rFonts w:ascii="Arial" w:cs="Arial" w:eastAsia="Arial" w:hAnsi="Arial"/>
          <w:sz w:val="18"/>
          <w:szCs w:val="18"/>
          <w:color w:val="FF0000"/>
          <w:strike w:val="1"/>
        </w:rPr>
      </w:pPr>
    </w:p>
    <w:p>
      <w:pPr>
        <w:ind w:left="1300" w:hanging="441"/>
        <w:spacing w:after="0"/>
        <w:tabs>
          <w:tab w:leader="none" w:pos="1300"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the cumulative effect of a change in accounting principles,</w:t>
      </w:r>
    </w:p>
    <w:p>
      <w:pPr>
        <w:spacing w:after="0" w:line="117" w:lineRule="exact"/>
        <w:rPr>
          <w:rFonts w:ascii="Arial" w:cs="Arial" w:eastAsia="Arial" w:hAnsi="Arial"/>
          <w:sz w:val="18"/>
          <w:szCs w:val="18"/>
          <w:color w:val="FF0000"/>
          <w:strike w:val="1"/>
        </w:rPr>
      </w:pPr>
    </w:p>
    <w:p>
      <w:pPr>
        <w:ind w:left="440" w:right="620" w:firstLine="419"/>
        <w:spacing w:after="0" w:line="277" w:lineRule="auto"/>
        <w:tabs>
          <w:tab w:leader="none" w:pos="1358"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realized non-cash foreign exchange losses resulting from the impact of foreign currency changes on the valuation of assets or liabilities on the balance sheet </w:t>
      </w:r>
      <w:r>
        <w:rPr>
          <w:rFonts w:ascii="Arial" w:cs="Arial" w:eastAsia="Arial" w:hAnsi="Arial"/>
          <w:sz w:val="18"/>
          <w:szCs w:val="18"/>
          <w:color w:val="008000"/>
          <w:strike w:val="1"/>
        </w:rPr>
        <w:t>of the Borrower and its</w:t>
      </w:r>
      <w:r>
        <w:rPr>
          <w:rFonts w:ascii="Arial" w:cs="Arial" w:eastAsia="Arial" w:hAnsi="Arial"/>
          <w:sz w:val="18"/>
          <w:szCs w:val="18"/>
          <w:color w:val="FF0000"/>
          <w:strike w:val="1"/>
        </w:rPr>
        <w:t xml:space="preserve"> Restricted Subsidiaries,</w:t>
      </w:r>
    </w:p>
    <w:p>
      <w:pPr>
        <w:spacing w:after="0" w:line="62" w:lineRule="exact"/>
        <w:rPr>
          <w:rFonts w:ascii="Arial" w:cs="Arial" w:eastAsia="Arial" w:hAnsi="Arial"/>
          <w:sz w:val="18"/>
          <w:szCs w:val="18"/>
          <w:color w:val="FF0000"/>
          <w:strike w:val="1"/>
        </w:rPr>
      </w:pPr>
    </w:p>
    <w:p>
      <w:pPr>
        <w:ind w:left="1260" w:hanging="401"/>
        <w:spacing w:after="0"/>
        <w:tabs>
          <w:tab w:leader="none" w:pos="1260"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any losses attributable to Dispositions of Real Property,</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u w:val="single" w:color="auto"/>
          <w:color w:val="FF0000"/>
          <w:strike w:val="1"/>
        </w:rPr>
        <w:t xml:space="preserve">less </w:t>
      </w:r>
      <w:r>
        <w:rPr>
          <w:rFonts w:ascii="Arial" w:cs="Arial" w:eastAsia="Arial" w:hAnsi="Arial"/>
          <w:sz w:val="17"/>
          <w:szCs w:val="17"/>
          <w:color w:val="FF0000"/>
          <w:strike w:val="1"/>
        </w:rPr>
        <w:t>(b) without duplication and to the extent included in arriving at such Consolidated Net Income, (i) non-cash gains (excluding any non-cash gain to</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the extent it represents the reversal of an accrual or reserve for a potential cash item that reduced Consolidated EBITDA in any prior period) and all other non-cash items of income for such period, (ii) any gains and income from investments recorded using the equity method, (iii) extraordinary, unusual or non-recurring gains, (iv) non-cash gains representing adjustments to pension assets, (v) any gains attributable to Dispositions of Real Property and (vi) any gains arising out of transactions of the types described in clauses (a)(xii), (xiii), (xiv), (xv) and (xvi) above;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for the avoidance of doubt, any gain representing the reversal of any non-cash charge referred to in clause (a)(v)(B) above for a prior period shall be added (together with, without duplication, any amounts received in respect thereof to the extent not increasing Consolidated Net Income) to Consolidated EBITDA in any subsequent period to such extent so reversed (or received).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FF0000"/>
          <w:strike w:val="1"/>
        </w:rPr>
        <w:t>Notwithstanding the foregoing, Consolidated Net Income and Consolidated EBITDA shall be calculated to exclude any amounts otherwise increasing or included in Consolidated Net Income and/or Consolidated EBITDA relating to (x) business interruption insurance relating to COVID 19 (or any related virus) or any related events or (y) any assistance programs provided by Governmental Agencies (or the equivalent).</w:t>
      </w:r>
    </w:p>
    <w:p>
      <w:pPr>
        <w:spacing w:after="0" w:line="161"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Consolidated Net Income</w:t>
      </w:r>
      <w:r>
        <w:rPr>
          <w:rFonts w:ascii="Arial" w:cs="Arial" w:eastAsia="Arial" w:hAnsi="Arial"/>
          <w:sz w:val="16"/>
          <w:szCs w:val="16"/>
          <w:color w:val="FF0000"/>
          <w:strike w:val="1"/>
        </w:rPr>
        <w:t xml:space="preserve">” shall mean, with reference to any period, the net income (or loss) of the Borrower and its Subsidiaries for such period determined on a consolidated basis in accordance with GAAP on a consolidated basis (without duplication) for such period (without deduction for minority interests);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in determining Consolidated Net Income, (a) the net income of any other Person which is not a Subsidiary of the Borrower or is accounted for by the Borrower by the equity method of accounting shall be included only to the extent of the payment of cash dividends or cash distributions by such other Person to the Borrower or a Guarantor that could be made during such period; </w:t>
      </w:r>
      <w:r>
        <w:rPr>
          <w:rFonts w:ascii="Arial" w:cs="Arial" w:eastAsia="Arial" w:hAnsi="Arial"/>
          <w:sz w:val="16"/>
          <w:szCs w:val="16"/>
          <w:i w:val="1"/>
          <w:iCs w:val="1"/>
          <w:color w:val="FF0000"/>
          <w:strike w:val="1"/>
        </w:rPr>
        <w:t>provided, however,</w:t>
      </w:r>
      <w:r>
        <w:rPr>
          <w:rFonts w:ascii="Arial" w:cs="Arial" w:eastAsia="Arial" w:hAnsi="Arial"/>
          <w:sz w:val="16"/>
          <w:szCs w:val="16"/>
          <w:color w:val="FF0000"/>
          <w:strike w:val="1"/>
        </w:rPr>
        <w:t xml:space="preserve"> that for purposes of calculating the Cumulative Credit for purposes of </w:t>
      </w:r>
      <w:r>
        <w:rPr>
          <w:rFonts w:ascii="Arial" w:cs="Arial" w:eastAsia="Arial" w:hAnsi="Arial"/>
          <w:sz w:val="16"/>
          <w:szCs w:val="16"/>
          <w:u w:val="single" w:color="auto"/>
          <w:color w:val="FF0000"/>
          <w:strike w:val="1"/>
        </w:rPr>
        <w:t>Section 7.06(e)(y)</w:t>
      </w:r>
      <w:r>
        <w:rPr>
          <w:rFonts w:ascii="Arial" w:cs="Arial" w:eastAsia="Arial" w:hAnsi="Arial"/>
          <w:sz w:val="16"/>
          <w:szCs w:val="16"/>
          <w:color w:val="FF0000"/>
          <w:strike w:val="1"/>
        </w:rPr>
        <w:t>, such income shall only be included (directly or indirectly) to the extent such cash dividends or other cash distributions are actually received from such other Person by the Borrower or a Guarantor, (b) the net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157" w:name="page158"/>
    <w:bookmarkEnd w:id="157"/>
    <w:p>
      <w:pPr>
        <w:ind w:left="4" w:right="40"/>
        <w:spacing w:after="0" w:line="25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income of any Subsidiary of the Borrower shall be excluded to the extent that the declaration or payment of cash dividends or similar cash distributions by that Subsidiary of that net income is not at the date of determination permitted by operation of its charter or any agreement, instrument or law applicable to such Subsidiary (other than (i) restrictions that have been waived or otherwise released, (ii) restrictions pursuant to the Loan Documents, the ABL Facility Documentation, the UST Tranche A Facility Documentation, the UST Tranche B Facility Documentation, the Treasury Equity Documents and (iii) restrictions arising pursuant to an agreement or instrument if the encumbrances and restrictions contained in any such agreement or instrument taken as a whole are not materially less favorable to the Secured Parties than the encumbrances and restrictions contained in the Loan Documents (as determined by the Borrower in good faith)), and (c) the income or loss of any Person accrued prior to the date it becomes a Subsidiary or is merged into or consolidated with the Borrower or any Subsidiary or the date that such Person’s assets are acquired by the Borrower or any Subsidiary shall be excluded.</w:t>
      </w:r>
    </w:p>
    <w:p>
      <w:pPr>
        <w:spacing w:after="0" w:line="192"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Consolidated Total Assets</w:t>
      </w:r>
      <w:r>
        <w:rPr>
          <w:rFonts w:ascii="Arial" w:cs="Arial" w:eastAsia="Arial" w:hAnsi="Arial"/>
          <w:sz w:val="18"/>
          <w:szCs w:val="18"/>
          <w:color w:val="FF0000"/>
          <w:strike w:val="1"/>
        </w:rPr>
        <w:t xml:space="preserve">” shall mean the total assets of the Borrower and its Restricted Subsidiaries, determined on a consolidated basis in accordance with GAAP, as shown on the consolidated balance sheet of the Borrower for the most recently completed fiscal quarter for which financial statements have been delivered pursuant to </w:t>
      </w:r>
      <w:r>
        <w:rPr>
          <w:rFonts w:ascii="Arial" w:cs="Arial" w:eastAsia="Arial" w:hAnsi="Arial"/>
          <w:sz w:val="18"/>
          <w:szCs w:val="18"/>
          <w:u w:val="single" w:color="auto"/>
          <w:color w:val="FF0000"/>
          <w:strike w:val="1"/>
        </w:rPr>
        <w:t>Section</w:t>
      </w:r>
      <w:r>
        <w:rPr>
          <w:rFonts w:ascii="Arial" w:cs="Arial" w:eastAsia="Arial" w:hAnsi="Arial"/>
          <w:sz w:val="18"/>
          <w:szCs w:val="18"/>
          <w:color w:val="FF0000"/>
          <w:strike w:val="1"/>
        </w:rPr>
        <w:t xml:space="preserve"> 6.01(a) or </w:t>
      </w:r>
      <w:r>
        <w:rPr>
          <w:rFonts w:ascii="Arial" w:cs="Arial" w:eastAsia="Arial" w:hAnsi="Arial"/>
          <w:sz w:val="18"/>
          <w:szCs w:val="18"/>
          <w:u w:val="single" w:color="auto"/>
          <w:color w:val="FF0000"/>
          <w:strike w:val="1"/>
        </w:rPr>
        <w:t>(b)</w:t>
      </w:r>
      <w:r>
        <w:rPr>
          <w:rFonts w:ascii="Arial" w:cs="Arial" w:eastAsia="Arial" w:hAnsi="Arial"/>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-90170</wp:posOffset>
            </wp:positionV>
            <wp:extent cx="3136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13690" cy="8890"/>
                    </a:xfrm>
                    <a:prstGeom prst="rect">
                      <a:avLst/>
                    </a:prstGeom>
                    <a:noFill/>
                  </pic:spPr>
                </pic:pic>
              </a:graphicData>
            </a:graphic>
          </wp:anchor>
        </w:drawing>
      </w:r>
    </w:p>
    <w:p>
      <w:pPr>
        <w:spacing w:after="0" w:line="156" w:lineRule="exact"/>
        <w:rPr>
          <w:sz w:val="20"/>
          <w:szCs w:val="20"/>
          <w:color w:val="auto"/>
        </w:rPr>
      </w:pPr>
    </w:p>
    <w:p>
      <w:pPr>
        <w:ind w:left="4" w:right="80" w:firstLine="440"/>
        <w:spacing w:after="0" w:line="29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Consolidated Total Debt</w:t>
      </w:r>
      <w:r>
        <w:rPr>
          <w:rFonts w:ascii="Arial" w:cs="Arial" w:eastAsia="Arial" w:hAnsi="Arial"/>
          <w:sz w:val="16"/>
          <w:szCs w:val="16"/>
          <w:color w:val="FF0000"/>
          <w:strike w:val="1"/>
        </w:rPr>
        <w:t xml:space="preserve">” shall mean, as of any date of determination, the aggregate principal amount of Indebtedness of the Borrower and its Restricted Subsidiaries (on a consolidated basis) outstanding on such date, in an amount that would be reflected on a balance sheet prepared as of such date on a consolidated basis in accordance with GAAP as long as such amount is no less than the aggregate face amount of such Indebtedness on such date, consisting of Indebtedness for borrowed money, Attributable Indebtedness or purchase money Indebtedness, debt obligations evidenced by bonds, debentures, promissory notes, loan agreements or similar instruments, and all Guarantees of any of the foregoing;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 Consolidated Total Debt shall not include Indebtedness in respect of letters of credit, bankers’ acceptances and other similar contingent obligations, except to the extent of unreimbursed amounts thereunder, and (ii) Consolidated Total Debt shall not include obligations under Swap Contracts permitted hereunder.</w:t>
      </w:r>
    </w:p>
    <w:p>
      <w:pPr>
        <w:spacing w:after="0" w:line="161"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Consolidated Working Capital</w:t>
      </w:r>
      <w:r>
        <w:rPr>
          <w:rFonts w:ascii="Arial" w:cs="Arial" w:eastAsia="Arial" w:hAnsi="Arial"/>
          <w:sz w:val="16"/>
          <w:szCs w:val="16"/>
          <w:color w:val="FF0000"/>
          <w:strike w:val="1"/>
        </w:rPr>
        <w:t>” shall mean, with respect to the Borrower and its Restricted Subsidiaries on a consolidated basis at any date of determination, Current Assets at such date of determination minus Current Liabilities at such date of determination; provided, that, increases or decreases in Consolidated Working Capital shall be calculated without regard to any changes in Current Assets or Current Liabilities as a result of</w:t>
      </w:r>
    </w:p>
    <w:p>
      <w:pPr>
        <w:spacing w:after="0" w:line="2" w:lineRule="exact"/>
        <w:rPr>
          <w:sz w:val="20"/>
          <w:szCs w:val="20"/>
          <w:color w:val="auto"/>
        </w:rPr>
      </w:pPr>
    </w:p>
    <w:p>
      <w:pPr>
        <w:ind w:left="4" w:right="340" w:hanging="4"/>
        <w:spacing w:after="0" w:line="260" w:lineRule="auto"/>
        <w:tabs>
          <w:tab w:leader="none" w:pos="249" w:val="left"/>
        </w:tabs>
        <w:numPr>
          <w:ilvl w:val="0"/>
          <w:numId w:val="65"/>
        </w:numPr>
        <w:rPr>
          <w:rFonts w:ascii="Arial" w:cs="Arial" w:eastAsia="Arial" w:hAnsi="Arial"/>
          <w:sz w:val="18"/>
          <w:szCs w:val="18"/>
          <w:color w:val="FF0000"/>
          <w:strike w:val="1"/>
        </w:rPr>
      </w:pPr>
      <w:r>
        <w:rPr>
          <w:rFonts w:ascii="Arial" w:cs="Arial" w:eastAsia="Arial" w:hAnsi="Arial"/>
          <w:sz w:val="18"/>
          <w:szCs w:val="18"/>
          <w:color w:val="FF0000"/>
          <w:strike w:val="1"/>
        </w:rPr>
        <w:t>any reclassification in accordance with GAAP of assets or liabilities, as applicable, between current and noncurrent or (b) the effects of purchase accounting.</w:t>
      </w:r>
    </w:p>
    <w:p>
      <w:pPr>
        <w:spacing w:after="0" w:line="181"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shall mean,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 w:firstLine="440"/>
        <w:spacing w:after="0" w:line="298"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Contribution Deferral Agreement</w:t>
      </w:r>
      <w:r>
        <w:rPr>
          <w:rFonts w:ascii="Arial" w:cs="Arial" w:eastAsia="Arial" w:hAnsi="Arial"/>
          <w:sz w:val="16"/>
          <w:szCs w:val="16"/>
          <w:color w:val="FF0000"/>
          <w:strike w:val="1"/>
        </w:rPr>
        <w:t>” means that certain Second Amended and Restated Contribution Deferral Agreement, dated as of January 31, 2014, by and between YRC Inc., USF Holland LLC (f/k/a USF Holland Inc.), New Penn Motor Express LLC (f/k/a New Penn Motor Express, Inc.), USF Reddaway Inc., certain other of the Subsidiaries of the Borrower, the Trustees for the Central States, Southeast and Southwest Areas Pension Fund, the Pension Fund Entities and each other pension fund from time to time party thereto and Wilmington Trust Company, all as the same may be amended, amended and restated, restated, supplemented or otherwise modified in accordance with the terms hereof.</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have the meaning specified in the definition of “Affiliate”.</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158" w:name="page159"/>
    <w:bookmarkEnd w:id="158"/>
    <w:p>
      <w:pPr>
        <w:ind w:right="80" w:firstLine="440"/>
        <w:spacing w:after="0" w:line="28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7"/>
          <w:szCs w:val="17"/>
          <w:b w:val="1"/>
          <w:bCs w:val="1"/>
          <w:color w:val="FF0000"/>
          <w:strike w:val="1"/>
        </w:rPr>
        <w:t>Control Agreement</w:t>
      </w:r>
      <w:r>
        <w:rPr>
          <w:rFonts w:ascii="Arial" w:cs="Arial" w:eastAsia="Arial" w:hAnsi="Arial"/>
          <w:sz w:val="17"/>
          <w:szCs w:val="17"/>
          <w:color w:val="FF0000"/>
          <w:strike w:val="1"/>
        </w:rPr>
        <w:t>” means an agreement, in form and substance reasonably satisfactory to the Required Lenders, which provides for the Collateral Agent to have “control” (for purposes of this definition, as defined in Section 9 104 of the UCC of the State of New York or Section 8-106 of the UCC of the State of New York, as applicable) of Cash Collateral Accounts, Deposit Accounts or Securities Accounts, as applicable.</w:t>
      </w:r>
    </w:p>
    <w:p>
      <w:pPr>
        <w:spacing w:after="0" w:line="15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Credit Agreement Refinancing Indebtedness</w:t>
      </w:r>
      <w:r>
        <w:rPr>
          <w:rFonts w:ascii="Arial" w:cs="Arial" w:eastAsia="Arial" w:hAnsi="Arial"/>
          <w:sz w:val="16"/>
          <w:szCs w:val="16"/>
          <w:color w:val="FF0000"/>
          <w:strike w:val="1"/>
        </w:rPr>
        <w:t>” shall mean Permitted Additional Debt or Indebtedness incurred pursuant to a Refinancing Amendment, in each case, issued, incurred or otherwise obtained (including by means of the extension or renewal of existing Indebtedness) in exchange for, or to extend, renew, replace, restructure or refinance, in whole or part, existing Term Loans (including any successive Credit Agreement Refinancing Indebtedness) (“</w:t>
      </w:r>
      <w:r>
        <w:rPr>
          <w:rFonts w:ascii="Arial" w:cs="Arial" w:eastAsia="Arial" w:hAnsi="Arial"/>
          <w:sz w:val="16"/>
          <w:szCs w:val="16"/>
          <w:b w:val="1"/>
          <w:bCs w:val="1"/>
          <w:color w:val="FF0000"/>
          <w:strike w:val="1"/>
        </w:rPr>
        <w:t>Refinanced Debt</w:t>
      </w:r>
      <w:r>
        <w:rPr>
          <w:rFonts w:ascii="Arial" w:cs="Arial" w:eastAsia="Arial" w:hAnsi="Arial"/>
          <w:sz w:val="16"/>
          <w:szCs w:val="16"/>
          <w:color w:val="FF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 such extending, renewing, replacing, restructuring or refinancing Indebtedness is in an original aggregate principal amount (or accreted value, if applicable) not greater than the aggregate principal amount (or accreted value, if applicable) of the Refinanced Debt, except by an amount equal to accrued but unpaid interest, premiums and fees payable by the terms of such Indebtedness and reasonable fees, expenses, original issue discount and upfront fees incurred in connection with such exchange, modification, refinancing, refunding, renewal, restructuring, replacement or extension, (ii) such Refinanced Debt shall be repaid, defeased or satisfied and discharged with 100% of the Net Proceeds of the applicable Credit Agreement Refinancing Indebtedness and all accrued, due and payable interest, fees and premiums (if any) in connection therewith shall be paid promptly upon receipt of the proceeds of such Credit Agreement Refinancing Indebtedness, (iii) such Indebtedness does not have an earlier maturity and has a Weighted Average Life to Maturity equal to or greater than the Refinanced Debt; and (iv) and, in the case of any high yield notes constituting Credit Agreement Refinancing Indebtedness, such Indebtedness will not have mandatory prepayment provisions (other than related to customary asset sale and change of control and similar offers and AHYDO “catch up” payments) that would result in mandatory prepayment of such Indebtedness prior to the Refinanced Debt.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shall mean a Borrowing.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Currency Due</w:t>
      </w:r>
      <w:r>
        <w:rPr>
          <w:rFonts w:ascii="Arial" w:cs="Arial" w:eastAsia="Arial" w:hAnsi="Arial"/>
          <w:sz w:val="18"/>
          <w:szCs w:val="18"/>
          <w:u w:val="single" w:color="auto"/>
          <w:color w:val="FF0000"/>
        </w:rPr>
        <w:t>” shall have the meaning assigned to such term in Section</w:t>
      </w:r>
      <w:r>
        <w:rPr>
          <w:rFonts w:ascii="Arial" w:cs="Arial" w:eastAsia="Arial" w:hAnsi="Arial"/>
          <w:sz w:val="18"/>
          <w:szCs w:val="18"/>
          <w:u w:val="single" w:color="auto"/>
          <w:color w:val="0000FF"/>
        </w:rPr>
        <w:t xml:space="preserve">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66014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Cumulative Credit</w:t>
      </w:r>
      <w:r>
        <w:rPr>
          <w:rFonts w:ascii="Arial" w:cs="Arial" w:eastAsia="Arial" w:hAnsi="Arial"/>
          <w:sz w:val="18"/>
          <w:szCs w:val="18"/>
          <w:color w:val="FF0000"/>
          <w:strike w:val="1"/>
        </w:rPr>
        <w:t>” shall mean, at any date, an amount, not less than zero in the aggregate, determined on a cumulative basis equal to, without duplication:</w:t>
      </w:r>
    </w:p>
    <w:p>
      <w:pPr>
        <w:spacing w:after="0" w:line="166" w:lineRule="exact"/>
        <w:rPr>
          <w:sz w:val="20"/>
          <w:szCs w:val="20"/>
          <w:color w:val="auto"/>
        </w:rPr>
      </w:pPr>
    </w:p>
    <w:p>
      <w:pPr>
        <w:ind w:left="680" w:hanging="244"/>
        <w:spacing w:after="0"/>
        <w:tabs>
          <w:tab w:leader="none" w:pos="680" w:val="left"/>
        </w:tabs>
        <w:numPr>
          <w:ilvl w:val="0"/>
          <w:numId w:val="6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Cumulative Retained Excess Cash Flow Amount at such time, </w:t>
      </w:r>
      <w:r>
        <w:rPr>
          <w:rFonts w:ascii="Arial" w:cs="Arial" w:eastAsia="Arial" w:hAnsi="Arial"/>
          <w:sz w:val="18"/>
          <w:szCs w:val="18"/>
          <w:u w:val="single" w:color="auto"/>
          <w:color w:val="FF0000"/>
          <w:strike w:val="1"/>
        </w:rPr>
        <w:t>plus</w:t>
      </w:r>
    </w:p>
    <w:p>
      <w:pPr>
        <w:spacing w:after="0" w:line="225" w:lineRule="exact"/>
        <w:rPr>
          <w:rFonts w:ascii="Arial" w:cs="Arial" w:eastAsia="Arial" w:hAnsi="Arial"/>
          <w:sz w:val="18"/>
          <w:szCs w:val="18"/>
          <w:color w:val="FF0000"/>
          <w:strike w:val="1"/>
        </w:rPr>
      </w:pPr>
    </w:p>
    <w:p>
      <w:pPr>
        <w:ind w:right="400" w:firstLine="436"/>
        <w:spacing w:after="0" w:line="277" w:lineRule="auto"/>
        <w:tabs>
          <w:tab w:leader="none" w:pos="695" w:val="left"/>
        </w:tabs>
        <w:numPr>
          <w:ilvl w:val="0"/>
          <w:numId w:val="6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cumulative amount of cash and Cash Equivalent proceeds from the sale of Equity Interests of the Borrower or of any direct or indirect parent of the Borrower after the Restatement Effective Date to the extent Not Otherwise Applied, </w:t>
      </w:r>
      <w:r>
        <w:rPr>
          <w:rFonts w:ascii="Arial" w:cs="Arial" w:eastAsia="Arial" w:hAnsi="Arial"/>
          <w:sz w:val="18"/>
          <w:szCs w:val="18"/>
          <w:u w:val="single" w:color="auto"/>
          <w:color w:val="FF0000"/>
          <w:strike w:val="1"/>
        </w:rPr>
        <w:t>plus</w:t>
      </w:r>
    </w:p>
    <w:p>
      <w:pPr>
        <w:spacing w:after="0" w:line="170" w:lineRule="exact"/>
        <w:rPr>
          <w:rFonts w:ascii="Arial" w:cs="Arial" w:eastAsia="Arial" w:hAnsi="Arial"/>
          <w:sz w:val="18"/>
          <w:szCs w:val="18"/>
          <w:color w:val="FF0000"/>
          <w:strike w:val="1"/>
        </w:rPr>
      </w:pPr>
    </w:p>
    <w:p>
      <w:pPr>
        <w:ind w:left="680" w:hanging="244"/>
        <w:spacing w:after="0"/>
        <w:tabs>
          <w:tab w:leader="none" w:pos="680" w:val="left"/>
        </w:tabs>
        <w:numPr>
          <w:ilvl w:val="0"/>
          <w:numId w:val="68"/>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aggregate amount of Declined Proceeds at such time that have been retained by the Borrower in accordance with Section 2.13(d), </w:t>
      </w:r>
      <w:r>
        <w:rPr>
          <w:rFonts w:ascii="Arial" w:cs="Arial" w:eastAsia="Arial" w:hAnsi="Arial"/>
          <w:sz w:val="16"/>
          <w:szCs w:val="16"/>
          <w:u w:val="single" w:color="auto"/>
          <w:color w:val="FF0000"/>
          <w:strike w:val="1"/>
        </w:rPr>
        <w:t>plus</w:t>
      </w:r>
    </w:p>
    <w:p>
      <w:pPr>
        <w:spacing w:after="0" w:line="248" w:lineRule="exact"/>
        <w:rPr>
          <w:rFonts w:ascii="Arial" w:cs="Arial" w:eastAsia="Arial" w:hAnsi="Arial"/>
          <w:sz w:val="16"/>
          <w:szCs w:val="16"/>
          <w:color w:val="FF0000"/>
          <w:strike w:val="1"/>
        </w:rPr>
      </w:pPr>
    </w:p>
    <w:p>
      <w:pPr>
        <w:ind w:right="60" w:firstLine="436"/>
        <w:spacing w:after="0" w:line="301" w:lineRule="auto"/>
        <w:tabs>
          <w:tab w:leader="none" w:pos="695" w:val="left"/>
        </w:tabs>
        <w:numPr>
          <w:ilvl w:val="0"/>
          <w:numId w:val="68"/>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to the extent not already included in the Cumulative Retained Excess Cash Flow Amount, an amount equal to any returns in cash and Cash Equivalents (including dividends, interest, distributions, returns of principal, profits on sale, repayments, income and similar amounts) actually received by the Borrower or any Restricted Subsidiary after the Restatement Effective Date in respect of any Investments made pursuant to </w:t>
      </w:r>
      <w:r>
        <w:rPr>
          <w:rFonts w:ascii="Arial" w:cs="Arial" w:eastAsia="Arial" w:hAnsi="Arial"/>
          <w:sz w:val="16"/>
          <w:szCs w:val="16"/>
          <w:u w:val="single" w:color="auto"/>
          <w:color w:val="FF0000"/>
          <w:strike w:val="1"/>
        </w:rPr>
        <w:t>Section 7.02(p)(y)</w:t>
      </w:r>
      <w:r>
        <w:rPr>
          <w:rFonts w:ascii="Arial" w:cs="Arial" w:eastAsia="Arial" w:hAnsi="Arial"/>
          <w:sz w:val="16"/>
          <w:szCs w:val="16"/>
          <w:color w:val="FF0000"/>
          <w:strike w:val="1"/>
        </w:rPr>
        <w:t xml:space="preserve">, and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in each case that such amount does not exceed the amount of the original Investment made pursuant to </w:t>
      </w:r>
      <w:r>
        <w:rPr>
          <w:rFonts w:ascii="Arial" w:cs="Arial" w:eastAsia="Arial" w:hAnsi="Arial"/>
          <w:sz w:val="16"/>
          <w:szCs w:val="16"/>
          <w:u w:val="single" w:color="auto"/>
          <w:color w:val="FF0000"/>
          <w:strike w:val="1"/>
        </w:rPr>
        <w:t>Section</w:t>
      </w:r>
      <w:r>
        <w:rPr>
          <w:rFonts w:ascii="Arial" w:cs="Arial" w:eastAsia="Arial" w:hAnsi="Arial"/>
          <w:sz w:val="16"/>
          <w:szCs w:val="16"/>
          <w:color w:val="FF0000"/>
          <w:strike w:val="1"/>
        </w:rPr>
        <w:t xml:space="preserve"> 7.02(p)(y); </w:t>
      </w:r>
      <w:r>
        <w:rPr>
          <w:rFonts w:ascii="Arial" w:cs="Arial" w:eastAsia="Arial" w:hAnsi="Arial"/>
          <w:sz w:val="16"/>
          <w:szCs w:val="16"/>
          <w:u w:val="single" w:color="auto"/>
          <w:color w:val="FF0000"/>
          <w:strike w:val="1"/>
        </w:rPr>
        <w:t>minus</w:t>
      </w:r>
    </w:p>
    <w:p>
      <w:pPr>
        <w:spacing w:after="0" w:line="157" w:lineRule="exact"/>
        <w:rPr>
          <w:rFonts w:ascii="Arial" w:cs="Arial" w:eastAsia="Arial" w:hAnsi="Arial"/>
          <w:sz w:val="16"/>
          <w:szCs w:val="16"/>
          <w:color w:val="FF0000"/>
          <w:strike w:val="1"/>
        </w:rPr>
      </w:pPr>
    </w:p>
    <w:p>
      <w:pPr>
        <w:ind w:right="160" w:firstLine="436"/>
        <w:spacing w:after="0" w:line="277" w:lineRule="auto"/>
        <w:tabs>
          <w:tab w:leader="none" w:pos="685" w:val="left"/>
        </w:tabs>
        <w:numPr>
          <w:ilvl w:val="0"/>
          <w:numId w:val="6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any amount of the Cumulative Credit used to make Investments pursuant to </w:t>
      </w:r>
      <w:r>
        <w:rPr>
          <w:rFonts w:ascii="Arial" w:cs="Arial" w:eastAsia="Arial" w:hAnsi="Arial"/>
          <w:sz w:val="18"/>
          <w:szCs w:val="18"/>
          <w:u w:val="single" w:color="auto"/>
          <w:color w:val="FF0000"/>
          <w:strike w:val="1"/>
        </w:rPr>
        <w:t>Section 7.02(p)(y)</w:t>
      </w:r>
      <w:r>
        <w:rPr>
          <w:rFonts w:ascii="Arial" w:cs="Arial" w:eastAsia="Arial" w:hAnsi="Arial"/>
          <w:sz w:val="18"/>
          <w:szCs w:val="18"/>
          <w:color w:val="FF0000"/>
          <w:strike w:val="1"/>
        </w:rPr>
        <w:t xml:space="preserve"> after the Restatement Effective Date and prior to such time, </w:t>
      </w:r>
      <w:r>
        <w:rPr>
          <w:rFonts w:ascii="Arial" w:cs="Arial" w:eastAsia="Arial" w:hAnsi="Arial"/>
          <w:sz w:val="18"/>
          <w:szCs w:val="18"/>
          <w:u w:val="single" w:color="auto"/>
          <w:color w:val="FF0000"/>
          <w:strike w:val="1"/>
        </w:rPr>
        <w:t>minus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159" w:name="page160"/>
    <w:bookmarkEnd w:id="159"/>
    <w:p>
      <w:pPr>
        <w:ind w:right="120" w:firstLine="436"/>
        <w:spacing w:after="0" w:line="277" w:lineRule="auto"/>
        <w:tabs>
          <w:tab w:leader="none" w:pos="665" w:val="left"/>
        </w:tabs>
        <w:numPr>
          <w:ilvl w:val="0"/>
          <w:numId w:val="69"/>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amount of the Cumulative Credit used to pay dividends or make distributions or other Restricted Payments pursuant to Section 7.06(d)(ii) or Section 7.06(e)(y) after the Restatement Effective Date and prior to such time, minus</w:t>
      </w:r>
    </w:p>
    <w:p>
      <w:pPr>
        <w:spacing w:after="0" w:line="170" w:lineRule="exact"/>
        <w:rPr>
          <w:rFonts w:ascii="Arial" w:cs="Arial" w:eastAsia="Arial" w:hAnsi="Arial"/>
          <w:sz w:val="18"/>
          <w:szCs w:val="18"/>
          <w:color w:val="FF0000"/>
          <w:strike w:val="1"/>
        </w:rPr>
      </w:pPr>
    </w:p>
    <w:p>
      <w:pPr>
        <w:ind w:right="160" w:firstLine="436"/>
        <w:spacing w:after="0" w:line="308" w:lineRule="auto"/>
        <w:tabs>
          <w:tab w:leader="none" w:pos="695" w:val="left"/>
        </w:tabs>
        <w:numPr>
          <w:ilvl w:val="0"/>
          <w:numId w:val="69"/>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any amount of the Cumulative Credit used to make payments or distributions in respect of Permitted Additional Debt or Junior Financing (or any Permitted Refinancing thereof) pursuant to </w:t>
      </w:r>
      <w:r>
        <w:rPr>
          <w:rFonts w:ascii="Arial" w:cs="Arial" w:eastAsia="Arial" w:hAnsi="Arial"/>
          <w:sz w:val="17"/>
          <w:szCs w:val="17"/>
          <w:u w:val="single" w:color="auto"/>
          <w:color w:val="FF0000"/>
          <w:strike w:val="1"/>
        </w:rPr>
        <w:t>Section 7.13(a)(vi)</w:t>
      </w:r>
      <w:r>
        <w:rPr>
          <w:rFonts w:ascii="Arial" w:cs="Arial" w:eastAsia="Arial" w:hAnsi="Arial"/>
          <w:sz w:val="17"/>
          <w:szCs w:val="17"/>
          <w:color w:val="FF0000"/>
          <w:strike w:val="1"/>
        </w:rPr>
        <w:t xml:space="preserve"> after the Restatement Effective Date and prior to such time.</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FF0000"/>
          <w:strike w:val="1"/>
        </w:rPr>
        <w:t>Notwithstanding anything to the contrary in this Agreement, during the Specified Amendment No. 1 Period and from and after the Amendment No. 3 Effective Date, the Cumulative Credit shall be unavailable for use under this Agreement and shall be disregarded in any calculation of or reference to any other term or provision herein.</w:t>
      </w:r>
    </w:p>
    <w:p>
      <w:pPr>
        <w:spacing w:after="0" w:line="180"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Cumulative Retained Excess Cash Flow Amount</w:t>
      </w:r>
      <w:r>
        <w:rPr>
          <w:rFonts w:ascii="Arial" w:cs="Arial" w:eastAsia="Arial" w:hAnsi="Arial"/>
          <w:sz w:val="16"/>
          <w:szCs w:val="16"/>
          <w:color w:val="FF0000"/>
          <w:strike w:val="1"/>
        </w:rPr>
        <w:t xml:space="preserve">” shall mean, at any date, an amount, not less than zero in any fiscal year, determined on a cumulative basis equal to the aggregate cumulative sum of the Retained Percentage of Excess Cash Flow for all Excess Cash Flow Periods ending after the Restatement Effective Date and prior to such date;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for purposes of </w:t>
      </w:r>
      <w:r>
        <w:rPr>
          <w:rFonts w:ascii="Arial" w:cs="Arial" w:eastAsia="Arial" w:hAnsi="Arial"/>
          <w:sz w:val="16"/>
          <w:szCs w:val="16"/>
          <w:u w:val="single" w:color="auto"/>
          <w:color w:val="FF0000"/>
          <w:strike w:val="1"/>
        </w:rPr>
        <w:t>Section 7.06(e)(y)</w:t>
      </w:r>
      <w:r>
        <w:rPr>
          <w:rFonts w:ascii="Arial" w:cs="Arial" w:eastAsia="Arial" w:hAnsi="Arial"/>
          <w:sz w:val="16"/>
          <w:szCs w:val="16"/>
          <w:color w:val="FF0000"/>
          <w:strike w:val="1"/>
        </w:rPr>
        <w:t xml:space="preserve">, (a) the Cumulative Retained Excess Cash Flow Amount shall only be available if the Total Leverage Ratio at the time of the making of such Investment, Restricted Payment or prepayment, redemption, purchase, defeasance or other payment, as the case may be, calculated on a Pro Forma Basis, is less than or equal to 3.75 to 1.00 and (b) the Cumulative Retained Excess Cash Flow Amount shall be reduced by the amount of Excess Cash Flow attributable to Foreign Subsidiaries to the extent and for so long as such Excess Cash Flow is excluded from Excess Cash Flow prepayments pursuant to </w:t>
      </w:r>
      <w:r>
        <w:rPr>
          <w:rFonts w:ascii="Arial" w:cs="Arial" w:eastAsia="Arial" w:hAnsi="Arial"/>
          <w:sz w:val="16"/>
          <w:szCs w:val="16"/>
          <w:u w:val="single" w:color="auto"/>
          <w:color w:val="FF0000"/>
          <w:strike w:val="1"/>
        </w:rPr>
        <w:t>Section</w:t>
      </w:r>
      <w:r>
        <w:rPr>
          <w:rFonts w:ascii="Arial" w:cs="Arial" w:eastAsia="Arial" w:hAnsi="Arial"/>
          <w:sz w:val="16"/>
          <w:szCs w:val="16"/>
          <w:color w:val="FF0000"/>
          <w:strike w:val="1"/>
        </w:rPr>
        <w:t xml:space="preserve"> 2.13(f).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-48260</wp:posOffset>
            </wp:positionV>
            <wp:extent cx="2000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1"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Current Assets</w:t>
      </w:r>
      <w:r>
        <w:rPr>
          <w:rFonts w:ascii="Arial" w:cs="Arial" w:eastAsia="Arial" w:hAnsi="Arial"/>
          <w:sz w:val="16"/>
          <w:szCs w:val="16"/>
          <w:color w:val="FF0000"/>
          <w:strike w:val="1"/>
        </w:rPr>
        <w:t>” shall mean, with respect to the Borrower and the Restricted Subsidiaries on a consolidated basis at any date of determination, all assets that would, in accordance with GAAP, be classified on a consolidated balance sheet of the Borrower and its Restricted Subsidiaries as current assets at such date of determination, other than (a) cash and Cash Equivalents, (b) amounts related to current or deferred Taxes based on income or profits, (c) assets held for sale, (d) loans (permitted) to third parties, (e) pension assets, (f) deferred bank fees, and (g) derivative financial instruments.</w:t>
      </w:r>
    </w:p>
    <w:p>
      <w:pPr>
        <w:spacing w:after="0" w:line="151" w:lineRule="exact"/>
        <w:rPr>
          <w:sz w:val="20"/>
          <w:szCs w:val="20"/>
          <w:color w:val="auto"/>
        </w:rPr>
      </w:pPr>
    </w:p>
    <w:p>
      <w:pPr>
        <w:ind w:right="160" w:firstLine="440"/>
        <w:spacing w:after="0" w:line="294"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Current Liabilities</w:t>
      </w:r>
      <w:r>
        <w:rPr>
          <w:rFonts w:ascii="Arial" w:cs="Arial" w:eastAsia="Arial" w:hAnsi="Arial"/>
          <w:sz w:val="16"/>
          <w:szCs w:val="16"/>
          <w:color w:val="FF0000"/>
          <w:strike w:val="1"/>
        </w:rPr>
        <w:t>” shall mean, with respect to the Borrower and the Restricted Subsidiaries on a consolidated basis at any date of determination, all liabilities that would, in accordance with GAAP, be classified on a consolidated balance sheet of the Borrower and its Restricted Subsidiaries as current liabilities at such date of determination, other than, without duplication (and to the extent otherwise included therein) (a) the current portion of any Indebtedness, (b) accruals of interest expense (excluding interest expense that is past due and unpaid), (c) accruals for current or deferred Taxes based on income or profits, (d) accruals of any costs or expenses related to restructuring reserves, (e) the current portion of pension liabilities and (f) revolving loans, swing line loans and letter of credit obligations under the ABL Facility or any other revolving credit facility.</w:t>
      </w:r>
    </w:p>
    <w:p>
      <w:pPr>
        <w:spacing w:after="0" w:line="160"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Custodial Administration Agreement</w:t>
      </w:r>
      <w:r>
        <w:rPr>
          <w:rFonts w:ascii="Arial" w:cs="Arial" w:eastAsia="Arial" w:hAnsi="Arial"/>
          <w:sz w:val="18"/>
          <w:szCs w:val="18"/>
          <w:color w:val="auto"/>
        </w:rPr>
        <w:t xml:space="preserve">” shall mean the Amended and Restated Custodial Administration Agreement, dated as of </w:t>
      </w:r>
      <w:r>
        <w:rPr>
          <w:rFonts w:ascii="Arial" w:cs="Arial" w:eastAsia="Arial" w:hAnsi="Arial"/>
          <w:sz w:val="18"/>
          <w:szCs w:val="18"/>
          <w:color w:val="FF0000"/>
          <w:strike w:val="1"/>
        </w:rPr>
        <w:t>the</w:t>
      </w:r>
      <w:r>
        <w:rPr>
          <w:rFonts w:ascii="Arial" w:cs="Arial" w:eastAsia="Arial" w:hAnsi="Arial"/>
          <w:sz w:val="18"/>
          <w:szCs w:val="18"/>
          <w:color w:val="auto"/>
        </w:rPr>
        <w:t xml:space="preserve"> </w:t>
      </w:r>
      <w:r>
        <w:rPr>
          <w:rFonts w:ascii="Arial" w:cs="Arial" w:eastAsia="Arial" w:hAnsi="Arial"/>
          <w:sz w:val="18"/>
          <w:szCs w:val="18"/>
          <w:color w:val="FF0000"/>
          <w:strike w:val="1"/>
        </w:rPr>
        <w:t>Restatement Effective Date</w:t>
      </w:r>
      <w:r>
        <w:rPr>
          <w:rFonts w:ascii="Arial" w:cs="Arial" w:eastAsia="Arial" w:hAnsi="Arial"/>
          <w:sz w:val="18"/>
          <w:szCs w:val="18"/>
          <w:u w:val="single" w:color="auto"/>
          <w:color w:val="0000FF"/>
        </w:rPr>
        <w:t>July 9, 2020</w:t>
      </w:r>
      <w:r>
        <w:rPr>
          <w:rFonts w:ascii="Arial" w:cs="Arial" w:eastAsia="Arial" w:hAnsi="Arial"/>
          <w:sz w:val="18"/>
          <w:szCs w:val="18"/>
          <w:color w:val="000000"/>
        </w:rPr>
        <w:t>, by and among the Borrower, the Subsidiaries from time to time parties thereto, VINtek, Inc., as custodial</w:t>
      </w:r>
      <w:r>
        <w:rPr>
          <w:rFonts w:ascii="Arial" w:cs="Arial" w:eastAsia="Arial" w:hAnsi="Arial"/>
          <w:sz w:val="18"/>
          <w:szCs w:val="18"/>
          <w:color w:val="FF0000"/>
        </w:rPr>
        <w:t xml:space="preserve"> </w:t>
      </w:r>
      <w:r>
        <w:rPr>
          <w:rFonts w:ascii="Arial" w:cs="Arial" w:eastAsia="Arial" w:hAnsi="Arial"/>
          <w:sz w:val="18"/>
          <w:szCs w:val="18"/>
          <w:color w:val="000000"/>
        </w:rPr>
        <w:t>administrator, the Collateral Agent, as administrative and collateral agent for the benefit of the Secured Parties, the ABL Agent, as administrative and collateral agent for the benefit of the ABL Secured Parties, the UST Tranche A Agent, as administrative and collateral agent for the benefit of the UST Tranche A Secured Parties, the UST Tranche B Agent, as administrative and collateral agent for the benefit of the UST Tranche B Secured Parties and the Collateral Agent, as collateral agent for the benefit of the Secured Parties, the UST Tranche A Secured Parties, the UST Tranche B Secured Parties and the ABL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-682625</wp:posOffset>
            </wp:positionV>
            <wp:extent cx="5918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60" w:name="page161"/>
    <w:bookmarkEnd w:id="160"/>
    <w:p>
      <w:pPr>
        <w:ind w:firstLine="440"/>
        <w:spacing w:after="0" w:line="258"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Daily Simple SOFR</w:t>
      </w:r>
      <w:r>
        <w:rPr>
          <w:rFonts w:ascii="Arial" w:cs="Arial" w:eastAsia="Arial" w:hAnsi="Arial"/>
          <w:sz w:val="18"/>
          <w:szCs w:val="18"/>
          <w:color w:val="FF0000"/>
          <w:strike w:val="1"/>
        </w:rPr>
        <w:t>” shall mean, for any day, SOFR, with the conventions for this rate (which will include a lookback) being established by the Administrative Agent acting at the direction of the Required Lenders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in consultation with the Borrower.</w:t>
      </w:r>
    </w:p>
    <w:p>
      <w:pPr>
        <w:spacing w:after="0" w:line="183"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xml:space="preserve">” shall mean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the Bankruptcy Code of the United States </w:t>
      </w:r>
      <w:r>
        <w:rPr>
          <w:rFonts w:ascii="Arial" w:cs="Arial" w:eastAsia="Arial" w:hAnsi="Arial"/>
          <w:sz w:val="18"/>
          <w:szCs w:val="18"/>
          <w:color w:val="FF0000"/>
        </w:rPr>
        <w:t>and</w:t>
      </w:r>
      <w:r>
        <w:rPr>
          <w:rFonts w:ascii="Arial" w:cs="Arial" w:eastAsia="Arial" w:hAnsi="Arial"/>
          <w:sz w:val="18"/>
          <w:szCs w:val="18"/>
          <w:u w:val="single" w:color="auto"/>
          <w:color w:val="0000FF"/>
        </w:rPr>
        <w:t>; (ii) the CCAA and the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Bankruptcy and Insolvency Act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R.S.C. 1985, c. B-3, as amended; and (iii)</w:t>
      </w:r>
      <w:r>
        <w:rPr>
          <w:rFonts w:ascii="Arial" w:cs="Arial" w:eastAsia="Arial" w:hAnsi="Arial"/>
          <w:sz w:val="18"/>
          <w:szCs w:val="18"/>
          <w:color w:val="0000FF"/>
        </w:rPr>
        <w:t xml:space="preserve"> </w:t>
      </w:r>
      <w:r>
        <w:rPr>
          <w:rFonts w:ascii="Arial" w:cs="Arial" w:eastAsia="Arial" w:hAnsi="Arial"/>
          <w:sz w:val="18"/>
          <w:szCs w:val="18"/>
          <w:color w:val="000000"/>
        </w:rPr>
        <w:t>all other liquidation, conservatorship, bankruptcy, assignment for the benefit of creditors, moratorium</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arrangement</w:t>
      </w:r>
      <w:r>
        <w:rPr>
          <w:rFonts w:ascii="Arial" w:cs="Arial" w:eastAsia="Arial" w:hAnsi="Arial"/>
          <w:sz w:val="18"/>
          <w:szCs w:val="18"/>
          <w:color w:val="000000"/>
        </w:rPr>
        <w:t>, rearrangement, receivership, insolvency, reorganization or similar debtor relief Laws of the United States</w:t>
      </w:r>
      <w:r>
        <w:rPr>
          <w:rFonts w:ascii="Arial" w:cs="Arial" w:eastAsia="Arial" w:hAnsi="Arial"/>
          <w:sz w:val="18"/>
          <w:szCs w:val="18"/>
          <w:u w:val="single" w:color="auto"/>
          <w:color w:val="0000FF"/>
        </w:rPr>
        <w:t>, Canada</w:t>
      </w:r>
      <w:r>
        <w:rPr>
          <w:rFonts w:ascii="Arial" w:cs="Arial" w:eastAsia="Arial" w:hAnsi="Arial"/>
          <w:sz w:val="18"/>
          <w:szCs w:val="18"/>
          <w:color w:val="0000FF"/>
        </w:rPr>
        <w:t xml:space="preserve"> </w:t>
      </w:r>
      <w:r>
        <w:rPr>
          <w:rFonts w:ascii="Arial" w:cs="Arial" w:eastAsia="Arial" w:hAnsi="Arial"/>
          <w:sz w:val="18"/>
          <w:szCs w:val="18"/>
          <w:color w:val="000000"/>
        </w:rPr>
        <w:t>or other applicable</w:t>
      </w:r>
      <w:r>
        <w:rPr>
          <w:rFonts w:ascii="Arial" w:cs="Arial" w:eastAsia="Arial" w:hAnsi="Arial"/>
          <w:sz w:val="18"/>
          <w:szCs w:val="18"/>
          <w:color w:val="0000FF"/>
        </w:rPr>
        <w:t xml:space="preserve"> </w:t>
      </w:r>
      <w:r>
        <w:rPr>
          <w:rFonts w:ascii="Arial" w:cs="Arial" w:eastAsia="Arial" w:hAnsi="Arial"/>
          <w:sz w:val="18"/>
          <w:szCs w:val="18"/>
          <w:color w:val="000000"/>
        </w:rPr>
        <w:t>jurisdictions from time to time in effect and affecting the rights of creditors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-414020</wp:posOffset>
            </wp:positionV>
            <wp:extent cx="137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-499745</wp:posOffset>
            </wp:positionV>
            <wp:extent cx="1936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-414020</wp:posOffset>
            </wp:positionV>
            <wp:extent cx="25546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54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191135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-276860</wp:posOffset>
            </wp:positionV>
            <wp:extent cx="254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5740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-139700</wp:posOffset>
            </wp:positionV>
            <wp:extent cx="3943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Declined Proceeds</w:t>
      </w:r>
      <w:r>
        <w:rPr>
          <w:rFonts w:ascii="Arial" w:cs="Arial" w:eastAsia="Arial" w:hAnsi="Arial"/>
          <w:sz w:val="18"/>
          <w:szCs w:val="18"/>
          <w:b w:val="1"/>
          <w:bCs w:val="1"/>
          <w:u w:val="single" w:color="auto"/>
          <w:color w:val="0000FF"/>
        </w:rPr>
        <w:t>Debtors</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in </w:t>
      </w:r>
      <w:r>
        <w:rPr>
          <w:rFonts w:ascii="Arial" w:cs="Arial" w:eastAsia="Arial" w:hAnsi="Arial"/>
          <w:sz w:val="18"/>
          <w:szCs w:val="18"/>
          <w:u w:val="single" w:color="auto"/>
          <w:color w:val="FF0000"/>
          <w:strike w:val="1"/>
        </w:rPr>
        <w:t>Section 2.13(d)</w:t>
      </w:r>
      <w:r>
        <w:rPr>
          <w:rFonts w:ascii="Arial" w:cs="Arial" w:eastAsia="Arial" w:hAnsi="Arial"/>
          <w:sz w:val="18"/>
          <w:szCs w:val="18"/>
          <w:u w:val="single" w:color="auto"/>
          <w:color w:val="0000FF"/>
        </w:rPr>
        <w:t>the recitals hereto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26035</wp:posOffset>
            </wp:positionV>
            <wp:extent cx="3854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544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26035</wp:posOffset>
            </wp:positionV>
            <wp:extent cx="137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26035</wp:posOffset>
            </wp:positionV>
            <wp:extent cx="8147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with the giving of any notice, the passage of any grace period, or both, without cure or waiver hereunder, would be an Event of Default.</w:t>
      </w:r>
    </w:p>
    <w:p>
      <w:pPr>
        <w:spacing w:after="0" w:line="162"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DIP Order</w:t>
      </w:r>
      <w:r>
        <w:rPr>
          <w:rFonts w:ascii="Arial" w:cs="Arial" w:eastAsia="Arial" w:hAnsi="Arial"/>
          <w:sz w:val="18"/>
          <w:szCs w:val="18"/>
          <w:u w:val="single" w:color="auto"/>
          <w:color w:val="0000FF"/>
        </w:rPr>
        <w:t>” shall mean the Interim Order or, upon entry thereof by the Bankruptcy Court, the Final Order.</w:t>
      </w:r>
    </w:p>
    <w:p>
      <w:pPr>
        <w:spacing w:after="0" w:line="225" w:lineRule="exact"/>
        <w:rPr>
          <w:sz w:val="20"/>
          <w:szCs w:val="20"/>
          <w:color w:val="auto"/>
        </w:rPr>
      </w:pPr>
    </w:p>
    <w:p>
      <w:pPr>
        <w:jc w:val="both"/>
        <w:ind w:right="200" w:firstLine="440"/>
        <w:spacing w:after="0" w:line="314"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DIP Proceeds Account</w:t>
      </w:r>
      <w:r>
        <w:rPr>
          <w:rFonts w:ascii="Arial" w:cs="Arial" w:eastAsia="Arial" w:hAnsi="Arial"/>
          <w:sz w:val="16"/>
          <w:szCs w:val="16"/>
          <w:u w:val="single" w:color="auto"/>
          <w:color w:val="0000FF"/>
        </w:rPr>
        <w:t xml:space="preserve">” shall mean a deposit account in the name of, and for the account of, USF Holland, LLC maintained at JP Morgan, as account number ending with x4623, which shall constitute Collateral but not Prepetition ABL Priority Collateral, and into which proceeds of the New Money Postpetition Term Loans and loans issued under the Junior DIP Facility shall be funded and held </w:t>
      </w:r>
      <w:r>
        <w:rPr>
          <w:rFonts w:ascii="Arial" w:cs="Arial" w:eastAsia="Arial" w:hAnsi="Arial"/>
          <w:sz w:val="16"/>
          <w:szCs w:val="16"/>
          <w:u w:val="single" w:color="auto"/>
          <w:color w:val="008000"/>
        </w:rPr>
        <w:t>in accordance with this Agreement</w:t>
      </w:r>
      <w:r>
        <w:rPr>
          <w:rFonts w:ascii="Arial" w:cs="Arial" w:eastAsia="Arial" w:hAnsi="Arial"/>
          <w:sz w:val="16"/>
          <w:szCs w:val="16"/>
          <w:u w:val="single" w:color="auto"/>
          <w:color w:val="0000FF"/>
        </w:rPr>
        <w:t>.</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DIP Term Sheet</w:t>
      </w:r>
      <w:r>
        <w:rPr>
          <w:rFonts w:ascii="Arial" w:cs="Arial" w:eastAsia="Arial" w:hAnsi="Arial"/>
          <w:sz w:val="18"/>
          <w:szCs w:val="18"/>
          <w:u w:val="single" w:color="auto"/>
          <w:color w:val="0000FF"/>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0000FF"/>
        </w:rPr>
        <w:t>“ Discharge of ABL Obligations</w:t>
      </w:r>
      <w:r>
        <w:rPr>
          <w:rFonts w:ascii="Arial" w:cs="Arial" w:eastAsia="Arial" w:hAnsi="Arial"/>
          <w:sz w:val="18"/>
          <w:szCs w:val="18"/>
          <w:b w:val="1"/>
          <w:bCs w:val="1"/>
          <w:u w:val="single" w:color="auto"/>
          <w:color w:val="008000"/>
        </w:rPr>
        <w:t>”</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8000"/>
        </w:rPr>
        <w:t>shall have the meaning assigned to such term in</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the Prepetition ABL Intercreditor Agreement.</w:t>
      </w:r>
    </w:p>
    <w:p>
      <w:pPr>
        <w:spacing w:after="0" w:line="225" w:lineRule="exact"/>
        <w:rPr>
          <w:sz w:val="20"/>
          <w:szCs w:val="20"/>
          <w:color w:val="auto"/>
        </w:rPr>
      </w:pPr>
    </w:p>
    <w:p>
      <w:pPr>
        <w:jc w:val="both"/>
        <w:ind w:left="440" w:right="360"/>
        <w:spacing w:after="0" w:line="563"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Discharge of UST Tranche A Obligations</w:t>
      </w:r>
      <w:r>
        <w:rPr>
          <w:rFonts w:ascii="Arial" w:cs="Arial" w:eastAsia="Arial" w:hAnsi="Arial"/>
          <w:sz w:val="16"/>
          <w:szCs w:val="16"/>
          <w:u w:val="single" w:color="auto"/>
          <w:color w:val="0000FF"/>
        </w:rPr>
        <w:t xml:space="preserve">” shall have the meaning assigned to such term in the Prepetition ABL Intercreditor Agreement. “ </w:t>
      </w:r>
      <w:r>
        <w:rPr>
          <w:rFonts w:ascii="Arial" w:cs="Arial" w:eastAsia="Arial" w:hAnsi="Arial"/>
          <w:sz w:val="16"/>
          <w:szCs w:val="16"/>
          <w:b w:val="1"/>
          <w:bCs w:val="1"/>
          <w:u w:val="single" w:color="auto"/>
          <w:color w:val="0000FF"/>
        </w:rPr>
        <w:t>Discharge of UST Tranche B Obligations</w:t>
      </w:r>
      <w:r>
        <w:rPr>
          <w:rFonts w:ascii="Arial" w:cs="Arial" w:eastAsia="Arial" w:hAnsi="Arial"/>
          <w:sz w:val="16"/>
          <w:szCs w:val="16"/>
          <w:b w:val="1"/>
          <w:bCs w:val="1"/>
          <w:u w:val="single" w:color="auto"/>
          <w:color w:val="008000"/>
        </w:rPr>
        <w:t>”</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shall have the meaning assigned to such term in the</w:t>
      </w:r>
      <w:r>
        <w:rPr>
          <w:rFonts w:ascii="Arial" w:cs="Arial" w:eastAsia="Arial" w:hAnsi="Arial"/>
          <w:sz w:val="16"/>
          <w:szCs w:val="16"/>
          <w:u w:val="single" w:color="auto"/>
          <w:color w:val="0000FF"/>
        </w:rPr>
        <w:t xml:space="preserve"> 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-1761490</wp:posOffset>
            </wp:positionV>
            <wp:extent cx="49631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631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-1487170</wp:posOffset>
            </wp:positionV>
            <wp:extent cx="65665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-1350010</wp:posOffset>
            </wp:positionV>
            <wp:extent cx="68491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-1212850</wp:posOffset>
            </wp:positionV>
            <wp:extent cx="64033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-938530</wp:posOffset>
            </wp:positionV>
            <wp:extent cx="278574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-664210</wp:posOffset>
            </wp:positionV>
            <wp:extent cx="59404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-389890</wp:posOffset>
            </wp:positionV>
            <wp:extent cx="645477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-115570</wp:posOffset>
            </wp:positionV>
            <wp:extent cx="64547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jc w:val="both"/>
        <w:ind w:right="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or “</w:t>
      </w:r>
      <w:r>
        <w:rPr>
          <w:rFonts w:ascii="Arial" w:cs="Arial" w:eastAsia="Arial" w:hAnsi="Arial"/>
          <w:sz w:val="17"/>
          <w:szCs w:val="17"/>
          <w:b w:val="1"/>
          <w:bCs w:val="1"/>
          <w:color w:val="auto"/>
        </w:rPr>
        <w:t>Dispose</w:t>
      </w:r>
      <w:r>
        <w:rPr>
          <w:rFonts w:ascii="Arial" w:cs="Arial" w:eastAsia="Arial" w:hAnsi="Arial"/>
          <w:sz w:val="17"/>
          <w:szCs w:val="17"/>
          <w:color w:val="auto"/>
        </w:rPr>
        <w:t xml:space="preserve">” shall mean the sale, transfer, license, lease or other disposition (including any sale and leaseback transaction and any sale or issuance of Equity Interests in a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of any property by any Person, including any sale, assignment, transfer or other disposal, with or without recourse, of any notes or accounts receivable or any rights and claims associated therewith.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161" w:name="page162"/>
    <w:bookmarkEnd w:id="161"/>
    <w:p>
      <w:pPr>
        <w:ind w:right="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Disqualified Equity Interests</w:t>
      </w:r>
      <w:r>
        <w:rPr>
          <w:rFonts w:ascii="Arial" w:cs="Arial" w:eastAsia="Arial" w:hAnsi="Arial"/>
          <w:sz w:val="16"/>
          <w:szCs w:val="16"/>
          <w:color w:val="auto"/>
        </w:rPr>
        <w:t xml:space="preserve">”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in whole or in part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(c) provides for scheduled payments of dividends in cash, or (d) is or becomes convertible into or exchangeable for Indebtedness or any other Equity Interests that would constitute Disqualified Equity Interests, in each case, prior to the date that is ninety-one (91) days after the </w:t>
      </w:r>
      <w:r>
        <w:rPr>
          <w:rFonts w:ascii="Arial" w:cs="Arial" w:eastAsia="Arial" w:hAnsi="Arial"/>
          <w:sz w:val="16"/>
          <w:szCs w:val="16"/>
          <w:color w:val="FF0000"/>
          <w:strike w:val="1"/>
        </w:rPr>
        <w:t>then Latest</w:t>
      </w:r>
      <w:r>
        <w:rPr>
          <w:rFonts w:ascii="Arial" w:cs="Arial" w:eastAsia="Arial" w:hAnsi="Arial"/>
          <w:sz w:val="16"/>
          <w:szCs w:val="16"/>
          <w:color w:val="auto"/>
        </w:rPr>
        <w:t xml:space="preserv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Equity Interests are issued pursuant to, or in accordance with a plan for the benefit of employees of the Borrower or the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or by any such plan to such employees, such Equity Interests shall not constitute Disqualified Equity Interests solely because they may be required to be repurchased by the Borrower or its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in order to satisfy applicable statutory or regulatory obligations or as a result of such employee’s termination, death or disability.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States of America.</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any Subsidiary that is organized under the Laws of the United States, any state thereof or the District of Columbia.</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Dutch Auction</w:t>
      </w:r>
      <w:r>
        <w:rPr>
          <w:rFonts w:ascii="Arial" w:cs="Arial" w:eastAsia="Arial" w:hAnsi="Arial"/>
          <w:sz w:val="18"/>
          <w:szCs w:val="18"/>
          <w:color w:val="FF0000"/>
          <w:strike w:val="1"/>
        </w:rPr>
        <w:t xml:space="preserve">” shall mean an auction conducted by the Borrower in order to purchase Term Loans as contemplated by </w:t>
      </w:r>
      <w:r>
        <w:rPr>
          <w:rFonts w:ascii="Arial" w:cs="Arial" w:eastAsia="Arial" w:hAnsi="Arial"/>
          <w:sz w:val="18"/>
          <w:szCs w:val="18"/>
          <w:u w:val="single" w:color="auto"/>
          <w:color w:val="FF0000"/>
          <w:strike w:val="1"/>
        </w:rPr>
        <w:t>Section 10.04(k)</w:t>
      </w:r>
      <w:r>
        <w:rPr>
          <w:rFonts w:ascii="Arial" w:cs="Arial" w:eastAsia="Arial" w:hAnsi="Arial"/>
          <w:sz w:val="18"/>
          <w:szCs w:val="18"/>
          <w:color w:val="FF0000"/>
          <w:strike w:val="1"/>
        </w:rPr>
        <w:t xml:space="preserve">, in accordance </w:t>
      </w:r>
      <w:r>
        <w:rPr>
          <w:rFonts w:ascii="Arial" w:cs="Arial" w:eastAsia="Arial" w:hAnsi="Arial"/>
          <w:sz w:val="18"/>
          <w:szCs w:val="18"/>
          <w:color w:val="008000"/>
          <w:strike w:val="1"/>
        </w:rPr>
        <w:t>in all material respects with</w:t>
      </w:r>
      <w:r>
        <w:rPr>
          <w:rFonts w:ascii="Arial" w:cs="Arial" w:eastAsia="Arial" w:hAnsi="Arial"/>
          <w:sz w:val="18"/>
          <w:szCs w:val="18"/>
          <w:color w:val="FF0000"/>
          <w:strike w:val="1"/>
        </w:rPr>
        <w:t xml:space="preserve"> the procedures set forth in </w:t>
      </w:r>
      <w:r>
        <w:rPr>
          <w:rFonts w:ascii="Arial" w:cs="Arial" w:eastAsia="Arial" w:hAnsi="Arial"/>
          <w:sz w:val="18"/>
          <w:szCs w:val="18"/>
          <w:u w:val="single" w:color="auto"/>
          <w:color w:val="FF0000"/>
          <w:strike w:val="1"/>
        </w:rPr>
        <w:t>Exhibit K</w:t>
      </w:r>
      <w:r>
        <w:rPr>
          <w:rFonts w:ascii="Arial" w:cs="Arial" w:eastAsia="Arial" w:hAnsi="Arial"/>
          <w:sz w:val="18"/>
          <w:szCs w:val="18"/>
          <w:color w:val="FF0000"/>
          <w:strike w:val="1"/>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Dutch Subsidiary</w:t>
      </w:r>
      <w:r>
        <w:rPr>
          <w:rFonts w:ascii="Arial" w:cs="Arial" w:eastAsia="Arial" w:hAnsi="Arial"/>
          <w:sz w:val="18"/>
          <w:szCs w:val="18"/>
          <w:color w:val="FF0000"/>
          <w:strike w:val="1"/>
        </w:rPr>
        <w:t>” shall mean any Subsidiary that is organized under the Laws of the Netherlands or any state or province thereof.</w:t>
      </w:r>
    </w:p>
    <w:p>
      <w:pPr>
        <w:spacing w:after="0" w:line="225"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shall mean (i) a Lender, (ii) an Affiliate of a Lender, (iii) a Related Fund of a Lender, and (iv) any other Person (other than a natural person) </w:t>
      </w:r>
      <w:r>
        <w:rPr>
          <w:rFonts w:ascii="Arial" w:cs="Arial" w:eastAsia="Arial" w:hAnsi="Arial"/>
          <w:sz w:val="16"/>
          <w:szCs w:val="16"/>
          <w:color w:val="FF0000"/>
          <w:strike w:val="1"/>
        </w:rPr>
        <w:t>approved by the Administrative Agent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shall not include the Borrower or any other Controlled Affiliate of the Borrower </w:t>
      </w:r>
      <w:r>
        <w:rPr>
          <w:rFonts w:ascii="Arial" w:cs="Arial" w:eastAsia="Arial" w:hAnsi="Arial"/>
          <w:sz w:val="16"/>
          <w:szCs w:val="16"/>
          <w:color w:val="FF0000"/>
        </w:rPr>
        <w:t>(it being understood that assignments to the Borrower may only be made pursuant to</w:t>
      </w:r>
      <w:r>
        <w:rPr>
          <w:rFonts w:ascii="Arial" w:cs="Arial" w:eastAsia="Arial" w:hAnsi="Arial"/>
          <w:sz w:val="16"/>
          <w:szCs w:val="16"/>
          <w:color w:val="auto"/>
        </w:rPr>
        <w:t xml:space="preserve"> </w:t>
      </w:r>
      <w:r>
        <w:rPr>
          <w:rFonts w:ascii="Arial" w:cs="Arial" w:eastAsia="Arial" w:hAnsi="Arial"/>
          <w:sz w:val="16"/>
          <w:szCs w:val="16"/>
          <w:u w:val="single" w:color="auto"/>
          <w:color w:val="FF0000"/>
        </w:rPr>
        <w:t>Section 10.04(k)</w:t>
      </w:r>
      <w:r>
        <w:rPr>
          <w:rFonts w:ascii="Arial" w:cs="Arial" w:eastAsia="Arial" w:hAnsi="Arial"/>
          <w:sz w:val="16"/>
          <w:szCs w:val="16"/>
          <w:color w:val="FF0000"/>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-111760</wp:posOffset>
            </wp:positionV>
            <wp:extent cx="47244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724400" cy="8890"/>
                    </a:xfrm>
                    <a:prstGeom prst="rect">
                      <a:avLst/>
                    </a:prstGeom>
                    <a:noFill/>
                  </pic:spPr>
                </pic:pic>
              </a:graphicData>
            </a:graphic>
          </wp:anchor>
        </w:drawing>
      </w:r>
    </w:p>
    <w:p>
      <w:pPr>
        <w:spacing w:after="0" w:line="122" w:lineRule="exact"/>
        <w:rPr>
          <w:sz w:val="20"/>
          <w:szCs w:val="20"/>
          <w:color w:val="auto"/>
        </w:rPr>
      </w:pPr>
    </w:p>
    <w:p>
      <w:pPr>
        <w:ind w:right="1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xml:space="preserve">” shall mean all federal, state, </w:t>
      </w:r>
      <w:r>
        <w:rPr>
          <w:rFonts w:ascii="Arial" w:cs="Arial" w:eastAsia="Arial" w:hAnsi="Arial"/>
          <w:sz w:val="16"/>
          <w:szCs w:val="16"/>
          <w:u w:val="single" w:color="auto"/>
          <w:color w:val="0000FF"/>
        </w:rPr>
        <w:t>provincial, territorial,</w:t>
      </w:r>
      <w:r>
        <w:rPr>
          <w:rFonts w:ascii="Arial" w:cs="Arial" w:eastAsia="Arial" w:hAnsi="Arial"/>
          <w:sz w:val="16"/>
          <w:szCs w:val="16"/>
          <w:color w:val="auto"/>
        </w:rPr>
        <w:t xml:space="preserve"> local and foreign laws (including common law), treaties, regulations, rules, ordinances, codes, decrees, judgments, directives, orders (including consent orders), and agreements in each case, relating to protection of the environment, natural resources, human health and safety (with respect to exposure to hazardous or toxic substances or wastes) or the presence, Release of, or exposure to, hazardous or toxic substances or wastes, or the generation, manufacture, processing, distribution, use, treatment, storage, transport, recycling or handling of, or the arrangement for such activities with respect to, hazardous or toxic substances or wastes.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-567055</wp:posOffset>
            </wp:positionV>
            <wp:extent cx="10115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34"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shall mean all liabilities, obligations, damages, losses, claims, actions, suits, judgments, orders, fines, penalties, fees, expenses and costs (including administrative oversight costs, capital and operating costs, injunctive relief, costs associated with financial assurance,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162" w:name="page163"/>
    <w:bookmarkEnd w:id="16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permitting or closure requirements, natural resource damages and investigation or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w:t>
      </w:r>
      <w:r>
        <w:rPr>
          <w:rFonts w:ascii="Arial" w:cs="Arial" w:eastAsia="Arial" w:hAnsi="Arial"/>
          <w:sz w:val="16"/>
          <w:szCs w:val="16"/>
          <w:color w:val="auto"/>
        </w:rPr>
        <w:t>” means any permit, approval, identification number, license or other authorization required under any Environmental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shall mean,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but excluding in each case any debt security that is convertible into, or exchanged for, Equity Interests.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xml:space="preserve">” shall mean any Person, any trade or business (whether or not incorporated) that, together with a Loan Party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is or, within the </w:t>
      </w:r>
      <w:r>
        <w:rPr>
          <w:rFonts w:ascii="Arial" w:cs="Arial" w:eastAsia="Arial" w:hAnsi="Arial"/>
          <w:sz w:val="18"/>
          <w:szCs w:val="18"/>
          <w:color w:val="FF0000"/>
          <w:strike w:val="1"/>
        </w:rPr>
        <w:t>six year</w:t>
      </w:r>
      <w:r>
        <w:rPr>
          <w:rFonts w:ascii="Arial" w:cs="Arial" w:eastAsia="Arial" w:hAnsi="Arial"/>
          <w:sz w:val="18"/>
          <w:szCs w:val="18"/>
          <w:u w:val="single" w:color="auto"/>
          <w:color w:val="0000FF"/>
        </w:rPr>
        <w:t>six-year</w:t>
      </w:r>
      <w:r>
        <w:rPr>
          <w:rFonts w:ascii="Arial" w:cs="Arial" w:eastAsia="Arial" w:hAnsi="Arial"/>
          <w:sz w:val="18"/>
          <w:szCs w:val="18"/>
          <w:color w:val="auto"/>
        </w:rPr>
        <w:t xml:space="preserve"> period immediately preceding the </w:t>
      </w:r>
      <w:r>
        <w:rPr>
          <w:rFonts w:ascii="Arial" w:cs="Arial" w:eastAsia="Arial" w:hAnsi="Arial"/>
          <w:sz w:val="18"/>
          <w:szCs w:val="18"/>
          <w:color w:val="FF0000"/>
          <w:strike w:val="1"/>
        </w:rPr>
        <w:t>Original</w:t>
      </w:r>
      <w:r>
        <w:rPr>
          <w:rFonts w:ascii="Arial" w:cs="Arial" w:eastAsia="Arial" w:hAnsi="Arial"/>
          <w:sz w:val="18"/>
          <w:szCs w:val="18"/>
          <w:u w:val="single" w:color="auto"/>
          <w:color w:val="0000FF"/>
        </w:rPr>
        <w:t>Postpetition B-2 Facility</w:t>
      </w:r>
      <w:r>
        <w:rPr>
          <w:rFonts w:ascii="Arial" w:cs="Arial" w:eastAsia="Arial" w:hAnsi="Arial"/>
          <w:sz w:val="18"/>
          <w:szCs w:val="18"/>
          <w:color w:val="auto"/>
        </w:rPr>
        <w:t xml:space="preserve"> Closing Date, was treated as a single employer under Section 414(b) or (c) of the Code, or, solely for purposes of Section 302 of ERISA and Section 412 of the Code, is treated as a single employer under Section 414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-276860</wp:posOffset>
            </wp:positionV>
            <wp:extent cx="3683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-276860</wp:posOffset>
            </wp:positionV>
            <wp:extent cx="11226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xml:space="preserve">” shall mean (a) a Reportable Event; (b) the failure to satisfy the minimum funding standard with respect to a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within the meaning of Sections 412 or 430 of the Code or Sections 302 or 303 of ERISA, whether or not waived (unless such failure is corrected by the final due date for the plan year for which such failure occurred), (c) a determination that a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is, or is expected to be, in “at risk” status (as defined in Section 303(i)(4) of ERISA or Section 430(i)(4) of the Code); (d) the receipt by a Loan Party, any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or any of their respective ERISA Affiliates of notice pursuant to Section 305(b)(3)(D) of ERISA that a Multiemployer Plan is or will be in “endangered status” or “critical status” (as defined in Section 305(b) of ERISA), or is, or is expected to be, “insolvent” (within the meaning of Section 4245 of ERISA); (e) the filing pursuant to Section 431 of the Code or Section 304 of ERISA of an application for the extension of any amortization period; (f) the failure to timely make a contribution required to be made with respect to any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or Multiemployer Plan; (g) the filing of a notice to terminate any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if such termination would require material additional contributions in order to be considered a standard termination within the meaning of Section 4041(b) of ERISA; (h) the filing under Section 4041(c) of ERISA of a notice of intent to terminate any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or the termination of any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under Section 4041(c) of ERISA; (i) the filing pursuant to Section 412(c) of the Code or Section 302(c) of ERISA of an application for a waiver of the minimum funding standard with respect to any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(j) the incurrence by a Loan Party, any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or any of their respective ERISA Affiliates of any liability under Title IV of ERISA with respect to the termination of any </w:t>
      </w:r>
      <w:r>
        <w:rPr>
          <w:rFonts w:ascii="Arial" w:cs="Arial" w:eastAsia="Arial" w:hAnsi="Arial"/>
          <w:sz w:val="17"/>
          <w:szCs w:val="17"/>
          <w:u w:val="single" w:color="auto"/>
          <w:color w:val="0000FF"/>
        </w:rPr>
        <w:t>Pension</w:t>
      </w:r>
      <w:r>
        <w:rPr>
          <w:rFonts w:ascii="Arial" w:cs="Arial" w:eastAsia="Arial" w:hAnsi="Arial"/>
          <w:sz w:val="17"/>
          <w:szCs w:val="17"/>
          <w:color w:val="auto"/>
        </w:rPr>
        <w:t xml:space="preserve"> Plan; (k) the receipt by a Loan Party, any </w:t>
      </w:r>
      <w:r>
        <w:rPr>
          <w:rFonts w:ascii="Arial" w:cs="Arial" w:eastAsia="Arial" w:hAnsi="Arial"/>
          <w:sz w:val="17"/>
          <w:szCs w:val="17"/>
          <w:color w:val="FF0000"/>
          <w:strike w:val="1"/>
        </w:rPr>
        <w:t>Restricted</w:t>
      </w:r>
      <w:r>
        <w:rPr>
          <w:rFonts w:ascii="Arial" w:cs="Arial" w:eastAsia="Arial" w:hAnsi="Arial"/>
          <w:sz w:val="17"/>
          <w:szCs w:val="17"/>
          <w:color w:val="FF0000"/>
        </w:rPr>
        <w:t xml:space="preserve"> </w:t>
      </w:r>
      <w:r>
        <w:rPr>
          <w:rFonts w:ascii="Arial" w:cs="Arial" w:eastAsia="Arial" w:hAnsi="Arial"/>
          <w:sz w:val="17"/>
          <w:szCs w:val="17"/>
          <w:color w:val="000000"/>
        </w:rPr>
        <w:t>Subsidiary or any of their respective ERISA Affiliates from the PBGC or a plan administrator of any notice of an intention to terminate any</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Pension</w:t>
      </w:r>
      <w:r>
        <w:rPr>
          <w:rFonts w:ascii="Arial" w:cs="Arial" w:eastAsia="Arial" w:hAnsi="Arial"/>
          <w:sz w:val="17"/>
          <w:szCs w:val="17"/>
          <w:color w:val="0000FF"/>
        </w:rPr>
        <w:t xml:space="preserve"> </w:t>
      </w:r>
      <w:r>
        <w:rPr>
          <w:rFonts w:ascii="Arial" w:cs="Arial" w:eastAsia="Arial" w:hAnsi="Arial"/>
          <w:sz w:val="17"/>
          <w:szCs w:val="17"/>
          <w:color w:val="000000"/>
        </w:rPr>
        <w:t>Plan or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Pension</w:t>
      </w:r>
      <w:r>
        <w:rPr>
          <w:rFonts w:ascii="Arial" w:cs="Arial" w:eastAsia="Arial" w:hAnsi="Arial"/>
          <w:sz w:val="17"/>
          <w:szCs w:val="17"/>
          <w:color w:val="0000FF"/>
        </w:rPr>
        <w:t xml:space="preserve"> </w:t>
      </w:r>
      <w:r>
        <w:rPr>
          <w:rFonts w:ascii="Arial" w:cs="Arial" w:eastAsia="Arial" w:hAnsi="Arial"/>
          <w:sz w:val="17"/>
          <w:szCs w:val="17"/>
          <w:color w:val="000000"/>
        </w:rPr>
        <w:t>Plans or to appoint a trustee to administer any</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Pension</w:t>
      </w:r>
      <w:r>
        <w:rPr>
          <w:rFonts w:ascii="Arial" w:cs="Arial" w:eastAsia="Arial" w:hAnsi="Arial"/>
          <w:sz w:val="17"/>
          <w:szCs w:val="17"/>
          <w:color w:val="0000FF"/>
        </w:rPr>
        <w:t xml:space="preserve"> </w:t>
      </w:r>
      <w:r>
        <w:rPr>
          <w:rFonts w:ascii="Arial" w:cs="Arial" w:eastAsia="Arial" w:hAnsi="Arial"/>
          <w:sz w:val="17"/>
          <w:szCs w:val="17"/>
          <w:color w:val="000000"/>
        </w:rPr>
        <w:t>Plan under Section 4042 of ERISA; (l) the receipt by a Loan Party, any</w:t>
      </w:r>
      <w:r>
        <w:rPr>
          <w:rFonts w:ascii="Arial" w:cs="Arial" w:eastAsia="Arial" w:hAnsi="Arial"/>
          <w:sz w:val="17"/>
          <w:szCs w:val="17"/>
          <w:color w:val="0000FF"/>
        </w:rPr>
        <w:t xml:space="preserve"> </w:t>
      </w:r>
      <w:r>
        <w:rPr>
          <w:rFonts w:ascii="Arial" w:cs="Arial" w:eastAsia="Arial" w:hAnsi="Arial"/>
          <w:sz w:val="17"/>
          <w:szCs w:val="17"/>
          <w:color w:val="FF0000"/>
          <w:strike w:val="1"/>
        </w:rPr>
        <w:t>Restricted</w:t>
      </w:r>
      <w:r>
        <w:rPr>
          <w:rFonts w:ascii="Arial" w:cs="Arial" w:eastAsia="Arial" w:hAnsi="Arial"/>
          <w:sz w:val="17"/>
          <w:szCs w:val="17"/>
          <w:color w:val="FF0000"/>
        </w:rPr>
        <w:t xml:space="preserve"> </w:t>
      </w:r>
      <w:r>
        <w:rPr>
          <w:rFonts w:ascii="Arial" w:cs="Arial" w:eastAsia="Arial" w:hAnsi="Arial"/>
          <w:sz w:val="17"/>
          <w:szCs w:val="17"/>
          <w:color w:val="000000"/>
        </w:rPr>
        <w:t>Subsidiary or any of their respective ERISA Affiliates of any notice, or the receipt by any Multiemployer Plan from a Loan Party, any</w:t>
      </w:r>
      <w:r>
        <w:rPr>
          <w:rFonts w:ascii="Arial" w:cs="Arial" w:eastAsia="Arial" w:hAnsi="Arial"/>
          <w:sz w:val="17"/>
          <w:szCs w:val="17"/>
          <w:color w:val="FF0000"/>
        </w:rPr>
        <w:t xml:space="preserve"> </w:t>
      </w:r>
      <w:r>
        <w:rPr>
          <w:rFonts w:ascii="Arial" w:cs="Arial" w:eastAsia="Arial" w:hAnsi="Arial"/>
          <w:sz w:val="17"/>
          <w:szCs w:val="17"/>
          <w:color w:val="FF0000"/>
          <w:strike w:val="1"/>
        </w:rPr>
        <w:t>Restricted</w:t>
      </w:r>
      <w:r>
        <w:rPr>
          <w:rFonts w:ascii="Arial" w:cs="Arial" w:eastAsia="Arial" w:hAnsi="Arial"/>
          <w:sz w:val="17"/>
          <w:szCs w:val="17"/>
          <w:color w:val="FF0000"/>
        </w:rPr>
        <w:t xml:space="preserve"> </w:t>
      </w:r>
      <w:r>
        <w:rPr>
          <w:rFonts w:ascii="Arial" w:cs="Arial" w:eastAsia="Arial" w:hAnsi="Arial"/>
          <w:sz w:val="17"/>
          <w:szCs w:val="17"/>
          <w:color w:val="000000"/>
        </w:rPr>
        <w:t>Subsidiary or any of their respective ERISA Affiliates of any notice, concerning the imposition of Withdrawal Liability; (m) the occurrence</w:t>
      </w:r>
      <w:r>
        <w:rPr>
          <w:rFonts w:ascii="Arial" w:cs="Arial" w:eastAsia="Arial" w:hAnsi="Arial"/>
          <w:sz w:val="17"/>
          <w:szCs w:val="17"/>
          <w:color w:val="FF0000"/>
        </w:rPr>
        <w:t xml:space="preserve"> </w:t>
      </w:r>
      <w:r>
        <w:rPr>
          <w:rFonts w:ascii="Arial" w:cs="Arial" w:eastAsia="Arial" w:hAnsi="Arial"/>
          <w:sz w:val="17"/>
          <w:szCs w:val="17"/>
          <w:color w:val="000000"/>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-2336800</wp:posOffset>
            </wp:positionV>
            <wp:extent cx="38544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5445" cy="889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-2062480</wp:posOffset>
            </wp:positionV>
            <wp:extent cx="3860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-1376680</wp:posOffset>
            </wp:positionV>
            <wp:extent cx="3943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-1376680</wp:posOffset>
            </wp:positionV>
            <wp:extent cx="3860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-1102360</wp:posOffset>
            </wp:positionV>
            <wp:extent cx="3860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-1102360</wp:posOffset>
            </wp:positionV>
            <wp:extent cx="3943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-828040</wp:posOffset>
            </wp:positionV>
            <wp:extent cx="3860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-690880</wp:posOffset>
            </wp:positionV>
            <wp:extent cx="3860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-416560</wp:posOffset>
            </wp:positionV>
            <wp:extent cx="3943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-416560</wp:posOffset>
            </wp:positionV>
            <wp:extent cx="3943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-416560</wp:posOffset>
            </wp:positionV>
            <wp:extent cx="3943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163" w:name="page164"/>
    <w:bookmarkEnd w:id="163"/>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event or condition that would reasonably be expected to result in the termination of a </w:t>
      </w:r>
      <w:r>
        <w:rPr>
          <w:rFonts w:ascii="Arial" w:cs="Arial" w:eastAsia="Arial" w:hAnsi="Arial"/>
          <w:sz w:val="16"/>
          <w:szCs w:val="16"/>
          <w:u w:val="single" w:color="auto"/>
          <w:color w:val="0000FF"/>
        </w:rPr>
        <w:t>Pension</w:t>
      </w:r>
      <w:r>
        <w:rPr>
          <w:rFonts w:ascii="Arial" w:cs="Arial" w:eastAsia="Arial" w:hAnsi="Arial"/>
          <w:sz w:val="16"/>
          <w:szCs w:val="16"/>
          <w:color w:val="auto"/>
        </w:rPr>
        <w:t xml:space="preserve"> Plan or the appointment of a trustee to administer a </w:t>
      </w:r>
      <w:r>
        <w:rPr>
          <w:rFonts w:ascii="Arial" w:cs="Arial" w:eastAsia="Arial" w:hAnsi="Arial"/>
          <w:sz w:val="16"/>
          <w:szCs w:val="16"/>
          <w:u w:val="single" w:color="auto"/>
          <w:color w:val="0000FF"/>
        </w:rPr>
        <w:t>Pension</w:t>
      </w:r>
      <w:r>
        <w:rPr>
          <w:rFonts w:ascii="Arial" w:cs="Arial" w:eastAsia="Arial" w:hAnsi="Arial"/>
          <w:sz w:val="16"/>
          <w:szCs w:val="16"/>
          <w:color w:val="0000FF"/>
        </w:rPr>
        <w:t xml:space="preserve"> </w:t>
      </w:r>
      <w:r>
        <w:rPr>
          <w:rFonts w:ascii="Arial" w:cs="Arial" w:eastAsia="Arial" w:hAnsi="Arial"/>
          <w:sz w:val="16"/>
          <w:szCs w:val="16"/>
          <w:color w:val="000000"/>
        </w:rPr>
        <w:t>Plan; (</w:t>
      </w:r>
      <w:r>
        <w:rPr>
          <w:rFonts w:ascii="Arial" w:cs="Arial" w:eastAsia="Arial" w:hAnsi="Arial"/>
          <w:sz w:val="16"/>
          <w:szCs w:val="16"/>
          <w:color w:val="FF0000"/>
          <w:strike w:val="1"/>
        </w:rPr>
        <w:t>o</w:t>
      </w:r>
      <w:r>
        <w:rPr>
          <w:rFonts w:ascii="Arial" w:cs="Arial" w:eastAsia="Arial" w:hAnsi="Arial"/>
          <w:sz w:val="16"/>
          <w:szCs w:val="16"/>
          <w:u w:val="single" w:color="auto"/>
          <w:color w:val="0000FF"/>
        </w:rPr>
        <w:t>n</w:t>
      </w:r>
      <w:r>
        <w:rPr>
          <w:rFonts w:ascii="Arial" w:cs="Arial" w:eastAsia="Arial" w:hAnsi="Arial"/>
          <w:sz w:val="16"/>
          <w:szCs w:val="16"/>
          <w:color w:val="000000"/>
        </w:rPr>
        <w:t>) the occurrence of a nonexempt prohibited transaction (within the meaning of Section 406 of ERISA or Section 4975 of the Code)</w:t>
      </w:r>
      <w:r>
        <w:rPr>
          <w:rFonts w:ascii="Arial" w:cs="Arial" w:eastAsia="Arial" w:hAnsi="Arial"/>
          <w:sz w:val="16"/>
          <w:szCs w:val="16"/>
          <w:color w:val="0000FF"/>
        </w:rPr>
        <w:t xml:space="preserve"> </w:t>
      </w:r>
      <w:r>
        <w:rPr>
          <w:rFonts w:ascii="Arial" w:cs="Arial" w:eastAsia="Arial" w:hAnsi="Arial"/>
          <w:sz w:val="16"/>
          <w:szCs w:val="16"/>
          <w:color w:val="000000"/>
        </w:rPr>
        <w:t xml:space="preserve">with respect to any Plan which could result in liability to a Loan Party or any </w:t>
      </w:r>
      <w:r>
        <w:rPr>
          <w:rFonts w:ascii="Arial" w:cs="Arial" w:eastAsia="Arial" w:hAnsi="Arial"/>
          <w:sz w:val="16"/>
          <w:szCs w:val="16"/>
          <w:color w:val="FF0000"/>
          <w:strike w:val="1"/>
        </w:rPr>
        <w:t>Restricted</w:t>
      </w:r>
      <w:r>
        <w:rPr>
          <w:rFonts w:ascii="Arial" w:cs="Arial" w:eastAsia="Arial" w:hAnsi="Arial"/>
          <w:sz w:val="16"/>
          <w:szCs w:val="16"/>
          <w:color w:val="000000"/>
        </w:rPr>
        <w:t xml:space="preserve"> Subsidiary or with respect to which a Loan Party or any </w:t>
      </w:r>
      <w:r>
        <w:rPr>
          <w:rFonts w:ascii="Arial" w:cs="Arial" w:eastAsia="Arial" w:hAnsi="Arial"/>
          <w:sz w:val="16"/>
          <w:szCs w:val="16"/>
          <w:color w:val="FF0000"/>
          <w:strike w:val="1"/>
        </w:rPr>
        <w:t>Restricted</w:t>
      </w:r>
      <w:r>
        <w:rPr>
          <w:rFonts w:ascii="Arial" w:cs="Arial" w:eastAsia="Arial" w:hAnsi="Arial"/>
          <w:sz w:val="16"/>
          <w:szCs w:val="16"/>
          <w:color w:val="FF0000"/>
        </w:rPr>
        <w:t xml:space="preserve"> </w:t>
      </w:r>
      <w:r>
        <w:rPr>
          <w:rFonts w:ascii="Arial" w:cs="Arial" w:eastAsia="Arial" w:hAnsi="Arial"/>
          <w:sz w:val="16"/>
          <w:szCs w:val="16"/>
          <w:color w:val="000000"/>
        </w:rPr>
        <w:t>Subsidiary is a “disqualified person” (as defined in Section 4975 of the Code) or a “party in interest” (as defined in Section 3(14) of ERISA);</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color w:val="FF0000"/>
          <w:strike w:val="1"/>
        </w:rPr>
        <w:t>p</w:t>
      </w:r>
      <w:r>
        <w:rPr>
          <w:rFonts w:ascii="Arial" w:cs="Arial" w:eastAsia="Arial" w:hAnsi="Arial"/>
          <w:sz w:val="16"/>
          <w:szCs w:val="16"/>
          <w:u w:val="single" w:color="auto"/>
          <w:color w:val="0000FF"/>
        </w:rPr>
        <w:t>o</w:t>
      </w:r>
      <w:r>
        <w:rPr>
          <w:rFonts w:ascii="Arial" w:cs="Arial" w:eastAsia="Arial" w:hAnsi="Arial"/>
          <w:sz w:val="16"/>
          <w:szCs w:val="16"/>
          <w:color w:val="000000"/>
        </w:rPr>
        <w:t xml:space="preserve">) the incurrence of any liability with respect to any </w:t>
      </w:r>
      <w:r>
        <w:rPr>
          <w:rFonts w:ascii="Arial" w:cs="Arial" w:eastAsia="Arial" w:hAnsi="Arial"/>
          <w:sz w:val="16"/>
          <w:szCs w:val="16"/>
          <w:u w:val="single" w:color="auto"/>
          <w:color w:val="0000FF"/>
        </w:rPr>
        <w:t>Pension</w:t>
      </w:r>
      <w:r>
        <w:rPr>
          <w:rFonts w:ascii="Arial" w:cs="Arial" w:eastAsia="Arial" w:hAnsi="Arial"/>
          <w:sz w:val="16"/>
          <w:szCs w:val="16"/>
          <w:color w:val="000000"/>
        </w:rPr>
        <w:t xml:space="preserve"> Plan or Multiemployer Plan under Title IV of ERISA (other than premiums due and not delinquent under Section 4007 of ERISA); </w:t>
      </w:r>
      <w:r>
        <w:rPr>
          <w:rFonts w:ascii="Arial" w:cs="Arial" w:eastAsia="Arial" w:hAnsi="Arial"/>
          <w:sz w:val="16"/>
          <w:szCs w:val="16"/>
          <w:color w:val="FF0000"/>
          <w:strike w:val="1"/>
        </w:rPr>
        <w:t>or</w:t>
      </w:r>
      <w:r>
        <w:rPr>
          <w:rFonts w:ascii="Arial" w:cs="Arial" w:eastAsia="Arial" w:hAnsi="Arial"/>
          <w:sz w:val="16"/>
          <w:szCs w:val="16"/>
          <w:color w:val="000000"/>
        </w:rPr>
        <w:t xml:space="preserve"> (</w:t>
      </w:r>
      <w:r>
        <w:rPr>
          <w:rFonts w:ascii="Arial" w:cs="Arial" w:eastAsia="Arial" w:hAnsi="Arial"/>
          <w:sz w:val="16"/>
          <w:szCs w:val="16"/>
          <w:color w:val="FF0000"/>
          <w:strike w:val="1"/>
        </w:rPr>
        <w:t>q</w:t>
      </w:r>
      <w:r>
        <w:rPr>
          <w:rFonts w:ascii="Arial" w:cs="Arial" w:eastAsia="Arial" w:hAnsi="Arial"/>
          <w:sz w:val="16"/>
          <w:szCs w:val="16"/>
          <w:u w:val="single" w:color="auto"/>
          <w:color w:val="0000FF"/>
        </w:rPr>
        <w:t>p</w:t>
      </w:r>
      <w:r>
        <w:rPr>
          <w:rFonts w:ascii="Arial" w:cs="Arial" w:eastAsia="Arial" w:hAnsi="Arial"/>
          <w:sz w:val="16"/>
          <w:szCs w:val="16"/>
          <w:color w:val="000000"/>
        </w:rPr>
        <w:t>) engagement in any transaction that could be subject to Sections 4069 or 4212(c) of ERISA</w:t>
      </w:r>
      <w:r>
        <w:rPr>
          <w:rFonts w:ascii="Arial" w:cs="Arial" w:eastAsia="Arial" w:hAnsi="Arial"/>
          <w:sz w:val="16"/>
          <w:szCs w:val="16"/>
          <w:color w:val="FF0000"/>
          <w:strike w:val="1"/>
        </w:rPr>
        <w:t>.</w:t>
      </w:r>
      <w:r>
        <w:rPr>
          <w:rFonts w:ascii="Arial" w:cs="Arial" w:eastAsia="Arial" w:hAnsi="Arial"/>
          <w:sz w:val="16"/>
          <w:szCs w:val="16"/>
          <w:u w:val="single" w:color="auto"/>
          <w:color w:val="0000FF"/>
        </w:rPr>
        <w:t>; or (q)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PBGC or any Multiemployer Plan indicates its intention to file an action, suit, litigation or proceeding (including in the Chapter 11 Orders) (x) contesting the Transactions, this Agreement or any of the other Loan Documents or the sale of the Collateral in accordance with the Chapter 11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-950595</wp:posOffset>
            </wp:positionV>
            <wp:extent cx="3860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-813435</wp:posOffset>
            </wp:positionV>
            <wp:extent cx="3943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-813435</wp:posOffset>
            </wp:positionV>
            <wp:extent cx="59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-401955</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-401955</wp:posOffset>
            </wp:positionV>
            <wp:extent cx="3860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-264795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6497955</wp:posOffset>
            </wp:positionH>
            <wp:positionV relativeFrom="paragraph">
              <wp:posOffset>-264795</wp:posOffset>
            </wp:positionV>
            <wp:extent cx="4800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5151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ind w:left="4" w:right="640" w:hanging="4"/>
        <w:spacing w:after="0" w:line="290" w:lineRule="auto"/>
        <w:tabs>
          <w:tab w:leader="none" w:pos="259" w:val="left"/>
        </w:tabs>
        <w:numPr>
          <w:ilvl w:val="0"/>
          <w:numId w:val="7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that materially impairs the value of any Collateral constituting real property interests and Rolling Stock of the Loan Parties or (z) that would reasonably be expected to prevent or materially delay the sale of the Collateral in accordance with the Chapter 11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176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5665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55460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assigned to such term in Article 8.</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Excess Cash Flow</w:t>
      </w:r>
      <w:r>
        <w:rPr>
          <w:rFonts w:ascii="Arial" w:cs="Arial" w:eastAsia="Arial" w:hAnsi="Arial"/>
          <w:sz w:val="18"/>
          <w:szCs w:val="18"/>
          <w:color w:val="FF0000"/>
          <w:strike w:val="1"/>
        </w:rPr>
        <w:t>” shall mean, for any period, an amount equal to:</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(a) the sum, without duplication, 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(i)</w:t>
      </w:r>
      <w:r>
        <w:rPr>
          <w:rFonts w:ascii="Arial" w:cs="Arial" w:eastAsia="Arial" w:hAnsi="Arial"/>
          <w:sz w:val="18"/>
          <w:szCs w:val="18"/>
          <w:color w:val="000000"/>
        </w:rPr>
        <w:t xml:space="preserve">  </w:t>
      </w:r>
      <w:r>
        <w:rPr>
          <w:rFonts w:ascii="Arial" w:cs="Arial" w:eastAsia="Arial" w:hAnsi="Arial"/>
          <w:sz w:val="18"/>
          <w:szCs w:val="18"/>
          <w:color w:val="FF0000"/>
          <w:strike w:val="1"/>
        </w:rPr>
        <w:t>Consolidated Net Income for such period,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(ii)</w:t>
      </w:r>
      <w:r>
        <w:rPr>
          <w:rFonts w:ascii="Arial" w:cs="Arial" w:eastAsia="Arial" w:hAnsi="Arial"/>
          <w:sz w:val="18"/>
          <w:szCs w:val="18"/>
          <w:color w:val="000000"/>
        </w:rPr>
        <w:t xml:space="preserve">  </w:t>
      </w:r>
      <w:r>
        <w:rPr>
          <w:rFonts w:ascii="Arial" w:cs="Arial" w:eastAsia="Arial" w:hAnsi="Arial"/>
          <w:sz w:val="18"/>
          <w:szCs w:val="18"/>
          <w:color w:val="FF0000"/>
          <w:strike w:val="1"/>
        </w:rPr>
        <w:t>an amount equal to the amount of all non-cash charges to the extent deducted in arriving at such Consolidated Net Income,</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FF0000"/>
          <w:strike w:val="1"/>
        </w:rPr>
        <w:t>(iii)</w:t>
      </w:r>
      <w:r>
        <w:rPr>
          <w:rFonts w:ascii="Arial" w:cs="Arial" w:eastAsia="Arial" w:hAnsi="Arial"/>
          <w:sz w:val="18"/>
          <w:szCs w:val="18"/>
          <w:color w:val="000000"/>
        </w:rPr>
        <w:t xml:space="preserve">  </w:t>
      </w:r>
      <w:r>
        <w:rPr>
          <w:rFonts w:ascii="Arial" w:cs="Arial" w:eastAsia="Arial" w:hAnsi="Arial"/>
          <w:sz w:val="18"/>
          <w:szCs w:val="18"/>
          <w:color w:val="FF0000"/>
          <w:strike w:val="1"/>
        </w:rPr>
        <w:t>decreases in Consolidated Working Capital for such period (other than any such decreases arising from acquisitions or dispositions by the</w:t>
      </w:r>
      <w:r>
        <w:rPr>
          <w:rFonts w:ascii="Arial" w:cs="Arial" w:eastAsia="Arial" w:hAnsi="Arial"/>
          <w:sz w:val="18"/>
          <w:szCs w:val="18"/>
          <w:color w:val="FF0000"/>
        </w:rPr>
        <w:t xml:space="preserve"> </w:t>
      </w:r>
      <w:r>
        <w:rPr>
          <w:rFonts w:ascii="Arial" w:cs="Arial" w:eastAsia="Arial" w:hAnsi="Arial"/>
          <w:sz w:val="18"/>
          <w:szCs w:val="18"/>
          <w:color w:val="FF0000"/>
          <w:strike w:val="1"/>
        </w:rPr>
        <w:t>Borrower and its Restricted Subsidiaries completed during such period),</w:t>
      </w:r>
    </w:p>
    <w:p>
      <w:pPr>
        <w:spacing w:after="0" w:line="170"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FF0000"/>
          <w:strike w:val="1"/>
        </w:rPr>
        <w:t>(iv)</w:t>
      </w:r>
      <w:r>
        <w:rPr>
          <w:rFonts w:ascii="Arial" w:cs="Arial" w:eastAsia="Arial" w:hAnsi="Arial"/>
          <w:sz w:val="18"/>
          <w:szCs w:val="18"/>
          <w:color w:val="000000"/>
        </w:rPr>
        <w:t xml:space="preserve"> </w:t>
      </w:r>
      <w:r>
        <w:rPr>
          <w:rFonts w:ascii="Arial" w:cs="Arial" w:eastAsia="Arial" w:hAnsi="Arial"/>
          <w:sz w:val="18"/>
          <w:szCs w:val="18"/>
          <w:color w:val="FF0000"/>
          <w:strike w:val="1"/>
        </w:rPr>
        <w:t>cash receipts in respect of Swap Contracts during such period to the extent such receipts were not otherwise included in arriving at such</w:t>
      </w:r>
      <w:r>
        <w:rPr>
          <w:rFonts w:ascii="Arial" w:cs="Arial" w:eastAsia="Arial" w:hAnsi="Arial"/>
          <w:sz w:val="18"/>
          <w:szCs w:val="18"/>
          <w:color w:val="FF0000"/>
        </w:rPr>
        <w:t xml:space="preserve"> </w:t>
      </w:r>
      <w:r>
        <w:rPr>
          <w:rFonts w:ascii="Arial" w:cs="Arial" w:eastAsia="Arial" w:hAnsi="Arial"/>
          <w:sz w:val="18"/>
          <w:szCs w:val="18"/>
          <w:color w:val="FF0000"/>
          <w:strike w:val="1"/>
        </w:rPr>
        <w:t>Consolidated Net Income,</w:t>
      </w:r>
    </w:p>
    <w:p>
      <w:pPr>
        <w:spacing w:after="0" w:line="170"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FF0000"/>
          <w:strike w:val="1"/>
        </w:rPr>
        <w:t>(v)</w:t>
      </w:r>
      <w:r>
        <w:rPr>
          <w:rFonts w:ascii="Arial" w:cs="Arial" w:eastAsia="Arial" w:hAnsi="Arial"/>
          <w:sz w:val="18"/>
          <w:szCs w:val="18"/>
          <w:color w:val="000000"/>
        </w:rPr>
        <w:t xml:space="preserve">  </w:t>
      </w:r>
      <w:r>
        <w:rPr>
          <w:rFonts w:ascii="Arial" w:cs="Arial" w:eastAsia="Arial" w:hAnsi="Arial"/>
          <w:sz w:val="18"/>
          <w:szCs w:val="18"/>
          <w:color w:val="FF0000"/>
          <w:strike w:val="1"/>
        </w:rPr>
        <w:t>the amount of tax expense deducted in determining Consolidated Net Income for such period to the extent it exceeds the amount of cash</w:t>
      </w:r>
      <w:r>
        <w:rPr>
          <w:rFonts w:ascii="Arial" w:cs="Arial" w:eastAsia="Arial" w:hAnsi="Arial"/>
          <w:sz w:val="18"/>
          <w:szCs w:val="18"/>
          <w:color w:val="FF0000"/>
        </w:rPr>
        <w:t xml:space="preserve"> </w:t>
      </w:r>
      <w:r>
        <w:rPr>
          <w:rFonts w:ascii="Arial" w:cs="Arial" w:eastAsia="Arial" w:hAnsi="Arial"/>
          <w:sz w:val="18"/>
          <w:szCs w:val="18"/>
          <w:color w:val="FF0000"/>
          <w:strike w:val="1"/>
        </w:rPr>
        <w:t>taxes paid in such period,</w:t>
      </w:r>
    </w:p>
    <w:p>
      <w:pPr>
        <w:spacing w:after="0" w:line="170" w:lineRule="exact"/>
        <w:rPr>
          <w:sz w:val="20"/>
          <w:szCs w:val="20"/>
          <w:color w:val="auto"/>
        </w:rPr>
      </w:pPr>
    </w:p>
    <w:p>
      <w:pPr>
        <w:ind w:left="4" w:right="420" w:firstLine="440"/>
        <w:spacing w:after="0" w:line="308" w:lineRule="auto"/>
        <w:rPr>
          <w:sz w:val="20"/>
          <w:szCs w:val="20"/>
          <w:color w:val="auto"/>
        </w:rPr>
      </w:pPr>
      <w:r>
        <w:rPr>
          <w:rFonts w:ascii="Arial" w:cs="Arial" w:eastAsia="Arial" w:hAnsi="Arial"/>
          <w:sz w:val="17"/>
          <w:szCs w:val="17"/>
          <w:color w:val="FF0000"/>
          <w:strike w:val="1"/>
        </w:rPr>
        <w:t>(vi)</w:t>
      </w:r>
      <w:r>
        <w:rPr>
          <w:rFonts w:ascii="Arial" w:cs="Arial" w:eastAsia="Arial" w:hAnsi="Arial"/>
          <w:sz w:val="17"/>
          <w:szCs w:val="17"/>
          <w:color w:val="000000"/>
        </w:rPr>
        <w:t xml:space="preserve"> </w:t>
      </w:r>
      <w:r>
        <w:rPr>
          <w:rFonts w:ascii="Arial" w:cs="Arial" w:eastAsia="Arial" w:hAnsi="Arial"/>
          <w:sz w:val="17"/>
          <w:szCs w:val="17"/>
          <w:color w:val="008000"/>
          <w:strike w:val="1"/>
        </w:rPr>
        <w:t>an amount equal to the aggregate</w:t>
      </w:r>
      <w:r>
        <w:rPr>
          <w:rFonts w:ascii="Arial" w:cs="Arial" w:eastAsia="Arial" w:hAnsi="Arial"/>
          <w:sz w:val="17"/>
          <w:szCs w:val="17"/>
          <w:color w:val="FF0000"/>
        </w:rPr>
        <w:t xml:space="preserve"> </w:t>
      </w:r>
      <w:r>
        <w:rPr>
          <w:rFonts w:ascii="Arial" w:cs="Arial" w:eastAsia="Arial" w:hAnsi="Arial"/>
          <w:sz w:val="17"/>
          <w:szCs w:val="17"/>
          <w:color w:val="FF0000"/>
          <w:strike w:val="1"/>
        </w:rPr>
        <w:t>net non-cash loss on Dispositions by the Borrower and its Restricted Subsidiaries during such period</w:t>
      </w:r>
      <w:r>
        <w:rPr>
          <w:rFonts w:ascii="Arial" w:cs="Arial" w:eastAsia="Arial" w:hAnsi="Arial"/>
          <w:sz w:val="17"/>
          <w:szCs w:val="17"/>
          <w:color w:val="FF0000"/>
        </w:rPr>
        <w:t xml:space="preserve"> </w:t>
      </w:r>
      <w:r>
        <w:rPr>
          <w:rFonts w:ascii="Arial" w:cs="Arial" w:eastAsia="Arial" w:hAnsi="Arial"/>
          <w:sz w:val="17"/>
          <w:szCs w:val="17"/>
          <w:color w:val="FF0000"/>
          <w:strike w:val="1"/>
        </w:rPr>
        <w:t>(other than Dispositions in the ordinary course of business) to the extent deducted in arriving at such Consolidated Net Income,</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minus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(b) the sum, without duplication, 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(i)</w:t>
      </w:r>
      <w:r>
        <w:rPr>
          <w:rFonts w:ascii="Arial" w:cs="Arial" w:eastAsia="Arial" w:hAnsi="Arial"/>
          <w:sz w:val="18"/>
          <w:szCs w:val="18"/>
          <w:color w:val="000000"/>
        </w:rPr>
        <w:t xml:space="preserve"> </w:t>
      </w:r>
      <w:r>
        <w:rPr>
          <w:rFonts w:ascii="Arial" w:cs="Arial" w:eastAsia="Arial" w:hAnsi="Arial"/>
          <w:sz w:val="18"/>
          <w:szCs w:val="18"/>
          <w:color w:val="FF0000"/>
          <w:strike w:val="1"/>
        </w:rPr>
        <w:t>an amount equal to the amount of all non-cash credits included in arriving at such Consolidated Net Income,</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FF0000"/>
          <w:strike w:val="1"/>
        </w:rPr>
        <w:t>(ii)</w:t>
      </w:r>
      <w:r>
        <w:rPr>
          <w:rFonts w:ascii="Arial" w:cs="Arial" w:eastAsia="Arial" w:hAnsi="Arial"/>
          <w:sz w:val="18"/>
          <w:szCs w:val="18"/>
          <w:color w:val="000000"/>
        </w:rPr>
        <w:t xml:space="preserve">  </w:t>
      </w:r>
      <w:r>
        <w:rPr>
          <w:rFonts w:ascii="Arial" w:cs="Arial" w:eastAsia="Arial" w:hAnsi="Arial"/>
          <w:sz w:val="18"/>
          <w:szCs w:val="18"/>
          <w:color w:val="FF0000"/>
          <w:strike w:val="1"/>
        </w:rPr>
        <w:t>the amount of Capital Expenditures made in cash during such period (or committed to be made within 90 days after the end of such period)</w:t>
      </w:r>
      <w:r>
        <w:rPr>
          <w:rFonts w:ascii="Arial" w:cs="Arial" w:eastAsia="Arial" w:hAnsi="Arial"/>
          <w:sz w:val="18"/>
          <w:szCs w:val="18"/>
          <w:color w:val="FF0000"/>
        </w:rPr>
        <w:t xml:space="preserve"> </w:t>
      </w:r>
      <w:r>
        <w:rPr>
          <w:rFonts w:ascii="Arial" w:cs="Arial" w:eastAsia="Arial" w:hAnsi="Arial"/>
          <w:sz w:val="18"/>
          <w:szCs w:val="18"/>
          <w:color w:val="FF0000"/>
          <w:strike w:val="1"/>
        </w:rPr>
        <w:t>to the extent financed with Internally Generated Cash,</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164" w:name="page165"/>
    <w:bookmarkEnd w:id="164"/>
    <w:p>
      <w:pPr>
        <w:ind w:left="4" w:right="220" w:firstLine="440"/>
        <w:spacing w:after="0" w:line="342"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w:t>
      </w:r>
      <w:r>
        <w:rPr>
          <w:rFonts w:ascii="Arial" w:cs="Arial" w:eastAsia="Arial" w:hAnsi="Arial"/>
          <w:sz w:val="16"/>
          <w:szCs w:val="16"/>
          <w:color w:val="000000"/>
        </w:rPr>
        <w:t xml:space="preserve">  </w:t>
      </w:r>
      <w:r>
        <w:rPr>
          <w:rFonts w:ascii="Arial" w:cs="Arial" w:eastAsia="Arial" w:hAnsi="Arial"/>
          <w:sz w:val="16"/>
          <w:szCs w:val="16"/>
          <w:color w:val="FF0000"/>
          <w:strike w:val="1"/>
        </w:rPr>
        <w:t>the aggregate amount of payments made in cash during such period (or committed to be paid in cash within 90 days after the end of such</w:t>
      </w:r>
      <w:r>
        <w:rPr>
          <w:rFonts w:ascii="Arial" w:cs="Arial" w:eastAsia="Arial" w:hAnsi="Arial"/>
          <w:sz w:val="16"/>
          <w:szCs w:val="16"/>
          <w:color w:val="FF0000"/>
        </w:rPr>
        <w:t xml:space="preserve"> </w:t>
      </w:r>
      <w:r>
        <w:rPr>
          <w:rFonts w:ascii="Arial" w:cs="Arial" w:eastAsia="Arial" w:hAnsi="Arial"/>
          <w:sz w:val="16"/>
          <w:szCs w:val="16"/>
          <w:color w:val="FF0000"/>
          <w:strike w:val="1"/>
        </w:rPr>
        <w:t>period) (other than Capital Expenditures) and capitalized in accordance with GAAP to the extent financed with Internally Generated Cash,</w:t>
      </w:r>
    </w:p>
    <w:p>
      <w:pPr>
        <w:spacing w:after="0" w:line="124"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FF0000"/>
          <w:strike w:val="1"/>
        </w:rPr>
        <w:t>(iv)</w:t>
      </w:r>
      <w:r>
        <w:rPr>
          <w:rFonts w:ascii="Arial" w:cs="Arial" w:eastAsia="Arial" w:hAnsi="Arial"/>
          <w:sz w:val="16"/>
          <w:szCs w:val="16"/>
          <w:color w:val="000000"/>
        </w:rPr>
        <w:t xml:space="preserve">  </w:t>
      </w:r>
      <w:r>
        <w:rPr>
          <w:rFonts w:ascii="Arial" w:cs="Arial" w:eastAsia="Arial" w:hAnsi="Arial"/>
          <w:sz w:val="16"/>
          <w:szCs w:val="16"/>
          <w:color w:val="FF0000"/>
          <w:strike w:val="1"/>
        </w:rPr>
        <w:t>the aggregate amount of all principal payments of Indebtedness of the Borrower and its Restricted Subsidiaries during such period, in each</w:t>
      </w:r>
      <w:r>
        <w:rPr>
          <w:rFonts w:ascii="Arial" w:cs="Arial" w:eastAsia="Arial" w:hAnsi="Arial"/>
          <w:sz w:val="16"/>
          <w:szCs w:val="16"/>
          <w:color w:val="FF0000"/>
        </w:rPr>
        <w:t xml:space="preserve"> </w:t>
      </w:r>
      <w:r>
        <w:rPr>
          <w:rFonts w:ascii="Arial" w:cs="Arial" w:eastAsia="Arial" w:hAnsi="Arial"/>
          <w:sz w:val="16"/>
          <w:szCs w:val="16"/>
          <w:color w:val="FF0000"/>
          <w:strike w:val="1"/>
        </w:rPr>
        <w:t>case to the extent financed with Internally Generated Cash (including (A) the principal component of payments in respect of Capitalized Leases and</w:t>
      </w:r>
    </w:p>
    <w:p>
      <w:pPr>
        <w:ind w:left="4" w:right="20" w:hanging="4"/>
        <w:spacing w:after="0" w:line="268" w:lineRule="auto"/>
        <w:tabs>
          <w:tab w:leader="none" w:pos="289" w:val="left"/>
        </w:tabs>
        <w:numPr>
          <w:ilvl w:val="0"/>
          <w:numId w:val="73"/>
        </w:numPr>
        <w:rPr>
          <w:rFonts w:ascii="Arial" w:cs="Arial" w:eastAsia="Arial" w:hAnsi="Arial"/>
          <w:sz w:val="17"/>
          <w:szCs w:val="17"/>
          <w:color w:val="FF0000"/>
          <w:strike w:val="1"/>
        </w:rPr>
      </w:pPr>
      <w:r>
        <w:rPr>
          <w:rFonts w:ascii="Arial" w:cs="Arial" w:eastAsia="Arial" w:hAnsi="Arial"/>
          <w:sz w:val="17"/>
          <w:szCs w:val="17"/>
          <w:color w:val="FF0000"/>
          <w:strike w:val="1"/>
        </w:rPr>
        <w:t xml:space="preserve">voluntary prepayments or buybacks of Term Loans made pursuant to </w:t>
      </w:r>
      <w:r>
        <w:rPr>
          <w:rFonts w:ascii="Arial" w:cs="Arial" w:eastAsia="Arial" w:hAnsi="Arial"/>
          <w:sz w:val="17"/>
          <w:szCs w:val="17"/>
          <w:u w:val="single" w:color="auto"/>
          <w:color w:val="FF0000"/>
          <w:strike w:val="1"/>
        </w:rPr>
        <w:t>Section 10.04(k)</w:t>
      </w:r>
      <w:r>
        <w:rPr>
          <w:rFonts w:ascii="Arial" w:cs="Arial" w:eastAsia="Arial" w:hAnsi="Arial"/>
          <w:sz w:val="17"/>
          <w:szCs w:val="17"/>
          <w:color w:val="FF0000"/>
          <w:strike w:val="1"/>
        </w:rPr>
        <w:t xml:space="preserve"> (in an amount equal to the discounted amount actually paid in respect of the principal amount of such Term Loans), but excluding (W) all voluntary prepayments of Term Loans (other than voluntary prepayments made pursuant to </w:t>
      </w:r>
      <w:r>
        <w:rPr>
          <w:rFonts w:ascii="Arial" w:cs="Arial" w:eastAsia="Arial" w:hAnsi="Arial"/>
          <w:sz w:val="17"/>
          <w:szCs w:val="17"/>
          <w:u w:val="single" w:color="auto"/>
          <w:color w:val="FF0000"/>
          <w:strike w:val="1"/>
        </w:rPr>
        <w:t>Section 10.04(k)</w:t>
      </w:r>
      <w:r>
        <w:rPr>
          <w:rFonts w:ascii="Arial" w:cs="Arial" w:eastAsia="Arial" w:hAnsi="Arial"/>
          <w:sz w:val="17"/>
          <w:szCs w:val="17"/>
          <w:color w:val="FF0000"/>
          <w:strike w:val="1"/>
        </w:rPr>
        <w:t xml:space="preserve">), (X) all prepayments of Indebtedness on the Restatement Effective Date in connection with the Refinancing Transactions, (Y) all prepayments, redemptions or repurchases in respect of (i) Permitted Junior Priority Additional Debt (or any Permitted Refinancing thereof), except to the extent permitted under </w:t>
      </w:r>
      <w:r>
        <w:rPr>
          <w:rFonts w:ascii="Arial" w:cs="Arial" w:eastAsia="Arial" w:hAnsi="Arial"/>
          <w:sz w:val="17"/>
          <w:szCs w:val="17"/>
          <w:u w:val="single" w:color="auto"/>
          <w:color w:val="FF0000"/>
          <w:strike w:val="1"/>
        </w:rPr>
        <w:t>Section 7.13(a)</w:t>
      </w:r>
      <w:r>
        <w:rPr>
          <w:rFonts w:ascii="Arial" w:cs="Arial" w:eastAsia="Arial" w:hAnsi="Arial"/>
          <w:sz w:val="17"/>
          <w:szCs w:val="17"/>
          <w:color w:val="FF0000"/>
          <w:strike w:val="1"/>
        </w:rPr>
        <w:t xml:space="preserve"> and (ii) Junior Financing, except to the extent permitted under </w:t>
      </w:r>
      <w:r>
        <w:rPr>
          <w:rFonts w:ascii="Arial" w:cs="Arial" w:eastAsia="Arial" w:hAnsi="Arial"/>
          <w:sz w:val="17"/>
          <w:szCs w:val="17"/>
          <w:u w:val="single" w:color="auto"/>
          <w:color w:val="FF0000"/>
          <w:strike w:val="1"/>
        </w:rPr>
        <w:t>Section 7.13(a)</w:t>
      </w:r>
      <w:r>
        <w:rPr>
          <w:rFonts w:ascii="Arial" w:cs="Arial" w:eastAsia="Arial" w:hAnsi="Arial"/>
          <w:sz w:val="17"/>
          <w:szCs w:val="17"/>
          <w:color w:val="FF0000"/>
          <w:strike w:val="1"/>
        </w:rPr>
        <w:t xml:space="preserve"> and (Z) all prepayments of loans under the ABL Facility or any other revolving credit facility made during such period unless there is a corresponding permanent commitment reduction in connection therewith (it being agreed that any amount excluded pursuant to clause (W), (X), (Y) or (Z) may not be deducted under any other clause of this definition),</w:t>
      </w:r>
    </w:p>
    <w:p>
      <w:pPr>
        <w:spacing w:after="0" w:line="18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FF0000"/>
          <w:strike w:val="1"/>
        </w:rPr>
        <w:t>(v)</w:t>
      </w:r>
      <w:r>
        <w:rPr>
          <w:rFonts w:ascii="Arial" w:cs="Arial" w:eastAsia="Arial" w:hAnsi="Arial"/>
          <w:sz w:val="18"/>
          <w:szCs w:val="18"/>
          <w:color w:val="000000"/>
        </w:rPr>
        <w:t xml:space="preserve"> </w:t>
      </w:r>
      <w:r>
        <w:rPr>
          <w:rFonts w:ascii="Arial" w:cs="Arial" w:eastAsia="Arial" w:hAnsi="Arial"/>
          <w:sz w:val="18"/>
          <w:szCs w:val="18"/>
          <w:color w:val="FF0000"/>
          <w:strike w:val="1"/>
        </w:rPr>
        <w:t>an amount equal to the aggregate net non-cash gain on Dispositions by the Borrower and its Restricted Subsidiaries during such period (other</w:t>
      </w:r>
      <w:r>
        <w:rPr>
          <w:rFonts w:ascii="Arial" w:cs="Arial" w:eastAsia="Arial" w:hAnsi="Arial"/>
          <w:sz w:val="18"/>
          <w:szCs w:val="18"/>
          <w:color w:val="FF0000"/>
        </w:rPr>
        <w:t xml:space="preserve"> </w:t>
      </w:r>
      <w:r>
        <w:rPr>
          <w:rFonts w:ascii="Arial" w:cs="Arial" w:eastAsia="Arial" w:hAnsi="Arial"/>
          <w:sz w:val="18"/>
          <w:szCs w:val="18"/>
          <w:color w:val="FF0000"/>
          <w:strike w:val="1"/>
        </w:rPr>
        <w:t>than Dispositions in the ordinary course of business) to the extent included in arriving at such Consolidated Net Income,</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FF0000"/>
          <w:strike w:val="1"/>
        </w:rPr>
        <w:t>(vi)</w:t>
      </w:r>
      <w:r>
        <w:rPr>
          <w:rFonts w:ascii="Arial" w:cs="Arial" w:eastAsia="Arial" w:hAnsi="Arial"/>
          <w:sz w:val="18"/>
          <w:szCs w:val="18"/>
          <w:color w:val="000000"/>
        </w:rPr>
        <w:t xml:space="preserve"> </w:t>
      </w:r>
      <w:r>
        <w:rPr>
          <w:rFonts w:ascii="Arial" w:cs="Arial" w:eastAsia="Arial" w:hAnsi="Arial"/>
          <w:sz w:val="18"/>
          <w:szCs w:val="18"/>
          <w:color w:val="FF0000"/>
          <w:strike w:val="1"/>
        </w:rPr>
        <w:t>increases in Consolidated Working Capital for such period (other than any such increases arising from acquisitions or dispositions by the</w:t>
      </w:r>
      <w:r>
        <w:rPr>
          <w:rFonts w:ascii="Arial" w:cs="Arial" w:eastAsia="Arial" w:hAnsi="Arial"/>
          <w:sz w:val="18"/>
          <w:szCs w:val="18"/>
          <w:color w:val="FF0000"/>
        </w:rPr>
        <w:t xml:space="preserve"> </w:t>
      </w:r>
      <w:r>
        <w:rPr>
          <w:rFonts w:ascii="Arial" w:cs="Arial" w:eastAsia="Arial" w:hAnsi="Arial"/>
          <w:sz w:val="18"/>
          <w:szCs w:val="18"/>
          <w:color w:val="FF0000"/>
          <w:strike w:val="1"/>
        </w:rPr>
        <w:t>Borrower and its Restricted Subsidiaries during such period),</w:t>
      </w:r>
    </w:p>
    <w:p>
      <w:pPr>
        <w:spacing w:after="0" w:line="170"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FF0000"/>
          <w:strike w:val="1"/>
        </w:rPr>
        <w:t>(vii)</w:t>
      </w:r>
      <w:r>
        <w:rPr>
          <w:rFonts w:ascii="Arial" w:cs="Arial" w:eastAsia="Arial" w:hAnsi="Arial"/>
          <w:sz w:val="18"/>
          <w:szCs w:val="18"/>
          <w:color w:val="000000"/>
        </w:rPr>
        <w:t xml:space="preserve"> </w:t>
      </w:r>
      <w:r>
        <w:rPr>
          <w:rFonts w:ascii="Arial" w:cs="Arial" w:eastAsia="Arial" w:hAnsi="Arial"/>
          <w:sz w:val="18"/>
          <w:szCs w:val="18"/>
          <w:color w:val="FF0000"/>
          <w:strike w:val="1"/>
        </w:rPr>
        <w:t>cash payments by the Borrower and its Restricted Subsidiaries during such period in respect of long-term liabilities of the Borrower and its</w:t>
      </w:r>
      <w:r>
        <w:rPr>
          <w:rFonts w:ascii="Arial" w:cs="Arial" w:eastAsia="Arial" w:hAnsi="Arial"/>
          <w:sz w:val="18"/>
          <w:szCs w:val="18"/>
          <w:color w:val="FF0000"/>
        </w:rPr>
        <w:t xml:space="preserve"> </w:t>
      </w:r>
      <w:r>
        <w:rPr>
          <w:rFonts w:ascii="Arial" w:cs="Arial" w:eastAsia="Arial" w:hAnsi="Arial"/>
          <w:sz w:val="18"/>
          <w:szCs w:val="18"/>
          <w:color w:val="FF0000"/>
          <w:strike w:val="1"/>
        </w:rPr>
        <w:t>Restricted Subsidiaries other than Indebtedness and that were made with Internally Generated Cash and were not deducted or were excluded in calculating Consolidated Net Income,</w:t>
      </w:r>
    </w:p>
    <w:p>
      <w:pPr>
        <w:spacing w:after="0" w:line="184"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FF0000"/>
          <w:strike w:val="1"/>
        </w:rPr>
        <w:t>(viii)</w:t>
      </w:r>
      <w:r>
        <w:rPr>
          <w:rFonts w:ascii="Arial" w:cs="Arial" w:eastAsia="Arial" w:hAnsi="Arial"/>
          <w:sz w:val="18"/>
          <w:szCs w:val="18"/>
          <w:color w:val="000000"/>
        </w:rPr>
        <w:t xml:space="preserve"> </w:t>
      </w:r>
      <w:r>
        <w:rPr>
          <w:rFonts w:ascii="Arial" w:cs="Arial" w:eastAsia="Arial" w:hAnsi="Arial"/>
          <w:sz w:val="18"/>
          <w:szCs w:val="18"/>
          <w:color w:val="FF0000"/>
          <w:strike w:val="1"/>
        </w:rPr>
        <w:t>the amount of Investments and acquisitions made during such period (or committed to be made within 90 days after the end of such</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period) in cash pursuant to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(other than </w:t>
      </w:r>
      <w:r>
        <w:rPr>
          <w:rFonts w:ascii="Arial" w:cs="Arial" w:eastAsia="Arial" w:hAnsi="Arial"/>
          <w:sz w:val="18"/>
          <w:szCs w:val="18"/>
          <w:u w:val="single" w:color="auto"/>
          <w:color w:val="FF0000"/>
          <w:strike w:val="1"/>
        </w:rPr>
        <w:t>Section 7.02(a)</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c)</w:t>
      </w:r>
      <w:r>
        <w:rPr>
          <w:rFonts w:ascii="Arial" w:cs="Arial" w:eastAsia="Arial" w:hAnsi="Arial"/>
          <w:sz w:val="18"/>
          <w:szCs w:val="18"/>
          <w:color w:val="FF0000"/>
          <w:strike w:val="1"/>
        </w:rPr>
        <w:t>) (net of the cash return on any such Investments received during such period</w:t>
      </w:r>
      <w:r>
        <w:rPr>
          <w:rFonts w:ascii="Arial" w:cs="Arial" w:eastAsia="Arial" w:hAnsi="Arial"/>
          <w:sz w:val="18"/>
          <w:szCs w:val="18"/>
          <w:color w:val="008000"/>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except to the extent such </w:t>
      </w:r>
      <w:r>
        <w:rPr>
          <w:rFonts w:ascii="Arial" w:cs="Arial" w:eastAsia="Arial" w:hAnsi="Arial"/>
          <w:sz w:val="18"/>
          <w:szCs w:val="18"/>
          <w:color w:val="FF0000"/>
          <w:strike w:val="1"/>
        </w:rPr>
        <w:t>return was included in the determination of Consolidated Net Income) to the extent that such Investments and acquisitions</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were not expensed and were financed with Internally Generated Cash,</w:t>
      </w:r>
    </w:p>
    <w:p>
      <w:pPr>
        <w:spacing w:after="0" w:line="18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FF0000"/>
          <w:strike w:val="1"/>
        </w:rPr>
        <w:t>(ix)</w:t>
      </w:r>
      <w:r>
        <w:rPr>
          <w:rFonts w:ascii="Arial" w:cs="Arial" w:eastAsia="Arial" w:hAnsi="Arial"/>
          <w:sz w:val="18"/>
          <w:szCs w:val="18"/>
          <w:color w:val="000000"/>
        </w:rPr>
        <w:t xml:space="preserve">  </w:t>
      </w:r>
      <w:r>
        <w:rPr>
          <w:rFonts w:ascii="Arial" w:cs="Arial" w:eastAsia="Arial" w:hAnsi="Arial"/>
          <w:sz w:val="18"/>
          <w:szCs w:val="18"/>
          <w:color w:val="FF0000"/>
          <w:strike w:val="1"/>
        </w:rPr>
        <w:t>the amount of cash taxes paid in such period (or reasonably expected to be paid within 90 days of the end of such period) to the extent they</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exceed the amount of tax expense deducted in determining Consolidated Net Income for such period (which amounts </w:t>
      </w:r>
      <w:r>
        <w:rPr>
          <w:rFonts w:ascii="Arial" w:cs="Arial" w:eastAsia="Arial" w:hAnsi="Arial"/>
          <w:sz w:val="18"/>
          <w:szCs w:val="18"/>
          <w:color w:val="008000"/>
          <w:strike w:val="1"/>
        </w:rPr>
        <w:t>shall be included in the calculation</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of </w:t>
      </w:r>
      <w:r>
        <w:rPr>
          <w:rFonts w:ascii="Arial" w:cs="Arial" w:eastAsia="Arial" w:hAnsi="Arial"/>
          <w:sz w:val="18"/>
          <w:szCs w:val="18"/>
          <w:color w:val="FF0000"/>
          <w:strike w:val="1"/>
        </w:rPr>
        <w:t>Excess Cash Flow for the period in which they are expensed),</w:t>
      </w:r>
    </w:p>
    <w:p>
      <w:pPr>
        <w:spacing w:after="0" w:line="184"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FF0000"/>
          <w:strike w:val="1"/>
        </w:rPr>
        <w:t>(x)</w:t>
      </w:r>
      <w:r>
        <w:rPr>
          <w:rFonts w:ascii="Arial" w:cs="Arial" w:eastAsia="Arial" w:hAnsi="Arial"/>
          <w:sz w:val="18"/>
          <w:szCs w:val="18"/>
          <w:color w:val="000000"/>
        </w:rPr>
        <w:t xml:space="preserve">  </w:t>
      </w:r>
      <w:r>
        <w:rPr>
          <w:rFonts w:ascii="Arial" w:cs="Arial" w:eastAsia="Arial" w:hAnsi="Arial"/>
          <w:sz w:val="18"/>
          <w:szCs w:val="18"/>
          <w:color w:val="FF0000"/>
          <w:strike w:val="1"/>
        </w:rPr>
        <w:t>cash expenditures in respect of Swap Contracts during such fiscal year to the extent such expenditures were not deducted or were excluded</w:t>
      </w:r>
      <w:r>
        <w:rPr>
          <w:rFonts w:ascii="Arial" w:cs="Arial" w:eastAsia="Arial" w:hAnsi="Arial"/>
          <w:sz w:val="18"/>
          <w:szCs w:val="18"/>
          <w:color w:val="FF0000"/>
        </w:rPr>
        <w:t xml:space="preserve"> </w:t>
      </w:r>
      <w:r>
        <w:rPr>
          <w:rFonts w:ascii="Arial" w:cs="Arial" w:eastAsia="Arial" w:hAnsi="Arial"/>
          <w:sz w:val="18"/>
          <w:szCs w:val="18"/>
          <w:color w:val="FF0000"/>
          <w:strike w:val="1"/>
        </w:rPr>
        <w:t>in arriving at such Consolidated Net Income, and</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FF0000"/>
          <w:strike w:val="1"/>
        </w:rPr>
        <w:t>(xi)</w:t>
      </w:r>
      <w:r>
        <w:rPr>
          <w:rFonts w:ascii="Arial" w:cs="Arial" w:eastAsia="Arial" w:hAnsi="Arial"/>
          <w:sz w:val="18"/>
          <w:szCs w:val="18"/>
          <w:color w:val="000000"/>
        </w:rPr>
        <w:t xml:space="preserve"> </w:t>
      </w:r>
      <w:r>
        <w:rPr>
          <w:rFonts w:ascii="Arial" w:cs="Arial" w:eastAsia="Arial" w:hAnsi="Arial"/>
          <w:sz w:val="18"/>
          <w:szCs w:val="18"/>
          <w:color w:val="FF0000"/>
          <w:strike w:val="1"/>
        </w:rPr>
        <w:t>the aggregate amount of Restricted Payments made in cash permitted by</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7.06(d)(i)</w:t>
      </w:r>
      <w:r>
        <w:rPr>
          <w:rFonts w:ascii="Arial" w:cs="Arial" w:eastAsia="Arial" w:hAnsi="Arial"/>
          <w:sz w:val="18"/>
          <w:szCs w:val="18"/>
          <w:color w:val="FF0000"/>
        </w:rPr>
        <w:t xml:space="preserve"> </w:t>
      </w:r>
      <w:r>
        <w:rPr>
          <w:rFonts w:ascii="Arial" w:cs="Arial" w:eastAsia="Arial" w:hAnsi="Arial"/>
          <w:sz w:val="18"/>
          <w:szCs w:val="18"/>
          <w:color w:val="FF0000"/>
          <w:strike w:val="1"/>
        </w:rPr>
        <w:t>during such period (or committed to be made or</w:t>
      </w:r>
      <w:r>
        <w:rPr>
          <w:rFonts w:ascii="Arial" w:cs="Arial" w:eastAsia="Arial" w:hAnsi="Arial"/>
          <w:sz w:val="18"/>
          <w:szCs w:val="18"/>
          <w:color w:val="FF0000"/>
        </w:rPr>
        <w:t xml:space="preserve"> </w:t>
      </w:r>
      <w:r>
        <w:rPr>
          <w:rFonts w:ascii="Arial" w:cs="Arial" w:eastAsia="Arial" w:hAnsi="Arial"/>
          <w:sz w:val="18"/>
          <w:szCs w:val="18"/>
          <w:color w:val="FF0000"/>
          <w:strike w:val="1"/>
        </w:rPr>
        <w:t>paid in cash within the next 90 days after the end of such period).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165" w:name="page166"/>
    <w:bookmarkEnd w:id="165"/>
    <w:p>
      <w:pPr>
        <w:jc w:val="both"/>
        <w:ind w:left="4" w:right="120" w:firstLine="440"/>
        <w:spacing w:after="0" w:line="286"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the definition of any term used in the definition of Excess Cash Flow to the contrary, (i) all components of Excess Cash Flow shall be computed for the Borrower and its Restricted Subsidiaries on a consolidated basis and (ii) for purposes of calculating Excess Cash Flow for any period with respect to each Permitted Acquisition or other Investment </w:t>
      </w:r>
      <w:r>
        <w:rPr>
          <w:rFonts w:ascii="Arial" w:cs="Arial" w:eastAsia="Arial" w:hAnsi="Arial"/>
          <w:sz w:val="16"/>
          <w:szCs w:val="16"/>
          <w:color w:val="008000"/>
          <w:strike w:val="1"/>
        </w:rPr>
        <w:t>of all or substantially all of the</w:t>
      </w:r>
      <w:r>
        <w:rPr>
          <w:rFonts w:ascii="Arial" w:cs="Arial" w:eastAsia="Arial" w:hAnsi="Arial"/>
          <w:sz w:val="16"/>
          <w:szCs w:val="16"/>
          <w:color w:val="FF0000"/>
          <w:strike w:val="1"/>
        </w:rPr>
        <w:t xml:space="preserve"> assets of another Person or business line permitted hereby consummated during such Excess Cash Flow Period and for the purposes of calculating Consolidated Working Capital, the</w:t>
      </w:r>
    </w:p>
    <w:p>
      <w:pPr>
        <w:spacing w:after="0" w:line="1" w:lineRule="exact"/>
        <w:rPr>
          <w:sz w:val="20"/>
          <w:szCs w:val="20"/>
          <w:color w:val="auto"/>
        </w:rPr>
      </w:pPr>
    </w:p>
    <w:p>
      <w:pPr>
        <w:ind w:left="4" w:hanging="4"/>
        <w:spacing w:after="0" w:line="284" w:lineRule="auto"/>
        <w:tabs>
          <w:tab w:leader="none" w:pos="299" w:val="left"/>
        </w:tabs>
        <w:numPr>
          <w:ilvl w:val="0"/>
          <w:numId w:val="74"/>
        </w:numPr>
        <w:rPr>
          <w:rFonts w:ascii="Arial" w:cs="Arial" w:eastAsia="Arial" w:hAnsi="Arial"/>
          <w:sz w:val="16"/>
          <w:szCs w:val="16"/>
          <w:color w:val="FF0000"/>
          <w:strike w:val="1"/>
        </w:rPr>
      </w:pPr>
      <w:r>
        <w:rPr>
          <w:rFonts w:ascii="Arial" w:cs="Arial" w:eastAsia="Arial" w:hAnsi="Arial"/>
          <w:sz w:val="16"/>
          <w:szCs w:val="16"/>
          <w:color w:val="FF0000"/>
          <w:strike w:val="1"/>
        </w:rPr>
        <w:t>total assets of a target of such Permitted Acquisition or other Investment of all or substantially all of the assets of another Person or business line permitted hereby (other than cash and Cash Equivalents), as calculated as at the date of consummation of the applicable Permitted Acquisition or other Investment of all or substantially all of the assets of another Person or business line permitted hereby, which may properly be classified as current assets on a consolidated balance sheet of Borrower and its Restricted Subsidiaries in accordance with GAAP (assuming, for the purpose of this clause (A), that such Permitted Acquisition or other Investment of all or substantially all of the assets of another Person or business line permitted hereby has been consummated) and (B) the total liabilities of Borrower and its Restricted Subsidiaries, as calculated as at the date of consummation of the applicable Permitted Acquisition or other Investment of all or substantially all of the assets of another Person or business line permitted hereby, which may properly be classified as current liabilities (other than the current portion of any long term liabilities and accrued interest thereon) on a consolidated balance sheet of Borrower and its Restricted Subsidiaries in accordance with GAAP (assuming, for the purpose of this clause (B), that such Permitted Acquisition or other Investment of all or substantially all of the assets of another Person or business line permitted hereby has been consummated), shall, in the case of both immediately preceding clauses (A) and (B), be calculated as the difference between the Consolidated Working Capital at the end of the applicable period from the date of consummation of the Permitted Acquisition or other Investment of all or substantially all of the assets of another Person or business line permitted hereby. To the extent any amounts that are committed to be made or paid or are reasonably expected to be paid are deducted as permitted by clause (b) of the definition of Excess Cash Flow in respect of any period, such amounts shall not be deducted again for purposes of calculating Excess Cash Flow for the period in which such amounts are actually paid.</w:t>
      </w:r>
    </w:p>
    <w:p>
      <w:pPr>
        <w:spacing w:after="0" w:line="172"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Excess Cash Flow Period</w:t>
      </w:r>
      <w:r>
        <w:rPr>
          <w:rFonts w:ascii="Arial" w:cs="Arial" w:eastAsia="Arial" w:hAnsi="Arial"/>
          <w:sz w:val="17"/>
          <w:szCs w:val="17"/>
          <w:color w:val="FF0000"/>
          <w:strike w:val="1"/>
        </w:rPr>
        <w:t xml:space="preserve">” shall mean each fiscal year of the Borrower commencing with the fiscal year ending December 31, 2019, but in all cases for purposes of calculating the Cumulative Retained Excess Cash Flow Amount shall only include such fiscal years for which financial statements and a Compliance Certificate have been delivered in accordance with </w:t>
      </w:r>
      <w:r>
        <w:rPr>
          <w:rFonts w:ascii="Arial" w:cs="Arial" w:eastAsia="Arial" w:hAnsi="Arial"/>
          <w:sz w:val="17"/>
          <w:szCs w:val="17"/>
          <w:u w:val="single" w:color="auto"/>
          <w:color w:val="FF0000"/>
          <w:strike w:val="1"/>
        </w:rPr>
        <w:t>Sections 6.01(a)</w:t>
      </w:r>
      <w:r>
        <w:rPr>
          <w:rFonts w:ascii="Arial" w:cs="Arial" w:eastAsia="Arial" w:hAnsi="Arial"/>
          <w:sz w:val="17"/>
          <w:szCs w:val="17"/>
          <w:color w:val="FF0000"/>
          <w:strike w:val="1"/>
        </w:rPr>
        <w:t xml:space="preserve"> and </w:t>
      </w:r>
      <w:r>
        <w:rPr>
          <w:rFonts w:ascii="Arial" w:cs="Arial" w:eastAsia="Arial" w:hAnsi="Arial"/>
          <w:sz w:val="17"/>
          <w:szCs w:val="17"/>
          <w:u w:val="single" w:color="auto"/>
          <w:color w:val="FF0000"/>
          <w:strike w:val="1"/>
        </w:rPr>
        <w:t>6.02(a)</w:t>
      </w:r>
      <w:r>
        <w:rPr>
          <w:rFonts w:ascii="Arial" w:cs="Arial" w:eastAsia="Arial" w:hAnsi="Arial"/>
          <w:sz w:val="17"/>
          <w:szCs w:val="17"/>
          <w:color w:val="FF0000"/>
          <w:strike w:val="1"/>
        </w:rPr>
        <w:t xml:space="preserve">, respectively, and for which any prepayments required by </w:t>
      </w:r>
      <w:r>
        <w:rPr>
          <w:rFonts w:ascii="Arial" w:cs="Arial" w:eastAsia="Arial" w:hAnsi="Arial"/>
          <w:sz w:val="17"/>
          <w:szCs w:val="17"/>
          <w:u w:val="single" w:color="auto"/>
          <w:color w:val="FF0000"/>
          <w:strike w:val="1"/>
        </w:rPr>
        <w:t>Section 2.13(a)(i)</w:t>
      </w:r>
      <w:r>
        <w:rPr>
          <w:rFonts w:ascii="Arial" w:cs="Arial" w:eastAsia="Arial" w:hAnsi="Arial"/>
          <w:sz w:val="17"/>
          <w:szCs w:val="17"/>
          <w:color w:val="FF0000"/>
          <w:strike w:val="1"/>
        </w:rPr>
        <w:t xml:space="preserve"> (if any) have been made (it being understood that the Retained Percentage of Excess Cash Flow for any Excess Cash Flow Period shall be included in the Cumulative Retained Excess Cash Flow Amount regardless of whether a prepayment is required by </w:t>
      </w:r>
      <w:r>
        <w:rPr>
          <w:rFonts w:ascii="Arial" w:cs="Arial" w:eastAsia="Arial" w:hAnsi="Arial"/>
          <w:sz w:val="17"/>
          <w:szCs w:val="17"/>
          <w:u w:val="single" w:color="auto"/>
          <w:color w:val="FF0000"/>
          <w:strike w:val="1"/>
        </w:rPr>
        <w:t>Section 2.13(a)(i)</w:t>
      </w:r>
      <w:r>
        <w:rPr>
          <w:rFonts w:ascii="Arial" w:cs="Arial" w:eastAsia="Arial" w:hAnsi="Arial"/>
          <w:sz w:val="17"/>
          <w:szCs w:val="17"/>
          <w:color w:val="FF0000"/>
          <w:strike w:val="1"/>
        </w:rPr>
        <w:t xml:space="preserve">, except to the extent that a prepayment is not made in reliance on </w:t>
      </w:r>
      <w:r>
        <w:rPr>
          <w:rFonts w:ascii="Arial" w:cs="Arial" w:eastAsia="Arial" w:hAnsi="Arial"/>
          <w:sz w:val="17"/>
          <w:szCs w:val="17"/>
          <w:u w:val="single" w:color="auto"/>
          <w:color w:val="FF0000"/>
          <w:strike w:val="1"/>
        </w:rPr>
        <w:t>Section 2.13(f)</w:t>
      </w:r>
      <w:r>
        <w:rPr>
          <w:rFonts w:ascii="Arial" w:cs="Arial" w:eastAsia="Arial" w:hAnsi="Arial"/>
          <w:sz w:val="17"/>
          <w:szCs w:val="17"/>
          <w:color w:val="FF0000"/>
          <w:strike w:val="1"/>
        </w:rPr>
        <w:t xml:space="preserve">, in which case the Cumulative Retained Excess Cash Flow Amount shall be reduced by the Retained Percentage of the Excess Cash Flow for which the Applicable ECF Percentage has not been applied to make a prepayment pursuant to </w:t>
      </w:r>
      <w:r>
        <w:rPr>
          <w:rFonts w:ascii="Arial" w:cs="Arial" w:eastAsia="Arial" w:hAnsi="Arial"/>
          <w:sz w:val="17"/>
          <w:szCs w:val="17"/>
          <w:u w:val="single" w:color="auto"/>
          <w:color w:val="FF0000"/>
          <w:strike w:val="1"/>
        </w:rPr>
        <w:t>Section 2.13(a)(i))</w:t>
      </w:r>
      <w:r>
        <w:rPr>
          <w:rFonts w:ascii="Arial" w:cs="Arial" w:eastAsia="Arial" w:hAnsi="Arial"/>
          <w:sz w:val="17"/>
          <w:szCs w:val="17"/>
          <w:color w:val="FF0000"/>
          <w:strike w:val="1"/>
        </w:rPr>
        <w:t>.</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 w:right="180" w:firstLine="440"/>
        <w:spacing w:after="0" w:line="293"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Excluded Account</w:t>
      </w:r>
      <w:r>
        <w:rPr>
          <w:rFonts w:ascii="Arial" w:cs="Arial" w:eastAsia="Arial" w:hAnsi="Arial"/>
          <w:sz w:val="16"/>
          <w:szCs w:val="16"/>
          <w:color w:val="FF0000"/>
          <w:strike w:val="1"/>
        </w:rPr>
        <w:t>” means (i) any Deposit Account specifically and exclusively used for payroll, payroll taxes and other employee wage and benefit payments to or for the benefit of Loan Parties’ salaried employees, (ii) any petty cash account to the extent the balance therein does not exceed</w:t>
      </w:r>
    </w:p>
    <w:p>
      <w:pPr>
        <w:spacing w:after="0" w:line="1" w:lineRule="exact"/>
        <w:rPr>
          <w:sz w:val="20"/>
          <w:szCs w:val="20"/>
          <w:color w:val="auto"/>
        </w:rPr>
      </w:pPr>
    </w:p>
    <w:p>
      <w:pPr>
        <w:ind w:left="264" w:hanging="264"/>
        <w:spacing w:after="0"/>
        <w:tabs>
          <w:tab w:leader="none" w:pos="264" w:val="left"/>
        </w:tabs>
        <w:numPr>
          <w:ilvl w:val="0"/>
          <w:numId w:val="75"/>
        </w:numPr>
        <w:rPr>
          <w:rFonts w:ascii="Arial" w:cs="Arial" w:eastAsia="Arial" w:hAnsi="Arial"/>
          <w:sz w:val="17"/>
          <w:szCs w:val="17"/>
          <w:color w:val="FF0000"/>
          <w:strike w:val="1"/>
        </w:rPr>
      </w:pPr>
      <w:r>
        <w:rPr>
          <w:rFonts w:ascii="Arial" w:cs="Arial" w:eastAsia="Arial" w:hAnsi="Arial"/>
          <w:sz w:val="17"/>
          <w:szCs w:val="17"/>
          <w:color w:val="FF0000"/>
          <w:strike w:val="1"/>
        </w:rPr>
        <w:t>$1,000,000 in the aggregate for more than five (5) Business Days, and/or (y) $5,000,000 in the aggregate for more than one (1) Business Day,</w:t>
      </w:r>
    </w:p>
    <w:p>
      <w:pPr>
        <w:spacing w:after="0" w:line="20" w:lineRule="exact"/>
        <w:rPr>
          <w:rFonts w:ascii="Arial" w:cs="Arial" w:eastAsia="Arial" w:hAnsi="Arial"/>
          <w:sz w:val="17"/>
          <w:szCs w:val="17"/>
          <w:color w:val="FF0000"/>
          <w:strike w:val="1"/>
        </w:rPr>
      </w:pPr>
    </w:p>
    <w:p>
      <w:pPr>
        <w:ind w:left="4" w:right="580" w:hanging="4"/>
        <w:spacing w:after="0" w:line="290" w:lineRule="auto"/>
        <w:tabs>
          <w:tab w:leader="none" w:pos="319" w:val="left"/>
        </w:tabs>
        <w:numPr>
          <w:ilvl w:val="0"/>
          <w:numId w:val="76"/>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any zero-balance account, (iv) any account specifically and exclusively used to maintain cash collateral required pursuant to the ABL Credit Agreement, (v) any escrow account, (vi) the </w:t>
      </w:r>
      <w:r>
        <w:rPr>
          <w:rFonts w:ascii="Arial" w:cs="Arial" w:eastAsia="Arial" w:hAnsi="Arial"/>
          <w:sz w:val="17"/>
          <w:szCs w:val="17"/>
          <w:color w:val="008000"/>
          <w:strike w:val="1"/>
        </w:rPr>
        <w:t>UST Tranche A Controlled Account</w:t>
      </w:r>
      <w:r>
        <w:rPr>
          <w:rFonts w:ascii="Arial" w:cs="Arial" w:eastAsia="Arial" w:hAnsi="Arial"/>
          <w:sz w:val="17"/>
          <w:szCs w:val="17"/>
          <w:color w:val="FF0000"/>
          <w:strike w:val="1"/>
        </w:rPr>
        <w:t xml:space="preserve"> and (vii) the UST Tranche B Controlled Account.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“Excluded </w:t>
      </w:r>
      <w:r>
        <w:rPr>
          <w:rFonts w:ascii="Arial" w:cs="Arial" w:eastAsia="Arial" w:hAnsi="Arial"/>
          <w:sz w:val="18"/>
          <w:szCs w:val="18"/>
          <w:b w:val="1"/>
          <w:bCs w:val="1"/>
          <w:u w:val="single" w:color="auto"/>
          <w:color w:val="008000"/>
        </w:rPr>
        <w:t>Property”</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8000"/>
        </w:rPr>
        <w:t>shall have the meaning</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provided in the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-7620</wp:posOffset>
            </wp:positionV>
            <wp:extent cx="3360420" cy="431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0420" cy="43180"/>
                    </a:xfrm>
                    <a:prstGeom prst="rect">
                      <a:avLst/>
                    </a:prstGeom>
                    <a:noFill/>
                  </pic:spPr>
                </pic:pic>
              </a:graphicData>
            </a:graphic>
          </wp:anchor>
        </w:drawing>
      </w:r>
    </w:p>
    <w:p>
      <w:pPr>
        <w:spacing w:after="0" w:line="20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Foreign</w:t>
      </w:r>
      <w:r>
        <w:rPr>
          <w:rFonts w:ascii="Arial" w:cs="Arial" w:eastAsia="Arial" w:hAnsi="Arial"/>
          <w:sz w:val="16"/>
          <w:szCs w:val="16"/>
          <w:color w:val="auto"/>
        </w:rPr>
        <w:t xml:space="preserve">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shall mean </w:t>
      </w:r>
      <w:r>
        <w:rPr>
          <w:rFonts w:ascii="Arial" w:cs="Arial" w:eastAsia="Arial" w:hAnsi="Arial"/>
          <w:sz w:val="16"/>
          <w:szCs w:val="16"/>
          <w:color w:val="FF0000"/>
          <w:strike w:val="1"/>
        </w:rPr>
        <w:t>any Foreign Subsidiary (other than any Canadian Subsidiary or Dutch Subsidiary) of the Borrower</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that does not individually have total assets or revenues (for the period of four fiscal quarters most recently ended) that exceed 3.0% of the Borrower’s total assets or revenues </w:t>
      </w:r>
      <w:r>
        <w:rPr>
          <w:rFonts w:ascii="Arial" w:cs="Arial" w:eastAsia="Arial" w:hAnsi="Arial"/>
          <w:sz w:val="16"/>
          <w:szCs w:val="16"/>
          <w:color w:val="008000"/>
          <w:strike w:val="1"/>
        </w:rPr>
        <w:t>as of the end of</w:t>
      </w:r>
      <w:r>
        <w:rPr>
          <w:rFonts w:ascii="Arial" w:cs="Arial" w:eastAsia="Arial" w:hAnsi="Arial"/>
          <w:sz w:val="16"/>
          <w:szCs w:val="16"/>
          <w:color w:val="FF0000"/>
          <w:strike w:val="1"/>
        </w:rPr>
        <w:t xml:space="preserve"> each fiscal quarter (in the case of revenues, for the period of four fiscal quarters ending on such date);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aggregate amount of assets or revenues (for the period of four fiscal quarters most recently ended) of such Subsidiaries shall not at any time exceed </w:t>
      </w:r>
      <w:r>
        <w:rPr>
          <w:rFonts w:ascii="Arial" w:cs="Arial" w:eastAsia="Arial" w:hAnsi="Arial"/>
          <w:sz w:val="16"/>
          <w:szCs w:val="16"/>
          <w:u w:val="single" w:color="auto"/>
          <w:color w:val="0000FF"/>
          <w:strike w:val="1"/>
        </w:rPr>
        <w:t>(i) Yellow Freight Corporation, a Delaware corporation, and (ii) each Subsidiary of the Borrower listed on Schedule 1.01(b); provided that, if</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as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of the end of</w:t>
      </w:r>
      <w:r>
        <w:rPr>
          <w:rFonts w:ascii="Arial" w:cs="Arial" w:eastAsia="Arial" w:hAnsi="Arial"/>
          <w:sz w:val="16"/>
          <w:szCs w:val="16"/>
          <w:color w:val="008000"/>
          <w:strike w:val="1"/>
        </w:rPr>
        <w:t xml:space="preserve"> </w:t>
      </w:r>
      <w:r>
        <w:rPr>
          <w:rFonts w:ascii="Arial" w:cs="Arial" w:eastAsia="Arial" w:hAnsi="Arial"/>
          <w:sz w:val="16"/>
          <w:szCs w:val="16"/>
          <w:color w:val="0000FF"/>
          <w:strike w:val="1"/>
        </w:rPr>
        <w:t>any calendar month, (x) any such Subsidiary, individually, comprises more than 1.0% of the Borrower’s and its Subsidiaries’</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total assets or</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revenues</w:t>
      </w:r>
      <w:r>
        <w:rPr>
          <w:rFonts w:ascii="Arial" w:cs="Arial" w:eastAsia="Arial" w:hAnsi="Arial"/>
          <w:sz w:val="16"/>
          <w:szCs w:val="16"/>
          <w:u w:val="single" w:color="auto"/>
          <w:color w:val="0000FF"/>
          <w:strike w:val="1"/>
        </w:rPr>
        <w:t>liquidity</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as of the end of</w:t>
      </w:r>
      <w:r>
        <w:rPr>
          <w:rFonts w:ascii="Arial" w:cs="Arial" w:eastAsia="Arial" w:hAnsi="Arial"/>
          <w:sz w:val="16"/>
          <w:szCs w:val="16"/>
          <w:color w:val="FF0000"/>
          <w:strike w:val="1"/>
        </w:rPr>
        <w:t xml:space="preserve"> each fiscal quarter (in the case of revenues, for the period of four fiscal quarters ending on such date);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further that if, as of the date the financial statements for any fiscal quarter of the Borrower are delivered or required to be delivered hereunder, the consolidated assets or revenues of all Excluded Foreign Subsidiaries shall have, as of the last day of such fiscal quarter, exceeded the limits set forth above, then within sixty (60) days (or such later date as agreed by the Administrative Agent and the Required Lenders in their reasonable discretion) after the date such financial statements are so delivered (or so required to be delivered)</w:t>
      </w:r>
      <w:r>
        <w:rPr>
          <w:rFonts w:ascii="Arial" w:cs="Arial" w:eastAsia="Arial" w:hAnsi="Arial"/>
          <w:sz w:val="16"/>
          <w:szCs w:val="16"/>
          <w:u w:val="single" w:color="auto"/>
          <w:color w:val="0000FF"/>
          <w:strike w:val="1"/>
        </w:rPr>
        <w:t>such calendar month, such Subsidiaries shall no longer constitute Excluded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Subsidiaries, and shall be required to become a Loan Party pursuant to Section 6.11 or (y) such Subsidiaries, in the aggregate, comprise more than 3.0% of the Borrower and its Subsidiaries’ total assets or liquidity</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8000"/>
          <w:strike w:val="1"/>
        </w:rPr>
        <w:t>as of the end of</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such calendar month</w:t>
      </w:r>
      <w:r>
        <w:rPr>
          <w:rFonts w:ascii="Arial" w:cs="Arial" w:eastAsia="Arial" w:hAnsi="Arial"/>
          <w:sz w:val="16"/>
          <w:szCs w:val="16"/>
          <w:color w:val="000000"/>
          <w:strike w:val="1"/>
        </w:rPr>
        <w:t>, the Borrower shall</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cause</w:t>
      </w:r>
      <w:r>
        <w:rPr>
          <w:rFonts w:ascii="Arial" w:cs="Arial" w:eastAsia="Arial" w:hAnsi="Arial"/>
          <w:sz w:val="16"/>
          <w:szCs w:val="16"/>
          <w:u w:val="single" w:color="auto"/>
          <w:color w:val="0000FF"/>
          <w:strike w:val="1"/>
        </w:rPr>
        <w:t>designate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one or more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Foreign</w:t>
      </w:r>
      <w:r>
        <w:rPr>
          <w:rFonts w:ascii="Arial" w:cs="Arial" w:eastAsia="Arial" w:hAnsi="Arial"/>
          <w:sz w:val="16"/>
          <w:szCs w:val="16"/>
          <w:u w:val="single" w:color="auto"/>
          <w:color w:val="0000FF"/>
          <w:strike w:val="1"/>
        </w:rPr>
        <w:t>such</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Subsidiaries</w:t>
      </w:r>
      <w:r>
        <w:rPr>
          <w:rFonts w:ascii="Arial" w:cs="Arial" w:eastAsia="Arial" w:hAnsi="Arial"/>
          <w:sz w:val="16"/>
          <w:szCs w:val="16"/>
          <w:color w:val="FF0000"/>
          <w:strike w:val="1"/>
        </w:rPr>
        <w:t xml:space="preserve"> to comply with Section 6.11 such that, as a result thereof, the consolidated assets and revenues of all Excluded Foreign Subsidiaries do not exceed such limits</w:t>
      </w:r>
      <w:r>
        <w:rPr>
          <w:rFonts w:ascii="Arial" w:cs="Arial" w:eastAsia="Arial" w:hAnsi="Arial"/>
          <w:sz w:val="16"/>
          <w:szCs w:val="16"/>
          <w:color w:val="008000"/>
          <w:strike w:val="1"/>
        </w:rPr>
        <w:t>. For the avoidance of doubt, no</w:t>
      </w:r>
      <w:r>
        <w:rPr>
          <w:rFonts w:ascii="Arial" w:cs="Arial" w:eastAsia="Arial" w:hAnsi="Arial"/>
          <w:sz w:val="16"/>
          <w:szCs w:val="16"/>
          <w:color w:val="FF0000"/>
          <w:strike w:val="1"/>
        </w:rPr>
        <w:t xml:space="preserve"> Canadian Subsidiary or Dutch Subsidiary shall constitute an Excluded Foreign Subsidiary.</w:t>
      </w:r>
      <w:r>
        <w:rPr>
          <w:rFonts w:ascii="Arial" w:cs="Arial" w:eastAsia="Arial" w:hAnsi="Arial"/>
          <w:sz w:val="16"/>
          <w:szCs w:val="16"/>
          <w:u w:val="single" w:color="auto"/>
          <w:color w:val="0000FF"/>
          <w:strike w:val="1"/>
        </w:rPr>
        <w:t>as not being Excluded Subsidiaries as may be necessary such that the foregoing aggregate percentage limit shall not be exceeded, and any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such Subsidiaries so designated shall be required to become Loan Parties pursuant to Section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-1651635</wp:posOffset>
            </wp:positionV>
            <wp:extent cx="65836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-1514475</wp:posOffset>
            </wp:positionV>
            <wp:extent cx="634365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-1548765</wp:posOffset>
            </wp:positionV>
            <wp:extent cx="57613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61355" cy="889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-1377315</wp:posOffset>
            </wp:positionV>
            <wp:extent cx="3943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-828675</wp:posOffset>
            </wp:positionV>
            <wp:extent cx="344614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-691515</wp:posOffset>
            </wp:positionV>
            <wp:extent cx="69437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07758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-417195</wp:posOffset>
            </wp:positionV>
            <wp:extent cx="21399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-142875</wp:posOffset>
            </wp:positionV>
            <wp:extent cx="63004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45262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Excluded Property</w:t>
      </w:r>
      <w:r>
        <w:rPr>
          <w:rFonts w:ascii="Arial" w:cs="Arial" w:eastAsia="Arial" w:hAnsi="Arial"/>
          <w:sz w:val="18"/>
          <w:szCs w:val="18"/>
          <w:color w:val="FF0000"/>
          <w:strike w:val="1"/>
        </w:rPr>
        <w:t>” shall have the meaning assigned to such term in the Security Agreement.</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Excluded Real Property</w:t>
      </w:r>
      <w:r>
        <w:rPr>
          <w:rFonts w:ascii="Arial" w:cs="Arial" w:eastAsia="Arial" w:hAnsi="Arial"/>
          <w:sz w:val="18"/>
          <w:szCs w:val="18"/>
          <w:b w:val="1"/>
          <w:bCs w:val="1"/>
          <w:u w:val="single" w:color="auto"/>
          <w:color w:val="0000FF"/>
        </w:rPr>
        <w:t>Existing Defaults</w:t>
      </w:r>
      <w:r>
        <w:rPr>
          <w:rFonts w:ascii="Arial" w:cs="Arial" w:eastAsia="Arial" w:hAnsi="Arial"/>
          <w:sz w:val="18"/>
          <w:szCs w:val="18"/>
          <w:color w:val="auto"/>
        </w:rPr>
        <w:t xml:space="preserve">” shall mean </w:t>
      </w:r>
      <w:r>
        <w:rPr>
          <w:rFonts w:ascii="Arial" w:cs="Arial" w:eastAsia="Arial" w:hAnsi="Arial"/>
          <w:sz w:val="18"/>
          <w:szCs w:val="18"/>
          <w:color w:val="FF0000"/>
          <w:strike w:val="1"/>
        </w:rPr>
        <w:t>any Real Property set forth on Schedule 1.01(a)</w:t>
      </w:r>
      <w:r>
        <w:rPr>
          <w:rFonts w:ascii="Arial" w:cs="Arial" w:eastAsia="Arial" w:hAnsi="Arial"/>
          <w:sz w:val="18"/>
          <w:szCs w:val="18"/>
          <w:u w:val="single" w:color="auto"/>
          <w:color w:val="0000FF"/>
        </w:rPr>
        <w:t>all Defaults or Events of Default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existence </w:t>
      </w:r>
      <w:r>
        <w:rPr>
          <w:rFonts w:ascii="Arial" w:cs="Arial" w:eastAsia="Arial" w:hAnsi="Arial"/>
          <w:sz w:val="18"/>
          <w:szCs w:val="18"/>
          <w:u w:val="single" w:color="auto"/>
          <w:color w:val="008000"/>
        </w:rPr>
        <w:t>on or prior to the</w:t>
      </w:r>
      <w:r>
        <w:rPr>
          <w:rFonts w:ascii="Arial" w:cs="Arial" w:eastAsia="Arial" w:hAnsi="Arial"/>
          <w:sz w:val="18"/>
          <w:szCs w:val="18"/>
          <w:u w:val="single" w:color="auto"/>
          <w:color w:val="0000FF"/>
        </w:rPr>
        <w:t xml:space="preserve"> Postpetition B-2 Facility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-151130</wp:posOffset>
            </wp:positionV>
            <wp:extent cx="8401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-151130</wp:posOffset>
            </wp:positionV>
            <wp:extent cx="16116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0346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4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Excluded Subsidiary</w:t>
      </w:r>
      <w:r>
        <w:rPr>
          <w:rFonts w:ascii="Arial" w:cs="Arial" w:eastAsia="Arial" w:hAnsi="Arial"/>
          <w:sz w:val="17"/>
          <w:szCs w:val="17"/>
          <w:color w:val="FF0000"/>
          <w:strike w:val="1"/>
        </w:rPr>
        <w:t xml:space="preserve">” shall mean (a) any bona fide joint venture formed after the Restatement Effective Date with any Person that is not an Affiliate of any Loan Party, (b) any Immaterial Subsidiary, (c) any Subsidiary that is prohibited by applicable Law whether or not existing on the Restatement Effective Date or Contractual Obligations existing on the Restatement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contractual obligation is waived or otherwise removed or such consent, approval, license or authorization has been obtained), (d) any other Subsidiary with respect to which, in the reasonable judgment of the </w:t>
      </w:r>
      <w:r>
        <w:rPr>
          <w:rFonts w:ascii="Arial" w:cs="Arial" w:eastAsia="Arial" w:hAnsi="Arial"/>
          <w:sz w:val="17"/>
          <w:szCs w:val="17"/>
          <w:color w:val="008000"/>
          <w:strike w:val="1"/>
        </w:rPr>
        <w:t>Administrative Agent (at the direction of the</w:t>
      </w:r>
      <w:r>
        <w:rPr>
          <w:rFonts w:ascii="Arial" w:cs="Arial" w:eastAsia="Arial" w:hAnsi="Arial"/>
          <w:sz w:val="17"/>
          <w:szCs w:val="17"/>
          <w:color w:val="FF0000"/>
          <w:strike w:val="1"/>
        </w:rPr>
        <w:t xml:space="preserve"> Required Lenders), in consultation with the Borrower, the burden or cost or other consequences (other than adverse tax consequences) of providing a Guarantee of the Obligations shall be excessive in view of the benefits to be obtained by the Lenders therefrom, (e) any other Subsidiary with respect to which, in the reasonable judgment of the Borrower, the tax consequences of providing a Guarantee could be adverse in consultation the Administrative Agent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167" w:name="page168"/>
    <w:bookmarkEnd w:id="167"/>
    <w:p>
      <w:pPr>
        <w:ind w:right="40"/>
        <w:spacing w:after="0" w:line="26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the Borrower shall give notice of such determination to the Required Lenders and</w:t>
      </w:r>
      <w:r>
        <w:rPr>
          <w:rFonts w:ascii="Arial" w:cs="Arial" w:eastAsia="Arial" w:hAnsi="Arial"/>
          <w:sz w:val="17"/>
          <w:szCs w:val="17"/>
          <w:color w:val="008000"/>
          <w:strike w:val="1"/>
        </w:rPr>
        <w:t>, at the request of the</w:t>
      </w:r>
      <w:r>
        <w:rPr>
          <w:rFonts w:ascii="Arial" w:cs="Arial" w:eastAsia="Arial" w:hAnsi="Arial"/>
          <w:sz w:val="17"/>
          <w:szCs w:val="17"/>
          <w:color w:val="FF0000"/>
          <w:strike w:val="1"/>
        </w:rPr>
        <w:t xml:space="preserve"> Required Lenders, shall consult with the Required Lenders), (f) any Excluded Foreign Subsidiary of the Borrower, and (g) any captive insurance company or non-profit Subsidiary; provided that no Person shall be an Excluded Subsidiary to the extent it guarantees or pledges any of its assets to secure, directly or indirectly, any other Indebtedness of any Loan Party in excess of the Threshold Amount; provided, further, that in the event that any Excluded Subsidiary guarantees or otherwise becomes an obligor under any Indebtedness, the aggregate principal amount of which exceeds the Threshold Amount, then such Excluded Subsidiary shall, notwithstanding the foregoing, no longer constitute an Excluded Subsidiary, and shall become a Loan Party hereunder.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7"/>
          <w:szCs w:val="17"/>
          <w:u w:val="single" w:color="auto"/>
          <w:color w:val="FF0000"/>
          <w:strike w:val="1"/>
        </w:rPr>
        <w:t>Section 7.02(c)(iii)</w:t>
      </w:r>
      <w:r>
        <w:rPr>
          <w:rFonts w:ascii="Arial" w:cs="Arial" w:eastAsia="Arial" w:hAnsi="Arial"/>
          <w:sz w:val="17"/>
          <w:szCs w:val="17"/>
          <w:color w:val="FF0000"/>
          <w:strike w:val="1"/>
        </w:rPr>
        <w:t xml:space="preserve"> and </w:t>
      </w:r>
      <w:r>
        <w:rPr>
          <w:rFonts w:ascii="Arial" w:cs="Arial" w:eastAsia="Arial" w:hAnsi="Arial"/>
          <w:sz w:val="17"/>
          <w:szCs w:val="17"/>
          <w:u w:val="single" w:color="auto"/>
          <w:color w:val="FF0000"/>
          <w:strike w:val="1"/>
        </w:rPr>
        <w:t>Section 7.02(p)</w:t>
      </w:r>
      <w:r>
        <w:rPr>
          <w:rFonts w:ascii="Arial" w:cs="Arial" w:eastAsia="Arial" w:hAnsi="Arial"/>
          <w:sz w:val="17"/>
          <w:szCs w:val="17"/>
          <w:color w:val="FF0000"/>
          <w:strike w:val="1"/>
        </w:rPr>
        <w:t xml:space="preserve"> at the time such Person becomes an Excluded Subsidiary pursuant to clause (a) of the definition of “Excluded Subsidiary”.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Existing Credit Agreement</w:t>
      </w:r>
      <w:r>
        <w:rPr>
          <w:rFonts w:ascii="Arial" w:cs="Arial" w:eastAsia="Arial" w:hAnsi="Arial"/>
          <w:sz w:val="18"/>
          <w:szCs w:val="18"/>
          <w:color w:val="008000"/>
          <w:strike w:val="1"/>
        </w:rPr>
        <w:t>” shall have the meaning assigned to such term in the recitals</w:t>
      </w: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Existing Eurodollar Term Loans</w:t>
      </w:r>
      <w:r>
        <w:rPr>
          <w:rFonts w:ascii="Arial" w:cs="Arial" w:eastAsia="Arial" w:hAnsi="Arial"/>
          <w:sz w:val="18"/>
          <w:szCs w:val="18"/>
          <w:color w:val="008000"/>
          <w:strike w:val="1"/>
        </w:rPr>
        <w:t>” shall have the meaning assigned to such term in</w:t>
      </w:r>
      <w:r>
        <w:rPr>
          <w:rFonts w:ascii="Arial" w:cs="Arial" w:eastAsia="Arial" w:hAnsi="Arial"/>
          <w:sz w:val="18"/>
          <w:szCs w:val="18"/>
          <w:color w:val="FF0000"/>
          <w:strike w:val="1"/>
        </w:rPr>
        <w:t xml:space="preserve"> Amendment No. 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Loan Documents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1.14</w:t>
      </w:r>
      <w:r>
        <w:rPr>
          <w:rFonts w:ascii="Arial" w:cs="Arial" w:eastAsia="Arial" w:hAnsi="Arial"/>
          <w:sz w:val="18"/>
          <w:szCs w:val="18"/>
          <w:u w:val="single" w:color="auto"/>
          <w:color w:val="0000FF"/>
        </w:rPr>
        <w:t>1.12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26035</wp:posOffset>
            </wp:positionV>
            <wp:extent cx="1968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Exit Fee</w:t>
      </w:r>
      <w:r>
        <w:rPr>
          <w:rFonts w:ascii="Arial" w:cs="Arial" w:eastAsia="Arial" w:hAnsi="Arial"/>
          <w:sz w:val="18"/>
          <w:szCs w:val="18"/>
          <w:color w:val="008000"/>
          <w:strike w:val="1"/>
        </w:rPr>
        <w:t>” shall have the meaning assigned to such term in Section</w:t>
      </w:r>
      <w:r>
        <w:rPr>
          <w:rFonts w:ascii="Arial" w:cs="Arial" w:eastAsia="Arial" w:hAnsi="Arial"/>
          <w:sz w:val="18"/>
          <w:szCs w:val="18"/>
          <w:color w:val="FF0000"/>
        </w:rPr>
        <w:t xml:space="preserve"> 2.05(c).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-59055</wp:posOffset>
            </wp:positionV>
            <wp:extent cx="38354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354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Extended Term Loans</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2.19(a)</w:t>
      </w: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Extension</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2.19(a)</w:t>
      </w: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Extension Amendment</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2.19(c)</w:t>
      </w: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Extension Offer</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2.19(a)</w:t>
      </w:r>
      <w:r>
        <w:rPr>
          <w:rFonts w:ascii="Arial" w:cs="Arial" w:eastAsia="Arial" w:hAnsi="Arial"/>
          <w:sz w:val="18"/>
          <w:szCs w:val="18"/>
          <w:color w:val="FF0000"/>
          <w:strike w:val="1"/>
        </w:rPr>
        <w:t>.</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shall mean the </w:t>
      </w:r>
      <w:r>
        <w:rPr>
          <w:rFonts w:ascii="Arial" w:cs="Arial" w:eastAsia="Arial" w:hAnsi="Arial"/>
          <w:sz w:val="18"/>
          <w:szCs w:val="18"/>
          <w:color w:val="FF0000"/>
          <w:strike w:val="1"/>
        </w:rPr>
        <w:t>Tranche B-2</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Term Loans, the </w:t>
      </w:r>
      <w:r>
        <w:rPr>
          <w:rFonts w:ascii="Arial" w:cs="Arial" w:eastAsia="Arial" w:hAnsi="Arial"/>
          <w:sz w:val="18"/>
          <w:szCs w:val="18"/>
          <w:color w:val="FF0000"/>
          <w:strike w:val="1"/>
        </w:rPr>
        <w:t>Extended Term</w:t>
      </w:r>
      <w:r>
        <w:rPr>
          <w:rFonts w:ascii="Arial" w:cs="Arial" w:eastAsia="Arial" w:hAnsi="Arial"/>
          <w:sz w:val="18"/>
          <w:szCs w:val="18"/>
          <w:u w:val="single" w:color="auto"/>
          <w:color w:val="0000FF"/>
        </w:rPr>
        <w:t>Initial Postpetition Loans, the Second Postpetition</w:t>
      </w:r>
      <w:r>
        <w:rPr>
          <w:rFonts w:ascii="Arial" w:cs="Arial" w:eastAsia="Arial" w:hAnsi="Arial"/>
          <w:sz w:val="18"/>
          <w:szCs w:val="18"/>
          <w:color w:val="auto"/>
        </w:rPr>
        <w:t xml:space="preserve"> Loans or the </w:t>
      </w:r>
      <w:r>
        <w:rPr>
          <w:rFonts w:ascii="Arial" w:cs="Arial" w:eastAsia="Arial" w:hAnsi="Arial"/>
          <w:sz w:val="18"/>
          <w:szCs w:val="18"/>
          <w:color w:val="FF0000"/>
          <w:strike w:val="1"/>
        </w:rPr>
        <w:t>Other Term</w:t>
      </w:r>
      <w:r>
        <w:rPr>
          <w:rFonts w:ascii="Arial" w:cs="Arial" w:eastAsia="Arial" w:hAnsi="Arial"/>
          <w:sz w:val="18"/>
          <w:szCs w:val="18"/>
          <w:u w:val="single" w:color="auto"/>
          <w:color w:val="0000FF"/>
        </w:rPr>
        <w:t>Final Postpetition</w:t>
      </w:r>
      <w:r>
        <w:rPr>
          <w:rFonts w:ascii="Arial" w:cs="Arial" w:eastAsia="Arial" w:hAnsi="Arial"/>
          <w:sz w:val="18"/>
          <w:szCs w:val="18"/>
          <w:color w:val="FF0000"/>
        </w:rPr>
        <w:t xml:space="preserve"> </w:t>
      </w:r>
      <w:r>
        <w:rPr>
          <w:rFonts w:ascii="Arial" w:cs="Arial" w:eastAsia="Arial" w:hAnsi="Arial"/>
          <w:sz w:val="18"/>
          <w:szCs w:val="18"/>
          <w:color w:val="000000"/>
        </w:rPr>
        <w:t>Loans,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-151130</wp:posOffset>
            </wp:positionV>
            <wp:extent cx="4972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-151130</wp:posOffset>
            </wp:positionV>
            <wp:extent cx="228854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-13970</wp:posOffset>
            </wp:positionV>
            <wp:extent cx="8058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4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xml:space="preserve">” shall mean Sections 1471 through 1474 of the Code, as in effect on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auto"/>
        </w:rPr>
        <w:t xml:space="preser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-548640</wp:posOffset>
            </wp:positionV>
            <wp:extent cx="15087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63"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shall mean,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for such transactions received by the Administrative Agent from three Federal funds brokers of recognized standing selected by 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68" w:name="page169"/>
    <w:bookmarkEnd w:id="168"/>
    <w:p>
      <w:pPr>
        <w:ind w:left="440" w:right="1440"/>
        <w:spacing w:after="0" w:line="500"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Fee Letter</w:t>
      </w:r>
      <w:r>
        <w:rPr>
          <w:rFonts w:ascii="Arial" w:cs="Arial" w:eastAsia="Arial" w:hAnsi="Arial"/>
          <w:sz w:val="18"/>
          <w:szCs w:val="18"/>
          <w:color w:val="FF0000"/>
          <w:strike w:val="1"/>
        </w:rPr>
        <w:t xml:space="preserve">” shall mean the Fee Letter dated as of the Restatement Effective Date by and between the Borrower and Apollo. </w:t>
      </w:r>
      <w:r>
        <w:rPr>
          <w:rFonts w:ascii="Arial" w:cs="Arial" w:eastAsia="Arial" w:hAnsi="Arial"/>
          <w:sz w:val="18"/>
          <w:szCs w:val="18"/>
          <w:color w:val="000000"/>
          <w:strike w:val="1"/>
        </w:rPr>
        <w:t>“</w:t>
      </w:r>
      <w:r>
        <w:rPr>
          <w:rFonts w:ascii="Arial" w:cs="Arial" w:eastAsia="Arial" w:hAnsi="Arial"/>
          <w:sz w:val="18"/>
          <w:szCs w:val="18"/>
          <w:b w:val="1"/>
          <w:bCs w:val="1"/>
          <w:color w:val="000000"/>
          <w:strike w:val="1"/>
        </w:rPr>
        <w:t>Fees</w:t>
      </w:r>
      <w:r>
        <w:rPr>
          <w:rFonts w:ascii="Arial" w:cs="Arial" w:eastAsia="Arial" w:hAnsi="Arial"/>
          <w:sz w:val="18"/>
          <w:szCs w:val="18"/>
          <w:color w:val="000000"/>
          <w:strike w:val="1"/>
        </w:rPr>
        <w:t xml:space="preserve">” shall have the meaning assigned to such term in </w:t>
      </w:r>
      <w:r>
        <w:rPr>
          <w:rFonts w:ascii="Arial" w:cs="Arial" w:eastAsia="Arial" w:hAnsi="Arial"/>
          <w:sz w:val="18"/>
          <w:szCs w:val="18"/>
          <w:u w:val="single" w:color="auto"/>
          <w:color w:val="000000"/>
          <w:strike w:val="1"/>
        </w:rPr>
        <w:t>Section 2.05</w:t>
      </w:r>
      <w:r>
        <w:rPr>
          <w:rFonts w:ascii="Arial" w:cs="Arial" w:eastAsia="Arial" w:hAnsi="Arial"/>
          <w:sz w:val="18"/>
          <w:szCs w:val="18"/>
          <w:color w:val="000000"/>
          <w:strike w:val="1"/>
        </w:rPr>
        <w:t>.</w:t>
      </w:r>
    </w:p>
    <w:p>
      <w:pPr>
        <w:spacing w:after="0" w:line="1"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Final Order</w:t>
      </w:r>
      <w:r>
        <w:rPr>
          <w:rFonts w:ascii="Arial" w:cs="Arial" w:eastAsia="Arial" w:hAnsi="Arial"/>
          <w:sz w:val="18"/>
          <w:szCs w:val="18"/>
          <w:u w:val="single" w:color="auto"/>
          <w:color w:val="0000FF"/>
        </w:rPr>
        <w:t>” means the final order of the Bankruptcy Court pursuant to Section 364 of the Bankruptcy Code approving the Agreement and the other Loan Documents with respect to the Loan Parties, in form and substance satisfactory to the Lenders (and with respect to any provisions that affect the rights or duties of any Agent, such Agent) as the same may be amended, modified or supplemented from time to time with the express written joinder or consent of the Lenders and the Junior DIP Lenders (and with respect to amendments, modifications or supplements that affect the rights or duties of any Agent, such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6433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34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605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148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5430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Final Order Entry</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Date” means the date on which the</w:t>
      </w:r>
      <w:r>
        <w:rPr>
          <w:rFonts w:ascii="Arial" w:cs="Arial" w:eastAsia="Arial" w:hAnsi="Arial"/>
          <w:sz w:val="18"/>
          <w:szCs w:val="18"/>
          <w:u w:val="single" w:color="auto"/>
          <w:color w:val="0000FF"/>
        </w:rPr>
        <w:t xml:space="preserve"> Final Order shall have been entered on the docket of the Bankruptcy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604329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05"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Final Postpetition Commitment</w:t>
      </w:r>
      <w:r>
        <w:rPr>
          <w:rFonts w:ascii="Arial" w:cs="Arial" w:eastAsia="Arial" w:hAnsi="Arial"/>
          <w:sz w:val="18"/>
          <w:szCs w:val="18"/>
          <w:u w:val="single" w:color="auto"/>
          <w:color w:val="0000FF"/>
        </w:rPr>
        <w:t>” means, as to each Lender, its obligations to make Final Postpetition Loans to the Borrower pursuant to Section 2.01(b) in an aggregate principal amount not to exceed the amount set forth opposite such Lender’s name on Appendix C under the caption “Final Postpetition Commitment.” The aggregate amount of the Final Postpetition Commitments on the Postpetition B-2 Facility Closing Date was $31,578,947.37.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3436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-276860</wp:posOffset>
            </wp:positionV>
            <wp:extent cx="60261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261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2084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7454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60"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First Lien Term Priority Accounts</w:t>
      </w:r>
      <w:r>
        <w:rPr>
          <w:rFonts w:ascii="Arial" w:cs="Arial" w:eastAsia="Arial" w:hAnsi="Arial"/>
          <w:sz w:val="18"/>
          <w:szCs w:val="18"/>
          <w:color w:val="008000"/>
          <w:strike w:val="1"/>
        </w:rPr>
        <w:t>” shall have the meaning assigned to the term “</w:t>
      </w:r>
      <w:r>
        <w:rPr>
          <w:rFonts w:ascii="Arial" w:cs="Arial" w:eastAsia="Arial" w:hAnsi="Arial"/>
          <w:sz w:val="18"/>
          <w:szCs w:val="18"/>
          <w:color w:val="FF0000"/>
          <w:strike w:val="1"/>
        </w:rPr>
        <w:t>Non-UST Tranche B Priority Accounts” in the ABL Intercreditor Agreement.</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First Lien Term</w:t>
      </w:r>
      <w:r>
        <w:rPr>
          <w:rFonts w:ascii="Arial" w:cs="Arial" w:eastAsia="Arial" w:hAnsi="Arial"/>
          <w:sz w:val="18"/>
          <w:szCs w:val="18"/>
          <w:color w:val="FF0000"/>
          <w:strike w:val="1"/>
        </w:rPr>
        <w:t xml:space="preserve"> </w:t>
      </w:r>
      <w:r>
        <w:rPr>
          <w:rFonts w:ascii="Arial" w:cs="Arial" w:eastAsia="Arial" w:hAnsi="Arial"/>
          <w:sz w:val="18"/>
          <w:szCs w:val="18"/>
          <w:b w:val="1"/>
          <w:bCs w:val="1"/>
          <w:color w:val="008000"/>
          <w:strike w:val="1"/>
        </w:rPr>
        <w:t>Priority Collateral” shall have the meaning assigned to the term “Non-UST Tranche B Term Priority Collateral” in the</w:t>
      </w:r>
      <w:r>
        <w:rPr>
          <w:rFonts w:ascii="Arial" w:cs="Arial" w:eastAsia="Arial" w:hAnsi="Arial"/>
          <w:sz w:val="18"/>
          <w:szCs w:val="18"/>
          <w:color w:val="FF0000"/>
          <w:strike w:val="1"/>
        </w:rPr>
        <w:t xml:space="preserve"> ABL Intercreditor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Flood Laws</w:t>
      </w:r>
      <w:r>
        <w:rPr>
          <w:rFonts w:ascii="Arial" w:cs="Arial" w:eastAsia="Arial" w:hAnsi="Arial"/>
          <w:sz w:val="17"/>
          <w:szCs w:val="17"/>
          <w:color w:val="FF0000"/>
          <w:strike w:val="1"/>
        </w:rPr>
        <w:t>” shall mean the National Flood Insurance Reform Act of 1994 and related legislation (including the regulations of the Board).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Floor</w:t>
      </w:r>
      <w:r>
        <w:rPr>
          <w:rFonts w:ascii="Arial" w:cs="Arial" w:eastAsia="Arial" w:hAnsi="Arial"/>
          <w:sz w:val="18"/>
          <w:szCs w:val="18"/>
          <w:color w:val="FF0000"/>
          <w:strike w:val="1"/>
        </w:rPr>
        <w:t>” shall mean the rate per annum of interest equal to one percent (1.00%).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Forecast Date</w:t>
      </w:r>
      <w:r>
        <w:rPr>
          <w:rFonts w:ascii="Arial" w:cs="Arial" w:eastAsia="Arial" w:hAnsi="Arial"/>
          <w:sz w:val="18"/>
          <w:szCs w:val="18"/>
          <w:color w:val="008000"/>
          <w:strike w:val="1"/>
        </w:rPr>
        <w:t>” shall have the meaning assigned to such term in</w:t>
      </w:r>
      <w:r>
        <w:rPr>
          <w:rFonts w:ascii="Arial" w:cs="Arial" w:eastAsia="Arial" w:hAnsi="Arial"/>
          <w:sz w:val="18"/>
          <w:szCs w:val="18"/>
          <w:color w:val="FF0000"/>
          <w:strike w:val="1"/>
        </w:rPr>
        <w:t xml:space="preserve"> Amendment No. 1.</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Foreign Disposition</w:t>
      </w:r>
      <w:r>
        <w:rPr>
          <w:rFonts w:ascii="Arial" w:cs="Arial" w:eastAsia="Arial" w:hAnsi="Arial"/>
          <w:sz w:val="18"/>
          <w:szCs w:val="18"/>
          <w:color w:val="FF0000"/>
          <w:strike w:val="1"/>
        </w:rPr>
        <w:t>” shall have the meaning set forth in</w:t>
      </w:r>
      <w:r>
        <w:rPr>
          <w:rFonts w:ascii="Arial" w:cs="Arial" w:eastAsia="Arial" w:hAnsi="Arial"/>
          <w:sz w:val="18"/>
          <w:szCs w:val="18"/>
          <w:b w:val="1"/>
          <w:bCs w:val="1"/>
          <w:u w:val="single" w:color="auto"/>
          <w:color w:val="0000FF"/>
        </w:rPr>
        <w:t>Final Postpetition Loan</w:t>
      </w:r>
      <w:r>
        <w:rPr>
          <w:rFonts w:ascii="Arial" w:cs="Arial" w:eastAsia="Arial" w:hAnsi="Arial"/>
          <w:sz w:val="18"/>
          <w:szCs w:val="18"/>
          <w:u w:val="single" w:color="auto"/>
          <w:color w:val="0000FF"/>
        </w:rPr>
        <w:t>” means a term loan made on or after the Final Order Entry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Date pursuant to</w:t>
      </w:r>
      <w:r>
        <w:rPr>
          <w:rFonts w:ascii="Arial" w:cs="Arial" w:eastAsia="Arial" w:hAnsi="Arial"/>
          <w:sz w:val="18"/>
          <w:szCs w:val="18"/>
          <w:color w:val="0000FF"/>
        </w:rPr>
        <w:t xml:space="preserve"> </w:t>
      </w:r>
      <w:r>
        <w:rPr>
          <w:rFonts w:ascii="Arial" w:cs="Arial" w:eastAsia="Arial" w:hAnsi="Arial"/>
          <w:sz w:val="18"/>
          <w:szCs w:val="18"/>
          <w:color w:val="000000"/>
        </w:rPr>
        <w:t>Section 2.</w:t>
      </w:r>
      <w:r>
        <w:rPr>
          <w:rFonts w:ascii="Arial" w:cs="Arial" w:eastAsia="Arial" w:hAnsi="Arial"/>
          <w:sz w:val="18"/>
          <w:szCs w:val="18"/>
          <w:color w:val="FF0000"/>
          <w:strike w:val="1"/>
        </w:rPr>
        <w:t>13</w:t>
      </w:r>
      <w:r>
        <w:rPr>
          <w:rFonts w:ascii="Arial" w:cs="Arial" w:eastAsia="Arial" w:hAnsi="Arial"/>
          <w:sz w:val="18"/>
          <w:szCs w:val="18"/>
          <w:u w:val="single" w:color="auto"/>
          <w:color w:val="0000FF"/>
        </w:rPr>
        <w:t>02</w:t>
      </w:r>
      <w:r>
        <w:rPr>
          <w:rFonts w:ascii="Arial" w:cs="Arial" w:eastAsia="Arial" w:hAnsi="Arial"/>
          <w:sz w:val="18"/>
          <w:szCs w:val="18"/>
          <w:color w:val="000000"/>
        </w:rPr>
        <w:t>(</w:t>
      </w:r>
      <w:r>
        <w:rPr>
          <w:rFonts w:ascii="Arial" w:cs="Arial" w:eastAsia="Arial" w:hAnsi="Arial"/>
          <w:sz w:val="18"/>
          <w:szCs w:val="18"/>
          <w:u w:val="single" w:color="auto"/>
          <w:color w:val="FF0000"/>
          <w:strike w:val="1"/>
        </w:rPr>
        <w:t>f</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-151130</wp:posOffset>
            </wp:positionV>
            <wp:extent cx="38493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49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7543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-13970</wp:posOffset>
            </wp:positionV>
            <wp:extent cx="1117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-13970</wp:posOffset>
            </wp:positionV>
            <wp:extent cx="431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2"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First Day Orders</w:t>
      </w:r>
      <w:r>
        <w:rPr>
          <w:rFonts w:ascii="Arial" w:cs="Arial" w:eastAsia="Arial" w:hAnsi="Arial"/>
          <w:sz w:val="18"/>
          <w:szCs w:val="18"/>
          <w:u w:val="single" w:color="auto"/>
          <w:color w:val="0000FF"/>
        </w:rPr>
        <w:t xml:space="preserve">” shall mean all “first day orders” with respect to the Chapter 11 Cases, including the cash management orders, in form and substance satisfactory to the Lenders (and with respect to any provisions that affect the rights or duties of any Agent, such Agent), as the same may be amended, modified or supplemented from time to time with the express written joinder or consent of the Lenders (and with respect to amendments, modifications or supplements that affect the rights or duties of any Agent, such Agent) (it being agreed that all such orders </w:t>
      </w:r>
      <w:r>
        <w:rPr>
          <w:rFonts w:ascii="Arial" w:cs="Arial" w:eastAsia="Arial" w:hAnsi="Arial"/>
          <w:sz w:val="18"/>
          <w:szCs w:val="18"/>
          <w:u w:val="single" w:color="auto"/>
          <w:color w:val="008000"/>
        </w:rPr>
        <w:t>in effect as of the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Amendment No.</w:t>
      </w:r>
      <w:r>
        <w:rPr>
          <w:rFonts w:ascii="Arial" w:cs="Arial" w:eastAsia="Arial" w:hAnsi="Arial"/>
          <w:sz w:val="18"/>
          <w:szCs w:val="18"/>
          <w:color w:val="008000"/>
        </w:rPr>
        <w:t xml:space="preserve"> </w:t>
      </w:r>
      <w:r>
        <w:rPr>
          <w:rFonts w:ascii="Arial" w:cs="Arial" w:eastAsia="Arial" w:hAnsi="Arial"/>
          <w:sz w:val="18"/>
          <w:szCs w:val="18"/>
          <w:color w:val="000000"/>
        </w:rPr>
        <w:t>4 Effective Date are satisfactory to the Lenders and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5493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66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2909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4204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62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direct or indirect Subsidiary of the Borrower which is not a Domestic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FTI</w:t>
      </w:r>
      <w:r>
        <w:rPr>
          <w:rFonts w:ascii="Arial" w:cs="Arial" w:eastAsia="Arial" w:hAnsi="Arial"/>
          <w:sz w:val="18"/>
          <w:szCs w:val="18"/>
          <w:u w:val="single" w:color="auto"/>
          <w:color w:val="0000FF"/>
        </w:rPr>
        <w:t xml:space="preserve"> ” means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160274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40" w:top="270" w:right="539" w:bottom="1440" w:gutter="0" w:footer="0" w:header="0"/>
        </w:sectPr>
      </w:pPr>
    </w:p>
    <w:bookmarkStart w:id="169" w:name="page170"/>
    <w:bookmarkEnd w:id="169"/>
    <w:p>
      <w:pPr>
        <w:ind w:left="4" w:right="120" w:firstLine="440"/>
        <w:spacing w:after="0" w:line="282"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FTI Engagement Letter</w:t>
      </w:r>
      <w:r>
        <w:rPr>
          <w:rFonts w:ascii="Arial" w:cs="Arial" w:eastAsia="Arial" w:hAnsi="Arial"/>
          <w:sz w:val="18"/>
          <w:szCs w:val="18"/>
          <w:u w:val="single" w:color="auto"/>
          <w:color w:val="0000FF"/>
        </w:rPr>
        <w:t>” means the engagement letter dated August 31, 2023, whereby the Debtors agree to pay the fees and expenses of FTI, as financial advisor to certain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6433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7741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42" w:lineRule="exact"/>
        <w:rPr>
          <w:sz w:val="20"/>
          <w:szCs w:val="20"/>
          <w:color w:val="auto"/>
        </w:rPr>
      </w:pPr>
    </w:p>
    <w:p>
      <w:pPr>
        <w:ind w:left="4" w:right="2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shall mean generally accepted accounting principles in the United States of America, as in effect from time to time, subject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auto"/>
        </w:rPr>
        <w:t xml:space="preserve"> Date in GAAP or in the application thereof on the operation of such provision (or if the Administrative Agent notifies the Borrower that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-556260</wp:posOffset>
            </wp:positionV>
            <wp:extent cx="15087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52" w:lineRule="exact"/>
        <w:rPr>
          <w:sz w:val="20"/>
          <w:szCs w:val="20"/>
          <w:color w:val="auto"/>
        </w:rPr>
      </w:pPr>
    </w:p>
    <w:p>
      <w:pPr>
        <w:ind w:left="4"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any nation or government, any state</w:t>
      </w:r>
      <w:r>
        <w:rPr>
          <w:rFonts w:ascii="Arial" w:cs="Arial" w:eastAsia="Arial" w:hAnsi="Arial"/>
          <w:sz w:val="17"/>
          <w:szCs w:val="17"/>
          <w:u w:val="single" w:color="auto"/>
          <w:color w:val="0000FF"/>
        </w:rPr>
        <w:t>, provincial, territorial</w:t>
      </w:r>
      <w:r>
        <w:rPr>
          <w:rFonts w:ascii="Arial" w:cs="Arial" w:eastAsia="Arial" w:hAnsi="Arial"/>
          <w:sz w:val="17"/>
          <w:szCs w:val="17"/>
          <w:color w:val="auto"/>
        </w:rPr>
        <w:t xml:space="preserv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without limitation, the U.S.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-290195</wp:posOffset>
            </wp:positionV>
            <wp:extent cx="10115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10.04(i)</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shall mean,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7"/>
          <w:szCs w:val="17"/>
          <w:b w:val="1"/>
          <w:bCs w:val="1"/>
          <w:color w:val="auto"/>
        </w:rPr>
        <w:t>primary obligor</w:t>
      </w:r>
      <w:r>
        <w:rPr>
          <w:rFonts w:ascii="Arial" w:cs="Arial" w:eastAsia="Arial" w:hAnsi="Arial"/>
          <w:sz w:val="17"/>
          <w:szCs w:val="17"/>
          <w:color w:val="auto"/>
        </w:rPr>
        <w:t xml:space="preserve">”)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“Guarantee” shall not include (i) endorsements for collection or deposit, in either case in the ordinary course of business, (ii) customary and reasonable indemnity obligations in effect on the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w:t>
      </w:r>
      <w:r>
        <w:rPr>
          <w:rFonts w:ascii="Arial" w:cs="Arial" w:eastAsia="Arial" w:hAnsi="Arial"/>
          <w:sz w:val="17"/>
          <w:szCs w:val="17"/>
          <w:color w:val="auto"/>
        </w:rPr>
        <w:t xml:space="preserve"> </w:t>
      </w:r>
      <w:r>
        <w:rPr>
          <w:rFonts w:ascii="Arial" w:cs="Arial" w:eastAsia="Arial" w:hAnsi="Arial"/>
          <w:sz w:val="17"/>
          <w:szCs w:val="17"/>
          <w:u w:val="single" w:color="auto"/>
          <w:color w:val="0000FF"/>
        </w:rPr>
        <w:t>Facility Closing</w:t>
      </w:r>
      <w:r>
        <w:rPr>
          <w:rFonts w:ascii="Arial" w:cs="Arial" w:eastAsia="Arial" w:hAnsi="Arial"/>
          <w:sz w:val="17"/>
          <w:szCs w:val="17"/>
          <w:color w:val="0000FF"/>
        </w:rPr>
        <w:t xml:space="preserve"> </w:t>
      </w:r>
      <w:r>
        <w:rPr>
          <w:rFonts w:ascii="Arial" w:cs="Arial" w:eastAsia="Arial" w:hAnsi="Arial"/>
          <w:sz w:val="17"/>
          <w:szCs w:val="17"/>
          <w:color w:val="000000"/>
        </w:rPr>
        <w:t>Date or entered into in connection with any acquisition or disposition of assets permitted under this Agreement (other than such</w:t>
      </w:r>
      <w:r>
        <w:rPr>
          <w:rFonts w:ascii="Arial" w:cs="Arial" w:eastAsia="Arial" w:hAnsi="Arial"/>
          <w:sz w:val="17"/>
          <w:szCs w:val="17"/>
          <w:color w:val="0000FF"/>
        </w:rPr>
        <w:t xml:space="preserve"> </w:t>
      </w:r>
      <w:r>
        <w:rPr>
          <w:rFonts w:ascii="Arial" w:cs="Arial" w:eastAsia="Arial" w:hAnsi="Arial"/>
          <w:sz w:val="17"/>
          <w:szCs w:val="17"/>
          <w:color w:val="000000"/>
        </w:rPr>
        <w:t>obligations with respect to Indebtedness) or (iii) product warranties.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b w:val="1"/>
          <w:bCs w:val="1"/>
          <w:color w:val="000000"/>
        </w:rPr>
        <w:t>Guarantee</w:t>
      </w:r>
      <w:r>
        <w:rPr>
          <w:rFonts w:ascii="Arial" w:cs="Arial" w:eastAsia="Arial" w:hAnsi="Arial"/>
          <w:sz w:val="17"/>
          <w:szCs w:val="17"/>
          <w:color w:val="000000"/>
        </w:rPr>
        <w:t>” as a verb has a corresponding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-688340</wp:posOffset>
            </wp:positionV>
            <wp:extent cx="7461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-551180</wp:posOffset>
            </wp:positionV>
            <wp:extent cx="7372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Guarantors</w:t>
      </w:r>
      <w:r>
        <w:rPr>
          <w:rFonts w:ascii="Arial" w:cs="Arial" w:eastAsia="Arial" w:hAnsi="Arial"/>
          <w:sz w:val="16"/>
          <w:szCs w:val="16"/>
          <w:color w:val="FF0000"/>
          <w:strike w:val="1"/>
        </w:rPr>
        <w:t>” shall mean (i) each Domestic Subsidiary of the Borrower as of the Restatement Effective Date (other than an Excluded Subsidiary),</w:t>
      </w:r>
    </w:p>
    <w:p>
      <w:pPr>
        <w:spacing w:after="0" w:line="50" w:lineRule="exact"/>
        <w:rPr>
          <w:sz w:val="20"/>
          <w:szCs w:val="20"/>
          <w:color w:val="auto"/>
        </w:rPr>
      </w:pPr>
    </w:p>
    <w:p>
      <w:pPr>
        <w:ind w:left="4" w:right="380" w:hanging="4"/>
        <w:spacing w:after="0" w:line="260" w:lineRule="auto"/>
        <w:tabs>
          <w:tab w:leader="none" w:pos="269" w:val="left"/>
        </w:tabs>
        <w:numPr>
          <w:ilvl w:val="0"/>
          <w:numId w:val="80"/>
        </w:numPr>
        <w:rPr>
          <w:rFonts w:ascii="Arial" w:cs="Arial" w:eastAsia="Arial" w:hAnsi="Arial"/>
          <w:sz w:val="18"/>
          <w:szCs w:val="18"/>
          <w:color w:val="FF0000"/>
          <w:strike w:val="1"/>
        </w:rPr>
      </w:pPr>
      <w:r>
        <w:rPr>
          <w:rFonts w:ascii="Arial" w:cs="Arial" w:eastAsia="Arial" w:hAnsi="Arial"/>
          <w:sz w:val="18"/>
          <w:szCs w:val="18"/>
          <w:color w:val="FF0000"/>
          <w:strike w:val="1"/>
        </w:rPr>
        <w:t>each Canadian Subsidiary and Dutch Subsidiary of the Borrower that issues a Guarantee of the Obligations after the Restatement Effective Date pursuant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0" w:right="439" w:bottom="1440" w:gutter="0" w:footer="0" w:header="0"/>
        </w:sectPr>
      </w:pPr>
    </w:p>
    <w:bookmarkStart w:id="170" w:name="page171"/>
    <w:bookmarkEnd w:id="170"/>
    <w:p>
      <w:pPr>
        <w:ind w:right="120"/>
        <w:spacing w:after="0" w:line="270"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w:t>
      </w:r>
      <w:r>
        <w:rPr>
          <w:rFonts w:ascii="Arial" w:cs="Arial" w:eastAsia="Arial" w:hAnsi="Arial"/>
          <w:sz w:val="17"/>
          <w:szCs w:val="17"/>
          <w:u w:val="single" w:color="auto"/>
          <w:color w:val="FF0000"/>
          <w:strike w:val="1"/>
        </w:rPr>
        <w:t>Schedule 6.13(a)</w:t>
      </w:r>
      <w:r>
        <w:rPr>
          <w:rFonts w:ascii="Arial" w:cs="Arial" w:eastAsia="Arial" w:hAnsi="Arial"/>
          <w:sz w:val="17"/>
          <w:szCs w:val="17"/>
          <w:color w:val="FF0000"/>
          <w:strike w:val="1"/>
        </w:rPr>
        <w:t xml:space="preserve"> and (iii) each Subsidiary that issues a Guarantee of the Obligations after the Restatement Effective Date pursuant to </w:t>
      </w:r>
      <w:r>
        <w:rPr>
          <w:rFonts w:ascii="Arial" w:cs="Arial" w:eastAsia="Arial" w:hAnsi="Arial"/>
          <w:sz w:val="17"/>
          <w:szCs w:val="17"/>
          <w:u w:val="single" w:color="auto"/>
          <w:color w:val="FF0000"/>
          <w:strike w:val="1"/>
        </w:rPr>
        <w:t>Section 6.11</w:t>
      </w:r>
      <w:r>
        <w:rPr>
          <w:rFonts w:ascii="Arial" w:cs="Arial" w:eastAsia="Arial" w:hAnsi="Arial"/>
          <w:sz w:val="17"/>
          <w:szCs w:val="17"/>
          <w:color w:val="FF0000"/>
          <w:strike w:val="1"/>
        </w:rPr>
        <w:t xml:space="preserve"> (which </w:t>
      </w:r>
      <w:r>
        <w:rPr>
          <w:rFonts w:ascii="Arial" w:cs="Arial" w:eastAsia="Arial" w:hAnsi="Arial"/>
          <w:sz w:val="17"/>
          <w:szCs w:val="17"/>
          <w:u w:val="single" w:color="auto"/>
          <w:color w:val="FF0000"/>
          <w:strike w:val="1"/>
        </w:rPr>
        <w:t>Section 6.11</w:t>
      </w:r>
      <w:r>
        <w:rPr>
          <w:rFonts w:ascii="Arial" w:cs="Arial" w:eastAsia="Arial" w:hAnsi="Arial"/>
          <w:sz w:val="17"/>
          <w:szCs w:val="17"/>
          <w:color w:val="FF0000"/>
          <w:strike w:val="1"/>
        </w:rPr>
        <w:t>, for the avoidance of doubt, does not require that any Excluded Subsidiary provide such a Guarantee) or otherwise. For avoidance of doubt, the Borrower may cause any Restricted Subsidiary that is not (and is not required to be) a Guarantor to Guarantee the Obligations by causing such Restricted Subsidiary to execute a joinder to this Agreement in form and substance reasonably satisfactory to the Administrative Agent, and any such Restricted Subsidiary shall be treated as a Guarantor hereunder for all purposes (each such Subsidiary, an “</w:t>
      </w:r>
      <w:r>
        <w:rPr>
          <w:rFonts w:ascii="Arial" w:cs="Arial" w:eastAsia="Arial" w:hAnsi="Arial"/>
          <w:sz w:val="17"/>
          <w:szCs w:val="17"/>
          <w:u w:val="single" w:color="auto"/>
          <w:color w:val="FF0000"/>
          <w:strike w:val="1"/>
        </w:rPr>
        <w:t>Electing Guarantor</w:t>
      </w:r>
      <w:r>
        <w:rPr>
          <w:rFonts w:ascii="Arial" w:cs="Arial" w:eastAsia="Arial" w:hAnsi="Arial"/>
          <w:sz w:val="17"/>
          <w:szCs w:val="17"/>
          <w:color w:val="FF0000"/>
          <w:strike w:val="1"/>
        </w:rPr>
        <w:t xml:space="preserve">”) and may also cause the Guaranty of any such Electing Guarantor, and any Liens securing such Guaranty, to be released upon providing written notice to the Administrative Agent and the Collateral Agent that such Electing Guarantor shall be treated as an Excluded Subsidiary to the extent consistent with the definition of Excluded Subsidiary. The Guarantors as of the Restatement Effective Date are (A) set forth on </w:t>
      </w:r>
      <w:r>
        <w:rPr>
          <w:rFonts w:ascii="Arial" w:cs="Arial" w:eastAsia="Arial" w:hAnsi="Arial"/>
          <w:sz w:val="17"/>
          <w:szCs w:val="17"/>
          <w:u w:val="single" w:color="auto"/>
          <w:color w:val="FF0000"/>
          <w:strike w:val="1"/>
        </w:rPr>
        <w:t>Schedule 1.01(b)</w:t>
      </w:r>
      <w:r>
        <w:rPr>
          <w:rFonts w:ascii="Arial" w:cs="Arial" w:eastAsia="Arial" w:hAnsi="Arial"/>
          <w:sz w:val="17"/>
          <w:szCs w:val="17"/>
          <w:color w:val="FF0000"/>
          <w:strike w:val="1"/>
        </w:rPr>
        <w:t xml:space="preserve"> and (B) not Electing Guarantors.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Guarantors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shall mean each Subsidiary of the Borrower</w:t>
      </w:r>
      <w:r>
        <w:rPr>
          <w:rFonts w:ascii="Arial" w:cs="Arial" w:eastAsia="Arial" w:hAnsi="Arial"/>
          <w:sz w:val="18"/>
          <w:szCs w:val="18"/>
          <w:u w:val="single" w:color="auto"/>
          <w:color w:val="0000FF"/>
        </w:rPr>
        <w:t xml:space="preserve"> as of the Petition Date (other than an Excluded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4864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mean, collectively, the guaranty of the Obligations by the Guarantors pursuant to this Agreement.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shall mean (a) any petroleum products, distillates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58"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IBT</w:t>
      </w:r>
      <w:r>
        <w:rPr>
          <w:rFonts w:ascii="Arial" w:cs="Arial" w:eastAsia="Arial" w:hAnsi="Arial"/>
          <w:sz w:val="18"/>
          <w:szCs w:val="18"/>
          <w:color w:val="FF0000"/>
          <w:strike w:val="1"/>
        </w:rPr>
        <w:t>” shall mean the International Brotherhood of Teamsters</w:t>
      </w:r>
      <w:r>
        <w:rPr>
          <w:rFonts w:ascii="Arial" w:cs="Arial" w:eastAsia="Arial" w:hAnsi="Arial"/>
          <w:sz w:val="18"/>
          <w:szCs w:val="18"/>
          <w:b w:val="1"/>
          <w:bCs w:val="1"/>
          <w:u w:val="single" w:color="auto"/>
          <w:color w:val="0000FF"/>
        </w:rPr>
        <w:t>Hypothecary Representative</w:t>
      </w:r>
      <w:r>
        <w:rPr>
          <w:rFonts w:ascii="Arial" w:cs="Arial" w:eastAsia="Arial" w:hAnsi="Arial"/>
          <w:sz w:val="18"/>
          <w:szCs w:val="18"/>
          <w:u w:val="single" w:color="auto"/>
          <w:color w:val="008000"/>
        </w:rPr>
        <w:t>” shall have the meaning assigned to such term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Section 10.27</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-151130</wp:posOffset>
            </wp:positionV>
            <wp:extent cx="365188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518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597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42" w:lineRule="exact"/>
        <w:rPr>
          <w:sz w:val="20"/>
          <w:szCs w:val="20"/>
          <w:color w:val="auto"/>
        </w:rPr>
      </w:pPr>
    </w:p>
    <w:p>
      <w:pPr>
        <w:ind w:right="4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IBT Agreement</w:t>
      </w:r>
      <w:r>
        <w:rPr>
          <w:rFonts w:ascii="Arial" w:cs="Arial" w:eastAsia="Arial" w:hAnsi="Arial"/>
          <w:sz w:val="18"/>
          <w:szCs w:val="18"/>
          <w:color w:val="FF0000"/>
          <w:strike w:val="1"/>
        </w:rPr>
        <w:t>” shall mean that certain National Master Freight Agreement, effective April 1, 2019, among the IBT, YRC Inc. (formerly, Yellow Transportation, Inc. and Roadway Express, Inc.), USF Holland LLC and New Penn Motor Express LLC, as amended, restated, modified, supplemented, extended, renewed or replaced from time to time.</w:t>
      </w:r>
    </w:p>
    <w:p>
      <w:pPr>
        <w:spacing w:after="0" w:line="176"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IBT Extension Agreement</w:t>
      </w:r>
      <w:r>
        <w:rPr>
          <w:rFonts w:ascii="Arial" w:cs="Arial" w:eastAsia="Arial" w:hAnsi="Arial"/>
          <w:sz w:val="18"/>
          <w:szCs w:val="18"/>
          <w:color w:val="FF0000"/>
          <w:strike w:val="1"/>
        </w:rPr>
        <w:t>” shall mean that certain Extension of the Agreement for the Restructuring of the YRC Worldwide Inc. Operating Companies, by and among YRC Inc., USF Holland, Inc., New Penn Motor Express, Inc., USF Reddaway and the Teamsters National Freight Industry Negotiating Committee of the IBT.</w:t>
      </w:r>
    </w:p>
    <w:p>
      <w:pPr>
        <w:spacing w:after="0" w:line="176"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IBT Transactions</w:t>
      </w:r>
      <w:r>
        <w:rPr>
          <w:rFonts w:ascii="Arial" w:cs="Arial" w:eastAsia="Arial" w:hAnsi="Arial"/>
          <w:sz w:val="16"/>
          <w:szCs w:val="16"/>
          <w:color w:val="FF0000"/>
          <w:strike w:val="1"/>
        </w:rPr>
        <w:t>” shall mean the modification and extension through March 31, 2024 or any date thereafter, including pursuant to a subsequent modification, extension, approval and ratification, of the IBT Agreement, and the approval and ratification of the IBT Extension Agreement by the members of the IBT in accordance in all material respects with all applicable laws, rules, regulations and other requirements relating thereto.</w:t>
      </w:r>
    </w:p>
    <w:p>
      <w:pPr>
        <w:spacing w:after="0" w:line="14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Immaterial Subsidiary</w:t>
      </w:r>
      <w:r>
        <w:rPr>
          <w:rFonts w:ascii="Arial" w:cs="Arial" w:eastAsia="Arial" w:hAnsi="Arial"/>
          <w:sz w:val="17"/>
          <w:szCs w:val="17"/>
          <w:color w:val="FF0000"/>
          <w:strike w:val="1"/>
        </w:rPr>
        <w:t xml:space="preserve">” shall mean any Subsidiary of the Borrower that does not individually have total assets or revenues (for the period of four fiscal quarters most recently ended) that exceed 1.0% of the Borrower’s total assets or revenues as of the end of each fiscal quarter (in the case of revenues, for the period of four fiscal quarters ending on such date);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the aggregate amount of assets or revenues (for the period of four fiscal quarters most recently ended) of such Subsidiaries shall not at any time exceed 2.5% of the Borrower’s total assets or revenues as of the end of each fiscal quarter (in the case of revenues, for the period of four fiscal quarters ending on such date); </w:t>
      </w:r>
      <w:r>
        <w:rPr>
          <w:rFonts w:ascii="Arial" w:cs="Arial" w:eastAsia="Arial" w:hAnsi="Arial"/>
          <w:sz w:val="17"/>
          <w:szCs w:val="17"/>
          <w:i w:val="1"/>
          <w:iCs w:val="1"/>
          <w:color w:val="FF0000"/>
          <w:strike w:val="1"/>
        </w:rPr>
        <w:t>provided further</w:t>
      </w:r>
      <w:r>
        <w:rPr>
          <w:rFonts w:ascii="Arial" w:cs="Arial" w:eastAsia="Arial" w:hAnsi="Arial"/>
          <w:sz w:val="17"/>
          <w:szCs w:val="17"/>
          <w:color w:val="FF0000"/>
          <w:strike w:val="1"/>
        </w:rPr>
        <w:t xml:space="preserve"> that if, as of the date the financial statements for any fiscal quarter of the Borrower are delivered or required to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71" w:name="page172"/>
    <w:bookmarkEnd w:id="171"/>
    <w:p>
      <w:pPr>
        <w:ind w:right="40"/>
        <w:spacing w:after="0" w:line="254"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hereunder, the consolidated assets or revenues of all Restricted Subsidiaries so designated by the Borrower as “</w:t>
      </w:r>
      <w:r>
        <w:rPr>
          <w:rFonts w:ascii="Arial" w:cs="Arial" w:eastAsia="Arial" w:hAnsi="Arial"/>
          <w:sz w:val="18"/>
          <w:szCs w:val="18"/>
          <w:u w:val="single" w:color="auto"/>
          <w:color w:val="FF0000"/>
          <w:strike w:val="1"/>
        </w:rPr>
        <w:t>Immaterial Subsidiaries</w:t>
      </w:r>
      <w:r>
        <w:rPr>
          <w:rFonts w:ascii="Arial" w:cs="Arial" w:eastAsia="Arial" w:hAnsi="Arial"/>
          <w:sz w:val="18"/>
          <w:szCs w:val="18"/>
          <w:color w:val="FF0000"/>
          <w:strike w:val="1"/>
        </w:rPr>
        <w:t>” shall have, as of the last day of such fiscal quarter, exceeded the limits set forth above, then within 10 Business Days (or such later date as agreed by the Administrative Agent and the Required Lenders in their reasonable discretion) after the date such financial statements are so delivered (or so required to be delivered), the Borrower shall redesignate one or more Immaterial Subsidiaries, in each case in a written notice to the Required Lenders and Administrative Agent, such that, as a result thereof, the consolidated assets and revenues of all Restricted Subsidiaries that are still designated as “</w:t>
      </w:r>
      <w:r>
        <w:rPr>
          <w:rFonts w:ascii="Arial" w:cs="Arial" w:eastAsia="Arial" w:hAnsi="Arial"/>
          <w:sz w:val="18"/>
          <w:szCs w:val="18"/>
          <w:u w:val="single" w:color="auto"/>
          <w:color w:val="FF0000"/>
          <w:strike w:val="1"/>
        </w:rPr>
        <w:t>Immaterial Subsidiaries</w:t>
      </w:r>
      <w:r>
        <w:rPr>
          <w:rFonts w:ascii="Arial" w:cs="Arial" w:eastAsia="Arial" w:hAnsi="Arial"/>
          <w:sz w:val="18"/>
          <w:szCs w:val="18"/>
          <w:color w:val="FF0000"/>
          <w:strike w:val="1"/>
        </w:rPr>
        <w:t xml:space="preserve">” do not exceed such limits. Upon any such Restricted Subsidiary ceasing to be an Immaterial Subsidiary pursuant to the preceding sentence, such Restricted Subsidiary, to the extent not otherwise qualifying as an Excluded Subsidiary, shall comply with </w:t>
      </w:r>
      <w:r>
        <w:rPr>
          <w:rFonts w:ascii="Arial" w:cs="Arial" w:eastAsia="Arial" w:hAnsi="Arial"/>
          <w:sz w:val="18"/>
          <w:szCs w:val="18"/>
          <w:u w:val="single" w:color="auto"/>
          <w:color w:val="FF0000"/>
          <w:strike w:val="1"/>
        </w:rPr>
        <w:t>Section 6.11</w:t>
      </w:r>
      <w:r>
        <w:rPr>
          <w:rFonts w:ascii="Arial" w:cs="Arial" w:eastAsia="Arial" w:hAnsi="Arial"/>
          <w:sz w:val="18"/>
          <w:szCs w:val="18"/>
          <w:color w:val="FF0000"/>
          <w:strike w:val="1"/>
        </w:rPr>
        <w:t>, to the extent applicable.</w:t>
      </w:r>
    </w:p>
    <w:p>
      <w:pPr>
        <w:spacing w:after="0" w:line="188" w:lineRule="exact"/>
        <w:rPr>
          <w:sz w:val="20"/>
          <w:szCs w:val="20"/>
          <w:color w:val="auto"/>
        </w:rPr>
      </w:pPr>
    </w:p>
    <w:p>
      <w:pPr>
        <w:jc w:val="both"/>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mean, as to any Person at a particular time, without duplication and without reference to what constitutes indebtedness or a liability in accordance with GAAP, all of the following:</w:t>
      </w:r>
    </w:p>
    <w:p>
      <w:pPr>
        <w:spacing w:after="0" w:line="166"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(a) all obligations of such Person for borrowed money and all obligations of such Person evidenced by bonds, debentures, notes, loan agreements or other similar instruments;</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(b) the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(c) net obligations of such Person under any Swap Contract;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(d) all obligations of such Person to pay the deferred purchase price of property or services;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(e) indebtedness (excluding prepaid interest thereon) described in clauses (a) through (d) and (f) through (h)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(f) all Attributable Indebtedness;</w:t>
      </w:r>
    </w:p>
    <w:p>
      <w:pPr>
        <w:spacing w:after="0" w:line="225"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 xml:space="preserve">(g) all obligations of such Person to purchase, redeem, retire or otherwise acquire for value any Disqualified Equity Interests (but solely to the extent required to occur on or prior to the </w:t>
      </w:r>
      <w:r>
        <w:rPr>
          <w:rFonts w:ascii="Arial" w:cs="Arial" w:eastAsia="Arial" w:hAnsi="Arial"/>
          <w:sz w:val="16"/>
          <w:szCs w:val="16"/>
          <w:color w:val="FF0000"/>
          <w:strike w:val="1"/>
        </w:rPr>
        <w:t>Latest</w:t>
      </w:r>
      <w:r>
        <w:rPr>
          <w:rFonts w:ascii="Arial" w:cs="Arial" w:eastAsia="Arial" w:hAnsi="Arial"/>
          <w:sz w:val="16"/>
          <w:szCs w:val="16"/>
          <w:color w:val="auto"/>
        </w:rPr>
        <w:t xml:space="preserve"> Maturity Date (other than as a result of a change of control, asset sale or similar event)); and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(h) to the extent not otherwise included above, all Guarantees of such Person in respect of any of the foregoing.</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For all purposes hereof, the Indebtedness of any Person (i) shall include the Indebtedness of any partnership or joint venture (other than a joint venture that is itself a corporation or limited liability company) in which such Person is a general partner or joint venturer, except to the extent such Person’s liability for such Indebtedness is otherwise expressly contractually limited and only to the extent such Indebtedness would be included in the calculation of Consolidated Total Debt and (ii) shall exclude (A) trade accounts payable in the ordinary course of business, (B) any earn-out obligation until such earn-out obligation has become due and payable, (C) any </w:t>
      </w:r>
      <w:r>
        <w:rPr>
          <w:rFonts w:ascii="Arial" w:cs="Arial" w:eastAsia="Arial" w:hAnsi="Arial"/>
          <w:sz w:val="17"/>
          <w:szCs w:val="17"/>
          <w:color w:val="FF0000"/>
          <w:strike w:val="1"/>
        </w:rPr>
        <w:t>current and undeferred</w:t>
      </w:r>
      <w:r>
        <w:rPr>
          <w:rFonts w:ascii="Arial" w:cs="Arial" w:eastAsia="Arial" w:hAnsi="Arial"/>
          <w:sz w:val="17"/>
          <w:szCs w:val="17"/>
          <w:color w:val="auto"/>
        </w:rPr>
        <w:t xml:space="preserve"> pension contributions or health and welfare contributions due from such Person and/or its applicable Subsidiaries to any Pension Fund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72" w:name="page173"/>
    <w:bookmarkEnd w:id="172"/>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(D) liabilities accrued in the ordinary course, (E) deferred revenues, liabilities associated with customer prepayments and deposits and any such obligations incurred under ERISA, and other accrued obligations (including transfer pricing), in each case incurred in the ordinary course of business,</w:t>
      </w:r>
    </w:p>
    <w:p>
      <w:pPr>
        <w:ind w:left="4" w:right="120" w:hanging="4"/>
        <w:spacing w:after="0" w:line="253" w:lineRule="auto"/>
        <w:tabs>
          <w:tab w:leader="none" w:pos="2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operating leases, (G) customary obligations under employment agreements and deferred compensation and (H) deferred tax liabilities. The amount of any net obligation under any Swap Contract on any date shall be deemed to be the Swap Termination Value thereof as of such date. The amount of Indebtedness of any Person for purposes of clause (e) that is limited in recourse to the property encumbered thereby shall be deemed to be equal to the lesser of (i) the aggregate unpaid amount of such Indebtedness and (ii) the fair market value of the property encumbered thereby as determined by such Person in good faith.</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10.05(b)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Information Officer</w:t>
      </w:r>
      <w:r>
        <w:rPr>
          <w:rFonts w:ascii="Arial" w:cs="Arial" w:eastAsia="Arial" w:hAnsi="Arial"/>
          <w:sz w:val="17"/>
          <w:szCs w:val="17"/>
          <w:u w:val="single" w:color="auto"/>
          <w:color w:val="0000FF"/>
        </w:rPr>
        <w:t>” shall mean the information officer appointed by the Canadian Court in the Canadian Recognition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33020</wp:posOffset>
            </wp:positionV>
            <wp:extent cx="61722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Budget</w:t>
      </w:r>
      <w:r>
        <w:rPr>
          <w:rFonts w:ascii="Arial" w:cs="Arial" w:eastAsia="Arial" w:hAnsi="Arial"/>
          <w:sz w:val="16"/>
          <w:szCs w:val="16"/>
          <w:color w:val="auto"/>
        </w:rPr>
        <w:t xml:space="preserve">” shall mean the initial 13-week consolidated weekly operating budget of the Borrower and its Subsidiaries setting forth projected operating receipts, </w:t>
      </w:r>
      <w:r>
        <w:rPr>
          <w:rFonts w:ascii="Arial" w:cs="Arial" w:eastAsia="Arial" w:hAnsi="Arial"/>
          <w:sz w:val="16"/>
          <w:szCs w:val="16"/>
          <w:color w:val="FF0000"/>
          <w:strike w:val="1"/>
        </w:rPr>
        <w:t>vendor</w:t>
      </w:r>
      <w:r>
        <w:rPr>
          <w:rFonts w:ascii="Arial" w:cs="Arial" w:eastAsia="Arial" w:hAnsi="Arial"/>
          <w:sz w:val="16"/>
          <w:szCs w:val="16"/>
          <w:u w:val="single" w:color="auto"/>
          <w:color w:val="0000FF"/>
        </w:rPr>
        <w:t>operating</w:t>
      </w:r>
      <w:r>
        <w:rPr>
          <w:rFonts w:ascii="Arial" w:cs="Arial" w:eastAsia="Arial" w:hAnsi="Arial"/>
          <w:sz w:val="16"/>
          <w:szCs w:val="16"/>
          <w:color w:val="auto"/>
        </w:rPr>
        <w:t xml:space="preserve"> disbursements, </w:t>
      </w:r>
      <w:r>
        <w:rPr>
          <w:rFonts w:ascii="Arial" w:cs="Arial" w:eastAsia="Arial" w:hAnsi="Arial"/>
          <w:sz w:val="16"/>
          <w:szCs w:val="16"/>
          <w:u w:val="single" w:color="auto"/>
          <w:color w:val="0000FF"/>
        </w:rPr>
        <w:t>professional fees,</w:t>
      </w:r>
      <w:r>
        <w:rPr>
          <w:rFonts w:ascii="Arial" w:cs="Arial" w:eastAsia="Arial" w:hAnsi="Arial"/>
          <w:sz w:val="16"/>
          <w:szCs w:val="16"/>
          <w:color w:val="auto"/>
        </w:rPr>
        <w:t xml:space="preserve"> net operating cash flow and Liquidity for the periods described therein prepared by management of the Borrower </w:t>
      </w:r>
      <w:r>
        <w:rPr>
          <w:rFonts w:ascii="Arial" w:cs="Arial" w:eastAsia="Arial" w:hAnsi="Arial"/>
          <w:sz w:val="16"/>
          <w:szCs w:val="16"/>
          <w:u w:val="single" w:color="auto"/>
          <w:color w:val="0000FF"/>
        </w:rPr>
        <w:t>(and in consultation with the Borrower’s Operational Advisor)</w:t>
      </w:r>
      <w:r>
        <w:rPr>
          <w:rFonts w:ascii="Arial" w:cs="Arial" w:eastAsia="Arial" w:hAnsi="Arial"/>
          <w:sz w:val="16"/>
          <w:szCs w:val="16"/>
          <w:color w:val="auto"/>
        </w:rPr>
        <w:t xml:space="preserve">, covering the period commencing on or about the </w:t>
      </w:r>
      <w:r>
        <w:rPr>
          <w:rFonts w:ascii="Arial" w:cs="Arial" w:eastAsia="Arial" w:hAnsi="Arial"/>
          <w:sz w:val="16"/>
          <w:szCs w:val="16"/>
          <w:color w:val="FF0000"/>
          <w:strike w:val="1"/>
        </w:rPr>
        <w:t>Amendment No. 3 Effective</w:t>
      </w:r>
      <w:r>
        <w:rPr>
          <w:rFonts w:ascii="Arial" w:cs="Arial" w:eastAsia="Arial" w:hAnsi="Arial"/>
          <w:sz w:val="16"/>
          <w:szCs w:val="16"/>
          <w:u w:val="single" w:color="auto"/>
          <w:color w:val="0000FF"/>
        </w:rPr>
        <w:t>Postpetition B-2 Facility Closing</w:t>
      </w:r>
      <w:r>
        <w:rPr>
          <w:rFonts w:ascii="Arial" w:cs="Arial" w:eastAsia="Arial" w:hAnsi="Arial"/>
          <w:sz w:val="16"/>
          <w:szCs w:val="16"/>
          <w:color w:val="FF0000"/>
        </w:rPr>
        <w:t xml:space="preserve"> </w:t>
      </w:r>
      <w:r>
        <w:rPr>
          <w:rFonts w:ascii="Arial" w:cs="Arial" w:eastAsia="Arial" w:hAnsi="Arial"/>
          <w:sz w:val="16"/>
          <w:szCs w:val="16"/>
          <w:color w:val="000000"/>
        </w:rPr>
        <w:t>Date</w:t>
      </w:r>
      <w:r>
        <w:rPr>
          <w:rFonts w:ascii="Arial" w:cs="Arial" w:eastAsia="Arial" w:hAnsi="Arial"/>
          <w:sz w:val="16"/>
          <w:szCs w:val="16"/>
          <w:color w:val="FF0000"/>
        </w:rPr>
        <w:t xml:space="preserve"> </w:t>
      </w:r>
      <w:r>
        <w:rPr>
          <w:rFonts w:ascii="Arial" w:cs="Arial" w:eastAsia="Arial" w:hAnsi="Arial"/>
          <w:sz w:val="16"/>
          <w:szCs w:val="16"/>
          <w:color w:val="FF0000"/>
          <w:strike w:val="1"/>
        </w:rPr>
        <w:t>in form</w:t>
      </w:r>
      <w:r>
        <w:rPr>
          <w:rFonts w:ascii="Arial" w:cs="Arial" w:eastAsia="Arial" w:hAnsi="Arial"/>
          <w:sz w:val="16"/>
          <w:szCs w:val="16"/>
          <w:color w:val="FF0000"/>
        </w:rPr>
        <w:t xml:space="preserve"> </w:t>
      </w:r>
      <w:r>
        <w:rPr>
          <w:rFonts w:ascii="Arial" w:cs="Arial" w:eastAsia="Arial" w:hAnsi="Arial"/>
          <w:sz w:val="16"/>
          <w:szCs w:val="16"/>
          <w:color w:val="000000"/>
        </w:rPr>
        <w:t>and</w:t>
      </w:r>
      <w:r>
        <w:rPr>
          <w:rFonts w:ascii="Arial" w:cs="Arial" w:eastAsia="Arial" w:hAnsi="Arial"/>
          <w:sz w:val="16"/>
          <w:szCs w:val="16"/>
          <w:color w:val="FF0000"/>
        </w:rPr>
        <w:t xml:space="preserve"> </w:t>
      </w:r>
      <w:r>
        <w:rPr>
          <w:rFonts w:ascii="Arial" w:cs="Arial" w:eastAsia="Arial" w:hAnsi="Arial"/>
          <w:sz w:val="16"/>
          <w:szCs w:val="16"/>
          <w:color w:val="FF0000"/>
          <w:strike w:val="1"/>
        </w:rPr>
        <w:t>substance acceptable</w:t>
      </w:r>
      <w:r>
        <w:rPr>
          <w:rFonts w:ascii="Arial" w:cs="Arial" w:eastAsia="Arial" w:hAnsi="Arial"/>
          <w:sz w:val="16"/>
          <w:szCs w:val="16"/>
          <w:u w:val="single" w:color="auto"/>
          <w:color w:val="0000FF"/>
        </w:rPr>
        <w:t>attached</w:t>
      </w:r>
      <w:r>
        <w:rPr>
          <w:rFonts w:ascii="Arial" w:cs="Arial" w:eastAsia="Arial" w:hAnsi="Arial"/>
          <w:sz w:val="16"/>
          <w:szCs w:val="16"/>
          <w:color w:val="FF0000"/>
        </w:rPr>
        <w:t xml:space="preserve"> </w:t>
      </w:r>
      <w:r>
        <w:rPr>
          <w:rFonts w:ascii="Arial" w:cs="Arial" w:eastAsia="Arial" w:hAnsi="Arial"/>
          <w:sz w:val="16"/>
          <w:szCs w:val="16"/>
          <w:color w:val="000000"/>
        </w:rPr>
        <w:t>to the</w:t>
      </w:r>
      <w:r>
        <w:rPr>
          <w:rFonts w:ascii="Arial" w:cs="Arial" w:eastAsia="Arial" w:hAnsi="Arial"/>
          <w:sz w:val="16"/>
          <w:szCs w:val="16"/>
          <w:color w:val="FF0000"/>
        </w:rPr>
        <w:t xml:space="preserve"> </w:t>
      </w:r>
      <w:r>
        <w:rPr>
          <w:rFonts w:ascii="Arial" w:cs="Arial" w:eastAsia="Arial" w:hAnsi="Arial"/>
          <w:sz w:val="16"/>
          <w:szCs w:val="16"/>
          <w:color w:val="FF0000"/>
          <w:strike w:val="1"/>
        </w:rPr>
        <w:t>Required Lenders</w:t>
      </w:r>
      <w:r>
        <w:rPr>
          <w:rFonts w:ascii="Arial" w:cs="Arial" w:eastAsia="Arial" w:hAnsi="Arial"/>
          <w:sz w:val="16"/>
          <w:szCs w:val="16"/>
          <w:u w:val="single" w:color="auto"/>
          <w:color w:val="0000FF"/>
        </w:rPr>
        <w:t>Interim Order</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-294640</wp:posOffset>
            </wp:positionV>
            <wp:extent cx="4286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-294640</wp:posOffset>
            </wp:positionV>
            <wp:extent cx="8312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-191770</wp:posOffset>
            </wp:positionV>
            <wp:extent cx="2857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1345565</wp:posOffset>
            </wp:positionH>
            <wp:positionV relativeFrom="paragraph">
              <wp:posOffset>-157480</wp:posOffset>
            </wp:positionV>
            <wp:extent cx="288036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80360" cy="8890"/>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-20320</wp:posOffset>
            </wp:positionV>
            <wp:extent cx="15087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-20320</wp:posOffset>
            </wp:positionV>
            <wp:extent cx="3860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-20320</wp:posOffset>
            </wp:positionV>
            <wp:extent cx="6343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31" w:lineRule="exact"/>
        <w:rPr>
          <w:sz w:val="20"/>
          <w:szCs w:val="20"/>
          <w:color w:val="auto"/>
        </w:rPr>
      </w:pPr>
    </w:p>
    <w:p>
      <w:pPr>
        <w:ind w:left="4" w:firstLine="440"/>
        <w:spacing w:after="0" w:line="281"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Initial Postpetition Commitment</w:t>
      </w:r>
      <w:r>
        <w:rPr>
          <w:rFonts w:ascii="Arial" w:cs="Arial" w:eastAsia="Arial" w:hAnsi="Arial"/>
          <w:sz w:val="17"/>
          <w:szCs w:val="17"/>
          <w:u w:val="single" w:color="auto"/>
          <w:color w:val="0000FF"/>
        </w:rPr>
        <w:t>” means, as to each Lender, its obligations to make Initial Postpetition Loans to the Borrower on the Postpetition B-2 Facility Closing Date pursuant to the DIP Term Sheet</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in an aggregate principal amount not to exceed</w:t>
      </w:r>
      <w:r>
        <w:rPr>
          <w:rFonts w:ascii="Arial" w:cs="Arial" w:eastAsia="Arial" w:hAnsi="Arial"/>
          <w:sz w:val="17"/>
          <w:szCs w:val="17"/>
          <w:color w:val="0000FF"/>
        </w:rPr>
        <w:t xml:space="preserve"> the amount set forth opposite such </w:t>
      </w:r>
      <w:r>
        <w:rPr>
          <w:rFonts w:ascii="Arial" w:cs="Arial" w:eastAsia="Arial" w:hAnsi="Arial"/>
          <w:sz w:val="17"/>
          <w:szCs w:val="17"/>
          <w:u w:val="single" w:color="auto"/>
          <w:color w:val="0000FF"/>
        </w:rPr>
        <w:t>Lender’s name on Appendix A under the caption “Initial Postpetition Commitment”. The aggregate amount of the Initial Postpetition Commitments immediately prior to the making of the Initial Postpetition Loans on the Postpetition B-2 Facility Closing Date was $42,105,263.16.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-423545</wp:posOffset>
            </wp:positionV>
            <wp:extent cx="61976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-286385</wp:posOffset>
            </wp:positionV>
            <wp:extent cx="6995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-320675</wp:posOffset>
            </wp:positionV>
            <wp:extent cx="15989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598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wp:posOffset>
            </wp:positionV>
            <wp:extent cx="676338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02615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Initial Postpetition Loan</w:t>
      </w:r>
      <w:r>
        <w:rPr>
          <w:rFonts w:ascii="Arial" w:cs="Arial" w:eastAsia="Arial" w:hAnsi="Arial"/>
          <w:sz w:val="18"/>
          <w:szCs w:val="18"/>
          <w:u w:val="single" w:color="auto"/>
          <w:color w:val="0000FF"/>
        </w:rPr>
        <w:t>” means a term loan made on the Postpetition B-2 Facility Closing Date pursuant to Section 2.01(b).</w:t>
      </w:r>
    </w:p>
    <w:p>
      <w:pPr>
        <w:spacing w:after="0" w:line="225"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Interim Order</w:t>
      </w:r>
      <w:r>
        <w:rPr>
          <w:rFonts w:ascii="Arial" w:cs="Arial" w:eastAsia="Arial" w:hAnsi="Arial"/>
          <w:sz w:val="18"/>
          <w:szCs w:val="18"/>
          <w:u w:val="single" w:color="auto"/>
          <w:color w:val="0000FF"/>
        </w:rPr>
        <w:t>” means the interim order attached hereto as Exhibit D, as the same may be amended, modified or supplemented from time to time with the express written joinder or consent of the Lenders (and with respect to amendments, modifications or supplements that affect the rights or duties of any Agent, such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-553085</wp:posOffset>
            </wp:positionV>
            <wp:extent cx="58807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88073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-278765</wp:posOffset>
            </wp:positionV>
            <wp:extent cx="65151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8834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54305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Intercompany Note</w:t>
      </w:r>
      <w:r>
        <w:rPr>
          <w:rFonts w:ascii="Arial" w:cs="Arial" w:eastAsia="Arial" w:hAnsi="Arial"/>
          <w:sz w:val="18"/>
          <w:szCs w:val="18"/>
          <w:u w:val="single" w:color="auto"/>
          <w:color w:val="0000FF"/>
        </w:rPr>
        <w:t>” shall mean</w:t>
      </w:r>
      <w:r>
        <w:rPr>
          <w:rFonts w:ascii="Arial" w:cs="Arial" w:eastAsia="Arial" w:hAnsi="Arial"/>
          <w:sz w:val="18"/>
          <w:szCs w:val="18"/>
          <w:color w:val="0000FF"/>
        </w:rPr>
        <w:t xml:space="preserve"> </w:t>
      </w:r>
      <w:r>
        <w:rPr>
          <w:rFonts w:ascii="Arial" w:cs="Arial" w:eastAsia="Arial" w:hAnsi="Arial"/>
          <w:sz w:val="18"/>
          <w:szCs w:val="18"/>
          <w:color w:val="008000"/>
        </w:rPr>
        <w:t>a promissory note substantially in the form of 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41662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-7620</wp:posOffset>
            </wp:positionV>
            <wp:extent cx="260540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5405"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8000"/>
        </w:rPr>
        <w:t>“</w:t>
      </w:r>
      <w:r>
        <w:rPr>
          <w:rFonts w:ascii="Arial" w:cs="Arial" w:eastAsia="Arial" w:hAnsi="Arial"/>
          <w:sz w:val="18"/>
          <w:szCs w:val="18"/>
          <w:b w:val="1"/>
          <w:bCs w:val="1"/>
          <w:u w:val="single" w:color="auto"/>
          <w:color w:val="008000"/>
        </w:rPr>
        <w:t>Interest Payment Date</w:t>
      </w:r>
      <w:r>
        <w:rPr>
          <w:rFonts w:ascii="Arial" w:cs="Arial" w:eastAsia="Arial" w:hAnsi="Arial"/>
          <w:sz w:val="18"/>
          <w:szCs w:val="18"/>
          <w:u w:val="single" w:color="auto"/>
          <w:color w:val="008000"/>
        </w:rPr>
        <w:t xml:space="preserve">” shall mean </w:t>
      </w:r>
      <w:r>
        <w:rPr>
          <w:rFonts w:ascii="Arial" w:cs="Arial" w:eastAsia="Arial" w:hAnsi="Arial"/>
          <w:sz w:val="18"/>
          <w:szCs w:val="18"/>
          <w:u w:val="single" w:color="auto"/>
          <w:color w:val="0000FF"/>
        </w:rPr>
        <w:t>the last</w:t>
      </w:r>
      <w:r>
        <w:rPr>
          <w:rFonts w:ascii="Arial" w:cs="Arial" w:eastAsia="Arial" w:hAnsi="Arial"/>
          <w:sz w:val="18"/>
          <w:szCs w:val="18"/>
          <w:u w:val="single" w:color="auto"/>
          <w:color w:val="008000"/>
        </w:rPr>
        <w:t xml:space="preserve"> Business Day of each calendar month (commencing with </w:t>
      </w:r>
      <w:r>
        <w:rPr>
          <w:rFonts w:ascii="Arial" w:cs="Arial" w:eastAsia="Arial" w:hAnsi="Arial"/>
          <w:sz w:val="18"/>
          <w:szCs w:val="18"/>
          <w:u w:val="single" w:color="auto"/>
          <w:color w:val="0000FF"/>
        </w:rPr>
        <w:t>Thursday,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604329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05" w:lineRule="exact"/>
        <w:rPr>
          <w:sz w:val="20"/>
          <w:szCs w:val="20"/>
          <w:color w:val="auto"/>
        </w:rPr>
      </w:pPr>
    </w:p>
    <w:p>
      <w:pPr>
        <w:ind w:left="4"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“Grant of Security Interest”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-151130</wp:posOffset>
            </wp:positionV>
            <wp:extent cx="14605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42"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Intercompany Note</w:t>
      </w:r>
      <w:r>
        <w:rPr>
          <w:rFonts w:ascii="Arial" w:cs="Arial" w:eastAsia="Arial" w:hAnsi="Arial"/>
          <w:sz w:val="18"/>
          <w:szCs w:val="18"/>
          <w:color w:val="FF0000"/>
          <w:strike w:val="1"/>
        </w:rPr>
        <w:t xml:space="preserve">” shall mean (i) for existing promissory notes as of the Restatement Effective Date, each promissory note (or amended and restated promissory note) with subordination language reasonably acceptable to the Required Lenders and (ii) for promissory notes issued after the Restatement Effective Date, </w:t>
      </w:r>
      <w:r>
        <w:rPr>
          <w:rFonts w:ascii="Arial" w:cs="Arial" w:eastAsia="Arial" w:hAnsi="Arial"/>
          <w:sz w:val="18"/>
          <w:szCs w:val="18"/>
          <w:color w:val="008000"/>
          <w:strike w:val="1"/>
        </w:rPr>
        <w:t>a promissory note substantially in the form of</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Exhibit E</w:t>
      </w:r>
      <w:r>
        <w:rPr>
          <w:rFonts w:ascii="Arial" w:cs="Arial" w:eastAsia="Arial" w:hAnsi="Arial"/>
          <w:sz w:val="18"/>
          <w:szCs w:val="18"/>
          <w:color w:val="008000"/>
          <w:strike w:val="1"/>
        </w:rPr>
        <w: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173" w:name="page174"/>
    <w:bookmarkEnd w:id="173"/>
    <w:p>
      <w:pPr>
        <w:ind w:left="4" w:right="20" w:firstLine="440"/>
        <w:spacing w:after="0" w:line="282"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Intercreditor Agreement”</w:t>
      </w:r>
      <w:r>
        <w:rPr>
          <w:rFonts w:ascii="Arial" w:cs="Arial" w:eastAsia="Arial" w:hAnsi="Arial"/>
          <w:sz w:val="18"/>
          <w:szCs w:val="18"/>
          <w:color w:val="FF0000"/>
          <w:strike w:val="1"/>
        </w:rPr>
        <w:t xml:space="preserve"> shall include all permitted intercreditor agreements (including the ABL Intercreditor Agreement and any Junior Lien Intercreditor Agreement).</w:t>
      </w:r>
    </w:p>
    <w:p>
      <w:pPr>
        <w:spacing w:after="0" w:line="162"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color w:val="008000"/>
          <w:strike w:val="1"/>
        </w:rPr>
        <w:t>“</w:t>
      </w:r>
      <w:r>
        <w:rPr>
          <w:rFonts w:ascii="Arial" w:cs="Arial" w:eastAsia="Arial" w:hAnsi="Arial"/>
          <w:sz w:val="18"/>
          <w:szCs w:val="18"/>
          <w:b w:val="1"/>
          <w:bCs w:val="1"/>
          <w:color w:val="008000"/>
          <w:strike w:val="1"/>
        </w:rPr>
        <w:t>Interest Payment Date</w:t>
      </w:r>
      <w:r>
        <w:rPr>
          <w:rFonts w:ascii="Arial" w:cs="Arial" w:eastAsia="Arial" w:hAnsi="Arial"/>
          <w:sz w:val="18"/>
          <w:szCs w:val="18"/>
          <w:color w:val="008000"/>
          <w:strike w:val="1"/>
        </w:rPr>
        <w:t xml:space="preserve">” shall mean </w:t>
      </w:r>
      <w:r>
        <w:rPr>
          <w:rFonts w:ascii="Arial" w:cs="Arial" w:eastAsia="Arial" w:hAnsi="Arial"/>
          <w:sz w:val="18"/>
          <w:szCs w:val="18"/>
          <w:color w:val="FF0000"/>
          <w:strike w:val="1"/>
        </w:rPr>
        <w:t>(a) with respect to any ABR Loan, the last Business Day of each March, June, September and December</w:t>
      </w:r>
      <w:r>
        <w:rPr>
          <w:rFonts w:ascii="Arial" w:cs="Arial" w:eastAsia="Arial" w:hAnsi="Arial"/>
          <w:sz w:val="18"/>
          <w:szCs w:val="18"/>
          <w:color w:val="008000"/>
          <w:strike w:val="1"/>
        </w:rPr>
        <w:t xml:space="preserve">, and (b) with respect to any </w:t>
      </w:r>
      <w:r>
        <w:rPr>
          <w:rFonts w:ascii="Arial" w:cs="Arial" w:eastAsia="Arial" w:hAnsi="Arial"/>
          <w:sz w:val="18"/>
          <w:szCs w:val="18"/>
          <w:color w:val="FF0000"/>
          <w:strike w:val="1"/>
        </w:rPr>
        <w:t>SOFR Loan, the last day of the Interest Period applicable to the Borrowing of which such Loan is a part and, in the case of a</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SOFR Borrowing with an Interest Period of more than three months’ duration, each day that would have been an Interest Payment Date had successive Interest Periods of three months’ duration been applicable to such Borrowing.</w:t>
      </w:r>
    </w:p>
    <w:p>
      <w:pPr>
        <w:spacing w:after="0" w:line="180"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Interest Period</w:t>
      </w:r>
      <w:r>
        <w:rPr>
          <w:rFonts w:ascii="Arial" w:cs="Arial" w:eastAsia="Arial" w:hAnsi="Arial"/>
          <w:sz w:val="17"/>
          <w:szCs w:val="17"/>
          <w:color w:val="FF0000"/>
          <w:strike w:val="1"/>
        </w:rPr>
        <w:t xml:space="preserve">” shall mean, with respect to any SOFR Borrowing, the period commencing on the date of such Borrowing and ending on the numerically corresponding day (or, if there is no numerically corresponding day, on the last Business Day) in the calendar month that is 1, 3 or 6 months thereafter, as the Borrower may elect; </w:t>
      </w:r>
      <w:r>
        <w:rPr>
          <w:rFonts w:ascii="Arial" w:cs="Arial" w:eastAsia="Arial" w:hAnsi="Arial"/>
          <w:sz w:val="17"/>
          <w:szCs w:val="17"/>
          <w:i w:val="1"/>
          <w:iCs w:val="1"/>
          <w:color w:val="FF0000"/>
          <w:strike w:val="1"/>
        </w:rPr>
        <w:t>provided, however</w:t>
      </w:r>
      <w:r>
        <w:rPr>
          <w:rFonts w:ascii="Arial" w:cs="Arial" w:eastAsia="Arial" w:hAnsi="Arial"/>
          <w:sz w:val="17"/>
          <w:szCs w:val="17"/>
          <w:color w:val="FF0000"/>
          <w:strike w:val="1"/>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for any Loan shall extend beyond the maturity date of such Loan.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Internally Generated Cash</w:t>
      </w:r>
      <w:r>
        <w:rPr>
          <w:rFonts w:ascii="Arial" w:cs="Arial" w:eastAsia="Arial" w:hAnsi="Arial"/>
          <w:sz w:val="17"/>
          <w:szCs w:val="17"/>
          <w:color w:val="FF0000"/>
          <w:strike w:val="1"/>
        </w:rPr>
        <w:t>” shall mean cash resulting from operations of the Borrower and the Restricted Subsidiaries and not constituting</w:t>
      </w:r>
    </w:p>
    <w:p>
      <w:pPr>
        <w:spacing w:after="0" w:line="39" w:lineRule="exact"/>
        <w:rPr>
          <w:sz w:val="20"/>
          <w:szCs w:val="20"/>
          <w:color w:val="auto"/>
        </w:rPr>
      </w:pPr>
    </w:p>
    <w:p>
      <w:pPr>
        <w:ind w:left="4" w:right="620" w:hanging="4"/>
        <w:spacing w:after="0" w:line="260" w:lineRule="auto"/>
        <w:tabs>
          <w:tab w:leader="none" w:pos="259" w:val="left"/>
        </w:tabs>
        <w:numPr>
          <w:ilvl w:val="0"/>
          <w:numId w:val="84"/>
        </w:numPr>
        <w:rPr>
          <w:rFonts w:ascii="Arial" w:cs="Arial" w:eastAsia="Arial" w:hAnsi="Arial"/>
          <w:sz w:val="18"/>
          <w:szCs w:val="18"/>
          <w:color w:val="FF0000"/>
          <w:strike w:val="1"/>
        </w:rPr>
      </w:pPr>
      <w:r>
        <w:rPr>
          <w:rFonts w:ascii="Arial" w:cs="Arial" w:eastAsia="Arial" w:hAnsi="Arial"/>
          <w:sz w:val="18"/>
          <w:szCs w:val="18"/>
          <w:color w:val="FF0000"/>
          <w:strike w:val="1"/>
        </w:rPr>
        <w:t>proceeds of the issuance of (or contributions in respect of) Equity Interests, (y) proceeds of Dispositions (other than in the ordinary course of business) and Casualty Events or (z) proceeds of the incurrence of Indebtedness.</w:t>
      </w:r>
    </w:p>
    <w:p>
      <w:pPr>
        <w:spacing w:after="0" w:line="18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related transactions) of all or substantially all of the property and assets or business of another Person or assets constituting a business unit, line of business or division of such Person. For purposes of covenant compliance, (i) the amount of any Investment shall equal (A) the amount actually invested, without adjustment for subsequent increases or decreases in the value of such Investment </w:t>
      </w:r>
      <w:r>
        <w:rPr>
          <w:rFonts w:ascii="Arial" w:cs="Arial" w:eastAsia="Arial" w:hAnsi="Arial"/>
          <w:sz w:val="16"/>
          <w:szCs w:val="16"/>
          <w:u w:val="single" w:color="auto"/>
          <w:color w:val="auto"/>
        </w:rPr>
        <w:t>minus</w:t>
      </w:r>
      <w:r>
        <w:rPr>
          <w:rFonts w:ascii="Arial" w:cs="Arial" w:eastAsia="Arial" w:hAnsi="Arial"/>
          <w:sz w:val="16"/>
          <w:szCs w:val="16"/>
          <w:color w:val="auto"/>
        </w:rPr>
        <w:t>, except for purposes of calculating the Cumulative Credit, (B) the aggregate amount of dividends, distributions or other payments received in cash in respect of such Investment (including by way of a sale or other disposition of such Investment) but not in excess of the original amount invested and (ii) the fair market value of any and all Investments (which for the avoidance of doubt shall include all debt, equity and other items described in the foregoing provisions of this definition) held by any Loan Party in any Guarantor that becomes an Excluded Subsidiary pursuant to clause (a) of the definition of “Excluded Subsidiary” shall be deemed to be an Investment incurred on the date such Guarantor becomes an Excluded Subsidiary pursuant to clause (a) of the definition of “Excluded Subsidiary”.</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0" w:right="459" w:bottom="1440" w:gutter="0" w:footer="0" w:header="0"/>
        </w:sectPr>
      </w:pPr>
    </w:p>
    <w:bookmarkStart w:id="174" w:name="page175"/>
    <w:bookmarkEnd w:id="174"/>
    <w:p>
      <w:pPr>
        <w:ind w:right="80" w:firstLine="440"/>
        <w:spacing w:after="0" w:line="261"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Junior Financing</w:t>
      </w:r>
      <w:r>
        <w:rPr>
          <w:rFonts w:ascii="Arial" w:cs="Arial" w:eastAsia="Arial" w:hAnsi="Arial"/>
          <w:sz w:val="18"/>
          <w:szCs w:val="18"/>
          <w:color w:val="FF0000"/>
          <w:strike w:val="1"/>
        </w:rPr>
        <w:t>” shall mean any unsecured Indebtedness incurred by the Borrower or a Guarantor in the form of one or more series of unsecured notes or loans having an outstanding aggregate principal amount of not less than the Threshold Amount and any Subordinated Indebtedness (for greater certainty, not including the ABL Facility Indebtedness, the UST Tranche A Facility Indebtedness or the UST Tranche B Facility Indebtedness).</w:t>
      </w:r>
    </w:p>
    <w:p>
      <w:pPr>
        <w:spacing w:after="0" w:line="180"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Junior Financing Documentation</w:t>
      </w:r>
      <w:r>
        <w:rPr>
          <w:rFonts w:ascii="Arial" w:cs="Arial" w:eastAsia="Arial" w:hAnsi="Arial"/>
          <w:sz w:val="18"/>
          <w:szCs w:val="18"/>
          <w:color w:val="FF0000"/>
          <w:strike w:val="1"/>
        </w:rPr>
        <w:t>” shall mean any documentation governing any Junior Financing</w:t>
      </w:r>
      <w:r>
        <w:rPr>
          <w:rFonts w:ascii="Arial" w:cs="Arial" w:eastAsia="Arial" w:hAnsi="Arial"/>
          <w:sz w:val="18"/>
          <w:szCs w:val="18"/>
          <w:b w:val="1"/>
          <w:bCs w:val="1"/>
          <w:u w:val="single" w:color="auto"/>
          <w:color w:val="0000FF"/>
        </w:rPr>
        <w:t>Judgment Currency</w:t>
      </w:r>
      <w:r>
        <w:rPr>
          <w:rFonts w:ascii="Arial" w:cs="Arial" w:eastAsia="Arial" w:hAnsi="Arial"/>
          <w:sz w:val="18"/>
          <w:szCs w:val="18"/>
          <w:u w:val="single" w:color="auto"/>
          <w:color w:val="0000FF"/>
        </w:rPr>
        <w:t>” shall have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meaning assigned to such term in Section 2.18</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-151130</wp:posOffset>
            </wp:positionV>
            <wp:extent cx="16973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697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1513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Junior DIP Agent</w:t>
      </w:r>
      <w:r>
        <w:rPr>
          <w:rFonts w:ascii="Arial" w:cs="Arial" w:eastAsia="Arial" w:hAnsi="Arial"/>
          <w:sz w:val="18"/>
          <w:szCs w:val="18"/>
          <w:u w:val="single" w:color="auto"/>
          <w:color w:val="0000FF"/>
        </w:rPr>
        <w:t>” means Alter Domus Products Corp., as administrative agent and collateral agent for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9664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Lien Intercreditor</w:t>
      </w:r>
      <w:r>
        <w:rPr>
          <w:rFonts w:ascii="Arial" w:cs="Arial" w:eastAsia="Arial" w:hAnsi="Arial"/>
          <w:sz w:val="17"/>
          <w:szCs w:val="17"/>
          <w:b w:val="1"/>
          <w:bCs w:val="1"/>
          <w:u w:val="single" w:color="auto"/>
          <w:color w:val="0000FF"/>
        </w:rPr>
        <w:t>DIP 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w:t>
      </w:r>
      <w:r>
        <w:rPr>
          <w:rFonts w:ascii="Arial" w:cs="Arial" w:eastAsia="Arial" w:hAnsi="Arial"/>
          <w:sz w:val="17"/>
          <w:szCs w:val="17"/>
          <w:color w:val="FF0000"/>
          <w:strike w:val="1"/>
        </w:rPr>
        <w:t>shall mean a “junior lien” intercreditor agreement among the Collateral Agent and one or</w:t>
      </w:r>
      <w:r>
        <w:rPr>
          <w:rFonts w:ascii="Arial" w:cs="Arial" w:eastAsia="Arial" w:hAnsi="Arial"/>
          <w:sz w:val="17"/>
          <w:szCs w:val="17"/>
          <w:color w:val="auto"/>
        </w:rPr>
        <w:t xml:space="preserve"> </w:t>
      </w:r>
      <w:r>
        <w:rPr>
          <w:rFonts w:ascii="Arial" w:cs="Arial" w:eastAsia="Arial" w:hAnsi="Arial"/>
          <w:sz w:val="17"/>
          <w:szCs w:val="17"/>
          <w:color w:val="FF0000"/>
          <w:strike w:val="1"/>
        </w:rPr>
        <w:t>more Junior Lien Representatives for holders of Permitted Junior Priority Additional Debt, in form and substance reasonably satisfactory to the Required</w:t>
      </w:r>
      <w:r>
        <w:rPr>
          <w:rFonts w:ascii="Arial" w:cs="Arial" w:eastAsia="Arial" w:hAnsi="Arial"/>
          <w:sz w:val="17"/>
          <w:szCs w:val="17"/>
          <w:u w:val="single" w:color="auto"/>
          <w:color w:val="0000FF"/>
          <w:strike w:val="1"/>
        </w:rPr>
        <w:t>means the Junior Secured Super-Priority Debtor-in-Possession Credit Agreement, dated as of September 6, 2023, between the Borrower,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guarantors party thereto from time to time, the Junior DIP</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Lenders and the</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Borrower</w:t>
      </w:r>
      <w:r>
        <w:rPr>
          <w:rFonts w:ascii="Arial" w:cs="Arial" w:eastAsia="Arial" w:hAnsi="Arial"/>
          <w:sz w:val="17"/>
          <w:szCs w:val="17"/>
          <w:u w:val="single" w:color="auto"/>
          <w:color w:val="0000FF"/>
          <w:strike w:val="1"/>
        </w:rPr>
        <w:t>Junior DIP Agent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-423545</wp:posOffset>
            </wp:positionV>
            <wp:extent cx="53975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-149225</wp:posOffset>
            </wp:positionV>
            <wp:extent cx="641223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264858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-12065</wp:posOffset>
            </wp:positionV>
            <wp:extent cx="8058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45" w:lineRule="exact"/>
        <w:rPr>
          <w:sz w:val="20"/>
          <w:szCs w:val="20"/>
          <w:color w:val="auto"/>
        </w:rPr>
      </w:pPr>
    </w:p>
    <w:p>
      <w:pPr>
        <w:jc w:val="both"/>
        <w:ind w:right="2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Junior Lien Representative</w:t>
      </w:r>
      <w:r>
        <w:rPr>
          <w:rFonts w:ascii="Arial" w:cs="Arial" w:eastAsia="Arial" w:hAnsi="Arial"/>
          <w:sz w:val="18"/>
          <w:szCs w:val="18"/>
          <w:color w:val="FF0000"/>
          <w:strike w:val="1"/>
        </w:rPr>
        <w:t>” shall mean, with respect to any series of Permitted Junior Priority Additional Debt, the trustee, administrative agent, collateral agent, security agent or similar agent under the indenture or agreement pursuant to which such Indebtedness is issued, incurred or otherwise obtained</w:t>
      </w:r>
      <w:r>
        <w:rPr>
          <w:rFonts w:ascii="Arial" w:cs="Arial" w:eastAsia="Arial" w:hAnsi="Arial"/>
          <w:sz w:val="18"/>
          <w:szCs w:val="18"/>
          <w:color w:val="008000"/>
          <w:strike w:val="1"/>
        </w:rPr>
        <w:t>, as the case may be, and</w:t>
      </w:r>
      <w:r>
        <w:rPr>
          <w:rFonts w:ascii="Arial" w:cs="Arial" w:eastAsia="Arial" w:hAnsi="Arial"/>
          <w:sz w:val="18"/>
          <w:szCs w:val="18"/>
          <w:color w:val="FF0000"/>
          <w:strike w:val="1"/>
        </w:rPr>
        <w:t xml:space="preserve"> each of their successors in such capacities.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Latest Maturity Date</w:t>
      </w:r>
      <w:r>
        <w:rPr>
          <w:rFonts w:ascii="Arial" w:cs="Arial" w:eastAsia="Arial" w:hAnsi="Arial"/>
          <w:sz w:val="18"/>
          <w:szCs w:val="18"/>
          <w:color w:val="FF0000"/>
          <w:strike w:val="1"/>
        </w:rPr>
        <w:t xml:space="preserve">” shall mean, at any date of determination, the latest maturity or expiration date applicable to any Loan hereunder at such time, including the latest maturity or expiration date of any Tranche B-2 Term Loan, any Other Term Loan or any Extended Term Loan, in each case as extended </w:t>
      </w:r>
      <w:r>
        <w:rPr>
          <w:rFonts w:ascii="Arial" w:cs="Arial" w:eastAsia="Arial" w:hAnsi="Arial"/>
          <w:sz w:val="18"/>
          <w:szCs w:val="18"/>
          <w:color w:val="008000"/>
          <w:strike w:val="1"/>
        </w:rPr>
        <w:t>in accordance with this Agreement</w:t>
      </w:r>
      <w:r>
        <w:rPr>
          <w:rFonts w:ascii="Arial" w:cs="Arial" w:eastAsia="Arial" w:hAnsi="Arial"/>
          <w:sz w:val="18"/>
          <w:szCs w:val="18"/>
          <w:color w:val="FF0000"/>
          <w:strike w:val="1"/>
        </w:rPr>
        <w:t xml:space="preserve"> from time to time.</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Junior DIP Facility</w:t>
      </w:r>
      <w:r>
        <w:rPr>
          <w:rFonts w:ascii="Arial" w:cs="Arial" w:eastAsia="Arial" w:hAnsi="Arial"/>
          <w:sz w:val="18"/>
          <w:szCs w:val="18"/>
          <w:u w:val="single" w:color="auto"/>
          <w:color w:val="0000FF"/>
        </w:rPr>
        <w:t>” means that certain junior secured superpriority term loan credit facility between certain of the Debtors as borrowers and guarantors and MFN Partners, L.P. as lender, providing initial term loan commitments of $42,500,000 and a delayed draw commitment of $70,000,000, as set forth in the Junior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540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26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21945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5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Junior DIP Lenders</w:t>
      </w:r>
      <w:r>
        <w:rPr>
          <w:rFonts w:ascii="Arial" w:cs="Arial" w:eastAsia="Arial" w:hAnsi="Arial"/>
          <w:sz w:val="18"/>
          <w:szCs w:val="18"/>
          <w:u w:val="single" w:color="auto"/>
          <w:color w:val="0000FF"/>
        </w:rPr>
        <w:t>” means the lenders party to the Junior DIP Credit Agreement, from time to time, under and as defined in the Junior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576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8483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42"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Junior DIP Liens</w:t>
      </w:r>
      <w:r>
        <w:rPr>
          <w:rFonts w:ascii="Arial" w:cs="Arial" w:eastAsia="Arial" w:hAnsi="Arial"/>
          <w:sz w:val="18"/>
          <w:szCs w:val="18"/>
          <w:u w:val="single" w:color="auto"/>
          <w:color w:val="0000FF"/>
        </w:rPr>
        <w:t xml:space="preserve">” means all Liens on and security interests in the Collateral created in favor of the Junior DIP Agent, for the benefit of the Junior DIP Secured Parties, pursuant </w:t>
      </w:r>
      <w:r>
        <w:rPr>
          <w:rFonts w:ascii="Arial" w:cs="Arial" w:eastAsia="Arial" w:hAnsi="Arial"/>
          <w:sz w:val="18"/>
          <w:szCs w:val="18"/>
          <w:u w:val="single" w:color="auto"/>
          <w:color w:val="008000"/>
        </w:rPr>
        <w:t>to the provisions of the Junior</w:t>
      </w:r>
      <w:r>
        <w:rPr>
          <w:rFonts w:ascii="Arial" w:cs="Arial" w:eastAsia="Arial" w:hAnsi="Arial"/>
          <w:sz w:val="18"/>
          <w:szCs w:val="18"/>
          <w:u w:val="single" w:color="auto"/>
          <w:color w:val="0000FF"/>
        </w:rPr>
        <w:t xml:space="preserve"> DIP Loan Documents and the DIP Order (and, in the case of the Canadian Collateral, the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547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4979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51701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5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Junior DIP Loan Documents</w:t>
      </w:r>
      <w:r>
        <w:rPr>
          <w:rFonts w:ascii="Arial" w:cs="Arial" w:eastAsia="Arial" w:hAnsi="Arial"/>
          <w:sz w:val="18"/>
          <w:szCs w:val="18"/>
          <w:u w:val="single" w:color="auto"/>
          <w:color w:val="0000FF"/>
        </w:rPr>
        <w:t>” means the Junior DIP Credit Agreement, the “Loan Documents” under and as defined in the Junior DIP Credit Agreement and all instruments and documents executed at any time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836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2259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440" w:top="270" w:right="559" w:bottom="1440" w:gutter="0" w:footer="0" w:header="0"/>
        </w:sectPr>
      </w:pPr>
    </w:p>
    <w:bookmarkStart w:id="175" w:name="page176"/>
    <w:bookmarkEnd w:id="175"/>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Junior DIP Obligations</w:t>
      </w:r>
      <w:r>
        <w:rPr>
          <w:rFonts w:ascii="Arial" w:cs="Arial" w:eastAsia="Arial" w:hAnsi="Arial"/>
          <w:sz w:val="18"/>
          <w:szCs w:val="18"/>
          <w:u w:val="single" w:color="auto"/>
          <w:color w:val="0000FF"/>
        </w:rPr>
        <w:t xml:space="preserve">” means the “Obligations </w:t>
      </w:r>
      <w:r>
        <w:rPr>
          <w:rFonts w:ascii="Arial" w:cs="Arial" w:eastAsia="Arial" w:hAnsi="Arial"/>
          <w:sz w:val="18"/>
          <w:szCs w:val="18"/>
          <w:u w:val="single" w:color="auto"/>
          <w:color w:val="008000"/>
        </w:rPr>
        <w:t>” under (and as defined in) the</w:t>
      </w:r>
      <w:r>
        <w:rPr>
          <w:rFonts w:ascii="Arial" w:cs="Arial" w:eastAsia="Arial" w:hAnsi="Arial"/>
          <w:sz w:val="18"/>
          <w:szCs w:val="18"/>
          <w:u w:val="single" w:color="auto"/>
          <w:color w:val="0000FF"/>
        </w:rPr>
        <w:t xml:space="preserve"> Junior DIP Credit Agreement.</w:t>
      </w:r>
    </w:p>
    <w:p>
      <w:pPr>
        <w:spacing w:after="0" w:line="225" w:lineRule="exact"/>
        <w:rPr>
          <w:sz w:val="20"/>
          <w:szCs w:val="20"/>
          <w:color w:val="auto"/>
        </w:rPr>
      </w:pPr>
    </w:p>
    <w:p>
      <w:pPr>
        <w:ind w:left="440" w:right="1080"/>
        <w:spacing w:after="0" w:line="500"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Junior DIP Secured Parties</w:t>
      </w:r>
      <w:r>
        <w:rPr>
          <w:rFonts w:ascii="Arial" w:cs="Arial" w:eastAsia="Arial" w:hAnsi="Arial"/>
          <w:sz w:val="18"/>
          <w:szCs w:val="18"/>
          <w:u w:val="single" w:color="auto"/>
          <w:color w:val="008000"/>
        </w:rPr>
        <w:t>” shall have the meaning assigned to the term “</w:t>
      </w:r>
      <w:r>
        <w:rPr>
          <w:rFonts w:ascii="Arial" w:cs="Arial" w:eastAsia="Arial" w:hAnsi="Arial"/>
          <w:sz w:val="18"/>
          <w:szCs w:val="18"/>
          <w:u w:val="single" w:color="auto"/>
          <w:color w:val="0000FF"/>
        </w:rPr>
        <w:t>Secured Parties” in the Junior DIP Credit Agreement. “</w:t>
      </w:r>
      <w:r>
        <w:rPr>
          <w:rFonts w:ascii="Arial" w:cs="Arial" w:eastAsia="Arial" w:hAnsi="Arial"/>
          <w:sz w:val="18"/>
          <w:szCs w:val="18"/>
          <w:b w:val="1"/>
          <w:bCs w:val="1"/>
          <w:u w:val="single" w:color="auto"/>
          <w:color w:val="0000FF"/>
        </w:rPr>
        <w:t>Junior DIP Superpriority Claims</w:t>
      </w:r>
      <w:r>
        <w:rPr>
          <w:rFonts w:ascii="Arial" w:cs="Arial" w:eastAsia="Arial" w:hAnsi="Arial"/>
          <w:sz w:val="18"/>
          <w:szCs w:val="18"/>
          <w:u w:val="single" w:color="auto"/>
          <w:color w:val="008000"/>
        </w:rPr>
        <w:t>” shall have the meaning assigned to such term in the</w:t>
      </w:r>
      <w:r>
        <w:rPr>
          <w:rFonts w:ascii="Arial" w:cs="Arial" w:eastAsia="Arial" w:hAnsi="Arial"/>
          <w:sz w:val="18"/>
          <w:szCs w:val="18"/>
          <w:u w:val="single" w:color="auto"/>
          <w:color w:val="0000FF"/>
        </w:rPr>
        <w:t xml:space="preserve">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-664210</wp:posOffset>
            </wp:positionV>
            <wp:extent cx="51949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949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-389890</wp:posOffset>
            </wp:positionV>
            <wp:extent cx="60178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-115570</wp:posOffset>
            </wp:positionV>
            <wp:extent cx="46291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shall mean, collectively, all international, foreign, federal, state</w:t>
      </w:r>
      <w:r>
        <w:rPr>
          <w:rFonts w:ascii="Arial" w:cs="Arial" w:eastAsia="Arial" w:hAnsi="Arial"/>
          <w:sz w:val="16"/>
          <w:szCs w:val="16"/>
          <w:u w:val="single" w:color="auto"/>
          <w:color w:val="0000FF"/>
        </w:rPr>
        <w:t>, provincial, territorial</w:t>
      </w:r>
      <w:r>
        <w:rPr>
          <w:rFonts w:ascii="Arial" w:cs="Arial" w:eastAsia="Arial" w:hAnsi="Arial"/>
          <w:sz w:val="16"/>
          <w:szCs w:val="16"/>
          <w:color w:val="auto"/>
        </w:rPr>
        <w:t xml:space="preserve"> and local laws (including common law),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requirements, and agreements with,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-431800</wp:posOffset>
            </wp:positionV>
            <wp:extent cx="10115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Leasehold Property</w:t>
      </w:r>
      <w:r>
        <w:rPr>
          <w:rFonts w:ascii="Arial" w:cs="Arial" w:eastAsia="Arial" w:hAnsi="Arial"/>
          <w:sz w:val="18"/>
          <w:szCs w:val="18"/>
          <w:color w:val="FF0000"/>
          <w:strike w:val="1"/>
        </w:rPr>
        <w:t>” shall mean any leasehold interest of any Loan Party as lessee under any lease of Real Property.</w:t>
      </w:r>
    </w:p>
    <w:p>
      <w:pPr>
        <w:spacing w:after="0" w:line="225" w:lineRule="exact"/>
        <w:rPr>
          <w:sz w:val="20"/>
          <w:szCs w:val="20"/>
          <w:color w:val="auto"/>
        </w:rPr>
      </w:pPr>
    </w:p>
    <w:p>
      <w:pPr>
        <w:ind w:right="1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xml:space="preserve">” shall mean each lender from time to time party hereto. </w:t>
      </w:r>
      <w:r>
        <w:rPr>
          <w:rFonts w:ascii="Arial" w:cs="Arial" w:eastAsia="Arial" w:hAnsi="Arial"/>
          <w:sz w:val="18"/>
          <w:szCs w:val="18"/>
          <w:color w:val="FF0000"/>
          <w:strike w:val="1"/>
        </w:rPr>
        <w:t>For avoidance of doubt, each Additional Lender is a Lender to the extent any</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such Person has executed and delivered a Refinancing Amendment, as the case may be, and to the extent such Refinancing Amendment shall have become effective </w:t>
      </w:r>
      <w:r>
        <w:rPr>
          <w:rFonts w:ascii="Arial" w:cs="Arial" w:eastAsia="Arial" w:hAnsi="Arial"/>
          <w:sz w:val="18"/>
          <w:szCs w:val="18"/>
          <w:color w:val="008000"/>
          <w:strike w:val="1"/>
        </w:rPr>
        <w:t>in accordance with the terms hereof and thereof</w:t>
      </w:r>
      <w:r>
        <w:rPr>
          <w:rFonts w:ascii="Arial" w:cs="Arial" w:eastAsia="Arial" w:hAnsi="Arial"/>
          <w:sz w:val="18"/>
          <w:szCs w:val="18"/>
          <w:color w:val="FF0000"/>
          <w:strike w:val="1"/>
        </w:rPr>
        <w:t xml:space="preserve">. As of the Restatement Effective Date, </w:t>
      </w:r>
      <w:r>
        <w:rPr>
          <w:rFonts w:ascii="Arial" w:cs="Arial" w:eastAsia="Arial" w:hAnsi="Arial"/>
          <w:sz w:val="18"/>
          <w:szCs w:val="18"/>
          <w:u w:val="single" w:color="auto"/>
          <w:color w:val="FF0000"/>
          <w:strike w:val="1"/>
        </w:rPr>
        <w:t>Schedule 2.01</w:t>
      </w:r>
      <w:r>
        <w:rPr>
          <w:rFonts w:ascii="Arial" w:cs="Arial" w:eastAsia="Arial" w:hAnsi="Arial"/>
          <w:sz w:val="18"/>
          <w:szCs w:val="18"/>
          <w:u w:val="single" w:color="auto"/>
          <w:color w:val="0000FF"/>
          <w:strike w:val="1"/>
        </w:rPr>
        <w:t>As of the Postpetition B-2</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Facility Closing Date, Appendices A, B and C set forth the name of each Lender with (or which, prior to the making of the relevant New Money Postpetition Term Loans, had) a commitment for New Money Postpetition Term Loans and Appendix 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sets forth the name of each Lender</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who holds</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Prepetition Term</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8000"/>
          <w:strike w:val="1"/>
        </w:rPr>
        <w:t>Loans in accordance with Section</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2.01(a)</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-408940</wp:posOffset>
            </wp:positionV>
            <wp:extent cx="11912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5919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866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26917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Indemnitees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10.05(b)</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xml:space="preserve">” shall mean any mortgage, deed of trust, pledge, hypothecation, collateral assignment, </w:t>
      </w:r>
      <w:r>
        <w:rPr>
          <w:rFonts w:ascii="Arial" w:cs="Arial" w:eastAsia="Arial" w:hAnsi="Arial"/>
          <w:sz w:val="17"/>
          <w:szCs w:val="17"/>
          <w:u w:val="single" w:color="auto"/>
          <w:color w:val="0000FF"/>
        </w:rPr>
        <w:t>deemed trust,</w:t>
      </w:r>
      <w:r>
        <w:rPr>
          <w:rFonts w:ascii="Arial" w:cs="Arial" w:eastAsia="Arial" w:hAnsi="Arial"/>
          <w:sz w:val="17"/>
          <w:szCs w:val="17"/>
          <w:color w:val="auto"/>
        </w:rPr>
        <w:t xml:space="preserve">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or financing lease having substantially the same economic effect as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-423545</wp:posOffset>
            </wp:positionV>
            <wp:extent cx="643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4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xml:space="preserve">” shall mean, as of any date of determination, the sum of </w:t>
      </w:r>
      <w:r>
        <w:rPr>
          <w:rFonts w:ascii="Arial" w:cs="Arial" w:eastAsia="Arial" w:hAnsi="Arial"/>
          <w:sz w:val="18"/>
          <w:szCs w:val="18"/>
          <w:color w:val="FF0000"/>
          <w:strike w:val="1"/>
        </w:rPr>
        <w:t>(A)</w:t>
      </w:r>
      <w:r>
        <w:rPr>
          <w:rFonts w:ascii="Arial" w:cs="Arial" w:eastAsia="Arial" w:hAnsi="Arial"/>
          <w:sz w:val="18"/>
          <w:szCs w:val="18"/>
          <w:color w:val="auto"/>
        </w:rPr>
        <w:t xml:space="preserve"> unrestricted cash and Cash Equivalents of the Loan Parties as of such date </w:t>
      </w:r>
      <w:r>
        <w:rPr>
          <w:rFonts w:ascii="Arial" w:cs="Arial" w:eastAsia="Arial" w:hAnsi="Arial"/>
          <w:sz w:val="18"/>
          <w:szCs w:val="18"/>
          <w:color w:val="FF0000"/>
          <w:strike w:val="1"/>
        </w:rPr>
        <w:t>held in deposit and securities accounts covered by Control Agreements in favor of the Collateral Agent (plus, (i) cash and Cash Equivalents in</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Deposit Accounts specifically and exclusively used for payroll, payroll taxes and other employee wage and benefit payments to or for the benefit of the Loan Parties’ salaried employees and (ii) cash and Cash Equivalents applied by the Loan Parties for cash deposits in connection with trade contracts, in an aggregate amount for clauses (i) and (ii) not to exceed $7,500,000 as of such date) and (B) the aggregate amount of “Availability” under the ABL Credit Agreement (as such term is defined in the ABL Credit Agreement as </w:t>
      </w:r>
      <w:r>
        <w:rPr>
          <w:rFonts w:ascii="Arial" w:cs="Arial" w:eastAsia="Arial" w:hAnsi="Arial"/>
          <w:sz w:val="18"/>
          <w:szCs w:val="18"/>
          <w:color w:val="008000"/>
          <w:strike w:val="1"/>
        </w:rPr>
        <w:t>in effect as of the Amendment No.</w:t>
      </w:r>
      <w:r>
        <w:rPr>
          <w:rFonts w:ascii="Arial" w:cs="Arial" w:eastAsia="Arial" w:hAnsi="Arial"/>
          <w:sz w:val="18"/>
          <w:szCs w:val="18"/>
          <w:color w:val="FF0000"/>
          <w:strike w:val="1"/>
        </w:rPr>
        <w:t xml:space="preserve"> 3 Effective Date and without giving effect to proviso in such definition) so long the conditions for utilizing have been satisfied (including compliance with any borrowing base thereunder) other than with respect to the delivery of a borrowing request or similar funding notice, which the Borrower is permitted to deliver</w:t>
      </w:r>
      <w:r>
        <w:rPr>
          <w:rFonts w:ascii="Arial" w:cs="Arial" w:eastAsia="Arial" w:hAnsi="Arial"/>
          <w:sz w:val="18"/>
          <w:szCs w:val="18"/>
          <w:color w:val="008000"/>
          <w:strike w:val="1"/>
        </w:rPr>
        <w:t>. For the avoidance of</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doubt, </w:t>
      </w:r>
      <w:r>
        <w:rPr>
          <w:rFonts w:ascii="Arial" w:cs="Arial" w:eastAsia="Arial" w:hAnsi="Arial"/>
          <w:sz w:val="18"/>
          <w:szCs w:val="18"/>
          <w:color w:val="FF0000"/>
          <w:strike w:val="1"/>
        </w:rPr>
        <w:t>Liquidity shall not include cash and Cash Equivalents held in the UST Tranche A Controlled Account or the UST Tranche B Controlled</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Account.</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-627380</wp:posOffset>
            </wp:positionV>
            <wp:extent cx="166687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666875"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6350</wp:posOffset>
            </wp:positionV>
            <wp:extent cx="342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Liquidity Report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6.02(m)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Term Loan.</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xml:space="preserve">” shall mean this Agreement (including, without limitation, any amendments to and consents and waivers under this Agreement), the </w:t>
      </w:r>
      <w:r>
        <w:rPr>
          <w:rFonts w:ascii="Arial" w:cs="Arial" w:eastAsia="Arial" w:hAnsi="Arial"/>
          <w:sz w:val="17"/>
          <w:szCs w:val="17"/>
          <w:u w:val="single" w:color="auto"/>
          <w:color w:val="0000FF"/>
        </w:rPr>
        <w:t>DIP Term Sheet, the DIP Order, the</w:t>
      </w:r>
      <w:r>
        <w:rPr>
          <w:rFonts w:ascii="Arial" w:cs="Arial" w:eastAsia="Arial" w:hAnsi="Arial"/>
          <w:sz w:val="17"/>
          <w:szCs w:val="17"/>
          <w:color w:val="auto"/>
        </w:rPr>
        <w:t xml:space="preserve"> Collateral Documents, the Custodial Administration Agreement, the </w:t>
      </w:r>
      <w:r>
        <w:rPr>
          <w:rFonts w:ascii="Arial" w:cs="Arial" w:eastAsia="Arial" w:hAnsi="Arial"/>
          <w:sz w:val="17"/>
          <w:szCs w:val="17"/>
          <w:u w:val="single" w:color="auto"/>
          <w:color w:val="0000FF"/>
        </w:rPr>
        <w:t>Agency</w:t>
      </w:r>
      <w:r>
        <w:rPr>
          <w:rFonts w:ascii="Arial" w:cs="Arial" w:eastAsia="Arial" w:hAnsi="Arial"/>
          <w:sz w:val="17"/>
          <w:szCs w:val="17"/>
          <w:color w:val="auto"/>
        </w:rPr>
        <w:t xml:space="preserve"> Fee Letter</w:t>
      </w:r>
      <w:r>
        <w:rPr>
          <w:rFonts w:ascii="Arial" w:cs="Arial" w:eastAsia="Arial" w:hAnsi="Arial"/>
          <w:sz w:val="17"/>
          <w:szCs w:val="17"/>
          <w:color w:val="FF0000"/>
          <w:strike w:val="1"/>
        </w:rPr>
        <w:t>, the</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Administrative Fee Letter, each Refinancing Amendment, each Extension Offer and each amendment of any Loan Document in connection therewith, </w:t>
      </w:r>
      <w:r>
        <w:rPr>
          <w:rFonts w:ascii="Arial" w:cs="Arial" w:eastAsia="Arial" w:hAnsi="Arial"/>
          <w:sz w:val="17"/>
          <w:szCs w:val="17"/>
          <w:color w:val="000000"/>
          <w:strike w:val="1"/>
        </w:rPr>
        <w:t xml:space="preserve">and the Term Notes, if any, executed and delivered pursuant to </w:t>
      </w:r>
      <w:r>
        <w:rPr>
          <w:rFonts w:ascii="Arial" w:cs="Arial" w:eastAsia="Arial" w:hAnsi="Arial"/>
          <w:sz w:val="17"/>
          <w:szCs w:val="17"/>
          <w:u w:val="single" w:color="auto"/>
          <w:color w:val="000000"/>
          <w:strike w:val="1"/>
        </w:rPr>
        <w:t>Section 2.04(e)</w:t>
      </w:r>
      <w:r>
        <w:rPr>
          <w:rFonts w:ascii="Arial" w:cs="Arial" w:eastAsia="Arial" w:hAnsi="Arial"/>
          <w:sz w:val="17"/>
          <w:szCs w:val="17"/>
          <w:color w:val="000000"/>
          <w:strike w:val="1"/>
        </w:rPr>
        <w:t xml:space="preserve"> </w:t>
      </w:r>
      <w:r>
        <w:rPr>
          <w:rFonts w:ascii="Arial" w:cs="Arial" w:eastAsia="Arial" w:hAnsi="Arial"/>
          <w:sz w:val="17"/>
          <w:szCs w:val="17"/>
          <w:color w:val="0000FF"/>
          <w:strike w:val="1"/>
        </w:rPr>
        <w:t>and each amendment, restatement, supplement or other modification of</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any Loan Document and all instruments and documents executed at any time in connection therewith</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-421005</wp:posOffset>
            </wp:positionV>
            <wp:extent cx="16630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-421005</wp:posOffset>
            </wp:positionV>
            <wp:extent cx="3860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-146685</wp:posOffset>
            </wp:positionV>
            <wp:extent cx="32829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-180975</wp:posOffset>
            </wp:positionV>
            <wp:extent cx="328358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283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-9525</wp:posOffset>
            </wp:positionV>
            <wp:extent cx="46291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shall mean, collectively, the Borrower and each Guarantor.</w:t>
      </w:r>
    </w:p>
    <w:p>
      <w:pPr>
        <w:spacing w:after="0" w:line="225"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Make-Whole Amount</w:t>
      </w:r>
      <w:r>
        <w:rPr>
          <w:rFonts w:ascii="Arial" w:cs="Arial" w:eastAsia="Arial" w:hAnsi="Arial"/>
          <w:sz w:val="16"/>
          <w:szCs w:val="16"/>
          <w:u w:val="single" w:color="auto"/>
          <w:color w:val="008000"/>
        </w:rPr>
        <w:t>” means, as of any date of determination, an amount equal to the aggregate</w:t>
      </w:r>
      <w:r>
        <w:rPr>
          <w:rFonts w:ascii="Arial" w:cs="Arial" w:eastAsia="Arial" w:hAnsi="Arial"/>
          <w:sz w:val="16"/>
          <w:szCs w:val="16"/>
          <w:u w:val="single" w:color="auto"/>
          <w:color w:val="0000FF"/>
        </w:rPr>
        <w:t xml:space="preserve"> amount of interest which would have otherwise been payable on the principal amount of the Obligations repaid or prepaid (or deemed repaid or prepaid in the case of an acceleration or termination of the Obligations) on such date from the date of repayment or prepayment until the Call Date discounted at the Treasury Rate plus 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-300355</wp:posOffset>
            </wp:positionV>
            <wp:extent cx="62833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66776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68922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have the meaning assigned to such term in Regulation U.</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specified in the definition of “</w:t>
      </w:r>
      <w:r>
        <w:rPr>
          <w:rFonts w:ascii="Arial" w:cs="Arial" w:eastAsia="Arial" w:hAnsi="Arial"/>
          <w:sz w:val="18"/>
          <w:szCs w:val="18"/>
          <w:b w:val="1"/>
          <w:bCs w:val="1"/>
          <w:color w:val="auto"/>
        </w:rPr>
        <w:t>Swap Contract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 (a) material adverse effect on the business, operations, assets, liabilities (actual or contingent), operating results or financial condition</w:t>
      </w:r>
      <w:r>
        <w:rPr>
          <w:rFonts w:ascii="Arial" w:cs="Arial" w:eastAsia="Arial" w:hAnsi="Arial"/>
          <w:sz w:val="16"/>
          <w:szCs w:val="16"/>
          <w:u w:val="single" w:color="auto"/>
          <w:color w:val="0000FF"/>
        </w:rPr>
        <w:t>, profits or prospects</w:t>
      </w:r>
      <w:r>
        <w:rPr>
          <w:rFonts w:ascii="Arial" w:cs="Arial" w:eastAsia="Arial" w:hAnsi="Arial"/>
          <w:sz w:val="16"/>
          <w:szCs w:val="16"/>
          <w:color w:val="auto"/>
        </w:rPr>
        <w:t xml:space="preserve"> of the Borrower and its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taken as a whole; (b) material adverse effect on the ability of the Loan Parties (taken as a whole) to fully and timely perform their payment obligations under the Loan Documents to which the Borrower or any of the Loan Parties is a party; or (c) material adverse effect on the rights and remedies available to the Lenders, the Administrative Agent or the Collateral Agent under any Loan Document (other than due to the action or inaction of any Agent or any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color w:val="FF0000"/>
          <w:strike w:val="1"/>
        </w:rPr>
        <w:t>with respect to the</w:t>
      </w:r>
      <w:r>
        <w:rPr>
          <w:rFonts w:ascii="Arial" w:cs="Arial" w:eastAsia="Arial" w:hAnsi="Arial"/>
          <w:sz w:val="16"/>
          <w:szCs w:val="16"/>
          <w:color w:val="auto"/>
        </w:rPr>
        <w:t xml:space="preserve"> </w:t>
      </w:r>
      <w:r>
        <w:rPr>
          <w:rFonts w:ascii="Arial" w:cs="Arial" w:eastAsia="Arial" w:hAnsi="Arial"/>
          <w:sz w:val="16"/>
          <w:szCs w:val="16"/>
          <w:color w:val="FF0000"/>
          <w:strike w:val="1"/>
        </w:rPr>
        <w:t>foregoing clause (a), the impacts of COVID 19 on the business, operations, assets, liabilities (actual or contingent), operating results or financial condition of Borrower and its Restricted Subsidiaries, taken as a whole, will be disregarded.</w:t>
      </w:r>
      <w:r>
        <w:rPr>
          <w:rFonts w:ascii="Arial" w:cs="Arial" w:eastAsia="Arial" w:hAnsi="Arial"/>
          <w:sz w:val="16"/>
          <w:szCs w:val="16"/>
          <w:u w:val="single" w:color="auto"/>
          <w:color w:val="0000FF"/>
          <w:strike w:val="1"/>
        </w:rPr>
        <w:t>“Material Adverse Effect” shall expressly exclude the effect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of the filing of the Chapter 11 Cases, the events and conditions resulting from or leading up thereto, the ceasing of operations, the commencement of the Canadian Recognition Proceedings and any action required to be taken under the Loan Documents, the Chapter 11 Orders or the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-970915</wp:posOffset>
            </wp:positionV>
            <wp:extent cx="93408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-285115</wp:posOffset>
            </wp:positionV>
            <wp:extent cx="27432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-147955</wp:posOffset>
            </wp:positionV>
            <wp:extent cx="69608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669480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14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Real Property</w:t>
      </w:r>
      <w:r>
        <w:rPr>
          <w:rFonts w:ascii="Arial" w:cs="Arial" w:eastAsia="Arial" w:hAnsi="Arial"/>
          <w:sz w:val="18"/>
          <w:szCs w:val="18"/>
          <w:color w:val="auto"/>
        </w:rPr>
        <w:t xml:space="preserve">” shall mean each Real Property that is </w:t>
      </w:r>
      <w:r>
        <w:rPr>
          <w:rFonts w:ascii="Arial" w:cs="Arial" w:eastAsia="Arial" w:hAnsi="Arial"/>
          <w:sz w:val="18"/>
          <w:szCs w:val="18"/>
          <w:color w:val="FF0000"/>
          <w:strike w:val="1"/>
        </w:rPr>
        <w:t>(i)</w:t>
      </w:r>
      <w:r>
        <w:rPr>
          <w:rFonts w:ascii="Arial" w:cs="Arial" w:eastAsia="Arial" w:hAnsi="Arial"/>
          <w:sz w:val="18"/>
          <w:szCs w:val="18"/>
          <w:color w:val="auto"/>
        </w:rPr>
        <w:t xml:space="preserve"> owned in fee by a Loan Party</w:t>
      </w:r>
      <w:r>
        <w:rPr>
          <w:rFonts w:ascii="Arial" w:cs="Arial" w:eastAsia="Arial" w:hAnsi="Arial"/>
          <w:sz w:val="18"/>
          <w:szCs w:val="18"/>
          <w:color w:val="FF0000"/>
          <w:strike w:val="1"/>
        </w:rPr>
        <w:t>, (ii) located in the United States and (iii) not an</w:t>
      </w:r>
      <w:r>
        <w:rPr>
          <w:rFonts w:ascii="Arial" w:cs="Arial" w:eastAsia="Arial" w:hAnsi="Arial"/>
          <w:sz w:val="18"/>
          <w:szCs w:val="18"/>
          <w:color w:val="auto"/>
        </w:rPr>
        <w:t xml:space="preserve"> </w:t>
      </w:r>
      <w:r>
        <w:rPr>
          <w:rFonts w:ascii="Arial" w:cs="Arial" w:eastAsia="Arial" w:hAnsi="Arial"/>
          <w:sz w:val="18"/>
          <w:szCs w:val="18"/>
          <w:color w:val="FF0000"/>
          <w:strike w:val="1"/>
        </w:rPr>
        <w:t>Excluded Real Property</w:t>
      </w:r>
      <w:r>
        <w:rPr>
          <w:rFonts w:ascii="Arial" w:cs="Arial" w:eastAsia="Arial" w:hAnsi="Arial"/>
          <w:sz w:val="18"/>
          <w:szCs w:val="18"/>
          <w:color w:val="000000"/>
        </w:rPr>
        <w:t>.</w:t>
      </w:r>
    </w:p>
    <w:p>
      <w:pPr>
        <w:spacing w:after="0" w:line="162"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shall mean</w:t>
      </w:r>
      <w:r>
        <w:rPr>
          <w:rFonts w:ascii="Arial" w:cs="Arial" w:eastAsia="Arial" w:hAnsi="Arial"/>
          <w:sz w:val="17"/>
          <w:szCs w:val="17"/>
          <w:color w:val="008000"/>
          <w:strike w:val="1"/>
        </w:rPr>
        <w:t>, (i) with respect to the</w:t>
      </w:r>
      <w:r>
        <w:rPr>
          <w:rFonts w:ascii="Arial" w:cs="Arial" w:eastAsia="Arial" w:hAnsi="Arial"/>
          <w:sz w:val="17"/>
          <w:szCs w:val="17"/>
          <w:color w:val="auto"/>
        </w:rPr>
        <w:t xml:space="preserve"> </w:t>
      </w:r>
      <w:r>
        <w:rPr>
          <w:rFonts w:ascii="Arial" w:cs="Arial" w:eastAsia="Arial" w:hAnsi="Arial"/>
          <w:sz w:val="17"/>
          <w:szCs w:val="17"/>
          <w:color w:val="FF0000"/>
          <w:strike w:val="1"/>
        </w:rPr>
        <w:t>Tranche B-2 Term Loans, June 30</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earliest</w:t>
      </w:r>
      <w:r>
        <w:rPr>
          <w:rFonts w:ascii="Arial" w:cs="Arial" w:eastAsia="Arial" w:hAnsi="Arial"/>
          <w:sz w:val="17"/>
          <w:szCs w:val="17"/>
          <w:color w:val="auto"/>
        </w:rPr>
        <w:t xml:space="preserve"> </w:t>
      </w:r>
      <w:r>
        <w:rPr>
          <w:rFonts w:ascii="Arial" w:cs="Arial" w:eastAsia="Arial" w:hAnsi="Arial"/>
          <w:sz w:val="17"/>
          <w:szCs w:val="17"/>
          <w:u w:val="single" w:color="auto"/>
          <w:color w:val="008000"/>
        </w:rPr>
        <w:t>to occur of the following</w:t>
      </w:r>
      <w:r>
        <w:rPr>
          <w:rFonts w:ascii="Arial" w:cs="Arial" w:eastAsia="Arial" w:hAnsi="Arial"/>
          <w:sz w:val="17"/>
          <w:szCs w:val="17"/>
          <w:u w:val="single" w:color="auto"/>
          <w:color w:val="0000FF"/>
        </w:rPr>
        <w:t>: (i) February 17</w:t>
      </w:r>
      <w:r>
        <w:rPr>
          <w:rFonts w:ascii="Arial" w:cs="Arial" w:eastAsia="Arial" w:hAnsi="Arial"/>
          <w:sz w:val="17"/>
          <w:szCs w:val="17"/>
          <w:color w:val="auto"/>
        </w:rPr>
        <w:t>, 2024 (the “</w:t>
      </w:r>
      <w:r>
        <w:rPr>
          <w:rFonts w:ascii="Arial" w:cs="Arial" w:eastAsia="Arial" w:hAnsi="Arial"/>
          <w:sz w:val="17"/>
          <w:szCs w:val="17"/>
          <w:b w:val="1"/>
          <w:bCs w:val="1"/>
          <w:color w:val="FF0000"/>
          <w:strike w:val="1"/>
        </w:rPr>
        <w:t>Original Term Loan</w:t>
      </w:r>
      <w:r>
        <w:rPr>
          <w:rFonts w:ascii="Arial" w:cs="Arial" w:eastAsia="Arial" w:hAnsi="Arial"/>
          <w:sz w:val="17"/>
          <w:szCs w:val="17"/>
          <w:b w:val="1"/>
          <w:bCs w:val="1"/>
          <w:u w:val="single" w:color="auto"/>
          <w:color w:val="0000FF"/>
        </w:rPr>
        <w:t>Scheduled</w:t>
      </w:r>
      <w:r>
        <w:rPr>
          <w:rFonts w:ascii="Arial" w:cs="Arial" w:eastAsia="Arial" w:hAnsi="Arial"/>
          <w:sz w:val="17"/>
          <w:szCs w:val="17"/>
          <w:color w:val="auto"/>
        </w:rPr>
        <w:t xml:space="preserve"> </w:t>
      </w:r>
      <w:r>
        <w:rPr>
          <w:rFonts w:ascii="Arial" w:cs="Arial" w:eastAsia="Arial" w:hAnsi="Arial"/>
          <w:sz w:val="17"/>
          <w:szCs w:val="17"/>
          <w:b w:val="1"/>
          <w:bCs w:val="1"/>
          <w:color w:val="auto"/>
        </w:rPr>
        <w:t>Maturity Date</w:t>
      </w:r>
      <w:r>
        <w:rPr>
          <w:rFonts w:ascii="Arial" w:cs="Arial" w:eastAsia="Arial" w:hAnsi="Arial"/>
          <w:sz w:val="17"/>
          <w:szCs w:val="17"/>
          <w:color w:val="auto"/>
        </w:rPr>
        <w:t>”)</w:t>
      </w:r>
      <w:r>
        <w:rPr>
          <w:rFonts w:ascii="Arial" w:cs="Arial" w:eastAsia="Arial" w:hAnsi="Arial"/>
          <w:sz w:val="17"/>
          <w:szCs w:val="17"/>
          <w:color w:val="FF0000"/>
          <w:strike w:val="1"/>
        </w:rPr>
        <w:t>, (ii) with respect to any tranche of Extended Term Loans, the final maturity date as specified in</w:t>
      </w:r>
      <w:r>
        <w:rPr>
          <w:rFonts w:ascii="Arial" w:cs="Arial" w:eastAsia="Arial" w:hAnsi="Arial"/>
          <w:sz w:val="17"/>
          <w:szCs w:val="17"/>
          <w:color w:val="auto"/>
        </w:rPr>
        <w:t xml:space="preserve"> </w:t>
      </w:r>
      <w:r>
        <w:rPr>
          <w:rFonts w:ascii="Arial" w:cs="Arial" w:eastAsia="Arial" w:hAnsi="Arial"/>
          <w:sz w:val="17"/>
          <w:szCs w:val="17"/>
          <w:color w:val="FF0000"/>
          <w:strike w:val="1"/>
        </w:rPr>
        <w:t>the applicable Extension Offer accepted by the respective Lender or Lenders</w:t>
      </w:r>
      <w:r>
        <w:rPr>
          <w:rFonts w:ascii="Arial" w:cs="Arial" w:eastAsia="Arial" w:hAnsi="Arial"/>
          <w:sz w:val="17"/>
          <w:szCs w:val="17"/>
          <w:color w:val="FF0000"/>
        </w:rPr>
        <w:t xml:space="preserve"> </w:t>
      </w:r>
      <w:r>
        <w:rPr>
          <w:rFonts w:ascii="Arial" w:cs="Arial" w:eastAsia="Arial" w:hAnsi="Arial"/>
          <w:sz w:val="17"/>
          <w:szCs w:val="17"/>
          <w:color w:val="008000"/>
        </w:rPr>
        <w:t>and (iii) with respect to any</w:t>
      </w:r>
      <w:r>
        <w:rPr>
          <w:rFonts w:ascii="Arial" w:cs="Arial" w:eastAsia="Arial" w:hAnsi="Arial"/>
          <w:sz w:val="17"/>
          <w:szCs w:val="17"/>
          <w:color w:val="FF0000"/>
        </w:rPr>
        <w:t xml:space="preserve"> </w:t>
      </w:r>
      <w:r>
        <w:rPr>
          <w:rFonts w:ascii="Arial" w:cs="Arial" w:eastAsia="Arial" w:hAnsi="Arial"/>
          <w:sz w:val="17"/>
          <w:szCs w:val="17"/>
          <w:color w:val="FF0000"/>
          <w:strike w:val="1"/>
        </w:rPr>
        <w:t>Other Term Loans, the final maturity date as</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specified in the applicable Refinancing Amendment;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if any such day is not a Business Day, the applicable Maturity Date shall be the Business Day immediately succeeding </w:t>
      </w:r>
      <w:r>
        <w:rPr>
          <w:rFonts w:ascii="Arial" w:cs="Arial" w:eastAsia="Arial" w:hAnsi="Arial"/>
          <w:sz w:val="17"/>
          <w:szCs w:val="17"/>
          <w:u w:val="single" w:color="auto"/>
          <w:color w:val="0000FF"/>
          <w:strike w:val="1"/>
        </w:rPr>
        <w:t>; provided that the Scheduled Maturity Date may be extended by the Junior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-558165</wp:posOffset>
            </wp:positionV>
            <wp:extent cx="24091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4091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49720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-369570</wp:posOffset>
            </wp:positionV>
            <wp:extent cx="13169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169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-9525</wp:posOffset>
            </wp:positionV>
            <wp:extent cx="3437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0" w:right="479" w:bottom="1440" w:gutter="0" w:footer="0" w:header="0"/>
        </w:sectPr>
      </w:pPr>
    </w:p>
    <w:bookmarkStart w:id="177" w:name="page178"/>
    <w:bookmarkEnd w:id="177"/>
    <w:p>
      <w:pPr>
        <w:ind w:right="20"/>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DIP Lenders to May 17, 2024, with the Debtors’ consent;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however, that the Scheduled Maturity Date may not be extended unless and until all Obligations (as defined in the Prepetition UST Tranche A Credit Agreement) and all Obligations (as defined in the Prepetition </w:t>
      </w:r>
      <w:r>
        <w:rPr>
          <w:rFonts w:ascii="Arial" w:cs="Arial" w:eastAsia="Arial" w:hAnsi="Arial"/>
          <w:sz w:val="17"/>
          <w:szCs w:val="17"/>
          <w:u w:val="single" w:color="auto"/>
          <w:color w:val="008000"/>
        </w:rPr>
        <w:t>UST Tranche B Credit</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Agreement</w:t>
      </w:r>
      <w:r>
        <w:rPr>
          <w:rFonts w:ascii="Arial" w:cs="Arial" w:eastAsia="Arial" w:hAnsi="Arial"/>
          <w:sz w:val="17"/>
          <w:szCs w:val="17"/>
          <w:u w:val="single" w:color="auto"/>
          <w:color w:val="0000FF"/>
        </w:rPr>
        <w:t>) have been paid in full in cash; (ii) the effective date or the date of the substantial consummation (as defined in section 1102(2) of the</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Bankruptcy Code) of a Plan of Reorganization that has been confirmed by an order of the Bankruptcy Court; (iii) the date the Bankruptcy Court orders the conversion of the Chapter 11 Case of any of the Loan Parties to a liquidation under Chapter 7 of the Bankruptcy Code; (iv) the date the Bankruptcy Court orders the dismissal of the Chapter 11 Case of any of the Loan Parties; (v) the date of acceleration of the Term Loans or early termination of the Commitments hereunder, including as a result of the occurrence</w:t>
      </w:r>
      <w:r>
        <w:rPr>
          <w:rFonts w:ascii="Arial" w:cs="Arial" w:eastAsia="Arial" w:hAnsi="Arial"/>
          <w:sz w:val="17"/>
          <w:szCs w:val="17"/>
          <w:color w:val="0000FF"/>
        </w:rPr>
        <w:t xml:space="preserve"> </w:t>
      </w:r>
      <w:r>
        <w:rPr>
          <w:rFonts w:ascii="Arial" w:cs="Arial" w:eastAsia="Arial" w:hAnsi="Arial"/>
          <w:sz w:val="17"/>
          <w:szCs w:val="17"/>
          <w:color w:val="008000"/>
        </w:rPr>
        <w:t>of an Event of Default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(other than the Existing Defaults); (vi) the date the Canadian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Court orders the appointment of a receiver, interim receiver, trustee or any similar official in respect of any of the Canadian Debtors or the Canadian Collateral (which for certainty does not include the appointment of the Information Officer); or (vii) the date that is 45 calendar days after the Petition Date if the Final Order Entry Date shall not have occurred by</w:t>
      </w:r>
      <w:r>
        <w:rPr>
          <w:rFonts w:ascii="Arial" w:cs="Arial" w:eastAsia="Arial" w:hAnsi="Arial"/>
          <w:sz w:val="17"/>
          <w:szCs w:val="17"/>
          <w:color w:val="0000FF"/>
        </w:rPr>
        <w:t xml:space="preserve"> </w:t>
      </w:r>
      <w:r>
        <w:rPr>
          <w:rFonts w:ascii="Arial" w:cs="Arial" w:eastAsia="Arial" w:hAnsi="Arial"/>
          <w:sz w:val="17"/>
          <w:szCs w:val="17"/>
          <w:color w:val="000000"/>
        </w:rPr>
        <w:t>such</w:t>
      </w:r>
      <w:r>
        <w:rPr>
          <w:rFonts w:ascii="Arial" w:cs="Arial" w:eastAsia="Arial" w:hAnsi="Arial"/>
          <w:sz w:val="17"/>
          <w:szCs w:val="17"/>
          <w:color w:val="0000FF"/>
        </w:rPr>
        <w:t xml:space="preserve"> </w:t>
      </w:r>
      <w:r>
        <w:rPr>
          <w:rFonts w:ascii="Arial" w:cs="Arial" w:eastAsia="Arial" w:hAnsi="Arial"/>
          <w:sz w:val="17"/>
          <w:szCs w:val="17"/>
          <w:color w:val="FF0000"/>
          <w:strike w:val="1"/>
        </w:rPr>
        <w:t>day</w:t>
      </w:r>
      <w:r>
        <w:rPr>
          <w:rFonts w:ascii="Arial" w:cs="Arial" w:eastAsia="Arial" w:hAnsi="Arial"/>
          <w:sz w:val="17"/>
          <w:szCs w:val="17"/>
          <w:u w:val="single" w:color="auto"/>
          <w:color w:val="0000FF"/>
        </w:rPr>
        <w:t>date</w:t>
      </w:r>
      <w:r>
        <w:rPr>
          <w:rFonts w:ascii="Arial" w:cs="Arial" w:eastAsia="Arial" w:hAnsi="Arial"/>
          <w:sz w:val="17"/>
          <w:szCs w:val="17"/>
          <w:color w:val="0000FF"/>
        </w:rPr>
        <w:t xml:space="preserve"> </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-1235710</wp:posOffset>
            </wp:positionV>
            <wp:extent cx="694372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-1098550</wp:posOffset>
            </wp:positionV>
            <wp:extent cx="683196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-961390</wp:posOffset>
            </wp:positionV>
            <wp:extent cx="66262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-824230</wp:posOffset>
            </wp:positionV>
            <wp:extent cx="68922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-687070</wp:posOffset>
            </wp:positionV>
            <wp:extent cx="690054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-549910</wp:posOffset>
            </wp:positionV>
            <wp:extent cx="68580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-447040</wp:posOffset>
            </wp:positionV>
            <wp:extent cx="6772275" cy="4318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77227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wp:posOffset>
            </wp:positionV>
            <wp:extent cx="678053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84911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342011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Minimum Extension Condition</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2.19(b)</w:t>
      </w:r>
      <w:r>
        <w:rPr>
          <w:rFonts w:ascii="Arial" w:cs="Arial" w:eastAsia="Arial" w:hAnsi="Arial"/>
          <w:sz w:val="18"/>
          <w:szCs w:val="18"/>
          <w:color w:val="FF0000"/>
          <w:strike w:val="1"/>
        </w:rPr>
        <w: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MNPI</w:t>
      </w:r>
      <w:r>
        <w:rPr>
          <w:rFonts w:ascii="Arial" w:cs="Arial" w:eastAsia="Arial" w:hAnsi="Arial"/>
          <w:sz w:val="18"/>
          <w:szCs w:val="18"/>
          <w:color w:val="FF0000"/>
          <w:strike w:val="1"/>
        </w:rPr>
        <w:t>” shall mean material information concerning the Borrower, Subsidiary or Controlled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Borrower, the Subsidiaries or any Controlled Affiliate of any of the foregoing or any of their securities that could reasonably be expected to be material for purposes of the United States Federal and State securities laws and, where applicable, foreign securities laws.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Mortgage Policie</w:t>
      </w:r>
      <w:r>
        <w:rPr>
          <w:rFonts w:ascii="Arial" w:cs="Arial" w:eastAsia="Arial" w:hAnsi="Arial"/>
          <w:sz w:val="18"/>
          <w:szCs w:val="18"/>
          <w:color w:val="FF0000"/>
          <w:strike w:val="1"/>
        </w:rPr>
        <w:t>s” shall have the meaning specified in the definition of “Collateral and Guarantee Requirement.”</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Mortgaged</w:t>
      </w:r>
      <w:r>
        <w:rPr>
          <w:rFonts w:ascii="Arial" w:cs="Arial" w:eastAsia="Arial" w:hAnsi="Arial"/>
          <w:sz w:val="18"/>
          <w:szCs w:val="18"/>
          <w:color w:val="FF0000"/>
          <w:strike w:val="1"/>
        </w:rPr>
        <w:t xml:space="preserve"> </w:t>
      </w:r>
      <w:r>
        <w:rPr>
          <w:rFonts w:ascii="Arial" w:cs="Arial" w:eastAsia="Arial" w:hAnsi="Arial"/>
          <w:sz w:val="18"/>
          <w:szCs w:val="18"/>
          <w:b w:val="1"/>
          <w:bCs w:val="1"/>
          <w:color w:val="008000"/>
          <w:strike w:val="1"/>
        </w:rPr>
        <w:t>Property</w:t>
      </w:r>
      <w:r>
        <w:rPr>
          <w:rFonts w:ascii="Arial" w:cs="Arial" w:eastAsia="Arial" w:hAnsi="Arial"/>
          <w:sz w:val="18"/>
          <w:szCs w:val="18"/>
          <w:color w:val="008000"/>
          <w:strike w:val="1"/>
        </w:rPr>
        <w:t>” shall have the meaning</w:t>
      </w:r>
      <w:r>
        <w:rPr>
          <w:rFonts w:ascii="Arial" w:cs="Arial" w:eastAsia="Arial" w:hAnsi="Arial"/>
          <w:sz w:val="18"/>
          <w:szCs w:val="18"/>
          <w:color w:val="FF0000"/>
          <w:strike w:val="1"/>
        </w:rPr>
        <w:t xml:space="preserve"> specified in the definition of “Collateral and Guarantee Requirement.” The Mortgaged Properties as of the Restatement Effective Date are set forth on </w:t>
      </w:r>
      <w:r>
        <w:rPr>
          <w:rFonts w:ascii="Arial" w:cs="Arial" w:eastAsia="Arial" w:hAnsi="Arial"/>
          <w:sz w:val="18"/>
          <w:szCs w:val="18"/>
          <w:u w:val="single" w:color="auto"/>
          <w:color w:val="FF0000"/>
          <w:strike w:val="1"/>
        </w:rPr>
        <w:t>Schedule 1.01(c)</w:t>
      </w:r>
      <w:r>
        <w:rPr>
          <w:rFonts w:ascii="Arial" w:cs="Arial" w:eastAsia="Arial" w:hAnsi="Arial"/>
          <w:sz w:val="18"/>
          <w:szCs w:val="18"/>
          <w:color w:val="FF0000"/>
          <w:strike w:val="1"/>
        </w:rPr>
        <w:t>.</w:t>
      </w:r>
    </w:p>
    <w:p>
      <w:pPr>
        <w:spacing w:after="0" w:line="162"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xml:space="preserve">” shall mean, collectively, the mortgages, deeds of trust, trust deeds, hypothecs deeds to secure debt and similar instruments by the Loan Parties in favor or for the benefit of the Collateral Agent on behalf of the Secured Parties creating and evidencing a Lien on a </w:t>
      </w:r>
      <w:r>
        <w:rPr>
          <w:rFonts w:ascii="Arial" w:cs="Arial" w:eastAsia="Arial" w:hAnsi="Arial"/>
          <w:sz w:val="18"/>
          <w:szCs w:val="18"/>
          <w:color w:val="FF0000"/>
          <w:strike w:val="1"/>
        </w:rPr>
        <w:t>Mortgaged</w:t>
      </w:r>
      <w:r>
        <w:rPr>
          <w:rFonts w:ascii="Arial" w:cs="Arial" w:eastAsia="Arial" w:hAnsi="Arial"/>
          <w:sz w:val="18"/>
          <w:szCs w:val="18"/>
          <w:color w:val="auto"/>
        </w:rPr>
        <w:t xml:space="preserve">Real Property in form and substance reasonably satisfactory to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Collateral Agent and the Borrower</w:t>
      </w:r>
      <w:r>
        <w:rPr>
          <w:rFonts w:ascii="Arial" w:cs="Arial" w:eastAsia="Arial" w:hAnsi="Arial"/>
          <w:sz w:val="18"/>
          <w:szCs w:val="18"/>
          <w:color w:val="FF0000"/>
          <w:strike w:val="1"/>
        </w:rPr>
        <w:t>, and any other mortgages</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executed and delivered pursuant to </w:t>
      </w:r>
      <w:r>
        <w:rPr>
          <w:rFonts w:ascii="Arial" w:cs="Arial" w:eastAsia="Arial" w:hAnsi="Arial"/>
          <w:sz w:val="18"/>
          <w:szCs w:val="18"/>
          <w:u w:val="single" w:color="auto"/>
          <w:color w:val="FF0000"/>
          <w:strike w:val="1"/>
        </w:rPr>
        <w:t>Section 4.02</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6.11</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6.13</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i w:val="1"/>
          <w:iCs w:val="1"/>
          <w:u w:val="single" w:color="auto"/>
          <w:color w:val="0000FF"/>
          <w:strike w:val="1"/>
        </w:rPr>
        <w:t>provided</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i w:val="1"/>
          <w:iCs w:val="1"/>
          <w:u w:val="single" w:color="auto"/>
          <w:color w:val="0000FF"/>
          <w:strike w:val="1"/>
        </w:rPr>
        <w:t>that</w:t>
      </w:r>
      <w:r>
        <w:rPr>
          <w:rFonts w:ascii="Arial" w:cs="Arial" w:eastAsia="Arial" w:hAnsi="Arial"/>
          <w:sz w:val="18"/>
          <w:szCs w:val="18"/>
          <w:u w:val="single" w:color="auto"/>
          <w:color w:val="0000FF"/>
          <w:strike w:val="1"/>
        </w:rPr>
        <w:t>, the Agents and the Lenders agree that no additional Mortgages shall be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required or executed following the Petition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-274320</wp:posOffset>
            </wp:positionV>
            <wp:extent cx="1625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-137160</wp:posOffset>
            </wp:positionV>
            <wp:extent cx="40119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23710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63"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xml:space="preserve">” shall mean any multiemployer plan as defined in Section 4001(a)(3) of ERISA subject to the provisions of Title IV of ERISA to which a Loan Party,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or any of their respective ERISA Affiliates is an “employer” as defined in Section 3(5) of ERISA.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178" w:name="page179"/>
    <w:bookmarkEnd w:id="178"/>
    <w:p>
      <w:pPr>
        <w:ind w:right="100" w:firstLine="440"/>
        <w:spacing w:after="0" w:line="277"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7"/>
          <w:szCs w:val="17"/>
          <w:b w:val="1"/>
          <w:bCs w:val="1"/>
          <w:color w:val="FF0000"/>
          <w:strike w:val="1"/>
        </w:rPr>
        <w:t>Net Equity Proceeds</w:t>
      </w:r>
      <w:r>
        <w:rPr>
          <w:rFonts w:ascii="Arial" w:cs="Arial" w:eastAsia="Arial" w:hAnsi="Arial"/>
          <w:sz w:val="17"/>
          <w:szCs w:val="17"/>
          <w:color w:val="FF0000"/>
          <w:strike w:val="1"/>
        </w:rPr>
        <w:t>” shall mean 50% of the cash proceeds from the issuance or sale by the Borrower (or contributions in respect) of any Equity Interests issued after the Restatement Effective Date, net of all taxes paid or reasonably estimated to be payable as a result thereof and fees (including investment banking fees and discounts), commissions, costs and other expenses, in each case incurred in connection with such issuance or sale, provided, that, if the amount of any estimated taxes exceeds the amount of taxes actually required to be paid in cash, the aggregate amount of such excess shall constitute Net Proceeds at the time such taxes are actually paid.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shall mean:</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(a) 100% of the cash proceeds actually received by the Borrower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(including any cash payments received by way of deferred payment of principal pursuant to a note or installment receivable or purchase price adjustment receivable or otherwise and including casualty insurance settlements and condemnation and similar awards, but in each case only as and when received) from any Disposition or Casualty Event, net of the following:</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  attorneys’ fees, accountants’ fees, investment banking fees, survey costs, title insurance premiums, and related search and recording charges, transfer taxes, deed or mortgage recording taxes,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(ii)  required debt payments and required payments (including principal amount, premium or penalty, if any, interest, fees and expenses and other amounts) of other obligations that are secured by the applicable asset or property (other than pursuant to the Loan Documents,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ABL Facility Documentation (other than</w:t>
      </w:r>
      <w:r>
        <w:rPr>
          <w:rFonts w:ascii="Arial" w:cs="Arial" w:eastAsia="Arial" w:hAnsi="Arial"/>
          <w:sz w:val="18"/>
          <w:szCs w:val="18"/>
          <w:u w:val="single" w:color="auto"/>
          <w:color w:val="0000FF"/>
        </w:rPr>
        <w:t>, prior to the Discharge of ABL Obligations,</w:t>
      </w:r>
      <w:r>
        <w:rPr>
          <w:rFonts w:ascii="Arial" w:cs="Arial" w:eastAsia="Arial" w:hAnsi="Arial"/>
          <w:sz w:val="18"/>
          <w:szCs w:val="18"/>
          <w:color w:val="auto"/>
        </w:rPr>
        <w:t xml:space="preserve"> in respect of ABL Priority Collateral),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A Facility Documentation</w:t>
      </w:r>
      <w:r>
        <w:rPr>
          <w:rFonts w:ascii="Arial" w:cs="Arial" w:eastAsia="Arial" w:hAnsi="Arial"/>
          <w:sz w:val="18"/>
          <w:szCs w:val="18"/>
          <w:color w:val="FF0000"/>
          <w:strike w:val="1"/>
        </w:rPr>
        <w:t>,</w:t>
      </w:r>
      <w:r>
        <w:rPr>
          <w:rFonts w:ascii="Arial" w:cs="Arial" w:eastAsia="Arial" w:hAnsi="Arial"/>
          <w:sz w:val="18"/>
          <w:szCs w:val="18"/>
          <w:color w:val="auto"/>
        </w:rPr>
        <w:t xml:space="preserve"> (other than</w:t>
      </w:r>
      <w:r>
        <w:rPr>
          <w:rFonts w:ascii="Arial" w:cs="Arial" w:eastAsia="Arial" w:hAnsi="Arial"/>
          <w:sz w:val="18"/>
          <w:szCs w:val="18"/>
          <w:u w:val="single" w:color="auto"/>
          <w:color w:val="0000FF"/>
        </w:rPr>
        <w:t>, prior to the Discharge of UST Tranche A Obligations,</w:t>
      </w:r>
      <w:r>
        <w:rPr>
          <w:rFonts w:ascii="Arial" w:cs="Arial" w:eastAsia="Arial" w:hAnsi="Arial"/>
          <w:sz w:val="18"/>
          <w:szCs w:val="18"/>
          <w:color w:val="auto"/>
        </w:rPr>
        <w:t xml:space="preserve"> in respect of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A Only Collateral)</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B Facility Documentation</w:t>
      </w:r>
      <w:r>
        <w:rPr>
          <w:rFonts w:ascii="Arial" w:cs="Arial" w:eastAsia="Arial" w:hAnsi="Arial"/>
          <w:sz w:val="18"/>
          <w:szCs w:val="18"/>
          <w:color w:val="FF0000"/>
          <w:strike w:val="1"/>
        </w:rPr>
        <w:t>,</w:t>
      </w:r>
      <w:r>
        <w:rPr>
          <w:rFonts w:ascii="Arial" w:cs="Arial" w:eastAsia="Arial" w:hAnsi="Arial"/>
          <w:sz w:val="18"/>
          <w:szCs w:val="18"/>
          <w:color w:val="auto"/>
        </w:rPr>
        <w:t xml:space="preserve"> (other than</w:t>
      </w:r>
      <w:r>
        <w:rPr>
          <w:rFonts w:ascii="Arial" w:cs="Arial" w:eastAsia="Arial" w:hAnsi="Arial"/>
          <w:sz w:val="18"/>
          <w:szCs w:val="18"/>
          <w:u w:val="single" w:color="auto"/>
          <w:color w:val="0000FF"/>
        </w:rPr>
        <w:t>, prior to the Discharge of UST Tranche B Obligations,</w:t>
      </w:r>
      <w:r>
        <w:rPr>
          <w:rFonts w:ascii="Arial" w:cs="Arial" w:eastAsia="Arial" w:hAnsi="Arial"/>
          <w:sz w:val="18"/>
          <w:szCs w:val="18"/>
          <w:color w:val="auto"/>
        </w:rPr>
        <w:t xml:space="preserve"> in respect of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B Priority Collateral and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B Only Collateral) </w:t>
      </w:r>
      <w:r>
        <w:rPr>
          <w:rFonts w:ascii="Arial" w:cs="Arial" w:eastAsia="Arial" w:hAnsi="Arial"/>
          <w:sz w:val="18"/>
          <w:szCs w:val="18"/>
          <w:color w:val="FF0000"/>
        </w:rPr>
        <w:t>or any Permitted Junior Priority Additional</w:t>
      </w:r>
      <w:r>
        <w:rPr>
          <w:rFonts w:ascii="Arial" w:cs="Arial" w:eastAsia="Arial" w:hAnsi="Arial"/>
          <w:sz w:val="18"/>
          <w:szCs w:val="18"/>
          <w:color w:val="auto"/>
        </w:rPr>
        <w:t xml:space="preserve"> </w:t>
      </w:r>
      <w:r>
        <w:rPr>
          <w:rFonts w:ascii="Arial" w:cs="Arial" w:eastAsia="Arial" w:hAnsi="Arial"/>
          <w:sz w:val="18"/>
          <w:szCs w:val="18"/>
          <w:color w:val="FF0000"/>
          <w:strike w:val="1"/>
        </w:rPr>
        <w:t>Debt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-681355</wp:posOffset>
            </wp:positionV>
            <wp:extent cx="52260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-544195</wp:posOffset>
            </wp:positionV>
            <wp:extent cx="202311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-544195</wp:posOffset>
            </wp:positionV>
            <wp:extent cx="53149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-407035</wp:posOffset>
            </wp:positionV>
            <wp:extent cx="38404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-269875</wp:posOffset>
            </wp:positionV>
            <wp:extent cx="89154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-269875</wp:posOffset>
            </wp:positionV>
            <wp:extent cx="25114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-132715</wp:posOffset>
            </wp:positionV>
            <wp:extent cx="52260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-132715</wp:posOffset>
            </wp:positionV>
            <wp:extent cx="53149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-218440</wp:posOffset>
            </wp:positionV>
            <wp:extent cx="19989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75" w:lineRule="exact"/>
        <w:rPr>
          <w:sz w:val="20"/>
          <w:szCs w:val="20"/>
          <w:color w:val="auto"/>
        </w:rPr>
      </w:pPr>
    </w:p>
    <w:p>
      <w:pPr>
        <w:ind w:left="1180" w:hanging="321"/>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40" w:right="40" w:firstLine="419"/>
        <w:spacing w:after="0" w:line="263"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FF0000"/>
          <w:strike w:val="1"/>
        </w:rPr>
        <w:t>in the case of any Disposition or Casualty Event by a non-wholly owned Restricted Subsidiary, the pro rata portion of the Net Proceeds thereof (calculated without regard to this clause (iv)) attributable to minority interests and not available for distribution to or for the account of the Borrower or a wholly owned Restricted Subsidiary as a result thereof,</w:t>
      </w:r>
      <w:r>
        <w:rPr>
          <w:rFonts w:ascii="Arial" w:cs="Arial" w:eastAsia="Arial" w:hAnsi="Arial"/>
          <w:sz w:val="18"/>
          <w:szCs w:val="18"/>
          <w:u w:val="single" w:color="auto"/>
          <w:color w:val="0000FF"/>
          <w:strike w:val="1"/>
        </w:rPr>
        <w:t>[reserved],</w:t>
      </w:r>
    </w:p>
    <w:p>
      <w:pPr>
        <w:spacing w:after="0" w:line="183"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taxes paid or reasonably estimated to be payable as a result thereof (provided, that if the amount of any such estimated taxes exceeds the amount of taxes actually required to be paid in cash in respect of such Disposition or Casualty Event, the aggregate amount of such excess shall constitute Net Proceeds at the time such taxes are actually paid),</w:t>
      </w:r>
    </w:p>
    <w:p>
      <w:pPr>
        <w:spacing w:after="0" w:line="183" w:lineRule="exact"/>
        <w:rPr>
          <w:rFonts w:ascii="Arial" w:cs="Arial" w:eastAsia="Arial" w:hAnsi="Arial"/>
          <w:sz w:val="18"/>
          <w:szCs w:val="18"/>
          <w:color w:val="auto"/>
        </w:rPr>
      </w:pPr>
    </w:p>
    <w:p>
      <w:pPr>
        <w:ind w:left="440" w:right="220" w:firstLine="419"/>
        <w:spacing w:after="0" w:line="255"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amount of any reasonable reserve established in accordance with GAAP against any adjustment to the sale price or any liabilities (other than any taxes deducted pursuant to clause (i) or (v) above) (x) related to any of the applicable assets and (y) retained by the Borrower 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with respect to the assets subject to the Disposition or Casualty Event including, without limitation,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-1505585</wp:posOffset>
            </wp:positionV>
            <wp:extent cx="49720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179" w:name="page180"/>
    <w:bookmarkEnd w:id="179"/>
    <w:p>
      <w:pPr>
        <w:ind w:left="444" w:right="600" w:firstLine="419"/>
        <w:spacing w:after="0" w:line="277" w:lineRule="auto"/>
        <w:tabs>
          <w:tab w:leader="none" w:pos="1222"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8"/>
          <w:szCs w:val="18"/>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-10795</wp:posOffset>
            </wp:positionV>
            <wp:extent cx="18859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-45085</wp:posOffset>
            </wp:positionV>
            <wp:extent cx="1936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0"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i w:val="1"/>
          <w:iCs w:val="1"/>
          <w:color w:val="FF0000"/>
          <w:strike w:val="1"/>
        </w:rPr>
        <w:t xml:space="preserve">provided, </w:t>
      </w:r>
      <w:r>
        <w:rPr>
          <w:rFonts w:ascii="Arial" w:cs="Arial" w:eastAsia="Arial" w:hAnsi="Arial"/>
          <w:sz w:val="16"/>
          <w:szCs w:val="16"/>
          <w:color w:val="FF0000"/>
          <w:strike w:val="1"/>
        </w:rPr>
        <w:t>that if no Event of Default exists such proceeds, other than Real Property Disposition Proceeds, may be applied by the Borrower or any</w:t>
      </w:r>
      <w:r>
        <w:rPr>
          <w:rFonts w:ascii="Arial" w:cs="Arial" w:eastAsia="Arial" w:hAnsi="Arial"/>
          <w:sz w:val="16"/>
          <w:szCs w:val="16"/>
          <w:i w:val="1"/>
          <w:iCs w:val="1"/>
          <w:color w:val="FF0000"/>
          <w:strike w:val="1"/>
        </w:rPr>
        <w:t xml:space="preserve"> </w:t>
      </w:r>
      <w:r>
        <w:rPr>
          <w:rFonts w:ascii="Arial" w:cs="Arial" w:eastAsia="Arial" w:hAnsi="Arial"/>
          <w:sz w:val="16"/>
          <w:szCs w:val="16"/>
          <w:color w:val="FF0000"/>
          <w:strike w:val="1"/>
        </w:rPr>
        <w:t xml:space="preserve">Restricted Subsidiary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or division or line of business of a Person (or any subsequent investment made in a Person, division or line of business previously acquired) that in each case become Collateral (or, in the case of the acquisition of the Equity Interests of a Person, such Person becomes a Loan Party under the Loan Documents), in each case within 270 days of such receipt, and such portion of such proceeds shall not constitute Net Proceeds except to the extent not, within 270 days of such receipt, so used or contractually committed with a third party to be so used (it being understood that if any portion of such proceeds are not so used within such 270 day period but within such 270 day period are contractually committed with a third party to be used, then upon the termination of such contract or if such Net Proceeds are not so used within the later of such 270 day period and 180 days from the entry into such contractual commitment, such remaining portion shall constitute Net Proceeds as of the date of such termination or expiry without giving effect to this proviso; it being understood that such proceeds shall constitute Net Proceeds if there is a Specified Default at the time of a proposed reinvestment unless such proposed reinvestment is made pursuant to a binding commitment with a third party entered into at a time when no Specified Default was continuing);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w:t>
      </w:r>
      <w:r>
        <w:rPr>
          <w:rFonts w:ascii="Arial" w:cs="Arial" w:eastAsia="Arial" w:hAnsi="Arial"/>
          <w:sz w:val="16"/>
          <w:szCs w:val="16"/>
          <w:i w:val="1"/>
          <w:iCs w:val="1"/>
          <w:color w:val="FF0000"/>
          <w:strike w:val="1"/>
        </w:rPr>
        <w:t>further</w:t>
      </w:r>
      <w:r>
        <w:rPr>
          <w:rFonts w:ascii="Arial" w:cs="Arial" w:eastAsia="Arial" w:hAnsi="Arial"/>
          <w:sz w:val="16"/>
          <w:szCs w:val="16"/>
          <w:color w:val="FF0000"/>
          <w:strike w:val="1"/>
        </w:rPr>
        <w:t xml:space="preserve"> that, (i) except with respect to (I) Real Property Disposition Proceeds and</w:t>
      </w:r>
    </w:p>
    <w:p>
      <w:pPr>
        <w:spacing w:after="0" w:line="2" w:lineRule="exact"/>
        <w:rPr>
          <w:sz w:val="20"/>
          <w:szCs w:val="20"/>
          <w:color w:val="auto"/>
        </w:rPr>
      </w:pPr>
    </w:p>
    <w:p>
      <w:pPr>
        <w:ind w:left="4" w:right="100" w:hanging="4"/>
        <w:spacing w:after="0" w:line="281" w:lineRule="auto"/>
        <w:tabs>
          <w:tab w:leader="none" w:pos="289" w:val="left"/>
        </w:tabs>
        <w:numPr>
          <w:ilvl w:val="0"/>
          <w:numId w:val="9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at any time during the Amendment No. 1 Specified Period, any other Net Proceeds, no proceeds realized in a single transaction or series of related transactions shall constitute Net Proceeds unless the aggregate net proceeds exceeds $7,500,000 in any fiscal year, commencing upon the expiration of the Amendment No. 1 Specified Period (and thereafter only net cash proceeds in excess of such amount shall constitute Net Proceeds under this clause (a)),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this clause (i) shall no longer apply from and after the Amendment No. 3 Effective Date, (ii) during the Specified Rolling Stock Prepayment Period, all Net Proceeds from any Disposition of Specified Rolling Stock in excess of the Specified Rolling Stock Reinvestment Threshold in any fiscal year shall be applied to prepay the Term Loans in accordance with Section 2.13(a)(ii) without giving effect to any thresholds (other than such Specified Rolling Stock Reinvestment Threshold) or reinvestment rights, and (iii) pending reinvestment in accordance with this proviso,</w:t>
      </w:r>
    </w:p>
    <w:p>
      <w:pPr>
        <w:spacing w:after="0" w:line="4" w:lineRule="exact"/>
        <w:rPr>
          <w:rFonts w:ascii="Arial" w:cs="Arial" w:eastAsia="Arial" w:hAnsi="Arial"/>
          <w:sz w:val="16"/>
          <w:szCs w:val="16"/>
          <w:color w:val="FF0000"/>
          <w:strike w:val="1"/>
        </w:rPr>
      </w:pPr>
    </w:p>
    <w:p>
      <w:pPr>
        <w:ind w:left="4" w:right="100" w:hanging="4"/>
        <w:spacing w:after="0" w:line="281" w:lineRule="auto"/>
        <w:tabs>
          <w:tab w:leader="none" w:pos="299" w:val="left"/>
        </w:tabs>
        <w:numPr>
          <w:ilvl w:val="0"/>
          <w:numId w:val="93"/>
        </w:numPr>
        <w:rPr>
          <w:rFonts w:ascii="Arial" w:cs="Arial" w:eastAsia="Arial" w:hAnsi="Arial"/>
          <w:sz w:val="16"/>
          <w:szCs w:val="16"/>
          <w:color w:val="FF0000"/>
          <w:strike w:val="1"/>
        </w:rPr>
      </w:pPr>
      <w:r>
        <w:rPr>
          <w:rFonts w:ascii="Arial" w:cs="Arial" w:eastAsia="Arial" w:hAnsi="Arial"/>
          <w:sz w:val="16"/>
          <w:szCs w:val="16"/>
          <w:color w:val="FF0000"/>
          <w:strike w:val="1"/>
        </w:rPr>
        <w:t>proceeds from the Disposition of Rolling Stock constituting First Lien Term Priority Collateral shall, not later than the date that is five (5) Business Days after the end of the calendar month in which such Disposition is made, be deposited and maintained in a First Lien Term Priority Account and</w:t>
      </w:r>
    </w:p>
    <w:p>
      <w:pPr>
        <w:spacing w:after="0" w:line="1" w:lineRule="exact"/>
        <w:rPr>
          <w:rFonts w:ascii="Arial" w:cs="Arial" w:eastAsia="Arial" w:hAnsi="Arial"/>
          <w:sz w:val="16"/>
          <w:szCs w:val="16"/>
          <w:color w:val="FF0000"/>
          <w:strike w:val="1"/>
        </w:rPr>
      </w:pPr>
    </w:p>
    <w:p>
      <w:pPr>
        <w:ind w:left="4" w:right="420" w:hanging="4"/>
        <w:spacing w:after="0" w:line="290" w:lineRule="auto"/>
        <w:tabs>
          <w:tab w:leader="none" w:pos="289" w:val="left"/>
        </w:tabs>
        <w:numPr>
          <w:ilvl w:val="0"/>
          <w:numId w:val="93"/>
        </w:numPr>
        <w:rPr>
          <w:rFonts w:ascii="Arial" w:cs="Arial" w:eastAsia="Arial" w:hAnsi="Arial"/>
          <w:sz w:val="17"/>
          <w:szCs w:val="17"/>
          <w:color w:val="FF0000"/>
          <w:strike w:val="1"/>
        </w:rPr>
      </w:pPr>
      <w:r>
        <w:rPr>
          <w:rFonts w:ascii="Arial" w:cs="Arial" w:eastAsia="Arial" w:hAnsi="Arial"/>
          <w:sz w:val="17"/>
          <w:szCs w:val="17"/>
          <w:color w:val="FF0000"/>
          <w:strike w:val="1"/>
        </w:rPr>
        <w:t>proceeds from the Disposition of UST Tranche B Joint Collateral shall, not later than the date that is five (5) Business Days after the end of the calendar month in which such Disposition is made, be deposited in and maintained in a UST Tranche B Joint Account, and</w:t>
      </w:r>
    </w:p>
    <w:p>
      <w:pPr>
        <w:spacing w:after="0" w:line="161"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(b) 100% of the cash proceeds from the incurrence, issuance or sale by the Borrower 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of any Indebtedness, net of all taxes paid or reasonably estimated to be payable as a result thereof and fees (including investment banking fees and discounts), commissions, costs and other expenses, in each case incurred in connection with such issuance or sale, </w:t>
      </w:r>
      <w:r>
        <w:rPr>
          <w:rFonts w:ascii="Arial" w:cs="Arial" w:eastAsia="Arial" w:hAnsi="Arial"/>
          <w:sz w:val="18"/>
          <w:szCs w:val="18"/>
          <w:i w:val="1"/>
          <w:iCs w:val="1"/>
          <w:color w:val="auto"/>
        </w:rPr>
        <w:t>provided</w:t>
      </w:r>
      <w:r>
        <w:rPr>
          <w:rFonts w:ascii="Arial" w:cs="Arial" w:eastAsia="Arial" w:hAnsi="Arial"/>
          <w:sz w:val="18"/>
          <w:szCs w:val="18"/>
          <w:color w:val="auto"/>
        </w:rPr>
        <w:t>, that if the amount of any estimated taxes exceeds the amount of taxes actually required to be paid in cash, the aggregate amount of such excess shall constitute Net Proceeds at the time such taxes are actually paid.</w:t>
      </w:r>
    </w:p>
    <w:p>
      <w:pPr>
        <w:spacing w:after="0" w:line="18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For purposes of calculating the amount of Net Proceeds, fees, commissions and other costs and expenses payable to the Borrower or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shall be disregarded.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180" w:name="page181"/>
    <w:bookmarkEnd w:id="180"/>
    <w:p>
      <w:pPr>
        <w:ind w:right="440" w:firstLine="440"/>
        <w:spacing w:after="0" w:line="282"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0000FF"/>
        </w:rPr>
        <w:t>New Money Postpetition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Term Loans</w:t>
      </w:r>
      <w:r>
        <w:rPr>
          <w:rFonts w:ascii="Arial" w:cs="Arial" w:eastAsia="Arial" w:hAnsi="Arial"/>
          <w:sz w:val="18"/>
          <w:szCs w:val="18"/>
          <w:u w:val="single" w:color="auto"/>
          <w:color w:val="008000"/>
        </w:rPr>
        <w:t>” shall mean the</w:t>
      </w:r>
      <w:r>
        <w:rPr>
          <w:rFonts w:ascii="Arial" w:cs="Arial" w:eastAsia="Arial" w:hAnsi="Arial"/>
          <w:sz w:val="18"/>
          <w:szCs w:val="18"/>
          <w:u w:val="single" w:color="auto"/>
          <w:color w:val="0000FF"/>
        </w:rPr>
        <w:t xml:space="preserve"> Initial Postpetition Loans, the Second Postpetition Loans and the Final Postpetition Loans (and, for the avoidance of doubt, shall exclude the Prepetition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2048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77190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Non-Consenting Lender</w:t>
      </w:r>
      <w:r>
        <w:rPr>
          <w:rFonts w:ascii="Arial" w:cs="Arial" w:eastAsia="Arial" w:hAnsi="Arial"/>
          <w:sz w:val="18"/>
          <w:szCs w:val="18"/>
          <w:color w:val="FF0000"/>
          <w:strike w:val="1"/>
        </w:rPr>
        <w:t xml:space="preserve">” has the meaning set forth in </w:t>
      </w:r>
      <w:r>
        <w:rPr>
          <w:rFonts w:ascii="Arial" w:cs="Arial" w:eastAsia="Arial" w:hAnsi="Arial"/>
          <w:sz w:val="18"/>
          <w:szCs w:val="18"/>
          <w:u w:val="single" w:color="auto"/>
          <w:color w:val="FF0000"/>
          <w:strike w:val="1"/>
        </w:rPr>
        <w:t>Section 3.06(b)</w:t>
      </w:r>
      <w:r>
        <w:rPr>
          <w:rFonts w:ascii="Arial" w:cs="Arial" w:eastAsia="Arial" w:hAnsi="Arial"/>
          <w:sz w:val="18"/>
          <w:szCs w:val="18"/>
          <w:color w:val="FF0000"/>
          <w:strike w:val="1"/>
        </w:rPr>
        <w:t>.</w:t>
      </w:r>
    </w:p>
    <w:p>
      <w:pPr>
        <w:spacing w:after="0" w:line="225" w:lineRule="exact"/>
        <w:rPr>
          <w:sz w:val="20"/>
          <w:szCs w:val="20"/>
          <w:color w:val="auto"/>
        </w:rPr>
      </w:pPr>
    </w:p>
    <w:p>
      <w:pPr>
        <w:ind w:right="360" w:firstLine="440"/>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Not Otherwise Applied</w:t>
      </w:r>
      <w:r>
        <w:rPr>
          <w:rFonts w:ascii="Arial" w:cs="Arial" w:eastAsia="Arial" w:hAnsi="Arial"/>
          <w:sz w:val="18"/>
          <w:szCs w:val="18"/>
          <w:color w:val="FF0000"/>
          <w:strike w:val="1"/>
        </w:rPr>
        <w:t xml:space="preserve">” shall mean, with reference to any amount of net proceeds of any transaction or event, that such amount (a) was not required to be applied to prepay the Loans pursuant to </w:t>
      </w:r>
      <w:r>
        <w:rPr>
          <w:rFonts w:ascii="Arial" w:cs="Arial" w:eastAsia="Arial" w:hAnsi="Arial"/>
          <w:sz w:val="18"/>
          <w:szCs w:val="18"/>
          <w:u w:val="single" w:color="auto"/>
          <w:color w:val="FF0000"/>
          <w:strike w:val="1"/>
        </w:rPr>
        <w:t>Section 2.13(a)</w:t>
      </w:r>
      <w:r>
        <w:rPr>
          <w:rFonts w:ascii="Arial" w:cs="Arial" w:eastAsia="Arial" w:hAnsi="Arial"/>
          <w:sz w:val="18"/>
          <w:szCs w:val="18"/>
          <w:color w:val="FF0000"/>
          <w:strike w:val="1"/>
        </w:rPr>
        <w:t xml:space="preserve"> and (b) was not previously applied in determining the permissibility of a transaction under the Loan Documents where such permissibility was (or may have been) pursuant to </w:t>
      </w:r>
      <w:r>
        <w:rPr>
          <w:rFonts w:ascii="Arial" w:cs="Arial" w:eastAsia="Arial" w:hAnsi="Arial"/>
          <w:sz w:val="18"/>
          <w:szCs w:val="18"/>
          <w:u w:val="single" w:color="auto"/>
          <w:color w:val="FF0000"/>
          <w:strike w:val="1"/>
        </w:rPr>
        <w:t>Section</w:t>
      </w:r>
      <w:r>
        <w:rPr>
          <w:rFonts w:ascii="Arial" w:cs="Arial" w:eastAsia="Arial" w:hAnsi="Arial"/>
          <w:sz w:val="18"/>
          <w:szCs w:val="18"/>
          <w:color w:val="FF0000"/>
          <w:strike w:val="1"/>
        </w:rPr>
        <w:t xml:space="preserve"> 7.02(p)(y), </w:t>
      </w:r>
      <w:r>
        <w:rPr>
          <w:rFonts w:ascii="Arial" w:cs="Arial" w:eastAsia="Arial" w:hAnsi="Arial"/>
          <w:sz w:val="18"/>
          <w:szCs w:val="18"/>
          <w:u w:val="single" w:color="auto"/>
          <w:color w:val="FF0000"/>
          <w:strike w:val="1"/>
        </w:rPr>
        <w:t>Section</w:t>
      </w:r>
      <w:r>
        <w:rPr>
          <w:rFonts w:ascii="Arial" w:cs="Arial" w:eastAsia="Arial" w:hAnsi="Arial"/>
          <w:sz w:val="18"/>
          <w:szCs w:val="18"/>
          <w:color w:val="FF0000"/>
          <w:strike w:val="1"/>
        </w:rPr>
        <w:t xml:space="preserve"> 7.03(ee), </w:t>
      </w:r>
      <w:r>
        <w:rPr>
          <w:rFonts w:ascii="Arial" w:cs="Arial" w:eastAsia="Arial" w:hAnsi="Arial"/>
          <w:sz w:val="18"/>
          <w:szCs w:val="18"/>
          <w:u w:val="single" w:color="auto"/>
          <w:color w:val="FF0000"/>
          <w:strike w:val="1"/>
        </w:rPr>
        <w:t xml:space="preserve">Section 7.06(e)(y) </w:t>
      </w:r>
      <w:r>
        <w:rPr>
          <w:rFonts w:ascii="Arial" w:cs="Arial" w:eastAsia="Arial" w:hAnsi="Arial"/>
          <w:sz w:val="18"/>
          <w:szCs w:val="18"/>
          <w:color w:val="FF0000"/>
          <w:strike w:val="1"/>
        </w:rPr>
        <w:t>or</w:t>
      </w:r>
      <w:r>
        <w:rPr>
          <w:rFonts w:ascii="Arial" w:cs="Arial" w:eastAsia="Arial" w:hAnsi="Arial"/>
          <w:sz w:val="18"/>
          <w:szCs w:val="18"/>
          <w:u w:val="single" w:color="auto"/>
          <w:color w:val="FF0000"/>
          <w:strike w:val="1"/>
        </w:rPr>
        <w:t xml:space="preserve"> 7.13(a)(vi)</w:t>
      </w:r>
      <w:r>
        <w:rPr>
          <w:rFonts w:ascii="Arial" w:cs="Arial" w:eastAsia="Arial" w:hAnsi="Arial"/>
          <w:sz w:val="18"/>
          <w:szCs w:val="18"/>
          <w:color w:val="FF0000"/>
          <w:strike w:val="1"/>
        </w:rPr>
        <w:t>.</w:t>
      </w:r>
    </w:p>
    <w:p>
      <w:pPr>
        <w:spacing w:after="0" w:line="18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shall mean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(or would accrue but for the operation of applicable Debtor Relief Laws), regardless of whether such interest and fees are allowed or allowable claims in such proceeding. Without limiting the generality of the foregoing, the Obligations of the Loan Parties under the Loan Documents include (a) the obligation (including guarantee obligations) to pay principal, interest, reimbursement obligations, charges, expenses, fees </w:t>
      </w:r>
      <w:r>
        <w:rPr>
          <w:rFonts w:ascii="Arial" w:cs="Arial" w:eastAsia="Arial" w:hAnsi="Arial"/>
          <w:sz w:val="17"/>
          <w:szCs w:val="17"/>
          <w:u w:val="single" w:color="auto"/>
          <w:color w:val="0000FF"/>
        </w:rPr>
        <w:t>(including under the Agency Fee Letter, no matter when earned in accordance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with the terms thereof), the Make-Whole Amount</w:t>
      </w:r>
      <w:r>
        <w:rPr>
          <w:rFonts w:ascii="Arial" w:cs="Arial" w:eastAsia="Arial" w:hAnsi="Arial"/>
          <w:sz w:val="17"/>
          <w:szCs w:val="17"/>
          <w:color w:val="000000"/>
        </w:rPr>
        <w:t>, Attorney Costs, indemnities and other amounts payable by any Loan Party under any Loan Document</w:t>
      </w:r>
      <w:r>
        <w:rPr>
          <w:rFonts w:ascii="Arial" w:cs="Arial" w:eastAsia="Arial" w:hAnsi="Arial"/>
          <w:sz w:val="17"/>
          <w:szCs w:val="17"/>
          <w:color w:val="0000FF"/>
        </w:rPr>
        <w:t xml:space="preserve"> </w:t>
      </w:r>
      <w:r>
        <w:rPr>
          <w:rFonts w:ascii="Arial" w:cs="Arial" w:eastAsia="Arial" w:hAnsi="Arial"/>
          <w:sz w:val="17"/>
          <w:szCs w:val="17"/>
          <w:color w:val="000000"/>
        </w:rPr>
        <w:t>and (b) the obligation of any Loan Party to reimburse any amount in respect of any of the foregoing that any Agent or Lender, in its sole discretion, may elect to pay or advance on behalf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-415290</wp:posOffset>
            </wp:positionV>
            <wp:extent cx="359156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915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-278130</wp:posOffset>
            </wp:positionV>
            <wp:extent cx="227139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assigned to such term in the definition of “Blocked Person”.</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Official Committee</w:t>
      </w:r>
      <w:r>
        <w:rPr>
          <w:rFonts w:ascii="Arial" w:cs="Arial" w:eastAsia="Arial" w:hAnsi="Arial"/>
          <w:sz w:val="18"/>
          <w:szCs w:val="18"/>
          <w:u w:val="single" w:color="auto"/>
          <w:color w:val="0000FF"/>
        </w:rPr>
        <w:t>” means the official committee of unsecured creditors appointed in the Chapter 11 Cases pursuant to Section 1102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0621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8312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42"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Operational Advisor</w:t>
      </w:r>
      <w:r>
        <w:rPr>
          <w:rFonts w:ascii="Arial" w:cs="Arial" w:eastAsia="Arial" w:hAnsi="Arial"/>
          <w:sz w:val="16"/>
          <w:szCs w:val="16"/>
          <w:color w:val="auto"/>
        </w:rPr>
        <w:t xml:space="preserve">” means Alvarez and Marsal or another nationally-recognized, reputable financial planning and analysis firm reasonably acceptable to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and engaged by the Borrower pursuant to an engagement letter meeting the requirements set forth in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The term “Operational Advisor” shall include any replacement nationally-recognized, reputable financial planning and analysis firm selected by the Borrower and reasonably acceptable to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so long as the Borrower has provided to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a replacement engagement letter meeting the requirements set forth in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for such engagement letter prior to retaining such replacement Operational Advisor.</w:t>
      </w:r>
    </w:p>
    <w:p>
      <w:pPr>
        <w:spacing w:after="0" w:line="154"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 Documents</w:t>
      </w:r>
      <w:r>
        <w:rPr>
          <w:rFonts w:ascii="Arial" w:cs="Arial" w:eastAsia="Arial" w:hAnsi="Arial"/>
          <w:sz w:val="16"/>
          <w:szCs w:val="16"/>
          <w:color w:val="auto"/>
        </w:rPr>
        <w:t xml:space="preserve">” shall mean (a) with respect to any corporation </w:t>
      </w:r>
      <w:r>
        <w:rPr>
          <w:rFonts w:ascii="Arial" w:cs="Arial" w:eastAsia="Arial" w:hAnsi="Arial"/>
          <w:sz w:val="16"/>
          <w:szCs w:val="16"/>
          <w:color w:val="0000FF"/>
        </w:rPr>
        <w:t>or company</w:t>
      </w:r>
      <w:r>
        <w:rPr>
          <w:rFonts w:ascii="Arial" w:cs="Arial" w:eastAsia="Arial" w:hAnsi="Arial"/>
          <w:sz w:val="16"/>
          <w:szCs w:val="16"/>
          <w:color w:val="auto"/>
        </w:rPr>
        <w:t xml:space="preserve">, the </w:t>
      </w:r>
      <w:r>
        <w:rPr>
          <w:rFonts w:ascii="Arial" w:cs="Arial" w:eastAsia="Arial" w:hAnsi="Arial"/>
          <w:sz w:val="16"/>
          <w:szCs w:val="16"/>
          <w:u w:val="single" w:color="auto"/>
          <w:color w:val="0000FF"/>
        </w:rPr>
        <w:t>memorandum,</w:t>
      </w:r>
      <w:r>
        <w:rPr>
          <w:rFonts w:ascii="Arial" w:cs="Arial" w:eastAsia="Arial" w:hAnsi="Arial"/>
          <w:sz w:val="16"/>
          <w:szCs w:val="16"/>
          <w:color w:val="auto"/>
        </w:rPr>
        <w:t xml:space="preserve"> certificate or articles of incorporation </w:t>
      </w:r>
      <w:r>
        <w:rPr>
          <w:rFonts w:ascii="Arial" w:cs="Arial" w:eastAsia="Arial" w:hAnsi="Arial"/>
          <w:sz w:val="16"/>
          <w:szCs w:val="16"/>
          <w:color w:val="FF0000"/>
          <w:strike w:val="1"/>
        </w:rPr>
        <w:t>and</w:t>
      </w:r>
      <w:r>
        <w:rPr>
          <w:rFonts w:ascii="Arial" w:cs="Arial" w:eastAsia="Arial" w:hAnsi="Arial"/>
          <w:sz w:val="16"/>
          <w:szCs w:val="16"/>
          <w:u w:val="single" w:color="auto"/>
          <w:color w:val="0000FF"/>
        </w:rPr>
        <w:t>, amalgamation, continuance or association,</w:t>
      </w:r>
      <w:r>
        <w:rPr>
          <w:rFonts w:ascii="Arial" w:cs="Arial" w:eastAsia="Arial" w:hAnsi="Arial"/>
          <w:sz w:val="16"/>
          <w:szCs w:val="16"/>
          <w:color w:val="FF0000"/>
        </w:rPr>
        <w:t xml:space="preserve"> </w:t>
      </w:r>
      <w:r>
        <w:rPr>
          <w:rFonts w:ascii="Arial" w:cs="Arial" w:eastAsia="Arial" w:hAnsi="Arial"/>
          <w:sz w:val="16"/>
          <w:szCs w:val="16"/>
          <w:color w:val="000000"/>
        </w:rPr>
        <w:t>the bylaws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 any shareholder(s) agreement applicable to such corporation or company</w:t>
      </w:r>
      <w:r>
        <w:rPr>
          <w:rFonts w:ascii="Arial" w:cs="Arial" w:eastAsia="Arial" w:hAnsi="Arial"/>
          <w:sz w:val="16"/>
          <w:szCs w:val="16"/>
          <w:color w:val="FF0000"/>
        </w:rPr>
        <w:t xml:space="preserve"> </w:t>
      </w:r>
      <w:r>
        <w:rPr>
          <w:rFonts w:ascii="Arial" w:cs="Arial" w:eastAsia="Arial" w:hAnsi="Arial"/>
          <w:sz w:val="16"/>
          <w:szCs w:val="16"/>
          <w:color w:val="000000"/>
        </w:rPr>
        <w:t>(or equivalent</w:t>
      </w:r>
      <w:r>
        <w:rPr>
          <w:rFonts w:ascii="Arial" w:cs="Arial" w:eastAsia="Arial" w:hAnsi="Arial"/>
          <w:sz w:val="16"/>
          <w:szCs w:val="16"/>
          <w:color w:val="FF0000"/>
        </w:rPr>
        <w:t xml:space="preserve"> </w:t>
      </w:r>
      <w:r>
        <w:rPr>
          <w:rFonts w:ascii="Arial" w:cs="Arial" w:eastAsia="Arial" w:hAnsi="Arial"/>
          <w:sz w:val="16"/>
          <w:szCs w:val="16"/>
          <w:color w:val="000000"/>
        </w:rPr>
        <w:t xml:space="preserve">or comparable constitutive documents with respect to any non-U.S. jurisdiction); (b) with respect to any limited liability company, the certificate or articles of formation or organization and operating agreement; and (c) with respect to any partnership, </w:t>
      </w:r>
      <w:r>
        <w:rPr>
          <w:rFonts w:ascii="Arial" w:cs="Arial" w:eastAsia="Arial" w:hAnsi="Arial"/>
          <w:sz w:val="16"/>
          <w:szCs w:val="16"/>
          <w:u w:val="single" w:color="auto"/>
          <w:color w:val="0000FF"/>
        </w:rPr>
        <w:t>limited partnership,</w:t>
      </w:r>
      <w:r>
        <w:rPr>
          <w:rFonts w:ascii="Arial" w:cs="Arial" w:eastAsia="Arial" w:hAnsi="Arial"/>
          <w:sz w:val="16"/>
          <w:szCs w:val="16"/>
          <w:color w:val="000000"/>
        </w:rPr>
        <w:t xml:space="preserve"> joint venture, trust or other form of business entity, the partnership, </w:t>
      </w:r>
      <w:r>
        <w:rPr>
          <w:rFonts w:ascii="Arial" w:cs="Arial" w:eastAsia="Arial" w:hAnsi="Arial"/>
          <w:sz w:val="16"/>
          <w:szCs w:val="16"/>
          <w:u w:val="single" w:color="auto"/>
          <w:color w:val="0000FF"/>
        </w:rPr>
        <w:t>limited partnership,</w:t>
      </w:r>
      <w:r>
        <w:rPr>
          <w:rFonts w:ascii="Arial" w:cs="Arial" w:eastAsia="Arial" w:hAnsi="Arial"/>
          <w:sz w:val="16"/>
          <w:szCs w:val="16"/>
          <w:color w:val="000000"/>
        </w:rPr>
        <w:t xml:space="preserve">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-871220</wp:posOffset>
            </wp:positionV>
            <wp:extent cx="1483995" cy="4318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483995" cy="43180"/>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-699770</wp:posOffset>
            </wp:positionV>
            <wp:extent cx="61036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-425450</wp:posOffset>
            </wp:positionV>
            <wp:extent cx="9169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-288290</wp:posOffset>
            </wp:positionV>
            <wp:extent cx="91694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Original Closing Date</w:t>
      </w:r>
      <w:r>
        <w:rPr>
          <w:rFonts w:ascii="Arial" w:cs="Arial" w:eastAsia="Arial" w:hAnsi="Arial"/>
          <w:sz w:val="18"/>
          <w:szCs w:val="18"/>
          <w:color w:val="FF0000"/>
          <w:strike w:val="1"/>
        </w:rPr>
        <w:t>” shall mean February 13, 2014.</w:t>
      </w:r>
    </w:p>
    <w:p>
      <w:pPr>
        <w:spacing w:after="0" w:line="225"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Term Loan Maturity Date</w:t>
      </w:r>
      <w:r>
        <w:rPr>
          <w:rFonts w:ascii="Arial" w:cs="Arial" w:eastAsia="Arial" w:hAnsi="Arial"/>
          <w:sz w:val="18"/>
          <w:szCs w:val="18"/>
          <w:b w:val="1"/>
          <w:bCs w:val="1"/>
          <w:u w:val="single" w:color="auto"/>
          <w:color w:val="0000FF"/>
        </w:rPr>
        <w:t>Credit Agreement</w:t>
      </w:r>
      <w:r>
        <w:rPr>
          <w:rFonts w:ascii="Arial" w:cs="Arial" w:eastAsia="Arial" w:hAnsi="Arial"/>
          <w:sz w:val="18"/>
          <w:szCs w:val="18"/>
          <w:color w:val="auto"/>
        </w:rPr>
        <w:t xml:space="preserve">” shall have the meaning assigned to such term in the </w:t>
      </w:r>
      <w:r>
        <w:rPr>
          <w:rFonts w:ascii="Arial" w:cs="Arial" w:eastAsia="Arial" w:hAnsi="Arial"/>
          <w:sz w:val="18"/>
          <w:szCs w:val="18"/>
          <w:color w:val="FF0000"/>
          <w:strike w:val="1"/>
        </w:rPr>
        <w:t>definition of “Maturity</w:t>
      </w:r>
      <w:r>
        <w:rPr>
          <w:rFonts w:ascii="Arial" w:cs="Arial" w:eastAsia="Arial" w:hAnsi="Arial"/>
          <w:sz w:val="18"/>
          <w:szCs w:val="18"/>
          <w:color w:val="auto"/>
        </w:rPr>
        <w:t xml:space="preserve"> </w:t>
      </w:r>
      <w:r>
        <w:rPr>
          <w:rFonts w:ascii="Arial" w:cs="Arial" w:eastAsia="Arial" w:hAnsi="Arial"/>
          <w:sz w:val="18"/>
          <w:szCs w:val="18"/>
          <w:color w:val="FF0000"/>
          <w:strike w:val="1"/>
        </w:rPr>
        <w:t>Date”</w:t>
      </w:r>
      <w:r>
        <w:rPr>
          <w:rFonts w:ascii="Arial" w:cs="Arial" w:eastAsia="Arial" w:hAnsi="Arial"/>
          <w:sz w:val="18"/>
          <w:szCs w:val="18"/>
          <w:u w:val="single" w:color="auto"/>
          <w:color w:val="0000FF"/>
        </w:rPr>
        <w:t>recitals to this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-151130</wp:posOffset>
            </wp:positionV>
            <wp:extent cx="87439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-13970</wp:posOffset>
            </wp:positionV>
            <wp:extent cx="11741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Other Survey Documentation</w:t>
      </w:r>
      <w:r>
        <w:rPr>
          <w:rFonts w:ascii="Arial" w:cs="Arial" w:eastAsia="Arial" w:hAnsi="Arial"/>
          <w:sz w:val="18"/>
          <w:szCs w:val="18"/>
          <w:color w:val="FF0000"/>
          <w:strike w:val="1"/>
        </w:rPr>
        <w:t>” shall have the meaning specified in the definition of “Collateral and Guarantee Requirement”.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Other Term Loan Commitments</w:t>
      </w:r>
      <w:r>
        <w:rPr>
          <w:rFonts w:ascii="Arial" w:cs="Arial" w:eastAsia="Arial" w:hAnsi="Arial"/>
          <w:sz w:val="18"/>
          <w:szCs w:val="18"/>
          <w:color w:val="FF0000"/>
          <w:strike w:val="1"/>
        </w:rPr>
        <w:t>” shall mean one or more Classes of term loan commitments hereunder that result from a Refinancing Amendment entered into after the Restatement Effective Date.</w:t>
      </w:r>
    </w:p>
    <w:p>
      <w:pPr>
        <w:spacing w:after="0" w:line="162"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Other Term Loans</w:t>
      </w:r>
      <w:r>
        <w:rPr>
          <w:rFonts w:ascii="Arial" w:cs="Arial" w:eastAsia="Arial" w:hAnsi="Arial"/>
          <w:sz w:val="18"/>
          <w:szCs w:val="18"/>
          <w:color w:val="FF0000"/>
          <w:strike w:val="1"/>
        </w:rPr>
        <w:t>” shall mean one or more Classes of Term Loans that result from a Refinancing Amendment entered into after the Restatement Effective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10.04(f)</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Fund Entities</w:t>
      </w:r>
      <w:r>
        <w:rPr>
          <w:rFonts w:ascii="Arial" w:cs="Arial" w:eastAsia="Arial" w:hAnsi="Arial"/>
          <w:sz w:val="18"/>
          <w:szCs w:val="18"/>
          <w:color w:val="auto"/>
        </w:rPr>
        <w:t xml:space="preserve">” shall mean those entities identified on </w:t>
      </w:r>
      <w:r>
        <w:rPr>
          <w:rFonts w:ascii="Arial" w:cs="Arial" w:eastAsia="Arial" w:hAnsi="Arial"/>
          <w:sz w:val="18"/>
          <w:szCs w:val="18"/>
          <w:u w:val="single" w:color="auto"/>
          <w:color w:val="auto"/>
        </w:rPr>
        <w:t>Schedule 1.01(d)</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80" w:firstLine="440"/>
        <w:spacing w:after="0" w:line="258"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Pension</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Plan” shall mean any employee pension benefit plan within the meaning of Section 3(2) of ERISA (other than a Multiemployer Plan)</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subject to the provisions of Title IV of ERISA or Sections 412 and 430 of the Code or Sections 302 and 303 of ERISA and in respect of which a Loan Party, any Subsidiary or any of their respective ERISA Affiliates is, or if such plan were terminated would under Section 4069 of ERISA be deemed to be, or within the six year period immediately preceding the date hereof was, a “contributing sponsor” as defined in Section 4001(a)(13) of ERISA or an “employer” as defined in Section 3(5)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5493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580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0054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26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24599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Pension Contribution Cap</w:t>
      </w:r>
      <w:r>
        <w:rPr>
          <w:rFonts w:ascii="Arial" w:cs="Arial" w:eastAsia="Arial" w:hAnsi="Arial"/>
          <w:sz w:val="18"/>
          <w:szCs w:val="18"/>
          <w:u w:val="single" w:color="auto"/>
          <w:color w:val="008000"/>
          <w:strike w:val="1"/>
        </w:rPr>
        <w:t>” means, as of any date of determination,</w:t>
      </w:r>
      <w:r>
        <w:rPr>
          <w:rFonts w:ascii="Arial" w:cs="Arial" w:eastAsia="Arial" w:hAnsi="Arial"/>
          <w:sz w:val="18"/>
          <w:szCs w:val="18"/>
          <w:color w:val="FF0000"/>
          <w:strike w:val="1"/>
        </w:rPr>
        <w:t xml:space="preserve"> (i) for any such date of determination occurring from and after the Restatement Effective Date and on or prior to the first anniversary of the Restatement Effective Date, $150,000,000, (ii) for any such date of determination occurring after the first anniversary of the Restatement Effective Date but on or prior to the second anniversary of the Restatement Effective Date, $153,000,000, (iii) for any such date of determination occurring after the second anniversary of the Restatement Effective Date but on or prior to the third anniversary of the Restatement Effective Date, $156,060,000, (iv) for any such date of determination occurring after the third anniversary of the Restatement Effective Date but on or prior to the fourth anniversary of the Restatement Effective Date, $159,181,200 and (v) for any such date of determination occurring thereafter, $162,364,824.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-819785</wp:posOffset>
            </wp:positionV>
            <wp:extent cx="190309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9" w:lineRule="exact"/>
        <w:rPr>
          <w:sz w:val="20"/>
          <w:szCs w:val="20"/>
          <w:color w:val="auto"/>
        </w:rPr>
      </w:pPr>
    </w:p>
    <w:p>
      <w:pPr>
        <w:ind w:right="7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Pension Real Property</w:t>
      </w:r>
      <w:r>
        <w:rPr>
          <w:rFonts w:ascii="Arial" w:cs="Arial" w:eastAsia="Arial" w:hAnsi="Arial"/>
          <w:sz w:val="18"/>
          <w:szCs w:val="18"/>
          <w:color w:val="FF0000"/>
          <w:strike w:val="1"/>
        </w:rPr>
        <w:t xml:space="preserve">” shall mean any Real Property which secured </w:t>
      </w:r>
      <w:r>
        <w:rPr>
          <w:rFonts w:ascii="Arial" w:cs="Arial" w:eastAsia="Arial" w:hAnsi="Arial"/>
          <w:sz w:val="18"/>
          <w:szCs w:val="18"/>
          <w:u w:val="single" w:color="auto"/>
          <w:color w:val="008000"/>
          <w:strike w:val="1"/>
        </w:rPr>
        <w:t>the obligations of the Borrower</w:t>
      </w:r>
      <w:r>
        <w:rPr>
          <w:rFonts w:ascii="Arial" w:cs="Arial" w:eastAsia="Arial" w:hAnsi="Arial"/>
          <w:sz w:val="18"/>
          <w:szCs w:val="18"/>
          <w:color w:val="FF0000"/>
          <w:strike w:val="1"/>
        </w:rPr>
        <w:t xml:space="preserve"> under the Contribution Deferral Agreement on a first lien basis on the Restatement Effective Date, </w:t>
      </w:r>
      <w:r>
        <w:rPr>
          <w:rFonts w:ascii="Arial" w:cs="Arial" w:eastAsia="Arial" w:hAnsi="Arial"/>
          <w:sz w:val="18"/>
          <w:szCs w:val="18"/>
          <w:u w:val="single" w:color="auto"/>
          <w:color w:val="008000"/>
          <w:strike w:val="1"/>
        </w:rPr>
        <w:t>as set forth on Schedule</w:t>
      </w:r>
      <w:r>
        <w:rPr>
          <w:rFonts w:ascii="Arial" w:cs="Arial" w:eastAsia="Arial" w:hAnsi="Arial"/>
          <w:sz w:val="18"/>
          <w:szCs w:val="18"/>
          <w:color w:val="FF0000"/>
          <w:strike w:val="1"/>
        </w:rPr>
        <w:t xml:space="preserve"> 1.01(a).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-151130</wp:posOffset>
            </wp:positionV>
            <wp:extent cx="1457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-13970</wp:posOffset>
            </wp:positionV>
            <wp:extent cx="111442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0" w:right="479" w:bottom="1440" w:gutter="0" w:footer="0" w:header="0"/>
        </w:sectPr>
      </w:pPr>
    </w:p>
    <w:bookmarkStart w:id="182" w:name="page183"/>
    <w:bookmarkEnd w:id="182"/>
    <w:p>
      <w:pPr>
        <w:ind w:right="200" w:firstLine="440"/>
        <w:spacing w:after="0" w:line="282"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Perfection Certificate</w:t>
      </w:r>
      <w:r>
        <w:rPr>
          <w:rFonts w:ascii="Arial" w:cs="Arial" w:eastAsia="Arial" w:hAnsi="Arial"/>
          <w:sz w:val="18"/>
          <w:szCs w:val="18"/>
          <w:color w:val="FF0000"/>
          <w:strike w:val="1"/>
        </w:rPr>
        <w:t>” shall mean a certificate substantially in the form of Exhibit II to the Security Agreement or any other form reasonably approved by the Collateral Agent and the Borrower, as the same shall be supplemented from time to time.</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Periodic Term SOFR Determination</w:t>
      </w:r>
      <w:r>
        <w:rPr>
          <w:rFonts w:ascii="Arial" w:cs="Arial" w:eastAsia="Arial" w:hAnsi="Arial"/>
          <w:sz w:val="18"/>
          <w:szCs w:val="18"/>
          <w:b w:val="1"/>
          <w:bCs w:val="1"/>
          <w:u w:val="single" w:color="auto"/>
          <w:color w:val="0000FF"/>
        </w:rPr>
        <w:t>Petition</w:t>
      </w:r>
      <w:r>
        <w:rPr>
          <w:rFonts w:ascii="Arial" w:cs="Arial" w:eastAsia="Arial" w:hAnsi="Arial"/>
          <w:sz w:val="18"/>
          <w:szCs w:val="18"/>
          <w:b w:val="1"/>
          <w:bCs w:val="1"/>
          <w:color w:val="auto"/>
        </w:rPr>
        <w:t xml:space="preserve"> Date</w:t>
      </w:r>
      <w:r>
        <w:rPr>
          <w:rFonts w:ascii="Arial" w:cs="Arial" w:eastAsia="Arial" w:hAnsi="Arial"/>
          <w:sz w:val="18"/>
          <w:szCs w:val="18"/>
          <w:color w:val="auto"/>
        </w:rPr>
        <w:t>” shall have the meaning</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specified in the definition of “Term SOFR”</w:t>
      </w:r>
      <w:r>
        <w:rPr>
          <w:rFonts w:ascii="Arial" w:cs="Arial" w:eastAsia="Arial" w:hAnsi="Arial"/>
          <w:sz w:val="18"/>
          <w:szCs w:val="18"/>
          <w:u w:val="single" w:color="auto"/>
          <w:color w:val="0000FF"/>
        </w:rPr>
        <w:t>assigned to such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the recitals to this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-151130</wp:posOffset>
            </wp:positionV>
            <wp:extent cx="3771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-151130</wp:posOffset>
            </wp:positionV>
            <wp:extent cx="11055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34556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shall mean all necessary certificates, licenses, permits, franchises, trade names, certificates of occupancy, consents and other approvals required under applicable Laws for the operation of any Real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Permitted Variances</w:t>
      </w:r>
      <w:r>
        <w:rPr>
          <w:rFonts w:ascii="Arial" w:cs="Arial" w:eastAsia="Arial" w:hAnsi="Arial"/>
          <w:sz w:val="18"/>
          <w:szCs w:val="18"/>
          <w:u w:val="single" w:color="auto"/>
          <w:color w:val="0000FF"/>
        </w:rPr>
        <w:t>” shall mean any variance from the Approved Budget which would not result in a breach of Section 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8375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Permitted Variance Percentage</w:t>
      </w:r>
      <w:r>
        <w:rPr>
          <w:rFonts w:ascii="Arial" w:cs="Arial" w:eastAsia="Arial" w:hAnsi="Arial"/>
          <w:sz w:val="18"/>
          <w:szCs w:val="18"/>
          <w:u w:val="single" w:color="auto"/>
          <w:color w:val="0000FF"/>
        </w:rPr>
        <w: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1945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9" w:lineRule="exact"/>
        <w:rPr>
          <w:sz w:val="20"/>
          <w:szCs w:val="20"/>
          <w:color w:val="auto"/>
        </w:rPr>
      </w:pPr>
    </w:p>
    <w:p>
      <w:pPr>
        <w:ind w:right="80" w:firstLine="436"/>
        <w:spacing w:after="0" w:line="342" w:lineRule="auto"/>
        <w:tabs>
          <w:tab w:leader="none" w:pos="685" w:val="left"/>
        </w:tabs>
        <w:numPr>
          <w:ilvl w:val="0"/>
          <w:numId w:val="97"/>
        </w:numPr>
        <w:rPr>
          <w:rFonts w:ascii="Arial" w:cs="Arial" w:eastAsia="Arial" w:hAnsi="Arial"/>
          <w:sz w:val="16"/>
          <w:szCs w:val="16"/>
          <w:u w:val="single" w:color="auto"/>
          <w:color w:val="0000FF"/>
        </w:rPr>
      </w:pPr>
      <w:r>
        <w:rPr>
          <w:rFonts w:ascii="Arial" w:cs="Arial" w:eastAsia="Arial" w:hAnsi="Arial"/>
          <w:sz w:val="16"/>
          <w:szCs w:val="16"/>
          <w:color w:val="auto"/>
        </w:rPr>
        <w:t> </w:t>
      </w:r>
      <w:r>
        <w:rPr>
          <w:rFonts w:ascii="Arial" w:cs="Arial" w:eastAsia="Arial" w:hAnsi="Arial"/>
          <w:sz w:val="16"/>
          <w:szCs w:val="16"/>
          <w:u w:val="single" w:color="auto"/>
          <w:color w:val="0000FF"/>
        </w:rPr>
        <w:t>with respect to Section 7.11(a)</w:t>
      </w:r>
      <w:r>
        <w:rPr>
          <w:rFonts w:ascii="Arial" w:cs="Arial" w:eastAsia="Arial" w:hAnsi="Arial"/>
          <w:sz w:val="16"/>
          <w:szCs w:val="16"/>
          <w:color w:val="auto"/>
        </w:rPr>
        <w:t xml:space="preserve"> , </w:t>
      </w:r>
      <w:r>
        <w:rPr>
          <w:rFonts w:ascii="Arial" w:cs="Arial" w:eastAsia="Arial" w:hAnsi="Arial"/>
          <w:sz w:val="16"/>
          <w:szCs w:val="16"/>
          <w:color w:val="FF0000"/>
        </w:rPr>
        <w:t>(i) with respect to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Budget Variance Test Period ending on August 18, 2023, 80%, (ii) with respect to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Budget Variance Test Period ending on August 25, 2023, 85%, and (iii) with respect to each Budget Variance Test Period ending thereafter, 90%;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-212090</wp:posOffset>
            </wp:positionV>
            <wp:extent cx="6660515" cy="431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66051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82371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pacing w:after="0" w:line="10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u w:val="single" w:color="auto"/>
          <w:color w:val="0000FF"/>
        </w:rPr>
        <w:t>(b)</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with respect to Sections 7.11(b) through (d), (i) with respect to the Budget Variance Test Period ending on August 18, 2023, 120%, (ii) with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respect to the Budget Variance Test Period ending on August 25, 2023, 115%, and (iii) with respect to each Budget Variance Test Period ending thereafter,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6262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5764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7797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60"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u w:val="single" w:color="auto"/>
          <w:color w:val="FF0000"/>
        </w:rPr>
        <w:t>“</w:t>
      </w:r>
      <w:r>
        <w:rPr>
          <w:rFonts w:ascii="Arial" w:cs="Arial" w:eastAsia="Arial" w:hAnsi="Arial"/>
          <w:sz w:val="18"/>
          <w:szCs w:val="18"/>
          <w:b w:val="1"/>
          <w:bCs w:val="1"/>
          <w:u w:val="single" w:color="auto"/>
          <w:color w:val="FF0000"/>
        </w:rPr>
        <w:t>Person</w:t>
      </w:r>
      <w:r>
        <w:rPr>
          <w:rFonts w:ascii="Arial" w:cs="Arial" w:eastAsia="Arial" w:hAnsi="Arial"/>
          <w:sz w:val="18"/>
          <w:szCs w:val="18"/>
          <w:u w:val="single" w:color="auto"/>
          <w:color w:val="FF0000"/>
        </w:rPr>
        <w:t xml:space="preserve">” shall mean any natural person, corporation, limited liability company, </w:t>
      </w:r>
      <w:r>
        <w:rPr>
          <w:rFonts w:ascii="Arial" w:cs="Arial" w:eastAsia="Arial" w:hAnsi="Arial"/>
          <w:sz w:val="18"/>
          <w:szCs w:val="18"/>
          <w:u w:val="single" w:color="auto"/>
          <w:color w:val="0000FF"/>
        </w:rPr>
        <w:t>unlimited liability company,</w:t>
      </w:r>
      <w:r>
        <w:rPr>
          <w:rFonts w:ascii="Arial" w:cs="Arial" w:eastAsia="Arial" w:hAnsi="Arial"/>
          <w:sz w:val="18"/>
          <w:szCs w:val="18"/>
          <w:u w:val="single" w:color="auto"/>
          <w:color w:val="FF0000"/>
        </w:rPr>
        <w:t xml:space="preserve"> trust, joint venture, association, company, partnership, </w:t>
      </w:r>
      <w:r>
        <w:rPr>
          <w:rFonts w:ascii="Arial" w:cs="Arial" w:eastAsia="Arial" w:hAnsi="Arial"/>
          <w:sz w:val="18"/>
          <w:szCs w:val="18"/>
          <w:u w:val="single" w:color="auto"/>
          <w:color w:val="0000FF"/>
        </w:rPr>
        <w:t>limited partnership,</w:t>
      </w:r>
      <w:r>
        <w:rPr>
          <w:rFonts w:ascii="Arial" w:cs="Arial" w:eastAsia="Arial" w:hAnsi="Arial"/>
          <w:sz w:val="18"/>
          <w:szCs w:val="18"/>
          <w:u w:val="single" w:color="auto"/>
          <w:color w:val="FF0000"/>
        </w:rPr>
        <w:t xml:space="preserve"> Governmental Authority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2937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78904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Plan of Reorganization</w:t>
      </w:r>
      <w:r>
        <w:rPr>
          <w:rFonts w:ascii="Arial" w:cs="Arial" w:eastAsia="Arial" w:hAnsi="Arial"/>
          <w:sz w:val="18"/>
          <w:szCs w:val="18"/>
          <w:u w:val="single" w:color="auto"/>
          <w:color w:val="0000FF"/>
        </w:rPr>
        <w:t>” shall mean a plan of reorganization in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402018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Permitted Acquisition</w:t>
      </w:r>
      <w:r>
        <w:rPr>
          <w:rFonts w:ascii="Arial" w:cs="Arial" w:eastAsia="Arial" w:hAnsi="Arial"/>
          <w:sz w:val="18"/>
          <w:szCs w:val="18"/>
          <w:b w:val="1"/>
          <w:bCs w:val="1"/>
          <w:u w:val="single" w:color="auto"/>
          <w:color w:val="0000FF"/>
        </w:rPr>
        <w:t>Platform</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7.02(h)</w:t>
      </w:r>
      <w:r>
        <w:rPr>
          <w:rFonts w:ascii="Arial" w:cs="Arial" w:eastAsia="Arial" w:hAnsi="Arial"/>
          <w:sz w:val="18"/>
          <w:szCs w:val="18"/>
          <w:u w:val="single" w:color="auto"/>
          <w:color w:val="0000FF"/>
        </w:rPr>
        <w:t>10.01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26035</wp:posOffset>
            </wp:positionV>
            <wp:extent cx="4375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-59055</wp:posOffset>
            </wp:positionV>
            <wp:extent cx="36195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6195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26035</wp:posOffset>
            </wp:positionV>
            <wp:extent cx="25717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Permitted Acquisition Provisions</w:t>
      </w:r>
      <w:r>
        <w:rPr>
          <w:rFonts w:ascii="Arial" w:cs="Arial" w:eastAsia="Arial" w:hAnsi="Arial"/>
          <w:sz w:val="18"/>
          <w:szCs w:val="18"/>
          <w:b w:val="1"/>
          <w:bCs w:val="1"/>
          <w:u w:val="single" w:color="auto"/>
          <w:color w:val="0000FF"/>
        </w:rPr>
        <w:t>Postpetition B-2 Facility</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in </w:t>
      </w:r>
      <w:r>
        <w:rPr>
          <w:rFonts w:ascii="Arial" w:cs="Arial" w:eastAsia="Arial" w:hAnsi="Arial"/>
          <w:sz w:val="18"/>
          <w:szCs w:val="18"/>
          <w:u w:val="single" w:color="auto"/>
          <w:color w:val="FF0000"/>
          <w:strike w:val="1"/>
        </w:rPr>
        <w:t>Section 2.17(c)</w:t>
      </w:r>
      <w:r>
        <w:rPr>
          <w:rFonts w:ascii="Arial" w:cs="Arial" w:eastAsia="Arial" w:hAnsi="Arial"/>
          <w:sz w:val="18"/>
          <w:szCs w:val="18"/>
          <w:u w:val="single" w:color="auto"/>
          <w:color w:val="0000FF"/>
        </w:rPr>
        <w:t>the recitals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hereto</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-151130</wp:posOffset>
            </wp:positionV>
            <wp:extent cx="118300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-151130</wp:posOffset>
            </wp:positionV>
            <wp:extent cx="14605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-151130</wp:posOffset>
            </wp:positionV>
            <wp:extent cx="49720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8257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4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Permitted Additional Debt</w:t>
      </w:r>
      <w:r>
        <w:rPr>
          <w:rFonts w:ascii="Arial" w:cs="Arial" w:eastAsia="Arial" w:hAnsi="Arial"/>
          <w:sz w:val="17"/>
          <w:szCs w:val="17"/>
          <w:color w:val="FF0000"/>
          <w:strike w:val="1"/>
        </w:rPr>
        <w:t>” shall mean Indebtedness incurred by the Borrower or any Guarantor, which Indebtedness may be (x) in the form of one or more series of notes or in the form of bank loans and, in either case, secured by the Collateral on a junior basis to the Obligations (“</w:t>
      </w:r>
      <w:r>
        <w:rPr>
          <w:rFonts w:ascii="Arial" w:cs="Arial" w:eastAsia="Arial" w:hAnsi="Arial"/>
          <w:sz w:val="17"/>
          <w:szCs w:val="17"/>
          <w:b w:val="1"/>
          <w:bCs w:val="1"/>
          <w:color w:val="FF0000"/>
          <w:strike w:val="1"/>
        </w:rPr>
        <w:t>Permitted</w:t>
      </w:r>
      <w:r>
        <w:rPr>
          <w:rFonts w:ascii="Arial" w:cs="Arial" w:eastAsia="Arial" w:hAnsi="Arial"/>
          <w:sz w:val="17"/>
          <w:szCs w:val="17"/>
          <w:color w:val="FF0000"/>
          <w:strike w:val="1"/>
        </w:rPr>
        <w:t xml:space="preserve"> </w:t>
      </w:r>
      <w:r>
        <w:rPr>
          <w:rFonts w:ascii="Arial" w:cs="Arial" w:eastAsia="Arial" w:hAnsi="Arial"/>
          <w:sz w:val="17"/>
          <w:szCs w:val="17"/>
          <w:b w:val="1"/>
          <w:bCs w:val="1"/>
          <w:color w:val="FF0000"/>
          <w:strike w:val="1"/>
        </w:rPr>
        <w:t>Junior Priority Additional Debt</w:t>
      </w:r>
      <w:r>
        <w:rPr>
          <w:rFonts w:ascii="Arial" w:cs="Arial" w:eastAsia="Arial" w:hAnsi="Arial"/>
          <w:sz w:val="17"/>
          <w:szCs w:val="17"/>
          <w:color w:val="FF0000"/>
          <w:strike w:val="1"/>
        </w:rPr>
        <w:t>”) or (y) in the form of one or more series of notes or in the form of bank loans and unsecured;</w:t>
      </w:r>
      <w:r>
        <w:rPr>
          <w:rFonts w:ascii="Arial" w:cs="Arial" w:eastAsia="Arial" w:hAnsi="Arial"/>
          <w:sz w:val="17"/>
          <w:szCs w:val="17"/>
          <w:b w:val="1"/>
          <w:bCs w:val="1"/>
          <w:color w:val="FF0000"/>
          <w:strike w:val="1"/>
        </w:rPr>
        <w:t xml:space="preserve"> </w:t>
      </w:r>
      <w:r>
        <w:rPr>
          <w:rFonts w:ascii="Arial" w:cs="Arial" w:eastAsia="Arial" w:hAnsi="Arial"/>
          <w:sz w:val="17"/>
          <w:szCs w:val="17"/>
          <w:i w:val="1"/>
          <w:iCs w:val="1"/>
          <w:color w:val="FF0000"/>
          <w:strike w:val="1"/>
        </w:rPr>
        <w:t>provided</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that (i) such</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Indebtedness is not at any time guaranteed by any Subsidiaries other than Subsidiaries that are Guarantors, (ii) the other terms and conditions of such Indebtedness (excluding pricing, fees, rate floors and optional prepayment or redemption terms), if different from the Term Loans, are customary market terms for Indebtedness of such type but in no event shall such terms and conditions (taken as a whole) be materially more restrictive to the Borrower and its Subsidiaries than the terms and conditions hereof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that the financial maintenance covenant on the then outstanding Term Loans shall be amended to provide the Lenders the benefit of any financial maintenance covenant of such Permitted Additional Debt that is in addition to or more restrictive in any material manner than the financial maintenance covenant on the then outstanding Term Loans)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a certificate of a Responsible Officer delivered to the Administrative Agent at least five Business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183" w:name="page184"/>
    <w:bookmarkEnd w:id="183"/>
    <w:p>
      <w:pPr>
        <w:spacing w:after="0" w:line="26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prior to the incurrence of such Indebtedness (or such shorter period as the Administrative Agent with the consent of the Required Lenders may agree in their sole discretion),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(ii) shall be conclusive evidence that such terms and conditions satisfy such requirement unless the Administrative Agent or the Required Lenders notify the Borrower within such five Business Day period (or such shorter period as the Administrative Agent with the consent of the Required Lenders may agree in its sole discretion) that it disagrees with such determination (including a reasonable description of the basis upon which it disagrees)), (iii) [reserved], (iv) no Default shall exist immediately prior to or after giving effect to such incurrence subject to the Permitted Acquisition Provisions (if applicable) and (v) if such Indebtedness is Permitted Additional Debt that is secured, a Junior Representative acting on behalf of the holders of such Indebtedness shall have become party to or otherwise subject to the provisions of the Junior Lien Intercreditor Agreement. Permitted Additional Debt will include any Registered Equivalent Notes issued in exchange therefor.</w:t>
      </w:r>
    </w:p>
    <w:p>
      <w:pPr>
        <w:spacing w:after="0" w:line="181"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Postpetition B-2 Facility Closing Date</w:t>
      </w:r>
      <w:r>
        <w:rPr>
          <w:rFonts w:ascii="Arial" w:cs="Arial" w:eastAsia="Arial" w:hAnsi="Arial"/>
          <w:sz w:val="18"/>
          <w:szCs w:val="18"/>
          <w:u w:val="single" w:color="auto"/>
          <w:color w:val="0000FF"/>
        </w:rPr>
        <w:t>” means the date on which the applicable conditions specified in the DIP Term Sheet were first satisfied and the Initial Postpetition Loans were made, which date is August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262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5229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Postpetition B-2 Superpriority Claims</w:t>
      </w:r>
      <w:r>
        <w:rPr>
          <w:rFonts w:ascii="Arial" w:cs="Arial" w:eastAsia="Arial" w:hAnsi="Arial"/>
          <w:sz w:val="18"/>
          <w:szCs w:val="18"/>
          <w:u w:val="single" w:color="auto"/>
          <w:color w:val="0000FF"/>
        </w:rPr>
        <w:t>” shall have the meaning assigned to such term in Section 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487743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20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u w:val="single" w:color="auto"/>
          <w:color w:val="0000FF"/>
        </w:rPr>
        <w:t xml:space="preserve">“PPSA </w:t>
      </w:r>
      <w:r>
        <w:rPr>
          <w:rFonts w:ascii="Arial" w:cs="Arial" w:eastAsia="Arial" w:hAnsi="Arial"/>
          <w:sz w:val="18"/>
          <w:szCs w:val="18"/>
          <w:u w:val="single" w:color="auto"/>
          <w:color w:val="0000FF"/>
        </w:rPr>
        <w:t>” means the</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00FF"/>
        </w:rPr>
        <w:t>Personal Property Security Act</w:t>
      </w:r>
      <w:r>
        <w:rPr>
          <w:rFonts w:ascii="Arial" w:cs="Arial" w:eastAsia="Arial" w:hAnsi="Arial"/>
          <w:sz w:val="18"/>
          <w:szCs w:val="18"/>
          <w:u w:val="single" w:color="auto"/>
          <w:color w:val="0000FF"/>
        </w:rPr>
        <w:t>, R.S.O 1990, c. P.10; provided that, if perfection or the effect of perfection or non-perfection</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 xml:space="preserve">or the priority of any security interest in any Canadian Collateral is governed by (i) a Personal Property Security Act as in effect in a Canadian jurisdiction other than Ontario or (ii) the </w:t>
      </w:r>
      <w:r>
        <w:rPr>
          <w:rFonts w:ascii="Arial" w:cs="Arial" w:eastAsia="Arial" w:hAnsi="Arial"/>
          <w:sz w:val="18"/>
          <w:szCs w:val="18"/>
          <w:i w:val="1"/>
          <w:iCs w:val="1"/>
          <w:u w:val="single" w:color="auto"/>
          <w:color w:val="0000FF"/>
        </w:rPr>
        <w:t>Civil Code of Québec</w:t>
      </w:r>
      <w:r>
        <w:rPr>
          <w:rFonts w:ascii="Arial" w:cs="Arial" w:eastAsia="Arial" w:hAnsi="Arial"/>
          <w:sz w:val="18"/>
          <w:szCs w:val="18"/>
          <w:u w:val="single" w:color="auto"/>
          <w:color w:val="0000FF"/>
        </w:rPr>
        <w:t xml:space="preserve"> , then “PPSA ” means the Personal Property Security Act as in effect from time to time in such other jurisdiction or the </w:t>
      </w:r>
      <w:r>
        <w:rPr>
          <w:rFonts w:ascii="Arial" w:cs="Arial" w:eastAsia="Arial" w:hAnsi="Arial"/>
          <w:sz w:val="18"/>
          <w:szCs w:val="18"/>
          <w:i w:val="1"/>
          <w:iCs w:val="1"/>
          <w:u w:val="single" w:color="auto"/>
          <w:color w:val="0000FF"/>
        </w:rPr>
        <w:t>Civil Code of Québec</w:t>
      </w:r>
      <w:r>
        <w:rPr>
          <w:rFonts w:ascii="Arial" w:cs="Arial" w:eastAsia="Arial" w:hAnsi="Arial"/>
          <w:sz w:val="18"/>
          <w:szCs w:val="18"/>
          <w:u w:val="single" w:color="auto"/>
          <w:color w:val="0000FF"/>
        </w:rPr>
        <w:t xml:space="preserve"> , as applicable, for purposes of the provisions hereof relating to such perfection, effect of perfection or non-perfection or priority in such Canadian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61797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50621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862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0054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61429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3"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Prepetition</w:t>
      </w:r>
      <w:r>
        <w:rPr>
          <w:rFonts w:ascii="Arial" w:cs="Arial" w:eastAsia="Arial" w:hAnsi="Arial"/>
          <w:sz w:val="18"/>
          <w:szCs w:val="18"/>
          <w:color w:val="0000FF"/>
        </w:rPr>
        <w:t xml:space="preserve"> </w:t>
      </w:r>
      <w:r>
        <w:rPr>
          <w:rFonts w:ascii="Arial" w:cs="Arial" w:eastAsia="Arial" w:hAnsi="Arial"/>
          <w:sz w:val="18"/>
          <w:szCs w:val="18"/>
          <w:b w:val="1"/>
          <w:bCs w:val="1"/>
          <w:u w:val="single" w:color="auto"/>
          <w:color w:val="008000"/>
        </w:rPr>
        <w:t>ABL Agen</w:t>
      </w:r>
      <w:r>
        <w:rPr>
          <w:rFonts w:ascii="Arial" w:cs="Arial" w:eastAsia="Arial" w:hAnsi="Arial"/>
          <w:sz w:val="18"/>
          <w:szCs w:val="18"/>
          <w:color w:val="000000"/>
        </w:rPr>
        <w:t>t</w:t>
      </w:r>
      <w:r>
        <w:rPr>
          <w:rFonts w:ascii="Arial" w:cs="Arial" w:eastAsia="Arial" w:hAnsi="Arial"/>
          <w:sz w:val="18"/>
          <w:szCs w:val="18"/>
          <w:u w:val="single" w:color="auto"/>
          <w:color w:val="008000"/>
        </w:rPr>
        <w:t>” shall mean, as the context may require, Citizens Business Capital (a division of Citizens Asset Finance, Inc., a</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 xml:space="preserve">subsidiary of Citizens, N.A.), in its capacity as administrative agent under the </w:t>
      </w:r>
      <w:r>
        <w:rPr>
          <w:rFonts w:ascii="Arial" w:cs="Arial" w:eastAsia="Arial" w:hAnsi="Arial"/>
          <w:sz w:val="18"/>
          <w:szCs w:val="18"/>
          <w:u w:val="single" w:color="auto"/>
          <w:color w:val="0000FF"/>
        </w:rPr>
        <w:t>Prepetition</w:t>
      </w:r>
      <w:r>
        <w:rPr>
          <w:rFonts w:ascii="Arial" w:cs="Arial" w:eastAsia="Arial" w:hAnsi="Arial"/>
          <w:sz w:val="18"/>
          <w:szCs w:val="18"/>
          <w:u w:val="single" w:color="auto"/>
          <w:color w:val="008000"/>
        </w:rPr>
        <w:t xml:space="preserve"> ABL Facility Documentation, Citizens Business Capital (a division of Citizens Asset Finance, Inc., a subsidiary of Citizens, N.A.), in its capacity as collateral agent under the </w:t>
      </w:r>
      <w:r>
        <w:rPr>
          <w:rFonts w:ascii="Arial" w:cs="Arial" w:eastAsia="Arial" w:hAnsi="Arial"/>
          <w:sz w:val="18"/>
          <w:szCs w:val="18"/>
          <w:u w:val="single" w:color="auto"/>
          <w:color w:val="0000FF"/>
        </w:rPr>
        <w:t>Prepetition ABL Facility</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28332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78053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41223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7372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Prepetition</w:t>
      </w:r>
      <w:r>
        <w:rPr>
          <w:rFonts w:ascii="Arial" w:cs="Arial" w:eastAsia="Arial" w:hAnsi="Arial"/>
          <w:sz w:val="18"/>
          <w:szCs w:val="18"/>
          <w:color w:val="0000FF"/>
        </w:rPr>
        <w:t xml:space="preserve"> </w:t>
      </w:r>
      <w:r>
        <w:rPr>
          <w:rFonts w:ascii="Arial" w:cs="Arial" w:eastAsia="Arial" w:hAnsi="Arial"/>
          <w:sz w:val="18"/>
          <w:szCs w:val="18"/>
          <w:b w:val="1"/>
          <w:bCs w:val="1"/>
          <w:u w:val="single" w:color="auto"/>
          <w:color w:val="008000"/>
        </w:rPr>
        <w:t>ABL Credit Agreement</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shall mean that certain asset-based revolving credit agreement dated as of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February 13, 2014,</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among</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 xml:space="preserve">the Borrower, YRC Inc., a Delaware corporation, USF Reddaway Inc., an Oregon corporation, USF Holland LLC, a Delaware limited liability company (as successor to USF Holland, Inc., a Michigan corporation) and New Penn Motor Express, LLC, a Delaware limited liability company (as successor to New Penn Motor Express, Inc., a Pennsylvania corporation), the other subsidiaries of the Borrower party thereto, the lenders party thereto and the </w:t>
      </w:r>
      <w:r>
        <w:rPr>
          <w:rFonts w:ascii="Arial" w:cs="Arial" w:eastAsia="Arial" w:hAnsi="Arial"/>
          <w:sz w:val="18"/>
          <w:szCs w:val="18"/>
          <w:u w:val="single" w:color="auto"/>
          <w:color w:val="0000FF"/>
        </w:rPr>
        <w:t xml:space="preserve">Prepetition ABL Agent, as amended prior to the Petition Date, </w:t>
      </w:r>
      <w:r>
        <w:rPr>
          <w:rFonts w:ascii="Arial" w:cs="Arial" w:eastAsia="Arial" w:hAnsi="Arial"/>
          <w:sz w:val="18"/>
          <w:szCs w:val="18"/>
          <w:u w:val="single" w:color="auto"/>
          <w:color w:val="008000"/>
        </w:rPr>
        <w:t>provided by lenders who are third party commercial banks or other financial institutions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that customarily provide asset based lending credit facilities and other financial institutions consented to by the Administrative Agent (such consent not to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-819785</wp:posOffset>
            </wp:positionV>
            <wp:extent cx="66090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96087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926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6694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0054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26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86880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9"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ABL Facility Documentation</w:t>
      </w:r>
      <w:r>
        <w:rPr>
          <w:rFonts w:ascii="Arial" w:cs="Arial" w:eastAsia="Arial" w:hAnsi="Arial"/>
          <w:sz w:val="18"/>
          <w:szCs w:val="18"/>
          <w:u w:val="single" w:color="auto"/>
          <w:color w:val="008000"/>
        </w:rPr>
        <w:t>” shall mean the</w:t>
      </w:r>
      <w:r>
        <w:rPr>
          <w:rFonts w:ascii="Arial" w:cs="Arial" w:eastAsia="Arial" w:hAnsi="Arial"/>
          <w:sz w:val="18"/>
          <w:szCs w:val="18"/>
          <w:u w:val="single" w:color="auto"/>
          <w:color w:val="0000FF"/>
        </w:rPr>
        <w:t xml:space="preserve"> Prepetition </w:t>
      </w:r>
      <w:r>
        <w:rPr>
          <w:rFonts w:ascii="Arial" w:cs="Arial" w:eastAsia="Arial" w:hAnsi="Arial"/>
          <w:sz w:val="18"/>
          <w:szCs w:val="18"/>
          <w:u w:val="single" w:color="auto"/>
          <w:color w:val="008000"/>
        </w:rPr>
        <w:t>ABL Credit Agreement and all security agreements, guarantees, pledge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agreements and other agreements or instruments executed in connection therewith and including all “Loan Documents” (as defined in the Prepetition ABL Credit Agreement) or similar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6179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148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8516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84" w:name="page185"/>
    <w:bookmarkEnd w:id="184"/>
    <w:p>
      <w:pPr>
        <w:ind w:left="4" w:right="480" w:firstLine="440"/>
        <w:spacing w:after="0" w:line="282"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ABL Facility Indebtedness</w:t>
      </w:r>
      <w:r>
        <w:rPr>
          <w:rFonts w:ascii="Arial" w:cs="Arial" w:eastAsia="Arial" w:hAnsi="Arial"/>
          <w:sz w:val="18"/>
          <w:szCs w:val="18"/>
          <w:u w:val="single" w:color="auto"/>
          <w:color w:val="008000"/>
        </w:rPr>
        <w:t>” shall mean Indebtedness of the Borrower or any Subsidiary outstanding under the ABL Facility</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Documentation, including Bank Product Debt (as defined in the </w:t>
      </w:r>
      <w:r>
        <w:rPr>
          <w:rFonts w:ascii="Arial" w:cs="Arial" w:eastAsia="Arial" w:hAnsi="Arial"/>
          <w:sz w:val="18"/>
          <w:szCs w:val="18"/>
          <w:u w:val="single" w:color="auto"/>
          <w:color w:val="0000FF"/>
        </w:rPr>
        <w:t>Prepetition ABL Credit Agreement).</w:t>
      </w:r>
    </w:p>
    <w:p>
      <w:pPr>
        <w:spacing w:after="0" w:line="161"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ABL Facility</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shall mean the asset-based revolving credit facility made available to the Borrower and certain of its Subsidiaries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pursuant to the </w:t>
      </w:r>
      <w:r>
        <w:rPr>
          <w:rFonts w:ascii="Arial" w:cs="Arial" w:eastAsia="Arial" w:hAnsi="Arial"/>
          <w:sz w:val="18"/>
          <w:szCs w:val="18"/>
          <w:u w:val="single" w:color="auto"/>
          <w:color w:val="0000FF"/>
        </w:rPr>
        <w:t>Prepetition ABL Credit Agreement.</w:t>
      </w:r>
    </w:p>
    <w:p>
      <w:pPr>
        <w:spacing w:after="0" w:line="161" w:lineRule="exact"/>
        <w:rPr>
          <w:sz w:val="20"/>
          <w:szCs w:val="20"/>
          <w:color w:val="auto"/>
        </w:rPr>
      </w:pPr>
    </w:p>
    <w:p>
      <w:pPr>
        <w:jc w:val="both"/>
        <w:ind w:left="4" w:right="200" w:firstLine="440"/>
        <w:spacing w:after="0" w:line="261"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ABL Intercreditor Agreement</w:t>
      </w:r>
      <w:r>
        <w:rPr>
          <w:rFonts w:ascii="Arial" w:cs="Arial" w:eastAsia="Arial" w:hAnsi="Arial"/>
          <w:sz w:val="18"/>
          <w:szCs w:val="18"/>
          <w:u w:val="single" w:color="auto"/>
          <w:color w:val="008000"/>
        </w:rPr>
        <w:t>” shall mean the Amended and Restated Intercreditor Agreement dated as of July 7, 2020, among</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the Administrative Agent and/or Collateral Agent, the </w:t>
      </w:r>
      <w:r>
        <w:rPr>
          <w:rFonts w:ascii="Arial" w:cs="Arial" w:eastAsia="Arial" w:hAnsi="Arial"/>
          <w:sz w:val="18"/>
          <w:szCs w:val="18"/>
          <w:u w:val="single" w:color="auto"/>
          <w:color w:val="0000FF"/>
        </w:rPr>
        <w:t>Prepetition ABL Agent, the Prepetition</w:t>
      </w:r>
      <w:r>
        <w:rPr>
          <w:rFonts w:ascii="Arial" w:cs="Arial" w:eastAsia="Arial" w:hAnsi="Arial"/>
          <w:sz w:val="18"/>
          <w:szCs w:val="18"/>
          <w:u w:val="single" w:color="auto"/>
          <w:color w:val="008000"/>
        </w:rPr>
        <w:t xml:space="preserve"> UST Tranche A Agent, the </w:t>
      </w:r>
      <w:r>
        <w:rPr>
          <w:rFonts w:ascii="Arial" w:cs="Arial" w:eastAsia="Arial" w:hAnsi="Arial"/>
          <w:sz w:val="18"/>
          <w:szCs w:val="18"/>
          <w:u w:val="single" w:color="auto"/>
          <w:color w:val="0000FF"/>
        </w:rPr>
        <w:t>Prepetition UST</w:t>
      </w:r>
      <w:r>
        <w:rPr>
          <w:rFonts w:ascii="Arial" w:cs="Arial" w:eastAsia="Arial" w:hAnsi="Arial"/>
          <w:sz w:val="18"/>
          <w:szCs w:val="18"/>
          <w:u w:val="single" w:color="auto"/>
          <w:color w:val="008000"/>
        </w:rPr>
        <w:t xml:space="preserve"> Tranche B Agent and the Loan Parties, and as the same may be further amended, restated, modified, supplemented, extended, renewed, restructured, waived or replaced from time to time.</w:t>
      </w:r>
    </w:p>
    <w:p>
      <w:pPr>
        <w:spacing w:after="0" w:line="179" w:lineRule="exact"/>
        <w:rPr>
          <w:sz w:val="20"/>
          <w:szCs w:val="20"/>
          <w:color w:val="auto"/>
        </w:rPr>
      </w:pPr>
    </w:p>
    <w:p>
      <w:pPr>
        <w:ind w:left="4" w:right="80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ABL Priority Collateral</w:t>
      </w:r>
      <w:r>
        <w:rPr>
          <w:rFonts w:ascii="Arial" w:cs="Arial" w:eastAsia="Arial" w:hAnsi="Arial"/>
          <w:sz w:val="18"/>
          <w:szCs w:val="18"/>
          <w:u w:val="single" w:color="auto"/>
          <w:color w:val="0000FF"/>
        </w:rPr>
        <w:t>” shall have the meaning assigned to the term “ABL Priority Collateral” in the 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-1659890</wp:posOffset>
            </wp:positionV>
            <wp:extent cx="639508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-1522730</wp:posOffset>
            </wp:positionV>
            <wp:extent cx="46202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-1248410</wp:posOffset>
            </wp:positionV>
            <wp:extent cx="65493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-1111250</wp:posOffset>
            </wp:positionV>
            <wp:extent cx="234886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34886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-836930</wp:posOffset>
            </wp:positionV>
            <wp:extent cx="655764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-699770</wp:posOffset>
            </wp:positionV>
            <wp:extent cx="682371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-562610</wp:posOffset>
            </wp:positionV>
            <wp:extent cx="676338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-425450</wp:posOffset>
            </wp:positionV>
            <wp:extent cx="12426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-151130</wp:posOffset>
            </wp:positionV>
            <wp:extent cx="61804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1315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42" w:lineRule="exact"/>
        <w:rPr>
          <w:sz w:val="20"/>
          <w:szCs w:val="20"/>
          <w:color w:val="auto"/>
        </w:rPr>
      </w:pPr>
    </w:p>
    <w:p>
      <w:pPr>
        <w:ind w:left="4"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Permitted Junior Priority Additional Debt</w:t>
      </w:r>
      <w:r>
        <w:rPr>
          <w:rFonts w:ascii="Arial" w:cs="Arial" w:eastAsia="Arial" w:hAnsi="Arial"/>
          <w:sz w:val="18"/>
          <w:szCs w:val="18"/>
          <w:b w:val="1"/>
          <w:bCs w:val="1"/>
          <w:u w:val="single" w:color="auto"/>
          <w:color w:val="0000FF"/>
        </w:rPr>
        <w:t>Prepetition ABL Secured Parties</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w:t>
      </w:r>
      <w:r>
        <w:rPr>
          <w:rFonts w:ascii="Arial" w:cs="Arial" w:eastAsia="Arial" w:hAnsi="Arial"/>
          <w:sz w:val="18"/>
          <w:szCs w:val="18"/>
          <w:color w:val="FF0000"/>
          <w:strike w:val="1"/>
        </w:rPr>
        <w:t>in the</w:t>
      </w:r>
      <w:r>
        <w:rPr>
          <w:rFonts w:ascii="Arial" w:cs="Arial" w:eastAsia="Arial" w:hAnsi="Arial"/>
          <w:sz w:val="18"/>
          <w:szCs w:val="18"/>
          <w:color w:val="auto"/>
        </w:rPr>
        <w:t xml:space="preserve"> </w:t>
      </w:r>
      <w:r>
        <w:rPr>
          <w:rFonts w:ascii="Arial" w:cs="Arial" w:eastAsia="Arial" w:hAnsi="Arial"/>
          <w:sz w:val="18"/>
          <w:szCs w:val="18"/>
          <w:color w:val="FF0000"/>
          <w:strike w:val="1"/>
        </w:rPr>
        <w:t>definition of “Permitted Additional Debt”</w:t>
      </w:r>
      <w:r>
        <w:rPr>
          <w:rFonts w:ascii="Arial" w:cs="Arial" w:eastAsia="Arial" w:hAnsi="Arial"/>
          <w:sz w:val="18"/>
          <w:szCs w:val="18"/>
          <w:u w:val="single" w:color="auto"/>
          <w:color w:val="0000FF"/>
        </w:rPr>
        <w:t>“ABL Secured Parties” in the Prepetition ABL Intercreditor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-151130</wp:posOffset>
            </wp:positionV>
            <wp:extent cx="159448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-151130</wp:posOffset>
            </wp:positionV>
            <wp:extent cx="1371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-13970</wp:posOffset>
            </wp:positionV>
            <wp:extent cx="327469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Prepetition Agents</w:t>
      </w:r>
      <w:r>
        <w:rPr>
          <w:rFonts w:ascii="Arial" w:cs="Arial" w:eastAsia="Arial" w:hAnsi="Arial"/>
          <w:sz w:val="18"/>
          <w:szCs w:val="18"/>
          <w:u w:val="single" w:color="auto"/>
          <w:color w:val="0000FF"/>
        </w:rPr>
        <w:t>” shall mean, collectively, the (a) Agents, (b) Prepetition ABL Agent, (c) Prepetition UST Tranche A Agent and</w:t>
      </w:r>
    </w:p>
    <w:p>
      <w:pPr>
        <w:spacing w:after="0" w:line="27" w:lineRule="exact"/>
        <w:rPr>
          <w:sz w:val="20"/>
          <w:szCs w:val="20"/>
          <w:color w:val="auto"/>
        </w:rPr>
      </w:pPr>
    </w:p>
    <w:p>
      <w:pPr>
        <w:ind w:left="264" w:hanging="264"/>
        <w:spacing w:after="0"/>
        <w:tabs>
          <w:tab w:leader="none" w:pos="264" w:val="left"/>
        </w:tabs>
        <w:numPr>
          <w:ilvl w:val="0"/>
          <w:numId w:val="10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Prepetition UST Tranche B Agent.</w:t>
      </w:r>
    </w:p>
    <w:p>
      <w:pPr>
        <w:spacing w:after="0" w:line="206" w:lineRule="exact"/>
        <w:rPr>
          <w:rFonts w:ascii="Arial" w:cs="Arial" w:eastAsia="Arial" w:hAnsi="Arial"/>
          <w:sz w:val="18"/>
          <w:szCs w:val="18"/>
          <w:u w:val="single" w:color="auto"/>
          <w:color w:val="0000FF"/>
        </w:rPr>
      </w:pPr>
    </w:p>
    <w:p>
      <w:pPr>
        <w:ind w:left="4" w:right="440" w:firstLine="440"/>
        <w:spacing w:after="0" w:line="282" w:lineRule="auto"/>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B-2 Lenders</w:t>
      </w:r>
      <w:r>
        <w:rPr>
          <w:rFonts w:ascii="Arial" w:cs="Arial" w:eastAsia="Arial" w:hAnsi="Arial"/>
          <w:sz w:val="18"/>
          <w:szCs w:val="18"/>
          <w:u w:val="single" w:color="auto"/>
          <w:color w:val="0000FF"/>
        </w:rPr>
        <w:t>” means the lenders that were party to this Agreement prior to the Postpetition B-2 Facility Closing Date and that provided or otherwise held Prepetition Term Loans prior to the Postpetition B-2 Facility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-562610</wp:posOffset>
            </wp:positionV>
            <wp:extent cx="606933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-425450</wp:posOffset>
            </wp:positionV>
            <wp:extent cx="17487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487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-151130</wp:posOffset>
            </wp:positionV>
            <wp:extent cx="641223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468058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142"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Permitted Refinancing</w:t>
      </w:r>
      <w:r>
        <w:rPr>
          <w:rFonts w:ascii="Arial" w:cs="Arial" w:eastAsia="Arial" w:hAnsi="Arial"/>
          <w:sz w:val="16"/>
          <w:szCs w:val="16"/>
          <w:color w:val="FF0000"/>
          <w:strike w:val="1"/>
        </w:rPr>
        <w:t xml:space="preserve">” shall mean, with respect to any Person, any modification, refinancing, refunding, renewal, replacement or extension of any Indebtedness of such Person;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(a) the original aggregate principal amount (or accreted value, if applicable) does not exceed the aggregate principal amount (or accreted value, if applicable) of the Indebtedness so modified, refinanced, refunded, renewed, replaced or extended except (i) by an amount equal to accrued but unpaid interest, premiums and fees payable by the terms of such Indebtedness and reasonable fees, expenses, original issue discount and upfront fees incurred in connection with such modification, refinancing, refunding, renewal, replacement or extension and (ii) by an amount equal to any existing available commitments unutilized thereunder, (b) other than with respect to a Permitted Refinancing in respect of Indebtedness permitted pursuant to Section 7.03(e), the Indebtedness resulting from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Section 7.03(e), at the time thereof, no Event of Default shall have occurred and be continuing, (d) if such Indebtedness being modified, refinanced, refunded, renewed, replaced or extended is Indebtedness permitted pursuant to Section 7.03(b), 7.03(p) or 7.03(q), or is otherwise a Junior Financing, (i) to the extent such Indebtedness being modified, refinanced, refunded, renewed, replaced or extended is subordinated in right of payment or in lien priority to the Obligations, the Indebtedness resulting from such modification, refinancing, refunding, renewal, replacement or extension is subordinated in right of payment or in lien priority, as applicable, to the Obligations on terms (taken as a whole) (x) at least as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4"/>
          </w:cols>
          <w:pgMar w:left="436" w:top="270" w:right="479" w:bottom="1440" w:gutter="0" w:footer="0" w:header="0"/>
        </w:sectPr>
      </w:pPr>
    </w:p>
    <w:bookmarkStart w:id="185" w:name="page186"/>
    <w:bookmarkEnd w:id="185"/>
    <w:p>
      <w:pPr>
        <w:ind w:left="4" w:right="20"/>
        <w:spacing w:after="0" w:line="284"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favorable to the Lenders as those contained in the documentation governing the Indebtedness being modified, refinanced, refunded, renewed, replaced or extended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its sole discretion),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or</w:t>
      </w:r>
    </w:p>
    <w:p>
      <w:pPr>
        <w:spacing w:after="0" w:line="2" w:lineRule="exact"/>
        <w:rPr>
          <w:sz w:val="20"/>
          <w:szCs w:val="20"/>
          <w:color w:val="auto"/>
        </w:rPr>
      </w:pPr>
    </w:p>
    <w:p>
      <w:pPr>
        <w:ind w:left="4" w:hanging="4"/>
        <w:spacing w:after="0" w:line="284" w:lineRule="auto"/>
        <w:tabs>
          <w:tab w:leader="none" w:pos="259" w:val="left"/>
        </w:tabs>
        <w:numPr>
          <w:ilvl w:val="0"/>
          <w:numId w:val="101"/>
        </w:numPr>
        <w:rPr>
          <w:rFonts w:ascii="Arial" w:cs="Arial" w:eastAsia="Arial" w:hAnsi="Arial"/>
          <w:sz w:val="16"/>
          <w:szCs w:val="16"/>
          <w:color w:val="FF0000"/>
          <w:strike w:val="1"/>
        </w:rPr>
      </w:pPr>
      <w:r>
        <w:rPr>
          <w:rFonts w:ascii="Arial" w:cs="Arial" w:eastAsia="Arial" w:hAnsi="Arial"/>
          <w:sz w:val="16"/>
          <w:szCs w:val="16"/>
          <w:color w:val="FF0000"/>
          <w:strike w:val="1"/>
        </w:rPr>
        <w:t>otherwise reasonably acceptable to the Required Lenders)), and (ii) the obligors (including any guarantors) in respect of the Indebtedness resulting from such modification, refinancing, refunding, renewal, replacement or extension shall not include any Person other than the obligors (including any guarantors) of the Indebtedness being modified, refinanced, refunded, renewed, replaced or extended unless otherwise permitted hereby, (e) in the case of any Permitted Refinancing in respect of the ABL Facility, such Permitted Refinancing is a revolving working capital facility and is secured only by all or any portion of the collateral securing the ABL Facility (but not by any other assets) pursuant to one or more security agreements subject, in the case of assets constituting (or required to constitute) Collateral, to the ABL Intercreditor Agreement, (f) in the case of any Credit Agreement Refinancing Indebtedness, the Permitted Refinancing shall constitute Credit Agreement Refinancing Indebtedness, (g) in the case of any Permitted Refinancing in respect of UST Tranche A Facility Indebtedness, such Permitted Refinancing is secured only by all or any portion of the collateral securing the UST Tranche A Facility Indebtedness (but not by any other assets) and is subject to the ABL Intercreditor Agreement as “UST Tranche A Obligations”, (h) in the case of any Permitted Refinancing in respect of the UST Tranche B Facility Indebtedness, such Permitted Refinancing is secured only by all or any portion of the collateral securing the UST Tranche B Facility Indebtedness (but not by any other assets) and is subject to the ABL Intercreditor Agreement as “UST Tranche B Obligations” and (i) to the extent such Indebtedness being modified, refinanced, refunded, renewed, replaced or extended is unsecured, the Indebtedness resulting from such modification, refinancing, refunding, renewal, replacement or extension must be unsecured. When used with respect to any specified Indebtedness, “</w:t>
      </w:r>
      <w:r>
        <w:rPr>
          <w:rFonts w:ascii="Arial" w:cs="Arial" w:eastAsia="Arial" w:hAnsi="Arial"/>
          <w:sz w:val="16"/>
          <w:szCs w:val="16"/>
          <w:b w:val="1"/>
          <w:bCs w:val="1"/>
          <w:color w:val="FF0000"/>
          <w:strike w:val="1"/>
        </w:rPr>
        <w:t>Permitted Refinancing</w:t>
      </w:r>
      <w:r>
        <w:rPr>
          <w:rFonts w:ascii="Arial" w:cs="Arial" w:eastAsia="Arial" w:hAnsi="Arial"/>
          <w:sz w:val="16"/>
          <w:szCs w:val="16"/>
          <w:color w:val="FF0000"/>
          <w:strike w:val="1"/>
        </w:rPr>
        <w:t>” shall mean the Indebtedness incurred to effectuate a Permitted Refinancing of such specified Indebtedness.</w:t>
      </w:r>
    </w:p>
    <w:p>
      <w:pPr>
        <w:spacing w:after="0" w:line="390"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Permitted Repricing Amendment</w:t>
      </w:r>
      <w:r>
        <w:rPr>
          <w:rFonts w:ascii="Arial" w:cs="Arial" w:eastAsia="Arial" w:hAnsi="Arial"/>
          <w:sz w:val="18"/>
          <w:szCs w:val="18"/>
          <w:color w:val="FF0000"/>
          <w:strike w:val="1"/>
        </w:rPr>
        <w:t xml:space="preserve">” shall have the meaning set forth in </w:t>
      </w:r>
      <w:r>
        <w:rPr>
          <w:rFonts w:ascii="Arial" w:cs="Arial" w:eastAsia="Arial" w:hAnsi="Arial"/>
          <w:sz w:val="18"/>
          <w:szCs w:val="18"/>
          <w:u w:val="single" w:color="auto"/>
          <w:color w:val="FF0000"/>
          <w:strike w:val="1"/>
        </w:rPr>
        <w:t>Section 10.08(b)</w:t>
      </w:r>
      <w:r>
        <w:rPr>
          <w:rFonts w:ascii="Arial" w:cs="Arial" w:eastAsia="Arial" w:hAnsi="Arial"/>
          <w:sz w:val="18"/>
          <w:szCs w:val="18"/>
          <w:color w:val="FF0000"/>
          <w:strike w:val="1"/>
        </w:rPr>
        <w:t>.</w:t>
      </w:r>
    </w:p>
    <w:p>
      <w:pPr>
        <w:spacing w:after="0" w:line="225" w:lineRule="exact"/>
        <w:rPr>
          <w:sz w:val="20"/>
          <w:szCs w:val="20"/>
          <w:color w:val="auto"/>
        </w:rPr>
      </w:pPr>
    </w:p>
    <w:p>
      <w:pPr>
        <w:ind w:left="4" w:right="840" w:firstLine="440"/>
        <w:spacing w:after="0" w:line="282" w:lineRule="auto"/>
        <w:rPr>
          <w:sz w:val="20"/>
          <w:szCs w:val="20"/>
          <w:color w:val="auto"/>
        </w:rPr>
      </w:pPr>
      <w:r>
        <w:rPr>
          <w:rFonts w:ascii="Arial" w:cs="Arial" w:eastAsia="Arial" w:hAnsi="Arial"/>
          <w:sz w:val="18"/>
          <w:szCs w:val="18"/>
          <w:u w:val="single" w:color="auto"/>
          <w:color w:val="008000"/>
        </w:rPr>
        <w:t xml:space="preserve">“ </w:t>
      </w:r>
      <w:r>
        <w:rPr>
          <w:rFonts w:ascii="Arial" w:cs="Arial" w:eastAsia="Arial" w:hAnsi="Arial"/>
          <w:sz w:val="18"/>
          <w:szCs w:val="18"/>
          <w:b w:val="1"/>
          <w:bCs w:val="1"/>
          <w:u w:val="single" w:color="auto"/>
          <w:color w:val="008000"/>
        </w:rPr>
        <w:t>Person</w:t>
      </w:r>
      <w:r>
        <w:rPr>
          <w:rFonts w:ascii="Arial" w:cs="Arial" w:eastAsia="Arial" w:hAnsi="Arial"/>
          <w:sz w:val="18"/>
          <w:szCs w:val="18"/>
          <w:u w:val="single" w:color="auto"/>
          <w:color w:val="008000"/>
        </w:rPr>
        <w:t>” shall mean any natural person, corporation, limited liability company, trust, joint venture, association, company, partnership, Governmental Authority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17220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82562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42"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PIK Interest</w:t>
      </w:r>
      <w:r>
        <w:rPr>
          <w:rFonts w:ascii="Arial" w:cs="Arial" w:eastAsia="Arial" w:hAnsi="Arial"/>
          <w:sz w:val="18"/>
          <w:szCs w:val="18"/>
          <w:b w:val="1"/>
          <w:bCs w:val="1"/>
          <w:u w:val="single" w:color="auto"/>
          <w:color w:val="0000FF"/>
        </w:rPr>
        <w:t>Prepetition B-2 Term Loan Credit Agreement</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that</w:t>
      </w:r>
      <w:r>
        <w:rPr>
          <w:rFonts w:ascii="Arial" w:cs="Arial" w:eastAsia="Arial" w:hAnsi="Arial"/>
          <w:sz w:val="18"/>
          <w:szCs w:val="18"/>
          <w:color w:val="auto"/>
        </w:rPr>
        <w:t xml:space="preserve"> term in </w:t>
      </w:r>
      <w:r>
        <w:rPr>
          <w:rFonts w:ascii="Arial" w:cs="Arial" w:eastAsia="Arial" w:hAnsi="Arial"/>
          <w:sz w:val="18"/>
          <w:szCs w:val="18"/>
          <w:u w:val="single" w:color="auto"/>
          <w:color w:val="FF0000"/>
          <w:strike w:val="1"/>
        </w:rPr>
        <w:t>Section 2.06(d)</w:t>
      </w:r>
      <w:r>
        <w:rPr>
          <w:rFonts w:ascii="Arial" w:cs="Arial" w:eastAsia="Arial" w:hAnsi="Arial"/>
          <w:sz w:val="18"/>
          <w:szCs w:val="18"/>
          <w:u w:val="single" w:color="auto"/>
          <w:color w:val="0000FF"/>
        </w:rPr>
        <w:t>the recitals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this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-151130</wp:posOffset>
            </wp:positionV>
            <wp:extent cx="22199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-151130</wp:posOffset>
            </wp:positionV>
            <wp:extent cx="17145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-151130</wp:posOffset>
            </wp:positionV>
            <wp:extent cx="61722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70294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Prepetition Facility Documentation</w:t>
      </w:r>
      <w:r>
        <w:rPr>
          <w:rFonts w:ascii="Arial" w:cs="Arial" w:eastAsia="Arial" w:hAnsi="Arial"/>
          <w:sz w:val="17"/>
          <w:szCs w:val="17"/>
          <w:u w:val="single" w:color="auto"/>
          <w:color w:val="0000FF"/>
        </w:rPr>
        <w:t>” shall mean, collectively, the (i) the Loan Documents, (ii) the Prepetition ABL Facility Documentation,</w:t>
      </w:r>
    </w:p>
    <w:p>
      <w:pPr>
        <w:spacing w:after="0" w:line="38" w:lineRule="exact"/>
        <w:rPr>
          <w:sz w:val="20"/>
          <w:szCs w:val="20"/>
          <w:color w:val="auto"/>
        </w:rPr>
      </w:pPr>
    </w:p>
    <w:p>
      <w:pPr>
        <w:ind w:left="324" w:hanging="324"/>
        <w:spacing w:after="0"/>
        <w:tabs>
          <w:tab w:leader="none" w:pos="324" w:val="left"/>
        </w:tabs>
        <w:numPr>
          <w:ilvl w:val="0"/>
          <w:numId w:val="10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Prepetition</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UST Tranche A Facility Documentation</w:t>
      </w:r>
      <w:r>
        <w:rPr>
          <w:rFonts w:ascii="Arial" w:cs="Arial" w:eastAsia="Arial" w:hAnsi="Arial"/>
          <w:sz w:val="18"/>
          <w:szCs w:val="18"/>
          <w:color w:val="0000FF"/>
        </w:rPr>
        <w:t xml:space="preserve"> </w:t>
      </w:r>
      <w:r>
        <w:rPr>
          <w:rFonts w:ascii="Arial" w:cs="Arial" w:eastAsia="Arial" w:hAnsi="Arial"/>
          <w:sz w:val="18"/>
          <w:szCs w:val="18"/>
          <w:color w:val="000000"/>
        </w:rPr>
        <w:t>and (iv) the Prepetition</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UST Tranche B Facility Documentation</w:t>
      </w:r>
      <w:r>
        <w:rPr>
          <w:rFonts w:ascii="Arial" w:cs="Arial" w:eastAsia="Arial" w:hAnsi="Arial"/>
          <w:sz w:val="18"/>
          <w:szCs w:val="18"/>
          <w:u w:val="single" w:color="auto"/>
          <w:color w:val="0000FF"/>
        </w:rPr>
        <w:t>.</w:t>
      </w:r>
    </w:p>
    <w:p>
      <w:pPr>
        <w:spacing w:after="0" w:line="206" w:lineRule="exact"/>
        <w:rPr>
          <w:rFonts w:ascii="Arial" w:cs="Arial" w:eastAsia="Arial" w:hAnsi="Arial"/>
          <w:sz w:val="18"/>
          <w:szCs w:val="18"/>
          <w:u w:val="single" w:color="auto"/>
          <w:color w:val="0000FF"/>
        </w:rPr>
      </w:pPr>
    </w:p>
    <w:p>
      <w:pPr>
        <w:ind w:left="4" w:right="220" w:firstLine="440"/>
        <w:spacing w:after="0" w:line="312" w:lineRule="auto"/>
        <w:rPr>
          <w:rFonts w:ascii="Arial" w:cs="Arial" w:eastAsia="Arial" w:hAnsi="Arial"/>
          <w:sz w:val="18"/>
          <w:szCs w:val="18"/>
          <w:u w:val="single" w:color="auto"/>
          <w:color w:val="0000FF"/>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Prepetition Indebtedness</w:t>
      </w:r>
      <w:r>
        <w:rPr>
          <w:rFonts w:ascii="Arial" w:cs="Arial" w:eastAsia="Arial" w:hAnsi="Arial"/>
          <w:sz w:val="17"/>
          <w:szCs w:val="17"/>
          <w:u w:val="single" w:color="auto"/>
          <w:color w:val="0000FF"/>
        </w:rPr>
        <w:t xml:space="preserve">” shall mean, collectively, the (i) Obligations in respect of the Prepetition Term Loans, (ii) Prepetition ABL Facility Indebtedness, (iii) Prepetition </w:t>
      </w:r>
      <w:r>
        <w:rPr>
          <w:rFonts w:ascii="Arial" w:cs="Arial" w:eastAsia="Arial" w:hAnsi="Arial"/>
          <w:sz w:val="17"/>
          <w:szCs w:val="17"/>
          <w:u w:val="single" w:color="auto"/>
          <w:color w:val="008000"/>
        </w:rPr>
        <w:t>UST Tranche A Facility Indebtedness and</w:t>
      </w:r>
      <w:r>
        <w:rPr>
          <w:rFonts w:ascii="Arial" w:cs="Arial" w:eastAsia="Arial" w:hAnsi="Arial"/>
          <w:sz w:val="17"/>
          <w:szCs w:val="17"/>
          <w:u w:val="single" w:color="auto"/>
          <w:color w:val="0000FF"/>
        </w:rPr>
        <w:t xml:space="preserve"> (iv) Prepetition </w:t>
      </w:r>
      <w:r>
        <w:rPr>
          <w:rFonts w:ascii="Arial" w:cs="Arial" w:eastAsia="Arial" w:hAnsi="Arial"/>
          <w:sz w:val="17"/>
          <w:szCs w:val="17"/>
          <w:u w:val="single" w:color="auto"/>
          <w:color w:val="008000"/>
        </w:rPr>
        <w:t>UST Tranche B Facility Indebtedness</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-575945</wp:posOffset>
            </wp:positionV>
            <wp:extent cx="65493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-438785</wp:posOffset>
            </wp:positionV>
            <wp:extent cx="570928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-164465</wp:posOffset>
            </wp:positionV>
            <wp:extent cx="656653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58032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186" w:name="page187"/>
    <w:bookmarkEnd w:id="186"/>
    <w:p>
      <w:pPr>
        <w:ind w:right="260" w:firstLine="440"/>
        <w:spacing w:after="0" w:line="282"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Prepetition Lenders</w:t>
      </w:r>
      <w:r>
        <w:rPr>
          <w:rFonts w:ascii="Arial" w:cs="Arial" w:eastAsia="Arial" w:hAnsi="Arial"/>
          <w:sz w:val="18"/>
          <w:szCs w:val="18"/>
          <w:u w:val="single" w:color="auto"/>
          <w:color w:val="0000FF"/>
        </w:rPr>
        <w:t>” shall mean, collectively, the (a) Prepetition B-2 Lenders, (b) Prepetition ABL Lenders, (c) Prepetition UST Tranche A Lenders and (d) Prepetition UST Tranche B Lenders.</w:t>
      </w:r>
    </w:p>
    <w:p>
      <w:pPr>
        <w:spacing w:after="0" w:line="161"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Perfection Certificate</w:t>
      </w:r>
      <w:r>
        <w:rPr>
          <w:rFonts w:ascii="Arial" w:cs="Arial" w:eastAsia="Arial" w:hAnsi="Arial"/>
          <w:sz w:val="18"/>
          <w:szCs w:val="18"/>
          <w:u w:val="single" w:color="auto"/>
          <w:color w:val="0000FF"/>
        </w:rPr>
        <w:t>” shall mean the Perfection Certificate as of July 7, 2023, delivered by the Borrower pursuant to the Prepetition B-2 Term Loan Credit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Secured Parties</w:t>
      </w:r>
      <w:r>
        <w:rPr>
          <w:rFonts w:ascii="Arial" w:cs="Arial" w:eastAsia="Arial" w:hAnsi="Arial"/>
          <w:sz w:val="18"/>
          <w:szCs w:val="18"/>
          <w:u w:val="single" w:color="auto"/>
          <w:color w:val="0000FF"/>
        </w:rPr>
        <w:t>” shall mean, collectively, the (a) Prepetition Agents and (b) the Prepetition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-796290</wp:posOffset>
            </wp:positionV>
            <wp:extent cx="65233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-659130</wp:posOffset>
            </wp:positionV>
            <wp:extent cx="2425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-384810</wp:posOffset>
            </wp:positionV>
            <wp:extent cx="624903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210883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26035</wp:posOffset>
            </wp:positionV>
            <wp:extent cx="528066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5" w:lineRule="exact"/>
        <w:rPr>
          <w:sz w:val="20"/>
          <w:szCs w:val="20"/>
          <w:color w:val="auto"/>
        </w:rPr>
      </w:pPr>
    </w:p>
    <w:p>
      <w:pPr>
        <w:ind w:right="60" w:firstLine="440"/>
        <w:spacing w:after="0" w:line="312"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Prepetition Term Loans</w:t>
      </w:r>
      <w:r>
        <w:rPr>
          <w:rFonts w:ascii="Arial" w:cs="Arial" w:eastAsia="Arial" w:hAnsi="Arial"/>
          <w:sz w:val="17"/>
          <w:szCs w:val="17"/>
          <w:u w:val="single" w:color="auto"/>
          <w:color w:val="0000FF"/>
        </w:rPr>
        <w:t>” means all Obligations outstanding under this Agreement prior to the effectiveness of the DIP Term Sheet and funding of the Initial Postpetition Loans on the Postpetition B-2 Facility Closing Date, including the term loans made pursuant to Section 2.01(a).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-164465</wp:posOffset>
            </wp:positionV>
            <wp:extent cx="66522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630047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20"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Prepetition</w:t>
      </w: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8000"/>
        </w:rPr>
        <w:t>UST Tranche A Agent</w:t>
      </w:r>
      <w:r>
        <w:rPr>
          <w:rFonts w:ascii="Arial" w:cs="Arial" w:eastAsia="Arial" w:hAnsi="Arial"/>
          <w:sz w:val="17"/>
          <w:szCs w:val="17"/>
          <w:u w:val="single" w:color="auto"/>
          <w:color w:val="008000"/>
        </w:rPr>
        <w:t>” shall mean, as the context may require, The Bank of New York Mellon, in its capacity as administrative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agent and as collateral agent under the </w:t>
      </w:r>
      <w:r>
        <w:rPr>
          <w:rFonts w:ascii="Arial" w:cs="Arial" w:eastAsia="Arial" w:hAnsi="Arial"/>
          <w:sz w:val="17"/>
          <w:szCs w:val="17"/>
          <w:u w:val="single" w:color="auto"/>
          <w:color w:val="0000FF"/>
        </w:rPr>
        <w:t>Prepetition</w:t>
      </w:r>
      <w:r>
        <w:rPr>
          <w:rFonts w:ascii="Arial" w:cs="Arial" w:eastAsia="Arial" w:hAnsi="Arial"/>
          <w:sz w:val="17"/>
          <w:szCs w:val="17"/>
          <w:u w:val="single" w:color="auto"/>
          <w:color w:val="008000"/>
        </w:rPr>
        <w:t xml:space="preserve"> UST Tranche A Facility Documentation, such agents collectively or any permitted successor or assignee administrative agent or collateral agent under the </w:t>
      </w:r>
      <w:r>
        <w:rPr>
          <w:rFonts w:ascii="Arial" w:cs="Arial" w:eastAsia="Arial" w:hAnsi="Arial"/>
          <w:sz w:val="17"/>
          <w:szCs w:val="17"/>
          <w:u w:val="single" w:color="auto"/>
          <w:color w:val="0000FF"/>
        </w:rPr>
        <w:t>Prepetition</w:t>
      </w:r>
      <w:r>
        <w:rPr>
          <w:rFonts w:ascii="Arial" w:cs="Arial" w:eastAsia="Arial" w:hAnsi="Arial"/>
          <w:sz w:val="17"/>
          <w:szCs w:val="17"/>
          <w:u w:val="single" w:color="auto"/>
          <w:color w:val="008000"/>
        </w:rPr>
        <w:t xml:space="preserve"> UST Tranche A Facility Documentation.</w:t>
      </w:r>
    </w:p>
    <w:p>
      <w:pPr>
        <w:spacing w:after="0" w:line="15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A Controlled Account</w:t>
      </w:r>
      <w:r>
        <w:rPr>
          <w:rFonts w:ascii="Arial" w:cs="Arial" w:eastAsia="Arial" w:hAnsi="Arial"/>
          <w:sz w:val="18"/>
          <w:szCs w:val="18"/>
          <w:u w:val="single" w:color="auto"/>
          <w:color w:val="008000"/>
        </w:rPr>
        <w:t>” shall have the meaning assigned to</w:t>
      </w:r>
      <w:r>
        <w:rPr>
          <w:rFonts w:ascii="Arial" w:cs="Arial" w:eastAsia="Arial" w:hAnsi="Arial"/>
          <w:sz w:val="18"/>
          <w:szCs w:val="18"/>
          <w:u w:val="single" w:color="auto"/>
          <w:color w:val="0000FF"/>
        </w:rPr>
        <w:t xml:space="preserve"> the term “</w:t>
      </w:r>
      <w:r>
        <w:rPr>
          <w:rFonts w:ascii="Arial" w:cs="Arial" w:eastAsia="Arial" w:hAnsi="Arial"/>
          <w:sz w:val="18"/>
          <w:szCs w:val="18"/>
          <w:u w:val="single" w:color="auto"/>
          <w:color w:val="008000"/>
        </w:rPr>
        <w:t>UST Tranche A Controlled Account” in the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Prepetition UST Tranche A Credit Agreement (as in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-699770</wp:posOffset>
            </wp:positionV>
            <wp:extent cx="65405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-562610</wp:posOffset>
            </wp:positionV>
            <wp:extent cx="666940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507492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-151130</wp:posOffset>
            </wp:positionV>
            <wp:extent cx="65493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-185420</wp:posOffset>
            </wp:positionV>
            <wp:extent cx="2857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69443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142"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A Credit Agreement</w:t>
      </w:r>
      <w:r>
        <w:rPr>
          <w:rFonts w:ascii="Arial" w:cs="Arial" w:eastAsia="Arial" w:hAnsi="Arial"/>
          <w:sz w:val="18"/>
          <w:szCs w:val="18"/>
          <w:u w:val="single" w:color="auto"/>
          <w:color w:val="008000"/>
        </w:rPr>
        <w:t>” shall mean that certain</w:t>
      </w:r>
      <w:r>
        <w:rPr>
          <w:rFonts w:ascii="Arial" w:cs="Arial" w:eastAsia="Arial" w:hAnsi="Arial"/>
          <w:sz w:val="18"/>
          <w:szCs w:val="18"/>
          <w:u w:val="single" w:color="auto"/>
          <w:color w:val="0000FF"/>
        </w:rPr>
        <w:t xml:space="preserve"> Prepetition </w:t>
      </w:r>
      <w:r>
        <w:rPr>
          <w:rFonts w:ascii="Arial" w:cs="Arial" w:eastAsia="Arial" w:hAnsi="Arial"/>
          <w:sz w:val="18"/>
          <w:szCs w:val="18"/>
          <w:u w:val="single" w:color="auto"/>
          <w:color w:val="008000"/>
        </w:rPr>
        <w:t>UST Tranche A Term Loan Credit Agreement dated as of</w:t>
      </w:r>
      <w:r>
        <w:rPr>
          <w:rFonts w:ascii="Arial" w:cs="Arial" w:eastAsia="Arial" w:hAnsi="Arial"/>
          <w:sz w:val="18"/>
          <w:szCs w:val="18"/>
          <w:u w:val="single" w:color="auto"/>
          <w:color w:val="0000FF"/>
        </w:rPr>
        <w:t xml:space="preserve"> July 7, 2020</w:t>
      </w:r>
      <w:r>
        <w:rPr>
          <w:rFonts w:ascii="Arial" w:cs="Arial" w:eastAsia="Arial" w:hAnsi="Arial"/>
          <w:sz w:val="18"/>
          <w:szCs w:val="18"/>
          <w:u w:val="single" w:color="auto"/>
          <w:color w:val="008000"/>
        </w:rPr>
        <w:t>, among the Borrower, the other subsidiaries of the Borrower party thereto, the lenders party thereto and the</w:t>
      </w:r>
      <w:r>
        <w:rPr>
          <w:rFonts w:ascii="Arial" w:cs="Arial" w:eastAsia="Arial" w:hAnsi="Arial"/>
          <w:sz w:val="18"/>
          <w:szCs w:val="18"/>
          <w:u w:val="single" w:color="auto"/>
          <w:color w:val="0000FF"/>
        </w:rPr>
        <w:t xml:space="preserve"> Prepetition UST Tranche A </w:t>
      </w:r>
      <w:r>
        <w:rPr>
          <w:rFonts w:ascii="Arial" w:cs="Arial" w:eastAsia="Arial" w:hAnsi="Arial"/>
          <w:sz w:val="18"/>
          <w:szCs w:val="18"/>
          <w:u w:val="single" w:color="auto"/>
          <w:color w:val="008000"/>
        </w:rPr>
        <w:t xml:space="preserve">Agent, and as the same may </w:t>
      </w:r>
      <w:r>
        <w:rPr>
          <w:rFonts w:ascii="Arial" w:cs="Arial" w:eastAsia="Arial" w:hAnsi="Arial"/>
          <w:sz w:val="18"/>
          <w:szCs w:val="18"/>
          <w:u w:val="single" w:color="auto"/>
          <w:color w:val="0000FF"/>
        </w:rPr>
        <w:t>have been</w:t>
      </w:r>
      <w:r>
        <w:rPr>
          <w:rFonts w:ascii="Arial" w:cs="Arial" w:eastAsia="Arial" w:hAnsi="Arial"/>
          <w:sz w:val="18"/>
          <w:szCs w:val="18"/>
          <w:u w:val="single" w:color="auto"/>
          <w:color w:val="008000"/>
        </w:rPr>
        <w:t xml:space="preserve"> further amended, restated, modified, supplemented, extended, renewed, restructured, refunded, replaced or refinanced from time to time </w:t>
      </w:r>
      <w:r>
        <w:rPr>
          <w:rFonts w:ascii="Arial" w:cs="Arial" w:eastAsia="Arial" w:hAnsi="Arial"/>
          <w:sz w:val="18"/>
          <w:szCs w:val="18"/>
          <w:u w:val="single" w:color="auto"/>
          <w:color w:val="0000FF"/>
        </w:rPr>
        <w:t>prior to the Petition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59193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76338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6940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50317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0"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UST Tranche A Facility Documentation</w:t>
      </w:r>
      <w:r>
        <w:rPr>
          <w:rFonts w:ascii="Arial" w:cs="Arial" w:eastAsia="Arial" w:hAnsi="Arial"/>
          <w:sz w:val="18"/>
          <w:szCs w:val="18"/>
          <w:u w:val="single" w:color="auto"/>
          <w:color w:val="0000FF"/>
        </w:rPr>
        <w:t xml:space="preserve">” shall mean the Prepetition UST Tranche A </w:t>
      </w:r>
      <w:r>
        <w:rPr>
          <w:rFonts w:ascii="Arial" w:cs="Arial" w:eastAsia="Arial" w:hAnsi="Arial"/>
          <w:sz w:val="18"/>
          <w:szCs w:val="18"/>
          <w:u w:val="single" w:color="auto"/>
          <w:color w:val="008000"/>
        </w:rPr>
        <w:t>Credit Agreement and all security</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agreements, guarantees, pledge agreements and other agreements or instruments executed in connection therewith and including all “Loan Documents” (as defined in the </w:t>
      </w:r>
      <w:r>
        <w:rPr>
          <w:rFonts w:ascii="Arial" w:cs="Arial" w:eastAsia="Arial" w:hAnsi="Arial"/>
          <w:sz w:val="18"/>
          <w:szCs w:val="18"/>
          <w:u w:val="single" w:color="auto"/>
          <w:color w:val="0000FF"/>
        </w:rPr>
        <w:t>Prepetition UST Tranche</w:t>
      </w:r>
      <w:r>
        <w:rPr>
          <w:rFonts w:ascii="Arial" w:cs="Arial" w:eastAsia="Arial" w:hAnsi="Arial"/>
          <w:sz w:val="18"/>
          <w:szCs w:val="18"/>
          <w:u w:val="single" w:color="auto"/>
          <w:color w:val="008000"/>
        </w:rPr>
        <w:t xml:space="preserve"> A Credit Agreement) or similar term</w:t>
      </w:r>
      <w:r>
        <w:rPr>
          <w:rFonts w:ascii="Arial" w:cs="Arial" w:eastAsia="Arial" w:hAnsi="Arial"/>
          <w:sz w:val="18"/>
          <w:szCs w:val="18"/>
          <w:u w:val="single" w:color="auto"/>
          <w:color w:val="0000FF"/>
        </w:rPr>
        <w:t>.</w:t>
      </w:r>
    </w:p>
    <w:p>
      <w:pPr>
        <w:spacing w:after="0" w:line="17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A Facility Indebtedness</w:t>
      </w:r>
      <w:r>
        <w:rPr>
          <w:rFonts w:ascii="Arial" w:cs="Arial" w:eastAsia="Arial" w:hAnsi="Arial"/>
          <w:sz w:val="18"/>
          <w:szCs w:val="18"/>
          <w:u w:val="single" w:color="auto"/>
          <w:color w:val="008000"/>
        </w:rPr>
        <w:t>” shall mean Indebtedness of the Borrower or any Subsidiary outstanding under or secured</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by the </w:t>
      </w:r>
      <w:r>
        <w:rPr>
          <w:rFonts w:ascii="Arial" w:cs="Arial" w:eastAsia="Arial" w:hAnsi="Arial"/>
          <w:sz w:val="18"/>
          <w:szCs w:val="18"/>
          <w:u w:val="single" w:color="auto"/>
          <w:color w:val="0000FF"/>
        </w:rPr>
        <w:t>Prepetition</w:t>
      </w:r>
      <w:r>
        <w:rPr>
          <w:rFonts w:ascii="Arial" w:cs="Arial" w:eastAsia="Arial" w:hAnsi="Arial"/>
          <w:sz w:val="18"/>
          <w:szCs w:val="18"/>
          <w:u w:val="single" w:color="auto"/>
          <w:color w:val="008000"/>
        </w:rPr>
        <w:t xml:space="preserve"> UST Tranche A Facility Documentation.</w:t>
      </w:r>
    </w:p>
    <w:p>
      <w:pPr>
        <w:spacing w:after="0" w:line="161"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UST Tranche A Facility</w:t>
      </w:r>
      <w:r>
        <w:rPr>
          <w:rFonts w:ascii="Arial" w:cs="Arial" w:eastAsia="Arial" w:hAnsi="Arial"/>
          <w:sz w:val="18"/>
          <w:szCs w:val="18"/>
          <w:u w:val="single" w:color="auto"/>
          <w:color w:val="0000FF"/>
        </w:rPr>
        <w:t xml:space="preserve">” shall mean </w:t>
      </w:r>
      <w:r>
        <w:rPr>
          <w:rFonts w:ascii="Arial" w:cs="Arial" w:eastAsia="Arial" w:hAnsi="Arial"/>
          <w:sz w:val="18"/>
          <w:szCs w:val="18"/>
          <w:u w:val="single" w:color="auto"/>
          <w:color w:val="008000"/>
        </w:rPr>
        <w:t>the credit facility made available to the Borrower pursuant to the</w:t>
      </w:r>
      <w:r>
        <w:rPr>
          <w:rFonts w:ascii="Arial" w:cs="Arial" w:eastAsia="Arial" w:hAnsi="Arial"/>
          <w:sz w:val="18"/>
          <w:szCs w:val="18"/>
          <w:u w:val="single" w:color="auto"/>
          <w:color w:val="0000FF"/>
        </w:rPr>
        <w:t xml:space="preserve"> Prepetition </w:t>
      </w:r>
      <w:r>
        <w:rPr>
          <w:rFonts w:ascii="Arial" w:cs="Arial" w:eastAsia="Arial" w:hAnsi="Arial"/>
          <w:sz w:val="18"/>
          <w:szCs w:val="18"/>
          <w:u w:val="single" w:color="auto"/>
          <w:color w:val="008000"/>
        </w:rPr>
        <w:t>UST Tranche A</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Credit Agreement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-1111250</wp:posOffset>
            </wp:positionV>
            <wp:extent cx="618934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-974090</wp:posOffset>
            </wp:positionV>
            <wp:extent cx="69176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-836930</wp:posOffset>
            </wp:positionV>
            <wp:extent cx="369443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-562610</wp:posOffset>
            </wp:positionV>
            <wp:extent cx="661797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270891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-151130</wp:posOffset>
            </wp:positionV>
            <wp:extent cx="66522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84836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42" w:lineRule="exact"/>
        <w:rPr>
          <w:sz w:val="20"/>
          <w:szCs w:val="20"/>
          <w:color w:val="auto"/>
        </w:rPr>
      </w:pPr>
    </w:p>
    <w:p>
      <w:pPr>
        <w:jc w:val="both"/>
        <w:ind w:right="220" w:firstLine="440"/>
        <w:spacing w:after="0" w:line="289"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Prepetition</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UST Tranche A Only Collateral” shall mean the</w:t>
      </w:r>
      <w:r>
        <w:rPr>
          <w:rFonts w:ascii="Arial" w:cs="Arial" w:eastAsia="Arial" w:hAnsi="Arial"/>
          <w:sz w:val="17"/>
          <w:szCs w:val="17"/>
          <w:u w:val="single" w:color="auto"/>
          <w:color w:val="0000FF"/>
        </w:rPr>
        <w:t xml:space="preserve"> Prepetition UST Tranche </w:t>
      </w:r>
      <w:r>
        <w:rPr>
          <w:rFonts w:ascii="Arial" w:cs="Arial" w:eastAsia="Arial" w:hAnsi="Arial"/>
          <w:sz w:val="17"/>
          <w:szCs w:val="17"/>
          <w:u w:val="single" w:color="auto"/>
          <w:color w:val="008000"/>
        </w:rPr>
        <w:t>A Controlled Account and all Money (as defined in the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UCC) and all cash, checks, other negotiable instruments, funds and other evidences of loan proceeds properly held therein.</w:t>
      </w:r>
      <w:r>
        <w:rPr>
          <w:rFonts w:ascii="Arial" w:cs="Arial" w:eastAsia="Arial" w:hAnsi="Arial"/>
          <w:sz w:val="17"/>
          <w:szCs w:val="17"/>
          <w:color w:val="008000"/>
        </w:rPr>
        <w:t xml:space="preserve"> </w:t>
      </w:r>
      <w:r>
        <w:rPr>
          <w:rFonts w:ascii="Arial" w:cs="Arial" w:eastAsia="Arial" w:hAnsi="Arial"/>
          <w:sz w:val="17"/>
          <w:szCs w:val="17"/>
          <w:color w:val="0000FF"/>
        </w:rPr>
        <w:t>As of the Postpetition B-2</w:t>
      </w:r>
      <w:r>
        <w:rPr>
          <w:rFonts w:ascii="Arial" w:cs="Arial" w:eastAsia="Arial" w:hAnsi="Arial"/>
          <w:sz w:val="17"/>
          <w:szCs w:val="17"/>
          <w:color w:val="008000"/>
        </w:rPr>
        <w:t xml:space="preserve"> </w:t>
      </w:r>
      <w:r>
        <w:rPr>
          <w:rFonts w:ascii="Arial" w:cs="Arial" w:eastAsia="Arial" w:hAnsi="Arial"/>
          <w:sz w:val="17"/>
          <w:szCs w:val="17"/>
          <w:u w:val="single" w:color="auto"/>
          <w:color w:val="0000FF"/>
        </w:rPr>
        <w:t>Facility Closing Date, the aggregate amount held in the Prepetition UST Tranche A Controlled Account was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-290195</wp:posOffset>
            </wp:positionV>
            <wp:extent cx="65405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-153035</wp:posOffset>
            </wp:positionV>
            <wp:extent cx="683196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-187325</wp:posOffset>
            </wp:positionV>
            <wp:extent cx="122174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217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51263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38"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UST Tranche A Secured Parties</w:t>
      </w:r>
      <w:r>
        <w:rPr>
          <w:rFonts w:ascii="Arial" w:cs="Arial" w:eastAsia="Arial" w:hAnsi="Arial"/>
          <w:sz w:val="18"/>
          <w:szCs w:val="18"/>
          <w:u w:val="single" w:color="auto"/>
          <w:color w:val="0000FF"/>
        </w:rPr>
        <w:t>” shall have the meaning assigned to the term “UST Tranche A Secured Parties” in the 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8655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38874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2" w:lineRule="exact"/>
        <w:rPr>
          <w:sz w:val="20"/>
          <w:szCs w:val="20"/>
          <w:color w:val="auto"/>
        </w:rPr>
      </w:pPr>
    </w:p>
    <w:p>
      <w:pPr>
        <w:ind w:right="280" w:firstLine="440"/>
        <w:spacing w:after="0" w:line="289"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Prepetition</w:t>
      </w: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8000"/>
        </w:rPr>
        <w:t>UST Tranche B Agent</w:t>
      </w:r>
      <w:r>
        <w:rPr>
          <w:rFonts w:ascii="Arial" w:cs="Arial" w:eastAsia="Arial" w:hAnsi="Arial"/>
          <w:sz w:val="17"/>
          <w:szCs w:val="17"/>
          <w:u w:val="single" w:color="auto"/>
          <w:color w:val="008000"/>
        </w:rPr>
        <w:t>” shall mean, as the context may require, The Bank of New York Mellon, in its capacity as administrative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agent and as collateral agent under the </w:t>
      </w:r>
      <w:r>
        <w:rPr>
          <w:rFonts w:ascii="Arial" w:cs="Arial" w:eastAsia="Arial" w:hAnsi="Arial"/>
          <w:sz w:val="17"/>
          <w:szCs w:val="17"/>
          <w:u w:val="single" w:color="auto"/>
          <w:color w:val="0000FF"/>
        </w:rPr>
        <w:t>Prepetition</w:t>
      </w:r>
      <w:r>
        <w:rPr>
          <w:rFonts w:ascii="Arial" w:cs="Arial" w:eastAsia="Arial" w:hAnsi="Arial"/>
          <w:sz w:val="17"/>
          <w:szCs w:val="17"/>
          <w:u w:val="single" w:color="auto"/>
          <w:color w:val="008000"/>
        </w:rPr>
        <w:t xml:space="preserve"> UST Tranche B Facility Documentation, such agents collectively or any permitted successor or assignee administrative agent or collateral agent under the Prepetition UST Tranche B Facility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-290195</wp:posOffset>
            </wp:positionV>
            <wp:extent cx="650621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-153035</wp:posOffset>
            </wp:positionV>
            <wp:extent cx="666051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50749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0" w:right="479" w:bottom="1440" w:gutter="0" w:footer="0" w:header="0"/>
        </w:sectPr>
      </w:pPr>
    </w:p>
    <w:bookmarkStart w:id="187" w:name="page188"/>
    <w:bookmarkEnd w:id="187"/>
    <w:p>
      <w:pPr>
        <w:ind w:right="260" w:firstLine="440"/>
        <w:spacing w:after="0" w:line="282"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B Controlled Account</w:t>
      </w:r>
      <w:r>
        <w:rPr>
          <w:rFonts w:ascii="Arial" w:cs="Arial" w:eastAsia="Arial" w:hAnsi="Arial"/>
          <w:sz w:val="18"/>
          <w:szCs w:val="18"/>
          <w:u w:val="single" w:color="auto"/>
          <w:color w:val="008000"/>
        </w:rPr>
        <w:t>” shall have the meaning assigned to</w:t>
      </w:r>
      <w:r>
        <w:rPr>
          <w:rFonts w:ascii="Arial" w:cs="Arial" w:eastAsia="Arial" w:hAnsi="Arial"/>
          <w:sz w:val="18"/>
          <w:szCs w:val="18"/>
          <w:u w:val="single" w:color="auto"/>
          <w:color w:val="0000FF"/>
        </w:rPr>
        <w:t xml:space="preserve"> the term “UST Tranche B Controlled Account” in the Prepetition UST Tranche </w:t>
      </w:r>
      <w:r>
        <w:rPr>
          <w:rFonts w:ascii="Arial" w:cs="Arial" w:eastAsia="Arial" w:hAnsi="Arial"/>
          <w:sz w:val="18"/>
          <w:szCs w:val="18"/>
          <w:u w:val="single" w:color="auto"/>
          <w:color w:val="008000"/>
        </w:rPr>
        <w:t>B Credit Agreement (as in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4050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68617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142"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UST Tranche B Credit Agreement” shall mean that certain</w:t>
      </w:r>
      <w:r>
        <w:rPr>
          <w:rFonts w:ascii="Arial" w:cs="Arial" w:eastAsia="Arial" w:hAnsi="Arial"/>
          <w:sz w:val="18"/>
          <w:szCs w:val="18"/>
          <w:u w:val="single" w:color="auto"/>
          <w:color w:val="0000FF"/>
        </w:rPr>
        <w:t xml:space="preserve"> Prepetition </w:t>
      </w:r>
      <w:r>
        <w:rPr>
          <w:rFonts w:ascii="Arial" w:cs="Arial" w:eastAsia="Arial" w:hAnsi="Arial"/>
          <w:sz w:val="18"/>
          <w:szCs w:val="18"/>
          <w:u w:val="single" w:color="auto"/>
          <w:color w:val="008000"/>
        </w:rPr>
        <w:t>UST Tranche B Term Loan Credit Agreement dated as of</w:t>
      </w:r>
      <w:r>
        <w:rPr>
          <w:rFonts w:ascii="Arial" w:cs="Arial" w:eastAsia="Arial" w:hAnsi="Arial"/>
          <w:sz w:val="18"/>
          <w:szCs w:val="18"/>
          <w:u w:val="single" w:color="auto"/>
          <w:color w:val="0000FF"/>
        </w:rPr>
        <w:t xml:space="preserve"> July </w:t>
      </w:r>
      <w:r>
        <w:rPr>
          <w:rFonts w:ascii="Arial" w:cs="Arial" w:eastAsia="Arial" w:hAnsi="Arial"/>
          <w:sz w:val="18"/>
          <w:szCs w:val="18"/>
          <w:color w:val="0000FF"/>
        </w:rPr>
        <w:t>7, 2020</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among the Borrower, the other subsidiaries of the Borrower party thereto, the lenders party thereto and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Prepetition UST B</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Agent, and as the</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 xml:space="preserve">same may </w:t>
      </w:r>
      <w:r>
        <w:rPr>
          <w:rFonts w:ascii="Arial" w:cs="Arial" w:eastAsia="Arial" w:hAnsi="Arial"/>
          <w:sz w:val="18"/>
          <w:szCs w:val="18"/>
          <w:u w:val="single" w:color="auto"/>
          <w:color w:val="0000FF"/>
        </w:rPr>
        <w:t>have been</w:t>
      </w:r>
      <w:r>
        <w:rPr>
          <w:rFonts w:ascii="Arial" w:cs="Arial" w:eastAsia="Arial" w:hAnsi="Arial"/>
          <w:sz w:val="18"/>
          <w:szCs w:val="18"/>
          <w:u w:val="single" w:color="auto"/>
          <w:color w:val="008000"/>
        </w:rPr>
        <w:t xml:space="preserve"> further amended, restated, modified, supplemented, extended, renewed, restructured, refunded, replaced or refinanced from time to time </w:t>
      </w:r>
      <w:r>
        <w:rPr>
          <w:rFonts w:ascii="Arial" w:cs="Arial" w:eastAsia="Arial" w:hAnsi="Arial"/>
          <w:sz w:val="18"/>
          <w:szCs w:val="18"/>
          <w:u w:val="single" w:color="auto"/>
          <w:color w:val="0000FF"/>
        </w:rPr>
        <w:t>prior to the Petition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70369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-311150</wp:posOffset>
            </wp:positionV>
            <wp:extent cx="6995160" cy="4318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6087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39700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0"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B Facility Documentation</w:t>
      </w:r>
      <w:r>
        <w:rPr>
          <w:rFonts w:ascii="Arial" w:cs="Arial" w:eastAsia="Arial" w:hAnsi="Arial"/>
          <w:sz w:val="18"/>
          <w:szCs w:val="18"/>
          <w:u w:val="single" w:color="auto"/>
          <w:color w:val="008000"/>
        </w:rPr>
        <w:t>” shall mean the</w:t>
      </w:r>
      <w:r>
        <w:rPr>
          <w:rFonts w:ascii="Arial" w:cs="Arial" w:eastAsia="Arial" w:hAnsi="Arial"/>
          <w:sz w:val="18"/>
          <w:szCs w:val="18"/>
          <w:u w:val="single" w:color="auto"/>
          <w:color w:val="0000FF"/>
        </w:rPr>
        <w:t xml:space="preserve"> Prepetition UST Tranche </w:t>
      </w:r>
      <w:r>
        <w:rPr>
          <w:rFonts w:ascii="Arial" w:cs="Arial" w:eastAsia="Arial" w:hAnsi="Arial"/>
          <w:sz w:val="18"/>
          <w:szCs w:val="18"/>
          <w:u w:val="single" w:color="auto"/>
          <w:color w:val="008000"/>
        </w:rPr>
        <w:t>B Credit Agreement and all security</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agreements, guarantees, pledge agreements and other agreements or instruments executed in connection therewith and including all “Loan Documents” (as defined in the </w:t>
      </w:r>
      <w:r>
        <w:rPr>
          <w:rFonts w:ascii="Arial" w:cs="Arial" w:eastAsia="Arial" w:hAnsi="Arial"/>
          <w:sz w:val="18"/>
          <w:szCs w:val="18"/>
          <w:u w:val="single" w:color="auto"/>
          <w:color w:val="0000FF"/>
        </w:rPr>
        <w:t>Prepetition</w:t>
      </w:r>
      <w:r>
        <w:rPr>
          <w:rFonts w:ascii="Arial" w:cs="Arial" w:eastAsia="Arial" w:hAnsi="Arial"/>
          <w:sz w:val="18"/>
          <w:szCs w:val="18"/>
          <w:u w:val="single" w:color="auto"/>
          <w:color w:val="008000"/>
        </w:rPr>
        <w:t xml:space="preserve"> UST Tranche B Credit Agreement) or similar term.</w:t>
      </w:r>
    </w:p>
    <w:p>
      <w:pPr>
        <w:spacing w:after="0" w:line="17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B Facility Indebtedness</w:t>
      </w:r>
      <w:r>
        <w:rPr>
          <w:rFonts w:ascii="Arial" w:cs="Arial" w:eastAsia="Arial" w:hAnsi="Arial"/>
          <w:sz w:val="18"/>
          <w:szCs w:val="18"/>
          <w:u w:val="single" w:color="auto"/>
          <w:color w:val="008000"/>
        </w:rPr>
        <w:t>” shall mean Indebtedness of the Borrower or any Subsidiary outstanding under or secured</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by the </w:t>
      </w:r>
      <w:r>
        <w:rPr>
          <w:rFonts w:ascii="Arial" w:cs="Arial" w:eastAsia="Arial" w:hAnsi="Arial"/>
          <w:sz w:val="18"/>
          <w:szCs w:val="18"/>
          <w:u w:val="single" w:color="auto"/>
          <w:color w:val="0000FF"/>
        </w:rPr>
        <w:t>Prepetition</w:t>
      </w:r>
      <w:r>
        <w:rPr>
          <w:rFonts w:ascii="Arial" w:cs="Arial" w:eastAsia="Arial" w:hAnsi="Arial"/>
          <w:sz w:val="18"/>
          <w:szCs w:val="18"/>
          <w:u w:val="single" w:color="auto"/>
          <w:color w:val="008000"/>
        </w:rPr>
        <w:t xml:space="preserve"> UST Tranche B Facility Documentation</w:t>
      </w:r>
      <w:r>
        <w:rPr>
          <w:rFonts w:ascii="Arial" w:cs="Arial" w:eastAsia="Arial" w:hAnsi="Arial"/>
          <w:sz w:val="18"/>
          <w:szCs w:val="18"/>
          <w:u w:val="single" w:color="auto"/>
          <w:color w:val="0000FF"/>
        </w:rPr>
        <w:t>.</w:t>
      </w:r>
    </w:p>
    <w:p>
      <w:pPr>
        <w:spacing w:after="0" w:line="16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UST Tranche B Facility</w:t>
      </w:r>
      <w:r>
        <w:rPr>
          <w:rFonts w:ascii="Arial" w:cs="Arial" w:eastAsia="Arial" w:hAnsi="Arial"/>
          <w:sz w:val="18"/>
          <w:szCs w:val="18"/>
          <w:u w:val="single" w:color="auto"/>
          <w:color w:val="008000"/>
        </w:rPr>
        <w:t>” shall mean the credit facility made available to the Borrower pursuant to the</w:t>
      </w:r>
      <w:r>
        <w:rPr>
          <w:rFonts w:ascii="Arial" w:cs="Arial" w:eastAsia="Arial" w:hAnsi="Arial"/>
          <w:sz w:val="18"/>
          <w:szCs w:val="18"/>
          <w:u w:val="single" w:color="auto"/>
          <w:color w:val="0000FF"/>
        </w:rPr>
        <w:t xml:space="preserve"> Prepetition </w:t>
      </w:r>
      <w:r>
        <w:rPr>
          <w:rFonts w:ascii="Arial" w:cs="Arial" w:eastAsia="Arial" w:hAnsi="Arial"/>
          <w:sz w:val="18"/>
          <w:szCs w:val="18"/>
          <w:u w:val="single" w:color="auto"/>
          <w:color w:val="008000"/>
        </w:rPr>
        <w:t>UST Tranche B</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Credit Agreement.</w:t>
      </w:r>
    </w:p>
    <w:p>
      <w:pPr>
        <w:spacing w:after="0" w:line="16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Prepetition UST Tranche B Joint Account</w:t>
      </w:r>
      <w:r>
        <w:rPr>
          <w:rFonts w:ascii="Arial" w:cs="Arial" w:eastAsia="Arial" w:hAnsi="Arial"/>
          <w:sz w:val="18"/>
          <w:szCs w:val="18"/>
          <w:u w:val="single" w:color="auto"/>
          <w:color w:val="0000FF"/>
        </w:rPr>
        <w:t>” shall have the meaning assigned to the term “UST Tranche B Joint Account” in the 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-1522730</wp:posOffset>
            </wp:positionV>
            <wp:extent cx="61722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-1385570</wp:posOffset>
            </wp:positionV>
            <wp:extent cx="69176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-1248410</wp:posOffset>
            </wp:positionV>
            <wp:extent cx="369443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6944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-974090</wp:posOffset>
            </wp:positionV>
            <wp:extent cx="661797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-836930</wp:posOffset>
            </wp:positionV>
            <wp:extent cx="27000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-562610</wp:posOffset>
            </wp:positionV>
            <wp:extent cx="663511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8483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-151130</wp:posOffset>
            </wp:positionV>
            <wp:extent cx="65151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38874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2" w:lineRule="exact"/>
        <w:rPr>
          <w:sz w:val="20"/>
          <w:szCs w:val="20"/>
          <w:color w:val="auto"/>
        </w:rPr>
      </w:pPr>
    </w:p>
    <w:p>
      <w:pPr>
        <w:jc w:val="both"/>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PIK Period</w:t>
      </w:r>
      <w:r>
        <w:rPr>
          <w:rFonts w:ascii="Arial" w:cs="Arial" w:eastAsia="Arial" w:hAnsi="Arial"/>
          <w:sz w:val="18"/>
          <w:szCs w:val="18"/>
          <w:b w:val="1"/>
          <w:bCs w:val="1"/>
          <w:u w:val="single" w:color="auto"/>
          <w:color w:val="0000FF"/>
        </w:rPr>
        <w:t>Prepetition UST Tranche B Joint Collateral</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w:t>
      </w:r>
      <w:r>
        <w:rPr>
          <w:rFonts w:ascii="Arial" w:cs="Arial" w:eastAsia="Arial" w:hAnsi="Arial"/>
          <w:sz w:val="18"/>
          <w:szCs w:val="18"/>
          <w:color w:val="FF0000"/>
          <w:strike w:val="1"/>
        </w:rPr>
        <w:t>in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2.06(d)</w:t>
      </w:r>
      <w:r>
        <w:rPr>
          <w:rFonts w:ascii="Arial" w:cs="Arial" w:eastAsia="Arial" w:hAnsi="Arial"/>
          <w:sz w:val="18"/>
          <w:szCs w:val="18"/>
          <w:u w:val="single" w:color="auto"/>
          <w:color w:val="0000FF"/>
        </w:rPr>
        <w:t>“UST Tranche B</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Joint Collateral” in the Prepetition ABL Intercreditor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212598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25980" cy="889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-151130</wp:posOffset>
            </wp:positionV>
            <wp:extent cx="13716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-151130</wp:posOffset>
            </wp:positionV>
            <wp:extent cx="77152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95719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42" w:lineRule="exact"/>
        <w:rPr>
          <w:sz w:val="20"/>
          <w:szCs w:val="20"/>
          <w:color w:val="auto"/>
        </w:rPr>
      </w:pPr>
    </w:p>
    <w:p>
      <w:pPr>
        <w:jc w:val="both"/>
        <w:ind w:right="100" w:firstLine="440"/>
        <w:spacing w:after="0" w:line="25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Plan</w:t>
      </w:r>
      <w:r>
        <w:rPr>
          <w:rFonts w:ascii="Arial" w:cs="Arial" w:eastAsia="Arial" w:hAnsi="Arial"/>
          <w:sz w:val="18"/>
          <w:szCs w:val="18"/>
          <w:color w:val="008000"/>
          <w:strike w:val="1"/>
        </w:rPr>
        <w:t>” shall mean any employee pension benefit plan within the meaning of Section 3(2) of ERISA (other than a Multiemployer Plan) subject to</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the provisions of Title IV of ERISA or Sections 412 and 430 of the Code or Sections 302 and 303 of ERISA and in respect of which a Loan Party, any </w:t>
      </w:r>
      <w:r>
        <w:rPr>
          <w:rFonts w:ascii="Arial" w:cs="Arial" w:eastAsia="Arial" w:hAnsi="Arial"/>
          <w:sz w:val="18"/>
          <w:szCs w:val="18"/>
          <w:color w:val="FF0000"/>
          <w:strike w:val="1"/>
        </w:rPr>
        <w:t xml:space="preserve">Restricted </w:t>
      </w:r>
      <w:r>
        <w:rPr>
          <w:rFonts w:ascii="Arial" w:cs="Arial" w:eastAsia="Arial" w:hAnsi="Arial"/>
          <w:sz w:val="18"/>
          <w:szCs w:val="18"/>
          <w:color w:val="008000"/>
          <w:strike w:val="1"/>
        </w:rPr>
        <w:t>Subsidiary or any of their respective ERISA Affiliates is, or if such plan were terminated would under Section 4069 of ERISA be deemed to</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be, or within the six year period immediately preceding the date hereof was, a “contributing sponsor” as defined in Section 4001(a)(13) of ERISA or an “employer” as defined in Section 3(5) of ERISA.</w:t>
      </w:r>
    </w:p>
    <w:p>
      <w:pPr>
        <w:spacing w:after="0" w:line="18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Prepetition</w:t>
      </w: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8000"/>
        </w:rPr>
        <w:t>UST Tranche B Only Collateral</w:t>
      </w:r>
      <w:r>
        <w:rPr>
          <w:rFonts w:ascii="Arial" w:cs="Arial" w:eastAsia="Arial" w:hAnsi="Arial"/>
          <w:sz w:val="17"/>
          <w:szCs w:val="17"/>
          <w:u w:val="single" w:color="auto"/>
          <w:color w:val="008000"/>
        </w:rPr>
        <w:t>” shall mean the</w:t>
      </w:r>
      <w:r>
        <w:rPr>
          <w:rFonts w:ascii="Arial" w:cs="Arial" w:eastAsia="Arial" w:hAnsi="Arial"/>
          <w:sz w:val="17"/>
          <w:szCs w:val="17"/>
          <w:u w:val="single" w:color="auto"/>
          <w:color w:val="0000FF"/>
        </w:rPr>
        <w:t xml:space="preserve"> Prepetition UST Tranche </w:t>
      </w:r>
      <w:r>
        <w:rPr>
          <w:rFonts w:ascii="Arial" w:cs="Arial" w:eastAsia="Arial" w:hAnsi="Arial"/>
          <w:sz w:val="17"/>
          <w:szCs w:val="17"/>
          <w:u w:val="single" w:color="auto"/>
          <w:color w:val="008000"/>
        </w:rPr>
        <w:t>B Controlled Account and all Money (as defined in the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UCC) and all cash, checks, other negotiable instruments, funds and other evidences of loan proceeds properly held therein. </w:t>
      </w:r>
      <w:r>
        <w:rPr>
          <w:rFonts w:ascii="Arial" w:cs="Arial" w:eastAsia="Arial" w:hAnsi="Arial"/>
          <w:sz w:val="17"/>
          <w:szCs w:val="17"/>
          <w:u w:val="single" w:color="auto"/>
          <w:color w:val="0000FF"/>
        </w:rPr>
        <w:t>As of the Postpetition B-2</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Facility Closing Date, the aggregate amount held in the Prepetition UST Tranche A Controlled Account was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-290195</wp:posOffset>
            </wp:positionV>
            <wp:extent cx="66522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-153035</wp:posOffset>
            </wp:positionV>
            <wp:extent cx="683196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51263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38"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Platform</w:t>
      </w:r>
      <w:r>
        <w:rPr>
          <w:rFonts w:ascii="Arial" w:cs="Arial" w:eastAsia="Arial" w:hAnsi="Arial"/>
          <w:sz w:val="18"/>
          <w:szCs w:val="18"/>
          <w:b w:val="1"/>
          <w:bCs w:val="1"/>
          <w:u w:val="single" w:color="auto"/>
          <w:color w:val="0000FF"/>
        </w:rPr>
        <w:t>Prepetition UST Tranche B Priority Collateral</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w:t>
      </w:r>
      <w:r>
        <w:rPr>
          <w:rFonts w:ascii="Arial" w:cs="Arial" w:eastAsia="Arial" w:hAnsi="Arial"/>
          <w:sz w:val="18"/>
          <w:szCs w:val="18"/>
          <w:color w:val="FF0000"/>
          <w:strike w:val="1"/>
        </w:rPr>
        <w:t>in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10.01</w:t>
      </w:r>
      <w:r>
        <w:rPr>
          <w:rFonts w:ascii="Arial" w:cs="Arial" w:eastAsia="Arial" w:hAnsi="Arial"/>
          <w:sz w:val="18"/>
          <w:szCs w:val="18"/>
          <w:u w:val="single" w:color="auto"/>
          <w:color w:val="0000FF"/>
        </w:rPr>
        <w:t>“UST Tranche B</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Priority Collateral” in the Prepetition ABL Intercreditor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-151130</wp:posOffset>
            </wp:positionV>
            <wp:extent cx="226314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-151130</wp:posOffset>
            </wp:positionV>
            <wp:extent cx="1371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-151130</wp:posOffset>
            </wp:positionV>
            <wp:extent cx="77152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0861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188" w:name="page189"/>
    <w:bookmarkEnd w:id="188"/>
    <w:p>
      <w:pPr>
        <w:ind w:left="4" w:right="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FF0000"/>
          <w:strike w:val="1"/>
        </w:rPr>
        <w:t>Prepayment Premium</w:t>
      </w:r>
      <w:r>
        <w:rPr>
          <w:rFonts w:ascii="Arial" w:cs="Arial" w:eastAsia="Arial" w:hAnsi="Arial"/>
          <w:sz w:val="18"/>
          <w:szCs w:val="18"/>
          <w:b w:val="1"/>
          <w:bCs w:val="1"/>
          <w:u w:val="single" w:color="auto"/>
          <w:color w:val="0000FF"/>
        </w:rPr>
        <w:t>Prepetition UST Tranche B Secured Parties</w:t>
      </w:r>
      <w:r>
        <w:rPr>
          <w:rFonts w:ascii="Arial" w:cs="Arial" w:eastAsia="Arial" w:hAnsi="Arial"/>
          <w:sz w:val="18"/>
          <w:szCs w:val="18"/>
          <w:color w:val="auto"/>
        </w:rPr>
        <w:t xml:space="preserve">” shall have the meaning assigned to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term </w:t>
      </w:r>
      <w:r>
        <w:rPr>
          <w:rFonts w:ascii="Arial" w:cs="Arial" w:eastAsia="Arial" w:hAnsi="Arial"/>
          <w:sz w:val="18"/>
          <w:szCs w:val="18"/>
          <w:color w:val="FF0000"/>
          <w:strike w:val="1"/>
        </w:rPr>
        <w:t>in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2.12(d)</w:t>
      </w:r>
      <w:r>
        <w:rPr>
          <w:rFonts w:ascii="Arial" w:cs="Arial" w:eastAsia="Arial" w:hAnsi="Arial"/>
          <w:sz w:val="18"/>
          <w:szCs w:val="18"/>
          <w:u w:val="single" w:color="auto"/>
          <w:color w:val="0000FF"/>
        </w:rPr>
        <w:t>“UST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Tranche B Secured Parties” the Prepetition ABL Intercreditor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-151130</wp:posOffset>
            </wp:positionV>
            <wp:extent cx="21259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-151130</wp:posOffset>
            </wp:positionV>
            <wp:extent cx="14605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-151130</wp:posOffset>
            </wp:positionV>
            <wp:extent cx="26543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335153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2"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83" w:lineRule="exact"/>
        <w:rPr>
          <w:sz w:val="20"/>
          <w:szCs w:val="20"/>
          <w:color w:val="auto"/>
        </w:rPr>
      </w:pPr>
    </w:p>
    <w:p>
      <w:pPr>
        <w:ind w:left="4" w:right="180" w:firstLine="440"/>
        <w:spacing w:after="0" w:line="347"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Pro Forma Basis</w:t>
      </w:r>
      <w:r>
        <w:rPr>
          <w:rFonts w:ascii="Arial" w:cs="Arial" w:eastAsia="Arial" w:hAnsi="Arial"/>
          <w:sz w:val="16"/>
          <w:szCs w:val="16"/>
          <w:color w:val="FF0000"/>
          <w:strike w:val="1"/>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16"/>
          <w:szCs w:val="16"/>
          <w:u w:val="single" w:color="auto"/>
          <w:color w:val="FF0000"/>
          <w:strike w:val="1"/>
        </w:rPr>
        <w:t>Section 1.10</w:t>
      </w:r>
      <w:r>
        <w:rPr>
          <w:rFonts w:ascii="Arial" w:cs="Arial" w:eastAsia="Arial" w:hAnsi="Arial"/>
          <w:sz w:val="16"/>
          <w:szCs w:val="16"/>
          <w:color w:val="FF0000"/>
          <w:strike w:val="1"/>
        </w:rPr>
        <w:t>.</w:t>
      </w:r>
    </w:p>
    <w:p>
      <w:pPr>
        <w:spacing w:after="0" w:line="116" w:lineRule="exact"/>
        <w:rPr>
          <w:sz w:val="20"/>
          <w:szCs w:val="20"/>
          <w:color w:val="auto"/>
        </w:rPr>
      </w:pPr>
    </w:p>
    <w:p>
      <w:pPr>
        <w:ind w:left="4" w:right="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shall mean, with respect to each Lender at any time a fraction (expressed as a percentage, carried out to the ninth decimal place), the numerator of which is the amount of the Commitments (or, if Commitments have been terminated, the principal amount of the Loans) under the applicable Facility or Facilities of such Lender at such time and the denominator of which is the amount of the aggregate Commitments (or, if the Commitments have been terminated, the principal amount of the Loans) under the applicable Facility or Facilities at such time.</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Projections</w:t>
      </w:r>
      <w:r>
        <w:rPr>
          <w:rFonts w:ascii="Arial" w:cs="Arial" w:eastAsia="Arial" w:hAnsi="Arial"/>
          <w:sz w:val="18"/>
          <w:szCs w:val="18"/>
          <w:color w:val="FF0000"/>
          <w:strike w:val="1"/>
        </w:rPr>
        <w:t xml:space="preserve">” shall have the meaning set forth in </w:t>
      </w:r>
      <w:r>
        <w:rPr>
          <w:rFonts w:ascii="Arial" w:cs="Arial" w:eastAsia="Arial" w:hAnsi="Arial"/>
          <w:sz w:val="18"/>
          <w:szCs w:val="18"/>
          <w:u w:val="single" w:color="auto"/>
          <w:color w:val="FF0000"/>
          <w:strike w:val="1"/>
        </w:rPr>
        <w:t>Section 6.01(c)</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shall mean any Equity Interests that are not Disqualified Equity Interests.</w:t>
      </w:r>
    </w:p>
    <w:p>
      <w:pPr>
        <w:spacing w:after="0" w:line="225" w:lineRule="exact"/>
        <w:rPr>
          <w:sz w:val="20"/>
          <w:szCs w:val="20"/>
          <w:color w:val="auto"/>
        </w:rPr>
      </w:pPr>
    </w:p>
    <w:p>
      <w:pPr>
        <w:ind w:left="4"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w:t>
      </w:r>
      <w:r>
        <w:rPr>
          <w:rFonts w:ascii="Arial" w:cs="Arial" w:eastAsia="Arial" w:hAnsi="Arial"/>
          <w:sz w:val="17"/>
          <w:szCs w:val="17"/>
          <w:color w:val="auto"/>
        </w:rPr>
        <w:t>” shall mean,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w:t>
      </w:r>
      <w:r>
        <w:rPr>
          <w:rFonts w:ascii="Arial" w:cs="Arial" w:eastAsia="Arial" w:hAnsi="Arial"/>
          <w:sz w:val="17"/>
          <w:szCs w:val="17"/>
          <w:u w:val="single" w:color="auto"/>
          <w:color w:val="0000FF"/>
        </w:rPr>
        <w:t>, intangibles</w:t>
      </w:r>
      <w:r>
        <w:rPr>
          <w:rFonts w:ascii="Arial" w:cs="Arial" w:eastAsia="Arial" w:hAnsi="Arial"/>
          <w:sz w:val="17"/>
          <w:szCs w:val="17"/>
          <w:color w:val="auto"/>
        </w:rPr>
        <w:t xml:space="preserve"> and contract rights and other property and rights incidental to the ownership, lease or operation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6000750</wp:posOffset>
            </wp:positionH>
            <wp:positionV relativeFrom="paragraph">
              <wp:posOffset>-149225</wp:posOffset>
            </wp:positionV>
            <wp:extent cx="55689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45" w:lineRule="exact"/>
        <w:rPr>
          <w:sz w:val="20"/>
          <w:szCs w:val="20"/>
          <w:color w:val="auto"/>
        </w:rPr>
      </w:pPr>
    </w:p>
    <w:p>
      <w:pPr>
        <w:ind w:left="4" w:right="360" w:firstLine="440"/>
        <w:spacing w:after="0" w:line="25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Real Property Disposition Proceeds</w:t>
      </w:r>
      <w:r>
        <w:rPr>
          <w:rFonts w:ascii="Arial" w:cs="Arial" w:eastAsia="Arial" w:hAnsi="Arial"/>
          <w:sz w:val="18"/>
          <w:szCs w:val="18"/>
          <w:color w:val="FF0000"/>
          <w:strike w:val="1"/>
        </w:rPr>
        <w:t>” shall mean any Net Proceeds realized from a Disposition of, or Sale and Leaseback Transaction with respect to, any Real Property, including, for the avoidance of doubt, (i) any Pension Real Property in each case, consummated on or after the Restatement Effective Date and (ii) any Specified Amendment No. 3 Real Property, in each case, consummated on or after the Amendment No. 3 Effective Date (other than, in each case, leases of Real Property entered into in the ordinary course of business (excluding Sale and Leaseback Transactions)).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Refinanced Debt</w:t>
      </w:r>
      <w:r>
        <w:rPr>
          <w:rFonts w:ascii="Arial" w:cs="Arial" w:eastAsia="Arial" w:hAnsi="Arial"/>
          <w:sz w:val="18"/>
          <w:szCs w:val="18"/>
          <w:color w:val="FF0000"/>
          <w:strike w:val="1"/>
        </w:rPr>
        <w:t>” shall have the meaning specified in the definition of “Credit Agreement Refinancing Indebtedness”.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Refinancing Amendment</w:t>
      </w:r>
      <w:r>
        <w:rPr>
          <w:rFonts w:ascii="Arial" w:cs="Arial" w:eastAsia="Arial" w:hAnsi="Arial"/>
          <w:sz w:val="16"/>
          <w:szCs w:val="16"/>
          <w:color w:val="FF0000"/>
          <w:strike w:val="1"/>
        </w:rPr>
        <w:t>” shall mean an amendment to this Agreement executed by each of (a) the Borrower, (b) the Administrative Agent,</w:t>
      </w:r>
    </w:p>
    <w:p>
      <w:pPr>
        <w:spacing w:after="0" w:line="50" w:lineRule="exact"/>
        <w:rPr>
          <w:sz w:val="20"/>
          <w:szCs w:val="20"/>
          <w:color w:val="auto"/>
        </w:rPr>
      </w:pPr>
    </w:p>
    <w:p>
      <w:pPr>
        <w:ind w:left="4" w:right="240" w:hanging="4"/>
        <w:spacing w:after="0" w:line="323" w:lineRule="auto"/>
        <w:tabs>
          <w:tab w:leader="none" w:pos="249" w:val="left"/>
        </w:tabs>
        <w:numPr>
          <w:ilvl w:val="0"/>
          <w:numId w:val="111"/>
        </w:numPr>
        <w:rPr>
          <w:rFonts w:ascii="Arial" w:cs="Arial" w:eastAsia="Arial" w:hAnsi="Arial"/>
          <w:sz w:val="16"/>
          <w:szCs w:val="16"/>
          <w:color w:val="FF0000"/>
          <w:strike w:val="1"/>
        </w:rPr>
      </w:pPr>
      <w:r>
        <w:rPr>
          <w:rFonts w:ascii="Arial" w:cs="Arial" w:eastAsia="Arial" w:hAnsi="Arial"/>
          <w:sz w:val="16"/>
          <w:szCs w:val="16"/>
          <w:color w:val="FF0000"/>
          <w:strike w:val="1"/>
        </w:rPr>
        <w:t xml:space="preserve">each Additional Lender that will make an Other Term Loan pursuant to such Refinancing Amendment and (d) each existing Lender that agrees to provide any portion of the Credit Agreement Refinancing Indebtedness being incurred pursuant thereto, in accordance with </w:t>
      </w:r>
      <w:r>
        <w:rPr>
          <w:rFonts w:ascii="Arial" w:cs="Arial" w:eastAsia="Arial" w:hAnsi="Arial"/>
          <w:sz w:val="16"/>
          <w:szCs w:val="16"/>
          <w:u w:val="single" w:color="auto"/>
          <w:color w:val="FF0000"/>
          <w:strike w:val="1"/>
        </w:rPr>
        <w:t>Section 2.18</w:t>
      </w:r>
      <w:r>
        <w:rPr>
          <w:rFonts w:ascii="Arial" w:cs="Arial" w:eastAsia="Arial" w:hAnsi="Arial"/>
          <w:sz w:val="16"/>
          <w:szCs w:val="16"/>
          <w:color w:val="FF0000"/>
          <w:strike w:val="1"/>
        </w:rPr>
        <w:t>.</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4"/>
          </w:cols>
          <w:pgMar w:left="436" w:top="270" w:right="499" w:bottom="1440" w:gutter="0" w:footer="0" w:header="0"/>
        </w:sectPr>
      </w:pPr>
    </w:p>
    <w:bookmarkStart w:id="189" w:name="page190"/>
    <w:bookmarkEnd w:id="189"/>
    <w:p>
      <w:pPr>
        <w:ind w:left="440" w:right="4160"/>
        <w:spacing w:after="0" w:line="563"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6"/>
          <w:szCs w:val="16"/>
          <w:b w:val="1"/>
          <w:bCs w:val="1"/>
          <w:color w:val="FF0000"/>
          <w:strike w:val="1"/>
        </w:rPr>
        <w:t>Refinancing Transaction</w:t>
      </w:r>
      <w:r>
        <w:rPr>
          <w:rFonts w:ascii="Arial" w:cs="Arial" w:eastAsia="Arial" w:hAnsi="Arial"/>
          <w:sz w:val="16"/>
          <w:szCs w:val="16"/>
          <w:color w:val="008000"/>
          <w:strike w:val="1"/>
        </w:rPr>
        <w:t>” shall have the meaning assigned to such term in the recitals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w:t>
      </w:r>
      <w:r>
        <w:rPr>
          <w:rFonts w:ascii="Arial" w:cs="Arial" w:eastAsia="Arial" w:hAnsi="Arial"/>
          <w:sz w:val="16"/>
          <w:szCs w:val="16"/>
          <w:b w:val="1"/>
          <w:bCs w:val="1"/>
          <w:color w:val="000000"/>
          <w:strike w:val="1"/>
        </w:rPr>
        <w:t>Register</w:t>
      </w:r>
      <w:r>
        <w:rPr>
          <w:rFonts w:ascii="Arial" w:cs="Arial" w:eastAsia="Arial" w:hAnsi="Arial"/>
          <w:sz w:val="16"/>
          <w:szCs w:val="16"/>
          <w:color w:val="000000"/>
          <w:strike w:val="1"/>
        </w:rPr>
        <w:t xml:space="preserve">” shall have the meaning assigned to such term in </w:t>
      </w:r>
      <w:r>
        <w:rPr>
          <w:rFonts w:ascii="Arial" w:cs="Arial" w:eastAsia="Arial" w:hAnsi="Arial"/>
          <w:sz w:val="16"/>
          <w:szCs w:val="16"/>
          <w:u w:val="single" w:color="auto"/>
          <w:color w:val="000000"/>
          <w:strike w:val="1"/>
        </w:rPr>
        <w:t>Section 10.04(d)</w:t>
      </w:r>
      <w:r>
        <w:rPr>
          <w:rFonts w:ascii="Arial" w:cs="Arial" w:eastAsia="Arial" w:hAnsi="Arial"/>
          <w:sz w:val="16"/>
          <w:szCs w:val="16"/>
          <w:color w:val="000000"/>
          <w:strike w:val="1"/>
        </w:rPr>
        <w:t>.</w:t>
      </w:r>
    </w:p>
    <w:p>
      <w:pPr>
        <w:spacing w:after="0" w:line="1"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Registered Equivalent Notes</w:t>
      </w:r>
      <w:r>
        <w:rPr>
          <w:rFonts w:ascii="Arial" w:cs="Arial" w:eastAsia="Arial" w:hAnsi="Arial"/>
          <w:sz w:val="18"/>
          <w:szCs w:val="18"/>
          <w:color w:val="FF0000"/>
          <w:strike w:val="1"/>
        </w:rPr>
        <w:t>” shall mean,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all official rulings and interpretations thereunder or thereof.</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all official rulings and interpretations thereunder or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Rejection Notice</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2.13(d)</w:t>
      </w:r>
      <w:r>
        <w:rPr>
          <w:rFonts w:ascii="Arial" w:cs="Arial" w:eastAsia="Arial" w:hAnsi="Arial"/>
          <w:sz w:val="18"/>
          <w:szCs w:val="18"/>
          <w:color w:val="FF0000"/>
          <w:strike w:val="1"/>
        </w:rPr>
        <w:t>.</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or commingled investment vehicle that invests in loans, any other fund that invests in loans and is managed or advised by the same investment advisor/manager as such Lender or by an Affiliate of such investment advisor/manager.</w:t>
      </w:r>
    </w:p>
    <w:p>
      <w:pPr>
        <w:spacing w:after="0" w:line="176" w:lineRule="exact"/>
        <w:rPr>
          <w:sz w:val="20"/>
          <w:szCs w:val="20"/>
          <w:color w:val="auto"/>
        </w:rPr>
      </w:pPr>
    </w:p>
    <w:p>
      <w:pPr>
        <w:ind w:right="6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Parties</w:t>
      </w:r>
      <w:r>
        <w:rPr>
          <w:rFonts w:ascii="Arial" w:cs="Arial" w:eastAsia="Arial" w:hAnsi="Arial"/>
          <w:sz w:val="17"/>
          <w:szCs w:val="17"/>
          <w:color w:val="auto"/>
        </w:rPr>
        <w:t xml:space="preserve">” shall mean, with respect to any specified Person, such Person’s Affiliates and the respective directors, trustees, officers, </w:t>
      </w:r>
      <w:r>
        <w:rPr>
          <w:rFonts w:ascii="Arial" w:cs="Arial" w:eastAsia="Arial" w:hAnsi="Arial"/>
          <w:sz w:val="17"/>
          <w:szCs w:val="17"/>
          <w:u w:val="single" w:color="auto"/>
          <w:color w:val="0000FF"/>
        </w:rPr>
        <w:t>fiduciaries,</w:t>
      </w:r>
      <w:r>
        <w:rPr>
          <w:rFonts w:ascii="Arial" w:cs="Arial" w:eastAsia="Arial" w:hAnsi="Arial"/>
          <w:sz w:val="17"/>
          <w:szCs w:val="17"/>
          <w:color w:val="0000FF"/>
        </w:rPr>
        <w:t xml:space="preserve"> </w:t>
      </w:r>
      <w:r>
        <w:rPr>
          <w:rFonts w:ascii="Arial" w:cs="Arial" w:eastAsia="Arial" w:hAnsi="Arial"/>
          <w:sz w:val="17"/>
          <w:szCs w:val="17"/>
          <w:color w:val="000000"/>
        </w:rPr>
        <w:t>employees, agents and advisors</w:t>
      </w:r>
      <w:r>
        <w:rPr>
          <w:rFonts w:ascii="Arial" w:cs="Arial" w:eastAsia="Arial" w:hAnsi="Arial"/>
          <w:sz w:val="17"/>
          <w:szCs w:val="17"/>
          <w:u w:val="single" w:color="auto"/>
          <w:color w:val="0000FF"/>
        </w:rPr>
        <w:t>, attorneys and representatives</w:t>
      </w:r>
      <w:r>
        <w:rPr>
          <w:rFonts w:ascii="Arial" w:cs="Arial" w:eastAsia="Arial" w:hAnsi="Arial"/>
          <w:sz w:val="17"/>
          <w:szCs w:val="17"/>
          <w:color w:val="0000FF"/>
        </w:rPr>
        <w:t xml:space="preserve"> </w:t>
      </w:r>
      <w:r>
        <w:rPr>
          <w:rFonts w:ascii="Arial" w:cs="Arial" w:eastAsia="Arial" w:hAnsi="Arial"/>
          <w:sz w:val="17"/>
          <w:szCs w:val="17"/>
          <w:color w:val="000000"/>
        </w:rPr>
        <w:t>of such Person and such Person’s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54038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-27305</wp:posOffset>
            </wp:positionV>
            <wp:extent cx="13798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20"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shall mean any release, spill, emission, leaking, dumping, injection, pouring, deposit, disposal, discharge, dispersal, leaching or migration into or through the environment or from, within or upon any vessel, vehicle, building, structure, facility or fixture.</w:t>
      </w:r>
    </w:p>
    <w:p>
      <w:pPr>
        <w:spacing w:after="0" w:line="14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xml:space="preserve">” shall mean any of the events set forth in Section 4043(c) of ERISA or the regulations issued thereunder, other than events for which the thirty (30) day notice period has been waived with respect to a </w:t>
      </w:r>
      <w:r>
        <w:rPr>
          <w:rFonts w:ascii="Arial" w:cs="Arial" w:eastAsia="Arial" w:hAnsi="Arial"/>
          <w:sz w:val="18"/>
          <w:szCs w:val="18"/>
          <w:u w:val="single" w:color="auto"/>
          <w:color w:val="0000FF"/>
        </w:rPr>
        <w:t>Pension</w:t>
      </w:r>
      <w:r>
        <w:rPr>
          <w:rFonts w:ascii="Arial" w:cs="Arial" w:eastAsia="Arial" w:hAnsi="Arial"/>
          <w:sz w:val="18"/>
          <w:szCs w:val="18"/>
          <w:color w:val="auto"/>
        </w:rPr>
        <w:t xml:space="preser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-13970</wp:posOffset>
            </wp:positionV>
            <wp:extent cx="3860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4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xml:space="preserve">” shall mean a request by the Borrower in accordance with the terms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or such other form as shall be approved by the Administrative Agent.</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Required Class Lenders</w:t>
      </w:r>
      <w:r>
        <w:rPr>
          <w:rFonts w:ascii="Arial" w:cs="Arial" w:eastAsia="Arial" w:hAnsi="Arial"/>
          <w:sz w:val="18"/>
          <w:szCs w:val="18"/>
          <w:color w:val="FF0000"/>
          <w:strike w:val="1"/>
        </w:rPr>
        <w:t>” shall mean, as of any date of determination, Lenders of a Class having more than 50% of the sum of the outstanding Loans and unused Commitments of the applicable Class.</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Required Lenders</w:t>
      </w:r>
      <w:r>
        <w:rPr>
          <w:rFonts w:ascii="Arial" w:cs="Arial" w:eastAsia="Arial" w:hAnsi="Arial"/>
          <w:sz w:val="18"/>
          <w:szCs w:val="18"/>
          <w:color w:val="FF0000"/>
          <w:strike w:val="1"/>
        </w:rPr>
        <w:t>” shall mean, at any time, Lenders having Loans and unused Term Loan Commitments representing more than 50% of the sum of all Loans outstanding and unused Term Loan Commitments at such time.</w:t>
      </w:r>
    </w:p>
    <w:p>
      <w:pPr>
        <w:spacing w:after="0" w:line="162" w:lineRule="exact"/>
        <w:rPr>
          <w:sz w:val="20"/>
          <w:szCs w:val="20"/>
          <w:color w:val="auto"/>
        </w:rPr>
      </w:pPr>
    </w:p>
    <w:p>
      <w:pPr>
        <w:ind w:right="520" w:firstLine="440"/>
        <w:spacing w:after="0" w:line="347"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Required Opinion State</w:t>
      </w:r>
      <w:r>
        <w:rPr>
          <w:rFonts w:ascii="Arial" w:cs="Arial" w:eastAsia="Arial" w:hAnsi="Arial"/>
          <w:sz w:val="16"/>
          <w:szCs w:val="16"/>
          <w:color w:val="FF0000"/>
          <w:strike w:val="1"/>
        </w:rPr>
        <w:t>” shall mean each of the following states: Pennsylvania, California, Ohio, New York, Illinois, New Jersey, Texas, Michigan, Tennessee, North Carolina, Oregon, Georgia, Maryland, Indiana, Missouri, Wisconsin, South Carolina, Nevada, Minnesota and Utah.</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0" w:right="459" w:bottom="1440" w:gutter="0" w:footer="0" w:header="0"/>
        </w:sectPr>
      </w:pPr>
    </w:p>
    <w:bookmarkStart w:id="190" w:name="page191"/>
    <w:bookmarkEnd w:id="190"/>
    <w:p>
      <w:pPr>
        <w:ind w:right="100"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xml:space="preserve">” shall mean the chief executive officer, president, vice president, chief financial officer, treasurer, assistant treasurer, director of treasury or other similar officer of a Loan Party and, as to any document delivered on the </w:t>
      </w:r>
      <w:r>
        <w:rPr>
          <w:rFonts w:ascii="Arial" w:cs="Arial" w:eastAsia="Arial" w:hAnsi="Arial"/>
          <w:sz w:val="18"/>
          <w:szCs w:val="18"/>
          <w:color w:val="FF0000"/>
          <w:strike w:val="1"/>
        </w:rPr>
        <w:t>Restatement</w:t>
      </w:r>
      <w:r>
        <w:rPr>
          <w:rFonts w:ascii="Arial" w:cs="Arial" w:eastAsia="Arial" w:hAnsi="Arial"/>
          <w:sz w:val="18"/>
          <w:szCs w:val="18"/>
          <w:u w:val="single" w:color="auto"/>
          <w:color w:val="0000FF"/>
        </w:rPr>
        <w:t>Postpetition B-2 Facility Closing Date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the Amendment No. 4</w:t>
      </w:r>
      <w:r>
        <w:rPr>
          <w:rFonts w:ascii="Arial" w:cs="Arial" w:eastAsia="Arial" w:hAnsi="Arial"/>
          <w:sz w:val="18"/>
          <w:szCs w:val="18"/>
          <w:color w:val="0000FF"/>
        </w:rPr>
        <w:t xml:space="preserve"> </w:t>
      </w:r>
      <w:r>
        <w:rPr>
          <w:rFonts w:ascii="Arial" w:cs="Arial" w:eastAsia="Arial" w:hAnsi="Arial"/>
          <w:sz w:val="18"/>
          <w:szCs w:val="18"/>
          <w:color w:val="000000"/>
        </w:rPr>
        <w:t>Effective Date, any secretary or assistant secretary of such Loan Party. Any document delivered hereunder that is signed by a</w:t>
      </w:r>
      <w:r>
        <w:rPr>
          <w:rFonts w:ascii="Arial" w:cs="Arial" w:eastAsia="Arial" w:hAnsi="Arial"/>
          <w:sz w:val="18"/>
          <w:szCs w:val="18"/>
          <w:color w:val="0000FF"/>
        </w:rPr>
        <w:t xml:space="preserve"> </w:t>
      </w:r>
      <w:r>
        <w:rPr>
          <w:rFonts w:ascii="Arial" w:cs="Arial" w:eastAsia="Arial" w:hAnsi="Arial"/>
          <w:sz w:val="18"/>
          <w:szCs w:val="18"/>
          <w:color w:val="000000"/>
        </w:rPr>
        <w:t>Responsible Officer of a Loan Party shall be conclusively presumed by the recipient of such document to have been authorized by all necessary corporate, partnership and/or other action on the part of such Loan Party and such Responsible Officer shall be conclusively presumed by the recipient of such document to have acted on behalf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-546100</wp:posOffset>
            </wp:positionV>
            <wp:extent cx="17487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748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113982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67"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Restatement Effective</w:t>
      </w:r>
      <w:r>
        <w:rPr>
          <w:rFonts w:ascii="Arial" w:cs="Arial" w:eastAsia="Arial" w:hAnsi="Arial"/>
          <w:sz w:val="18"/>
          <w:szCs w:val="18"/>
          <w:color w:val="FF0000"/>
          <w:strike w:val="1"/>
        </w:rPr>
        <w:t xml:space="preserve"> </w:t>
      </w:r>
      <w:r>
        <w:rPr>
          <w:rFonts w:ascii="Arial" w:cs="Arial" w:eastAsia="Arial" w:hAnsi="Arial"/>
          <w:sz w:val="18"/>
          <w:szCs w:val="18"/>
          <w:b w:val="1"/>
          <w:bCs w:val="1"/>
          <w:color w:val="008000"/>
          <w:strike w:val="1"/>
        </w:rPr>
        <w:t>Date</w:t>
      </w:r>
      <w:r>
        <w:rPr>
          <w:rFonts w:ascii="Arial" w:cs="Arial" w:eastAsia="Arial" w:hAnsi="Arial"/>
          <w:sz w:val="18"/>
          <w:szCs w:val="18"/>
          <w:color w:val="008000"/>
          <w:strike w:val="1"/>
        </w:rPr>
        <w:t>” means the date on which the</w:t>
      </w:r>
      <w:r>
        <w:rPr>
          <w:rFonts w:ascii="Arial" w:cs="Arial" w:eastAsia="Arial" w:hAnsi="Arial"/>
          <w:sz w:val="18"/>
          <w:szCs w:val="18"/>
          <w:color w:val="FF0000"/>
          <w:strike w:val="1"/>
        </w:rPr>
        <w:t xml:space="preserve"> conditions specified in Section 4.02 are satisfied (or waived in accordance with Article 9), which date is September 11, 2019.</w:t>
      </w:r>
    </w:p>
    <w:p>
      <w:pPr>
        <w:spacing w:after="0" w:line="162"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xml:space="preserve">” shall mean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any dividend or other distribution (whether in cash, securities or other property) with respect to any Equity Interest of the Borrower or any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or any payment (whether in cash, securities or other property), including any sinking fund or similar deposit, on account of the purchase, redemption, retirement, defeasance, acquisition, cancellation or termination of any such Equity Interest of the Borrower or any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or on account of any return of capital to the Borrower’s or a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Subsidiary’s stockholders, partners or members (or the equivalent Persons thereof) </w:t>
      </w:r>
      <w:r>
        <w:rPr>
          <w:rFonts w:ascii="Arial" w:cs="Arial" w:eastAsia="Arial" w:hAnsi="Arial"/>
          <w:sz w:val="16"/>
          <w:szCs w:val="16"/>
          <w:color w:val="0000FF"/>
        </w:rPr>
        <w:t>and (ii) any payment to any board member</w:t>
      </w:r>
      <w:r>
        <w:rPr>
          <w:rFonts w:ascii="Arial" w:cs="Arial" w:eastAsia="Arial" w:hAnsi="Arial"/>
          <w:sz w:val="16"/>
          <w:szCs w:val="16"/>
          <w:color w:val="auto"/>
        </w:rPr>
        <w:t xml:space="preserve"> </w:t>
      </w:r>
      <w:r>
        <w:rPr>
          <w:rFonts w:ascii="Arial" w:cs="Arial" w:eastAsia="Arial" w:hAnsi="Arial"/>
          <w:sz w:val="16"/>
          <w:szCs w:val="16"/>
          <w:u w:val="single" w:color="auto"/>
          <w:color w:val="008000"/>
        </w:rPr>
        <w:t>of any Loan Party or any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Subsidiary thereof</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-567055</wp:posOffset>
            </wp:positionV>
            <wp:extent cx="13716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-52705</wp:posOffset>
            </wp:positionV>
            <wp:extent cx="4046220" cy="431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046220" cy="43180"/>
                    </a:xfrm>
                    <a:prstGeom prst="rect">
                      <a:avLst/>
                    </a:prstGeom>
                    <a:noFill/>
                  </pic:spPr>
                </pic:pic>
              </a:graphicData>
            </a:graphic>
          </wp:anchor>
        </w:drawing>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Restricted Subsidiary</w:t>
      </w:r>
      <w:r>
        <w:rPr>
          <w:rFonts w:ascii="Arial" w:cs="Arial" w:eastAsia="Arial" w:hAnsi="Arial"/>
          <w:sz w:val="18"/>
          <w:szCs w:val="18"/>
          <w:color w:val="008000"/>
          <w:strike w:val="1"/>
        </w:rPr>
        <w:t>” shall mean each Subsidiary of the Borrower</w:t>
      </w:r>
      <w:r>
        <w:rPr>
          <w:rFonts w:ascii="Arial" w:cs="Arial" w:eastAsia="Arial" w:hAnsi="Arial"/>
          <w:sz w:val="18"/>
          <w:szCs w:val="18"/>
          <w:color w:val="FF0000"/>
          <w:strike w:val="1"/>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Retained Percentage</w:t>
      </w:r>
      <w:r>
        <w:rPr>
          <w:rFonts w:ascii="Arial" w:cs="Arial" w:eastAsia="Arial" w:hAnsi="Arial"/>
          <w:sz w:val="18"/>
          <w:szCs w:val="18"/>
          <w:color w:val="FF0000"/>
          <w:strike w:val="1"/>
        </w:rPr>
        <w:t>” shall mean, with respect to any Excess Cash Flow Period (a) 100% minus (b) the Applicable ECF Percentage with respect to such Excess Cash Flow Period.</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Rolling Stock</w:t>
      </w:r>
      <w:r>
        <w:rPr>
          <w:rFonts w:ascii="Arial" w:cs="Arial" w:eastAsia="Arial" w:hAnsi="Arial"/>
          <w:sz w:val="18"/>
          <w:szCs w:val="18"/>
          <w:color w:val="auto"/>
        </w:rPr>
        <w:t>” shall mean any vehicles, tractors, trucks, trailers, tank trailer and other trailers, or similar vehicles and trailers, railroad cars, locomotives, stacktrains and other rolling stock and accessories used on such railroad cars, locomotives or other rolling stock (including superstructures and racks).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 or any successor thereto.</w:t>
      </w:r>
    </w:p>
    <w:p>
      <w:pPr>
        <w:spacing w:after="0" w:line="225"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Sale and Leaseback Transaction</w:t>
      </w:r>
      <w:r>
        <w:rPr>
          <w:rFonts w:ascii="Arial" w:cs="Arial" w:eastAsia="Arial" w:hAnsi="Arial"/>
          <w:sz w:val="18"/>
          <w:szCs w:val="18"/>
          <w:color w:val="FF0000"/>
          <w:strike w:val="1"/>
        </w:rPr>
        <w:t>” shall mean any arrangement, directly or indirectly, whereby a seller or transferor shall sell or otherwise transfer any real or personal property and then or thereafter lease, or repurchase under an extended purchase contract, conditional sales or other title retention agreement, the same property.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Governmental Authority that is the successor thereto.</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Second Day Orders</w:t>
      </w:r>
      <w:r>
        <w:rPr>
          <w:rFonts w:ascii="Arial" w:cs="Arial" w:eastAsia="Arial" w:hAnsi="Arial"/>
          <w:sz w:val="18"/>
          <w:szCs w:val="18"/>
          <w:u w:val="single" w:color="auto"/>
          <w:color w:val="0000FF"/>
        </w:rPr>
        <w:t>” shall mean all “second day orders” with respect to the Chapter 11 Cases in form and substance satisfactory to the Lenders (and with respect to any provisions that affect the rights or duties of any Agent, such Agent), as the same may be amended, modified or supplemented from time to time with the express written joinder or consent of the Lenders (and with respect to amendments, modifications or supplements that affect the rights or duties of any Agent, such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63511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4911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0054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1170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0" w:lineRule="exact"/>
        <w:rPr>
          <w:sz w:val="20"/>
          <w:szCs w:val="20"/>
          <w:color w:val="auto"/>
        </w:rPr>
      </w:pPr>
    </w:p>
    <w:p>
      <w:pPr>
        <w:ind w:right="200" w:firstLine="440"/>
        <w:spacing w:after="0" w:line="281" w:lineRule="auto"/>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Second Postpetition Commitment</w:t>
      </w:r>
      <w:r>
        <w:rPr>
          <w:rFonts w:ascii="Arial" w:cs="Arial" w:eastAsia="Arial" w:hAnsi="Arial"/>
          <w:sz w:val="17"/>
          <w:szCs w:val="17"/>
          <w:u w:val="single" w:color="auto"/>
          <w:color w:val="0000FF"/>
        </w:rPr>
        <w:t xml:space="preserve">” means, as to each Lender, its obligations to make Second Postpetition Loans </w:t>
      </w:r>
      <w:r>
        <w:rPr>
          <w:rFonts w:ascii="Arial" w:cs="Arial" w:eastAsia="Arial" w:hAnsi="Arial"/>
          <w:sz w:val="17"/>
          <w:szCs w:val="17"/>
          <w:u w:val="single" w:color="auto"/>
          <w:color w:val="008000"/>
        </w:rPr>
        <w:t>to the Borrower pursuant to</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Section 2.01(b) in an aggregate principal amount not to exceed </w:t>
      </w:r>
      <w:r>
        <w:rPr>
          <w:rFonts w:ascii="Arial" w:cs="Arial" w:eastAsia="Arial" w:hAnsi="Arial"/>
          <w:sz w:val="17"/>
          <w:szCs w:val="17"/>
          <w:u w:val="single" w:color="auto"/>
          <w:color w:val="0000FF"/>
        </w:rPr>
        <w:t>the amount set forth opposite such Lender’s name on Appendix B under the caption</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“Second Postpetition Commitment.” The aggregate amount of the Second Postpetition Commitments immediately prior to the making of the Second Postpetition Loans on the Amendment No. 4 Effective Date is $26,315,789.47.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-423545</wp:posOffset>
            </wp:positionV>
            <wp:extent cx="65747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672909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78942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360870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191" w:name="page192"/>
    <w:bookmarkEnd w:id="191"/>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u w:val="single" w:color="auto"/>
          <w:color w:val="0000FF"/>
        </w:rPr>
        <w:t>Second Postpetition Loan</w:t>
      </w:r>
      <w:r>
        <w:rPr>
          <w:rFonts w:ascii="Arial" w:cs="Arial" w:eastAsia="Arial" w:hAnsi="Arial"/>
          <w:sz w:val="18"/>
          <w:szCs w:val="18"/>
          <w:u w:val="single" w:color="auto"/>
          <w:color w:val="0000FF"/>
        </w:rPr>
        <w:t>” means a term loan made pursuant to Section 2.02(b).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81444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20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w:t>
      </w:r>
      <w:r>
        <w:rPr>
          <w:rFonts w:ascii="Arial" w:cs="Arial" w:eastAsia="Arial" w:hAnsi="Arial"/>
          <w:sz w:val="18"/>
          <w:szCs w:val="18"/>
          <w:color w:val="FF0000"/>
          <w:strike w:val="1"/>
        </w:rPr>
        <w:t>shall have the meaning assigned to such term in the Security Agreement</w:t>
      </w:r>
      <w:r>
        <w:rPr>
          <w:rFonts w:ascii="Arial" w:cs="Arial" w:eastAsia="Arial" w:hAnsi="Arial"/>
          <w:sz w:val="18"/>
          <w:szCs w:val="18"/>
          <w:u w:val="single" w:color="auto"/>
          <w:color w:val="0000FF"/>
        </w:rPr>
        <w:t>means the Agents, the Lenders, the Indemnitees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any other holders of the Obligations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-151130</wp:posOffset>
            </wp:positionV>
            <wp:extent cx="23831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64592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xml:space="preserve">” as defined in the UCC </w:t>
      </w:r>
      <w:r>
        <w:rPr>
          <w:rFonts w:ascii="Arial" w:cs="Arial" w:eastAsia="Arial" w:hAnsi="Arial"/>
          <w:sz w:val="18"/>
          <w:szCs w:val="18"/>
          <w:color w:val="0000FF"/>
        </w:rPr>
        <w:t>or the PPSA, as applicable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26035</wp:posOffset>
            </wp:positionV>
            <wp:extent cx="124269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-7620</wp:posOffset>
            </wp:positionV>
            <wp:extent cx="124396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Securities Act</w:t>
      </w:r>
      <w:r>
        <w:rPr>
          <w:rFonts w:ascii="Arial" w:cs="Arial" w:eastAsia="Arial" w:hAnsi="Arial"/>
          <w:sz w:val="18"/>
          <w:szCs w:val="18"/>
          <w:color w:val="FF0000"/>
          <w:strike w:val="1"/>
        </w:rPr>
        <w:t>” shall mean the Securities Act of 1933, as amended.</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xml:space="preserve">” shall mean, except as the context may otherwise require, both (a) the Amended and Restated Security Agreement dated as of </w:t>
      </w:r>
      <w:r>
        <w:rPr>
          <w:rFonts w:ascii="Arial" w:cs="Arial" w:eastAsia="Arial" w:hAnsi="Arial"/>
          <w:sz w:val="16"/>
          <w:szCs w:val="16"/>
          <w:color w:val="FF0000"/>
          <w:strike w:val="1"/>
        </w:rPr>
        <w:t>the Restatement Effective Date</w:t>
      </w:r>
      <w:r>
        <w:rPr>
          <w:rFonts w:ascii="Arial" w:cs="Arial" w:eastAsia="Arial" w:hAnsi="Arial"/>
          <w:sz w:val="16"/>
          <w:szCs w:val="16"/>
          <w:u w:val="single" w:color="auto"/>
          <w:color w:val="0000FF"/>
        </w:rPr>
        <w:t>July 9, 2020</w:t>
      </w:r>
      <w:r>
        <w:rPr>
          <w:rFonts w:ascii="Arial" w:cs="Arial" w:eastAsia="Arial" w:hAnsi="Arial"/>
          <w:sz w:val="16"/>
          <w:szCs w:val="16"/>
          <w:color w:val="auto"/>
        </w:rPr>
        <w:t xml:space="preserve"> among the Borrower, the Guarantors party thereto and the Collateral Agent and (b) the Amended and Restated Security and Collateral Agency Agreement, dated as of </w:t>
      </w:r>
      <w:r>
        <w:rPr>
          <w:rFonts w:ascii="Arial" w:cs="Arial" w:eastAsia="Arial" w:hAnsi="Arial"/>
          <w:sz w:val="16"/>
          <w:szCs w:val="16"/>
          <w:color w:val="FF0000"/>
          <w:strike w:val="1"/>
        </w:rPr>
        <w:t>the date hereof</w:t>
      </w:r>
      <w:r>
        <w:rPr>
          <w:rFonts w:ascii="Arial" w:cs="Arial" w:eastAsia="Arial" w:hAnsi="Arial"/>
          <w:sz w:val="16"/>
          <w:szCs w:val="16"/>
          <w:u w:val="single" w:color="auto"/>
          <w:color w:val="0000FF"/>
        </w:rPr>
        <w:t>July 9, 2020</w:t>
      </w:r>
      <w:r>
        <w:rPr>
          <w:rFonts w:ascii="Arial" w:cs="Arial" w:eastAsia="Arial" w:hAnsi="Arial"/>
          <w:sz w:val="16"/>
          <w:szCs w:val="16"/>
          <w:color w:val="auto"/>
        </w:rPr>
        <w:t>, among the Collateral Agent, as collateral agent and term loan representative, the ABL Agent, as ABL representative, the UST Tranche A Agent, as collateral agent and treasury tranche A representative and the UST Tranche B Agent, as collateral agent and treasury tranche B representative and the Borrower and the other Loan Parties party thereto, as each of the same may be further amended, restated, modified, supplemented, extended, renewed, restructured or replaced.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-563245</wp:posOffset>
            </wp:positionV>
            <wp:extent cx="59118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-426085</wp:posOffset>
            </wp:positionV>
            <wp:extent cx="59118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 Supplement</w:t>
      </w:r>
      <w:r>
        <w:rPr>
          <w:rFonts w:ascii="Arial" w:cs="Arial" w:eastAsia="Arial" w:hAnsi="Arial"/>
          <w:sz w:val="18"/>
          <w:szCs w:val="18"/>
          <w:color w:val="auto"/>
        </w:rPr>
        <w:t>” shall have the meaning specified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Senior ICA Provisions</w:t>
      </w:r>
      <w:r>
        <w:rPr>
          <w:rFonts w:ascii="Arial" w:cs="Arial" w:eastAsia="Arial" w:hAnsi="Arial"/>
          <w:sz w:val="17"/>
          <w:szCs w:val="17"/>
          <w:u w:val="single" w:color="auto"/>
          <w:color w:val="0000FF"/>
        </w:rPr>
        <w:t>” means paragraphs 9(b) through 9(d) of the Interim Order and the corresponding provisions in the Final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33020</wp:posOffset>
            </wp:positionV>
            <wp:extent cx="625792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21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Senior Financial Officer</w:t>
      </w:r>
      <w:r>
        <w:rPr>
          <w:rFonts w:ascii="Arial" w:cs="Arial" w:eastAsia="Arial" w:hAnsi="Arial"/>
          <w:sz w:val="18"/>
          <w:szCs w:val="18"/>
          <w:color w:val="FF0000"/>
          <w:strike w:val="1"/>
        </w:rPr>
        <w:t>” of any Person shall mean the chief financial officer, principal accounting officer, treasurer, controller or other similar officer of such Person.</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Single-Employer Plans</w:t>
      </w:r>
      <w:r>
        <w:rPr>
          <w:rFonts w:ascii="Arial" w:cs="Arial" w:eastAsia="Arial" w:hAnsi="Arial"/>
          <w:sz w:val="18"/>
          <w:szCs w:val="18"/>
          <w:color w:val="FF0000"/>
          <w:strike w:val="1"/>
        </w:rPr>
        <w:t>” shall mean the Roadway LLC Pension Plan, the Yellow Corporation Pension Plan and the YRC Retiree Pension Plan or any other Plans sponsored or maintained by the Borrower or any Restricted Subsidiary.</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SOFR</w:t>
      </w:r>
      <w:r>
        <w:rPr>
          <w:rFonts w:ascii="Arial" w:cs="Arial" w:eastAsia="Arial" w:hAnsi="Arial"/>
          <w:sz w:val="18"/>
          <w:szCs w:val="18"/>
          <w:color w:val="FF0000"/>
          <w:strike w:val="1"/>
        </w:rPr>
        <w:t>” shall mean a per annum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SOFR Administrator</w:t>
      </w:r>
      <w:r>
        <w:rPr>
          <w:rFonts w:ascii="Arial" w:cs="Arial" w:eastAsia="Arial" w:hAnsi="Arial"/>
          <w:sz w:val="16"/>
          <w:szCs w:val="16"/>
          <w:color w:val="FF0000"/>
          <w:strike w:val="1"/>
        </w:rPr>
        <w:t>” shall mean the Federal Reserve Bank of New York (or a successor administrator of the secured overnight financing rate).</w:t>
      </w:r>
    </w:p>
    <w:p>
      <w:pPr>
        <w:spacing w:after="0" w:line="248"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SOFR Loan</w:t>
      </w:r>
      <w:r>
        <w:rPr>
          <w:rFonts w:ascii="Arial" w:cs="Arial" w:eastAsia="Arial" w:hAnsi="Arial"/>
          <w:sz w:val="18"/>
          <w:szCs w:val="18"/>
          <w:color w:val="FF0000"/>
          <w:strike w:val="1"/>
        </w:rPr>
        <w:t>” shall mean any Loan bearing interest at a rate determined by reference to Adjusted Term SOFR (other than pursuant to clause (c) of the definition of Alternate Base Rate).</w:t>
      </w:r>
    </w:p>
    <w:p>
      <w:pPr>
        <w:spacing w:after="0" w:line="16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Specified Amendment No. 1 Period</w:t>
      </w:r>
      <w:r>
        <w:rPr>
          <w:rFonts w:ascii="Arial" w:cs="Arial" w:eastAsia="Arial" w:hAnsi="Arial"/>
          <w:sz w:val="18"/>
          <w:szCs w:val="18"/>
          <w:color w:val="FF0000"/>
          <w:strike w:val="1"/>
        </w:rPr>
        <w:t>” shall mean the period commencing on the Amendment No. 1 Effective Date and ending on the first date after for which Consolidated EBITDA for a Test Period ending on the last day of a fiscal quarter ending on or after June 30, 2022 is greater than $200,000,000 and the Borrower shall have delivered a Compliance Certificate to the Administrative Agent showing such calculation in reasonable detail.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192" w:name="page193"/>
    <w:bookmarkEnd w:id="192"/>
    <w:p>
      <w:pPr>
        <w:ind w:left="440" w:right="1160"/>
        <w:spacing w:after="0" w:line="500"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FF0000"/>
          <w:strike w:val="1"/>
        </w:rPr>
        <w:t>Specified Amendment No. 3 Real Properties</w:t>
      </w:r>
      <w:r>
        <w:rPr>
          <w:rFonts w:ascii="Arial" w:cs="Arial" w:eastAsia="Arial" w:hAnsi="Arial"/>
          <w:sz w:val="18"/>
          <w:szCs w:val="18"/>
          <w:color w:val="FF0000"/>
          <w:strike w:val="1"/>
        </w:rPr>
        <w:t>” shall mean each Real Property listed on Schedule 7.05(a) and Schedule 7.05(b). “</w:t>
      </w:r>
      <w:r>
        <w:rPr>
          <w:rFonts w:ascii="Arial" w:cs="Arial" w:eastAsia="Arial" w:hAnsi="Arial"/>
          <w:sz w:val="18"/>
          <w:szCs w:val="18"/>
          <w:b w:val="1"/>
          <w:bCs w:val="1"/>
          <w:color w:val="FF0000"/>
          <w:strike w:val="1"/>
        </w:rPr>
        <w:t>Specified Default</w:t>
      </w:r>
      <w:r>
        <w:rPr>
          <w:rFonts w:ascii="Arial" w:cs="Arial" w:eastAsia="Arial" w:hAnsi="Arial"/>
          <w:sz w:val="18"/>
          <w:szCs w:val="18"/>
          <w:color w:val="FF0000"/>
          <w:strike w:val="1"/>
        </w:rPr>
        <w:t xml:space="preserve">” shall mean an Event of Default under </w:t>
      </w:r>
      <w:r>
        <w:rPr>
          <w:rFonts w:ascii="Arial" w:cs="Arial" w:eastAsia="Arial" w:hAnsi="Arial"/>
          <w:sz w:val="18"/>
          <w:szCs w:val="18"/>
          <w:u w:val="single" w:color="auto"/>
          <w:color w:val="FF0000"/>
          <w:strike w:val="1"/>
        </w:rPr>
        <w:t>Section 8.01(a)</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(f)</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(g)</w:t>
      </w:r>
      <w:r>
        <w:rPr>
          <w:rFonts w:ascii="Arial" w:cs="Arial" w:eastAsia="Arial" w:hAnsi="Arial"/>
          <w:sz w:val="18"/>
          <w:szCs w:val="18"/>
          <w:color w:val="FF0000"/>
          <w:strike w:val="1"/>
        </w:rPr>
        <w:t>.</w:t>
      </w:r>
    </w:p>
    <w:p>
      <w:pPr>
        <w:spacing w:after="0" w:line="2" w:lineRule="exact"/>
        <w:rPr>
          <w:sz w:val="20"/>
          <w:szCs w:val="20"/>
          <w:color w:val="auto"/>
        </w:rPr>
      </w:pPr>
    </w:p>
    <w:p>
      <w:pPr>
        <w:jc w:val="both"/>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Rolling Stock</w:t>
      </w:r>
      <w:r>
        <w:rPr>
          <w:rFonts w:ascii="Arial" w:cs="Arial" w:eastAsia="Arial" w:hAnsi="Arial"/>
          <w:sz w:val="18"/>
          <w:szCs w:val="18"/>
          <w:color w:val="auto"/>
        </w:rPr>
        <w:t xml:space="preserve">” shall mean all Rolling Stock that does not constitute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B Priority Collateral. For the avoidance of doubt,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UST Tranche B Joint Collateral shall be Specified Rolling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-151130</wp:posOffset>
            </wp:positionV>
            <wp:extent cx="52260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-13970</wp:posOffset>
            </wp:positionV>
            <wp:extent cx="53149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42"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Specified Rolling Stock Prepayment Period</w:t>
      </w:r>
      <w:r>
        <w:rPr>
          <w:rFonts w:ascii="Arial" w:cs="Arial" w:eastAsia="Arial" w:hAnsi="Arial"/>
          <w:sz w:val="18"/>
          <w:szCs w:val="18"/>
          <w:color w:val="FF0000"/>
          <w:strike w:val="1"/>
        </w:rPr>
        <w:t>” means the period commencing on the Amendment No. 2 Effective Date and ending on the first date after for which Consolidated EBITDA for a Test Period ending on the last day of a fiscal quarter ending on or after September 30, 2020 is greater than $200,000,000 and the Borrower shall have delivered a Compliance Certificate to the Administrative Agent showing such calculation in reasonable detail.</w:t>
      </w:r>
    </w:p>
    <w:p>
      <w:pPr>
        <w:spacing w:after="0" w:line="180"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Specified Rolling Stock Reinvestment Threshold</w:t>
      </w:r>
      <w:r>
        <w:rPr>
          <w:rFonts w:ascii="Arial" w:cs="Arial" w:eastAsia="Arial" w:hAnsi="Arial"/>
          <w:sz w:val="18"/>
          <w:szCs w:val="18"/>
          <w:color w:val="FF0000"/>
          <w:strike w:val="1"/>
        </w:rPr>
        <w:t xml:space="preserve">” means, with respect to Dispositions of Specified Rolling Stock in any fiscal year, the first $500,000 of Net Proceeds received </w:t>
      </w:r>
      <w:r>
        <w:rPr>
          <w:rFonts w:ascii="Arial" w:cs="Arial" w:eastAsia="Arial" w:hAnsi="Arial"/>
          <w:sz w:val="18"/>
          <w:szCs w:val="18"/>
          <w:color w:val="008000"/>
          <w:strike w:val="1"/>
        </w:rPr>
        <w:t>by the Borrower and its Subsidiaries with respect to</w:t>
      </w:r>
      <w:r>
        <w:rPr>
          <w:rFonts w:ascii="Arial" w:cs="Arial" w:eastAsia="Arial" w:hAnsi="Arial"/>
          <w:sz w:val="18"/>
          <w:szCs w:val="18"/>
          <w:color w:val="FF0000"/>
          <w:strike w:val="1"/>
        </w:rPr>
        <w:t xml:space="preserve"> such Dispositions in such fiscal year to the extent such Net Proceeds are reinvested in accordance with the proviso to clause (a) of the definition of “Net Proceeds”.</w:t>
      </w:r>
    </w:p>
    <w:p>
      <w:pPr>
        <w:spacing w:after="0" w:line="176"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Specified Transaction</w:t>
      </w:r>
      <w:r>
        <w:rPr>
          <w:rFonts w:ascii="Arial" w:cs="Arial" w:eastAsia="Arial" w:hAnsi="Arial"/>
          <w:sz w:val="17"/>
          <w:szCs w:val="17"/>
          <w:color w:val="FF0000"/>
          <w:strike w:val="1"/>
        </w:rPr>
        <w:t>” shall mean any Investment that results in a Person becoming a Restricted Subsidiary, any Permitted Acquisition,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the Borrower or a Restricted Subsidiary, in each case consummated after the Restatement Effective Date and whether by merger, consolidation, amalgamation or otherwise, and any incurrence or repayment of Indebtedness or Restricted Payment, in each case, that by the terms of this Agreement requires a financial ratio or test to be calculated on a “Pro Forma Basis”.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10.04(i)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Subordinated Indebtedness</w:t>
      </w:r>
      <w:r>
        <w:rPr>
          <w:rFonts w:ascii="Arial" w:cs="Arial" w:eastAsia="Arial" w:hAnsi="Arial"/>
          <w:sz w:val="16"/>
          <w:szCs w:val="16"/>
          <w:color w:val="FF0000"/>
          <w:strike w:val="1"/>
        </w:rPr>
        <w:t xml:space="preserve">” shall mean any Indebtedness that is, or is required to be, subordinated in right of payment to the Obligations (for greater certainty, not including the ABL Facility Indebtedness, the </w:t>
      </w:r>
      <w:r>
        <w:rPr>
          <w:rFonts w:ascii="Arial" w:cs="Arial" w:eastAsia="Arial" w:hAnsi="Arial"/>
          <w:sz w:val="16"/>
          <w:szCs w:val="16"/>
          <w:color w:val="008000"/>
          <w:strike w:val="1"/>
        </w:rPr>
        <w:t>UST Tranche A Facility Indebtedness and</w:t>
      </w:r>
      <w:r>
        <w:rPr>
          <w:rFonts w:ascii="Arial" w:cs="Arial" w:eastAsia="Arial" w:hAnsi="Arial"/>
          <w:sz w:val="16"/>
          <w:szCs w:val="16"/>
          <w:color w:val="FF0000"/>
          <w:strike w:val="1"/>
        </w:rPr>
        <w:t xml:space="preserve"> the </w:t>
      </w:r>
      <w:r>
        <w:rPr>
          <w:rFonts w:ascii="Arial" w:cs="Arial" w:eastAsia="Arial" w:hAnsi="Arial"/>
          <w:sz w:val="16"/>
          <w:szCs w:val="16"/>
          <w:color w:val="008000"/>
          <w:strike w:val="1"/>
        </w:rPr>
        <w:t>UST Tranche B Facility Indebtedness</w:t>
      </w:r>
      <w:r>
        <w:rPr>
          <w:rFonts w:ascii="Arial" w:cs="Arial" w:eastAsia="Arial" w:hAnsi="Arial"/>
          <w:sz w:val="16"/>
          <w:szCs w:val="16"/>
          <w:color w:val="FF0000"/>
          <w:strike w:val="1"/>
        </w:rPr>
        <w:t>).</w:t>
      </w:r>
    </w:p>
    <w:p>
      <w:pPr>
        <w:spacing w:after="0" w:line="116"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 Person shall mean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(ii) the management of which is otherwise Controlled, directly or indirectly, through one or more intermediaries, or both, by such Person. Unless otherwise specified, all references herein to a “</w:t>
      </w:r>
      <w:r>
        <w:rPr>
          <w:rFonts w:ascii="Arial" w:cs="Arial" w:eastAsia="Arial" w:hAnsi="Arial"/>
          <w:sz w:val="17"/>
          <w:szCs w:val="17"/>
          <w:b w:val="1"/>
          <w:bCs w:val="1"/>
          <w:color w:val="auto"/>
        </w:rPr>
        <w:t>Subsidiary</w:t>
      </w:r>
      <w:r>
        <w:rPr>
          <w:rFonts w:ascii="Arial" w:cs="Arial" w:eastAsia="Arial" w:hAnsi="Arial"/>
          <w:sz w:val="17"/>
          <w:szCs w:val="17"/>
          <w:color w:val="auto"/>
        </w:rPr>
        <w:t>” or to “</w:t>
      </w:r>
      <w:r>
        <w:rPr>
          <w:rFonts w:ascii="Arial" w:cs="Arial" w:eastAsia="Arial" w:hAnsi="Arial"/>
          <w:sz w:val="17"/>
          <w:szCs w:val="17"/>
          <w:b w:val="1"/>
          <w:bCs w:val="1"/>
          <w:color w:val="auto"/>
        </w:rPr>
        <w:t>Subsidiaries</w:t>
      </w:r>
      <w:r>
        <w:rPr>
          <w:rFonts w:ascii="Arial" w:cs="Arial" w:eastAsia="Arial" w:hAnsi="Arial"/>
          <w:sz w:val="17"/>
          <w:szCs w:val="17"/>
          <w:color w:val="auto"/>
        </w:rPr>
        <w:t>” shall refer to a Subsidiary or Subsidiaries of the Borrower.</w:t>
      </w:r>
    </w:p>
    <w:p>
      <w:pPr>
        <w:spacing w:after="0" w:line="168"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Succession Agreement</w:t>
      </w:r>
      <w:r>
        <w:rPr>
          <w:rFonts w:ascii="Arial" w:cs="Arial" w:eastAsia="Arial" w:hAnsi="Arial"/>
          <w:sz w:val="18"/>
          <w:szCs w:val="18"/>
          <w:color w:val="FF0000"/>
          <w:strike w:val="1"/>
        </w:rPr>
        <w:t>” means that certain Successor Agent Agreement dated as of the Restatement Effective Date, among Cortland Products Corp., as successor agent, Credit Suisse AG, as retiring agent, the Borrower and the Tranche B-2 Term Lenders.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Successor Borrower</w:t>
      </w:r>
      <w:r>
        <w:rPr>
          <w:rFonts w:ascii="Arial" w:cs="Arial" w:eastAsia="Arial" w:hAnsi="Arial"/>
          <w:sz w:val="18"/>
          <w:szCs w:val="18"/>
          <w:color w:val="008000"/>
          <w:strike w:val="1"/>
        </w:rPr>
        <w:t>” shall have the meaning specified in Section</w:t>
      </w:r>
      <w:r>
        <w:rPr>
          <w:rFonts w:ascii="Arial" w:cs="Arial" w:eastAsia="Arial" w:hAnsi="Arial"/>
          <w:sz w:val="18"/>
          <w:szCs w:val="18"/>
          <w:color w:val="FF0000"/>
        </w:rPr>
        <w:t xml:space="preserve"> 7.04(d).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-7620</wp:posOffset>
            </wp:positionV>
            <wp:extent cx="389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89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-59055</wp:posOffset>
            </wp:positionV>
            <wp:extent cx="389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Survey</w:t>
      </w:r>
      <w:r>
        <w:rPr>
          <w:rFonts w:ascii="Arial" w:cs="Arial" w:eastAsia="Arial" w:hAnsi="Arial"/>
          <w:sz w:val="18"/>
          <w:szCs w:val="18"/>
          <w:color w:val="FF0000"/>
          <w:strike w:val="1"/>
        </w:rPr>
        <w:t>” shall have the meaning assigned to such term in the definition of “Collateral and Guarantee Requirement”.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0" w:right="499" w:bottom="1440" w:gutter="0" w:footer="0" w:header="0"/>
        </w:sectPr>
      </w:pPr>
    </w:p>
    <w:bookmarkStart w:id="193" w:name="page194"/>
    <w:bookmarkEnd w:id="193"/>
    <w:p>
      <w:pPr>
        <w:ind w:right="4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Swap Contract</w:t>
      </w:r>
      <w:r>
        <w:rPr>
          <w:rFonts w:ascii="Arial" w:cs="Arial" w:eastAsia="Arial" w:hAnsi="Arial"/>
          <w:sz w:val="16"/>
          <w:szCs w:val="16"/>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right="28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shall mean,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shall mean a Borrowing comprised of Term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shall mean a Lender with a Term Loan Commitment or an outstanding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Term Loan Commitment</w:t>
      </w:r>
      <w:r>
        <w:rPr>
          <w:rFonts w:ascii="Arial" w:cs="Arial" w:eastAsia="Arial" w:hAnsi="Arial"/>
          <w:sz w:val="18"/>
          <w:szCs w:val="18"/>
          <w:color w:val="FF0000"/>
          <w:strike w:val="1"/>
        </w:rPr>
        <w:t>” shall mean the Tranche B-2 Term Loan Commitment.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xml:space="preserve">” shall mean the </w:t>
      </w:r>
      <w:r>
        <w:rPr>
          <w:rFonts w:ascii="Arial" w:cs="Arial" w:eastAsia="Arial" w:hAnsi="Arial"/>
          <w:sz w:val="18"/>
          <w:szCs w:val="18"/>
          <w:color w:val="FF0000"/>
          <w:strike w:val="1"/>
        </w:rPr>
        <w:t>Tranche B-2</w:t>
      </w:r>
      <w:r>
        <w:rPr>
          <w:rFonts w:ascii="Arial" w:cs="Arial" w:eastAsia="Arial" w:hAnsi="Arial"/>
          <w:sz w:val="18"/>
          <w:szCs w:val="18"/>
          <w:u w:val="single" w:color="auto"/>
          <w:color w:val="0000FF"/>
        </w:rPr>
        <w:t>New Money Postpetition Term Loans and the Prepetition</w:t>
      </w:r>
      <w:r>
        <w:rPr>
          <w:rFonts w:ascii="Arial" w:cs="Arial" w:eastAsia="Arial" w:hAnsi="Arial"/>
          <w:sz w:val="18"/>
          <w:szCs w:val="18"/>
          <w:color w:val="auto"/>
        </w:rPr>
        <w:t xml:space="preserve"> Term Loans, </w:t>
      </w:r>
      <w:r>
        <w:rPr>
          <w:rFonts w:ascii="Arial" w:cs="Arial" w:eastAsia="Arial" w:hAnsi="Arial"/>
          <w:sz w:val="18"/>
          <w:szCs w:val="18"/>
          <w:color w:val="FF0000"/>
          <w:strike w:val="1"/>
        </w:rPr>
        <w:t>Extended Term Loans and Other</w:t>
      </w:r>
      <w:r>
        <w:rPr>
          <w:rFonts w:ascii="Arial" w:cs="Arial" w:eastAsia="Arial" w:hAnsi="Arial"/>
          <w:sz w:val="18"/>
          <w:szCs w:val="18"/>
          <w:color w:val="auto"/>
        </w:rPr>
        <w:t xml:space="preserve"> </w:t>
      </w:r>
      <w:r>
        <w:rPr>
          <w:rFonts w:ascii="Arial" w:cs="Arial" w:eastAsia="Arial" w:hAnsi="Arial"/>
          <w:sz w:val="18"/>
          <w:szCs w:val="18"/>
          <w:color w:val="FF0000"/>
          <w:strike w:val="1"/>
        </w:rPr>
        <w:t>Term Loans</w:t>
      </w:r>
      <w:r>
        <w:rPr>
          <w:rFonts w:ascii="Arial" w:cs="Arial" w:eastAsia="Arial" w:hAnsi="Arial"/>
          <w:sz w:val="18"/>
          <w:szCs w:val="18"/>
          <w:u w:val="single" w:color="auto"/>
          <w:color w:val="0000FF"/>
        </w:rPr>
        <w:t>as the context may require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-151130</wp:posOffset>
            </wp:positionV>
            <wp:extent cx="261429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61429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-13970</wp:posOffset>
            </wp:positionV>
            <wp:extent cx="120015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42"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Note</w:t>
      </w:r>
      <w:r>
        <w:rPr>
          <w:rFonts w:ascii="Arial" w:cs="Arial" w:eastAsia="Arial" w:hAnsi="Arial"/>
          <w:sz w:val="18"/>
          <w:szCs w:val="18"/>
          <w:color w:val="auto"/>
        </w:rPr>
        <w:t xml:space="preserve">” shall mean a promissory note of the Borrower payable to any Term Lender or its registered assigns,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evidencing the aggregate Indebtedness of the Borrower to such Term Lender resulting from the Term Loans made by such Term Lender.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Term Priority Collateral</w:t>
      </w:r>
      <w:r>
        <w:rPr>
          <w:rFonts w:ascii="Arial" w:cs="Arial" w:eastAsia="Arial" w:hAnsi="Arial"/>
          <w:sz w:val="18"/>
          <w:szCs w:val="18"/>
          <w:color w:val="FF0000"/>
          <w:strike w:val="1"/>
        </w:rPr>
        <w:t>” shall have the meaning assigned to such term in the ABL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Term SOFR</w:t>
      </w:r>
      <w:r>
        <w:rPr>
          <w:rFonts w:ascii="Arial" w:cs="Arial" w:eastAsia="Arial" w:hAnsi="Arial"/>
          <w:sz w:val="18"/>
          <w:szCs w:val="18"/>
          <w:color w:val="FF0000"/>
          <w:strike w:val="1"/>
        </w:rPr>
        <w:t>” shall mean,</w:t>
      </w:r>
    </w:p>
    <w:p>
      <w:pPr>
        <w:spacing w:after="0" w:line="121" w:lineRule="exact"/>
        <w:rPr>
          <w:sz w:val="20"/>
          <w:szCs w:val="20"/>
          <w:color w:val="auto"/>
        </w:rPr>
      </w:pPr>
    </w:p>
    <w:p>
      <w:pPr>
        <w:ind w:left="440" w:right="40" w:firstLine="423"/>
        <w:spacing w:after="0" w:line="257" w:lineRule="auto"/>
        <w:rPr>
          <w:sz w:val="20"/>
          <w:szCs w:val="20"/>
          <w:color w:val="auto"/>
        </w:rPr>
      </w:pPr>
      <w:r>
        <w:rPr>
          <w:rFonts w:ascii="Arial" w:cs="Arial" w:eastAsia="Arial" w:hAnsi="Arial"/>
          <w:sz w:val="18"/>
          <w:szCs w:val="18"/>
          <w:color w:val="FF0000"/>
          <w:strike w:val="1"/>
        </w:rPr>
        <w:t>for any calculation with respect to a SOFR Loans, the Term SOFR Reference Rate for a tenor comparable to the applicable Interest Period on the day (such day, the “</w:t>
      </w:r>
      <w:r>
        <w:rPr>
          <w:rFonts w:ascii="Arial" w:cs="Arial" w:eastAsia="Arial" w:hAnsi="Arial"/>
          <w:sz w:val="18"/>
          <w:szCs w:val="18"/>
          <w:b w:val="1"/>
          <w:bCs w:val="1"/>
          <w:color w:val="FF0000"/>
          <w:strike w:val="1"/>
        </w:rPr>
        <w:t>Periodic Term SOFR Determination Day</w:t>
      </w:r>
      <w:r>
        <w:rPr>
          <w:rFonts w:ascii="Arial" w:cs="Arial" w:eastAsia="Arial" w:hAnsi="Arial"/>
          <w:sz w:val="18"/>
          <w:szCs w:val="18"/>
          <w:color w:val="FF0000"/>
          <w:strike w:val="1"/>
        </w:rPr>
        <w:t xml:space="preserve">”) that is two (2) U.S. Government Securities Business Days prior to the first day of such Interest Period, as such rate is published by the Term SOFR Administrator; </w:t>
      </w:r>
      <w:r>
        <w:rPr>
          <w:rFonts w:ascii="Arial" w:cs="Arial" w:eastAsia="Arial" w:hAnsi="Arial"/>
          <w:sz w:val="18"/>
          <w:szCs w:val="18"/>
          <w:u w:val="single" w:color="auto"/>
          <w:color w:val="FF0000"/>
          <w:strike w:val="1"/>
        </w:rPr>
        <w:t>provided</w:t>
      </w:r>
      <w:r>
        <w:rPr>
          <w:rFonts w:ascii="Arial" w:cs="Arial" w:eastAsia="Arial" w:hAnsi="Arial"/>
          <w:sz w:val="18"/>
          <w:szCs w:val="18"/>
          <w:i w:val="1"/>
          <w:iCs w:val="1"/>
          <w:color w:val="FF0000"/>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 that if, as of 5:00 p.m. (New York City time) on any Periodic Term SOFR Determination Day, the Term SOFR Reference Rate for the applicable tenor has not been published by the Term SOFR Administrator and a Benchmark Replacement Date with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194" w:name="page195"/>
    <w:bookmarkEnd w:id="194"/>
    <w:p>
      <w:pPr>
        <w:jc w:val="both"/>
        <w:ind w:left="440" w:right="40"/>
        <w:spacing w:after="0" w:line="301"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49" w:lineRule="exact"/>
        <w:rPr>
          <w:sz w:val="20"/>
          <w:szCs w:val="20"/>
          <w:color w:val="auto"/>
        </w:rPr>
      </w:pPr>
    </w:p>
    <w:p>
      <w:pPr>
        <w:ind w:left="440" w:firstLine="423"/>
        <w:spacing w:after="0" w:line="253" w:lineRule="auto"/>
        <w:rPr>
          <w:sz w:val="20"/>
          <w:szCs w:val="20"/>
          <w:color w:val="auto"/>
        </w:rPr>
      </w:pPr>
      <w:r>
        <w:rPr>
          <w:rFonts w:ascii="Arial" w:cs="Arial" w:eastAsia="Arial" w:hAnsi="Arial"/>
          <w:sz w:val="18"/>
          <w:szCs w:val="18"/>
          <w:color w:val="FF0000"/>
          <w:strike w:val="1"/>
        </w:rPr>
        <w:t>(a)</w:t>
      </w:r>
      <w:r>
        <w:rPr>
          <w:rFonts w:ascii="Arial" w:cs="Arial" w:eastAsia="Arial" w:hAnsi="Arial"/>
          <w:sz w:val="18"/>
          <w:szCs w:val="18"/>
          <w:color w:val="000000"/>
        </w:rPr>
        <w:t xml:space="preserve"> </w:t>
      </w:r>
      <w:r>
        <w:rPr>
          <w:rFonts w:ascii="Arial" w:cs="Arial" w:eastAsia="Arial" w:hAnsi="Arial"/>
          <w:sz w:val="18"/>
          <w:szCs w:val="18"/>
          <w:color w:val="FF0000"/>
          <w:strike w:val="1"/>
        </w:rPr>
        <w:t>for any calculation with respect to ABR Loans on any day, the Term SOFR Reference Rate for a tenor of one month on the day (such</w:t>
      </w:r>
      <w:r>
        <w:rPr>
          <w:rFonts w:ascii="Arial" w:cs="Arial" w:eastAsia="Arial" w:hAnsi="Arial"/>
          <w:sz w:val="18"/>
          <w:szCs w:val="18"/>
          <w:color w:val="FF0000"/>
        </w:rPr>
        <w:t xml:space="preserve"> </w:t>
      </w:r>
      <w:r>
        <w:rPr>
          <w:rFonts w:ascii="Arial" w:cs="Arial" w:eastAsia="Arial" w:hAnsi="Arial"/>
          <w:sz w:val="18"/>
          <w:szCs w:val="18"/>
          <w:color w:val="FF0000"/>
          <w:strike w:val="1"/>
        </w:rPr>
        <w:t>day, the “</w:t>
      </w:r>
      <w:r>
        <w:rPr>
          <w:rFonts w:ascii="Arial" w:cs="Arial" w:eastAsia="Arial" w:hAnsi="Arial"/>
          <w:sz w:val="18"/>
          <w:szCs w:val="18"/>
          <w:b w:val="1"/>
          <w:bCs w:val="1"/>
          <w:color w:val="FF0000"/>
          <w:strike w:val="1"/>
        </w:rPr>
        <w:t>Alternate Base Rate Term SOFR Determination Day</w:t>
      </w:r>
      <w:r>
        <w:rPr>
          <w:rFonts w:ascii="Arial" w:cs="Arial" w:eastAsia="Arial" w:hAnsi="Arial"/>
          <w:sz w:val="18"/>
          <w:szCs w:val="18"/>
          <w:color w:val="FF0000"/>
          <w:strike w:val="1"/>
        </w:rPr>
        <w:t>”) that is two (2) U.S. Government Securities Business Days prior to such day, as such rate is published by the Term SOFR Administrator; provided</w:t>
      </w:r>
      <w:r>
        <w:rPr>
          <w:rFonts w:ascii="Arial" w:cs="Arial" w:eastAsia="Arial" w:hAnsi="Arial"/>
          <w:sz w:val="18"/>
          <w:szCs w:val="18"/>
          <w:i w:val="1"/>
          <w:iCs w:val="1"/>
          <w:color w:val="FF0000"/>
          <w:strike w:val="1"/>
        </w:rPr>
        <w:t>,</w:t>
      </w:r>
      <w:r>
        <w:rPr>
          <w:rFonts w:ascii="Arial" w:cs="Arial" w:eastAsia="Arial" w:hAnsi="Arial"/>
          <w:sz w:val="18"/>
          <w:szCs w:val="18"/>
          <w:color w:val="FF0000"/>
          <w:strike w:val="1"/>
        </w:rPr>
        <w:t xml:space="preserve"> however, that if, as of 5:00 p.m. (New York City time) on any Alternate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88" w:lineRule="exact"/>
        <w:rPr>
          <w:sz w:val="20"/>
          <w:szCs w:val="20"/>
          <w:color w:val="auto"/>
        </w:rPr>
      </w:pPr>
    </w:p>
    <w:p>
      <w:pPr>
        <w:ind w:left="440" w:right="120" w:firstLine="423"/>
        <w:spacing w:after="0" w:line="277" w:lineRule="auto"/>
        <w:rPr>
          <w:sz w:val="20"/>
          <w:szCs w:val="20"/>
          <w:color w:val="auto"/>
        </w:rPr>
      </w:pPr>
      <w:r>
        <w:rPr>
          <w:rFonts w:ascii="Arial" w:cs="Arial" w:eastAsia="Arial" w:hAnsi="Arial"/>
          <w:sz w:val="18"/>
          <w:szCs w:val="18"/>
          <w:i w:val="1"/>
          <w:iCs w:val="1"/>
          <w:color w:val="FF0000"/>
          <w:strike w:val="1"/>
        </w:rPr>
        <w:t>provided, further</w:t>
      </w:r>
      <w:r>
        <w:rPr>
          <w:rFonts w:ascii="Arial" w:cs="Arial" w:eastAsia="Arial" w:hAnsi="Arial"/>
          <w:sz w:val="18"/>
          <w:szCs w:val="18"/>
          <w:color w:val="FF0000"/>
          <w:strike w:val="1"/>
        </w:rPr>
        <w:t>, that if Term SOFR determined as provided above (including pursuant to the proviso under clause (a) or clause (b) above)</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shall ever be less than the Floor, then Term SOFR shall be deemed to be the Floor.</w:t>
      </w:r>
    </w:p>
    <w:p>
      <w:pPr>
        <w:spacing w:after="0" w:line="16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Term SOFR Administrator</w:t>
      </w:r>
      <w:r>
        <w:rPr>
          <w:rFonts w:ascii="Arial" w:cs="Arial" w:eastAsia="Arial" w:hAnsi="Arial"/>
          <w:sz w:val="18"/>
          <w:szCs w:val="18"/>
          <w:color w:val="FF0000"/>
          <w:strike w:val="1"/>
        </w:rPr>
        <w:t>” shall mean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Term SOFR Reference Rate</w:t>
      </w:r>
      <w:r>
        <w:rPr>
          <w:rFonts w:ascii="Arial" w:cs="Arial" w:eastAsia="Arial" w:hAnsi="Arial"/>
          <w:sz w:val="18"/>
          <w:szCs w:val="18"/>
          <w:color w:val="FF0000"/>
          <w:strike w:val="1"/>
        </w:rPr>
        <w:t>” shall mean the forward-looking term rate based on SOFR.</w:t>
      </w:r>
    </w:p>
    <w:p>
      <w:pPr>
        <w:spacing w:after="0" w:line="225" w:lineRule="exact"/>
        <w:rPr>
          <w:sz w:val="20"/>
          <w:szCs w:val="20"/>
          <w:color w:val="auto"/>
        </w:rPr>
      </w:pPr>
    </w:p>
    <w:p>
      <w:pPr>
        <w:jc w:val="both"/>
        <w:ind w:right="260" w:firstLine="440"/>
        <w:spacing w:after="0" w:line="289"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Test Period</w:t>
      </w:r>
      <w:r>
        <w:rPr>
          <w:rFonts w:ascii="Arial" w:cs="Arial" w:eastAsia="Arial" w:hAnsi="Arial"/>
          <w:sz w:val="17"/>
          <w:szCs w:val="17"/>
          <w:color w:val="FF0000"/>
          <w:strike w:val="1"/>
        </w:rPr>
        <w:t>” shall mean, for any date of determination under this Agreement, the most recent period as of such date of four consecutive fiscal quarters of the Borrower for which financial statements have been delivered (or were required to have been delivered) pursuant to Section 6.01(a) or 6.01(b), as applicable, or, prior to the first such requirement, the four fiscal quarter period ended June 30, 2019.</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shall mean $</w:t>
      </w:r>
      <w:r>
        <w:rPr>
          <w:rFonts w:ascii="Arial" w:cs="Arial" w:eastAsia="Arial" w:hAnsi="Arial"/>
          <w:sz w:val="18"/>
          <w:szCs w:val="18"/>
          <w:color w:val="FF0000"/>
          <w:strike w:val="1"/>
        </w:rPr>
        <w:t>30,000,000</w:t>
      </w:r>
      <w:r>
        <w:rPr>
          <w:rFonts w:ascii="Arial" w:cs="Arial" w:eastAsia="Arial" w:hAnsi="Arial"/>
          <w:sz w:val="18"/>
          <w:szCs w:val="18"/>
          <w:u w:val="single" w:color="auto"/>
          <w:color w:val="0000FF"/>
        </w:rPr>
        <w:t>10,000,000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26035</wp:posOffset>
            </wp:positionV>
            <wp:extent cx="51435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Title Company</w:t>
      </w:r>
      <w:r>
        <w:rPr>
          <w:rFonts w:ascii="Arial" w:cs="Arial" w:eastAsia="Arial" w:hAnsi="Arial"/>
          <w:sz w:val="18"/>
          <w:szCs w:val="18"/>
          <w:color w:val="FF0000"/>
          <w:strike w:val="1"/>
        </w:rPr>
        <w:t>” shall mean Chicago Title Insurance Company.</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Total Leverage Ratio</w:t>
      </w:r>
      <w:r>
        <w:rPr>
          <w:rFonts w:ascii="Arial" w:cs="Arial" w:eastAsia="Arial" w:hAnsi="Arial"/>
          <w:sz w:val="18"/>
          <w:szCs w:val="18"/>
          <w:color w:val="FF0000"/>
          <w:strike w:val="1"/>
        </w:rPr>
        <w:t>” shall mean, as of any date, the ratio of (a) Consolidated Total Debt as of such date to (b) Consolidated EBITDA for the Test Period applicable as of such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tranche</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2.19(a)</w:t>
      </w: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Tranche B-2 Term Lender</w:t>
      </w:r>
      <w:r>
        <w:rPr>
          <w:rFonts w:ascii="Arial" w:cs="Arial" w:eastAsia="Arial" w:hAnsi="Arial"/>
          <w:sz w:val="17"/>
          <w:szCs w:val="17"/>
          <w:color w:val="FF0000"/>
          <w:strike w:val="1"/>
        </w:rPr>
        <w:t>” shall mean a Lender with a Tranche B-2 Term Loan Commitment or an outstanding Tranche B-2 Term Loan.</w:t>
      </w:r>
    </w:p>
    <w:p>
      <w:pPr>
        <w:spacing w:after="0" w:line="23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Tranche B-2 Term Loan Commitment</w:t>
      </w:r>
      <w:r>
        <w:rPr>
          <w:rFonts w:ascii="Arial" w:cs="Arial" w:eastAsia="Arial" w:hAnsi="Arial"/>
          <w:sz w:val="18"/>
          <w:szCs w:val="18"/>
          <w:color w:val="FF0000"/>
          <w:strike w:val="1"/>
        </w:rPr>
        <w:t>” shall mean, with respect to each Lender, the commitment, if any, of such Lender to make a Tranche B-2 Term Loan hereunder, expressed as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95" w:name="page196"/>
    <w:bookmarkEnd w:id="195"/>
    <w:p>
      <w:pPr>
        <w:ind w:left="4" w:right="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representing the maximum principal amount of the Tranche B-2 Term Loan to be made by such Lender hereunder. The initial aggregate amount of the Tranche B-2 Term Loan Commitments as of the Restatement Effective Date is $600,000,000.</w:t>
      </w:r>
    </w:p>
    <w:p>
      <w:pPr>
        <w:spacing w:after="0" w:line="166"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Tranche B-2</w:t>
      </w:r>
      <w:r>
        <w:rPr>
          <w:rFonts w:ascii="Arial" w:cs="Arial" w:eastAsia="Arial" w:hAnsi="Arial"/>
          <w:sz w:val="18"/>
          <w:szCs w:val="18"/>
          <w:color w:val="FF0000"/>
          <w:strike w:val="1"/>
        </w:rPr>
        <w:t xml:space="preserve"> </w:t>
      </w:r>
      <w:r>
        <w:rPr>
          <w:rFonts w:ascii="Arial" w:cs="Arial" w:eastAsia="Arial" w:hAnsi="Arial"/>
          <w:sz w:val="18"/>
          <w:szCs w:val="18"/>
          <w:b w:val="1"/>
          <w:bCs w:val="1"/>
          <w:color w:val="008000"/>
          <w:strike w:val="1"/>
        </w:rPr>
        <w:t>Term Loans</w:t>
      </w:r>
      <w:r>
        <w:rPr>
          <w:rFonts w:ascii="Arial" w:cs="Arial" w:eastAsia="Arial" w:hAnsi="Arial"/>
          <w:sz w:val="18"/>
          <w:szCs w:val="18"/>
          <w:color w:val="008000"/>
          <w:strike w:val="1"/>
        </w:rPr>
        <w:t>” shall mean the</w:t>
      </w:r>
      <w:r>
        <w:rPr>
          <w:rFonts w:ascii="Arial" w:cs="Arial" w:eastAsia="Arial" w:hAnsi="Arial"/>
          <w:sz w:val="18"/>
          <w:szCs w:val="18"/>
          <w:color w:val="FF0000"/>
          <w:strike w:val="1"/>
        </w:rPr>
        <w:t xml:space="preserve"> term loans made by the Lenders on the Restatement Effective Date </w:t>
      </w:r>
      <w:r>
        <w:rPr>
          <w:rFonts w:ascii="Arial" w:cs="Arial" w:eastAsia="Arial" w:hAnsi="Arial"/>
          <w:sz w:val="18"/>
          <w:szCs w:val="18"/>
          <w:color w:val="008000"/>
          <w:strike w:val="1"/>
        </w:rPr>
        <w:t>to the Borrower pursuant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Section 2.01(b)</w:t>
      </w:r>
      <w:r>
        <w:rPr>
          <w:rFonts w:ascii="Arial" w:cs="Arial" w:eastAsia="Arial" w:hAnsi="Arial"/>
          <w:sz w:val="18"/>
          <w:szCs w:val="18"/>
          <w:color w:val="FF0000"/>
          <w:strike w:val="1"/>
        </w:rPr>
        <w:t>. For the avoidance of doubt, a Term Loan shall no longer be a “Tranche B-2 Term Loan” when it shall have become an “Extended Term</w:t>
      </w:r>
      <w:r>
        <w:rPr>
          <w:rFonts w:ascii="Arial" w:cs="Arial" w:eastAsia="Arial" w:hAnsi="Arial"/>
          <w:sz w:val="18"/>
          <w:szCs w:val="18"/>
          <w:u w:val="single" w:color="auto"/>
          <w:color w:val="008000"/>
          <w:strike w:val="1"/>
        </w:rPr>
        <w:t xml:space="preserve"> </w:t>
      </w:r>
      <w:r>
        <w:rPr>
          <w:rFonts w:ascii="Arial" w:cs="Arial" w:eastAsia="Arial" w:hAnsi="Arial"/>
          <w:sz w:val="18"/>
          <w:szCs w:val="18"/>
          <w:color w:val="FF0000"/>
          <w:strike w:val="1"/>
        </w:rPr>
        <w:t>Loan”.</w:t>
      </w:r>
    </w:p>
    <w:p>
      <w:pPr>
        <w:spacing w:after="0" w:line="17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Expenses</w:t>
      </w:r>
      <w:r>
        <w:rPr>
          <w:rFonts w:ascii="Arial" w:cs="Arial" w:eastAsia="Arial" w:hAnsi="Arial"/>
          <w:sz w:val="18"/>
          <w:szCs w:val="18"/>
          <w:color w:val="auto"/>
        </w:rPr>
        <w:t>” shall mean any costs, fees or expenses incurred or paid by the Borrower or any of its Subsidiaries in connection with the Transactions</w:t>
      </w:r>
      <w:r>
        <w:rPr>
          <w:rFonts w:ascii="Arial" w:cs="Arial" w:eastAsia="Arial" w:hAnsi="Arial"/>
          <w:sz w:val="18"/>
          <w:szCs w:val="18"/>
          <w:color w:val="FF0000"/>
          <w:strike w:val="1"/>
        </w:rPr>
        <w:t>, this Agreement and the other Loan Documents;</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 the amount of Transaction Expenses attributable to clause (b</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described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clause (a</w:t>
      </w:r>
      <w:r>
        <w:rPr>
          <w:rFonts w:ascii="Arial" w:cs="Arial" w:eastAsia="Arial" w:hAnsi="Arial"/>
          <w:sz w:val="18"/>
          <w:szCs w:val="18"/>
          <w:color w:val="000000"/>
        </w:rPr>
        <w:t>) of the definition of</w:t>
      </w:r>
      <w:r>
        <w:rPr>
          <w:rFonts w:ascii="Arial" w:cs="Arial" w:eastAsia="Arial" w:hAnsi="Arial"/>
          <w:sz w:val="18"/>
          <w:szCs w:val="18"/>
          <w:color w:val="0000FF"/>
        </w:rPr>
        <w:t xml:space="preserve"> </w:t>
      </w:r>
      <w:r>
        <w:rPr>
          <w:rFonts w:ascii="Arial" w:cs="Arial" w:eastAsia="Arial" w:hAnsi="Arial"/>
          <w:sz w:val="18"/>
          <w:szCs w:val="18"/>
          <w:color w:val="FF0000"/>
          <w:strike w:val="1"/>
        </w:rPr>
        <w:t>Transactions shall not exceed $250,000</w:t>
      </w:r>
      <w:r>
        <w:rPr>
          <w:rFonts w:ascii="Arial" w:cs="Arial" w:eastAsia="Arial" w:hAnsi="Arial"/>
          <w:sz w:val="18"/>
          <w:szCs w:val="18"/>
          <w:u w:val="single" w:color="auto"/>
          <w:color w:val="0000FF"/>
        </w:rPr>
        <w:t>such term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6257925</wp:posOffset>
            </wp:positionH>
            <wp:positionV relativeFrom="paragraph">
              <wp:posOffset>-141605</wp:posOffset>
            </wp:positionV>
            <wp:extent cx="55753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4025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-4445</wp:posOffset>
            </wp:positionV>
            <wp:extent cx="44577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56"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Transactions</w:t>
      </w:r>
      <w:r>
        <w:rPr>
          <w:rFonts w:ascii="Arial" w:cs="Arial" w:eastAsia="Arial" w:hAnsi="Arial"/>
          <w:sz w:val="17"/>
          <w:szCs w:val="17"/>
          <w:color w:val="auto"/>
        </w:rPr>
        <w:t xml:space="preserve">” shall mean, collectively, (a) the execution and delivery by the Loan Parties of the Loan Documents to which they are a party and the making of the Borrowings hereunder </w:t>
      </w:r>
      <w:r>
        <w:rPr>
          <w:rFonts w:ascii="Arial" w:cs="Arial" w:eastAsia="Arial" w:hAnsi="Arial"/>
          <w:sz w:val="17"/>
          <w:szCs w:val="17"/>
          <w:color w:val="FF0000"/>
          <w:strike w:val="1"/>
        </w:rPr>
        <w:t>on the Restatement Effective Date, (b) the execution and delivery by the Borrower and the Subsidiaries party</w:t>
      </w:r>
      <w:r>
        <w:rPr>
          <w:rFonts w:ascii="Arial" w:cs="Arial" w:eastAsia="Arial" w:hAnsi="Arial"/>
          <w:sz w:val="17"/>
          <w:szCs w:val="17"/>
          <w:color w:val="auto"/>
        </w:rPr>
        <w:t xml:space="preserve"> </w:t>
      </w:r>
      <w:r>
        <w:rPr>
          <w:rFonts w:ascii="Arial" w:cs="Arial" w:eastAsia="Arial" w:hAnsi="Arial"/>
          <w:sz w:val="17"/>
          <w:szCs w:val="17"/>
          <w:color w:val="FF0000"/>
          <w:strike w:val="1"/>
        </w:rPr>
        <w:t>thereto of an amendment to the ABL Facility Documentation</w:t>
      </w:r>
      <w:r>
        <w:rPr>
          <w:rFonts w:ascii="Arial" w:cs="Arial" w:eastAsia="Arial" w:hAnsi="Arial"/>
          <w:sz w:val="17"/>
          <w:szCs w:val="17"/>
          <w:u w:val="single" w:color="auto"/>
          <w:color w:val="0000FF"/>
        </w:rPr>
        <w:t>and the consummation of any other transaction</w:t>
      </w:r>
      <w:r>
        <w:rPr>
          <w:rFonts w:ascii="Arial" w:cs="Arial" w:eastAsia="Arial" w:hAnsi="Arial"/>
          <w:sz w:val="17"/>
          <w:szCs w:val="17"/>
          <w:color w:val="FF0000"/>
        </w:rPr>
        <w:t xml:space="preserve"> </w:t>
      </w:r>
      <w:r>
        <w:rPr>
          <w:rFonts w:ascii="Arial" w:cs="Arial" w:eastAsia="Arial" w:hAnsi="Arial"/>
          <w:sz w:val="17"/>
          <w:szCs w:val="17"/>
          <w:color w:val="000000"/>
        </w:rPr>
        <w:t>in connection with the</w:t>
      </w:r>
      <w:r>
        <w:rPr>
          <w:rFonts w:ascii="Arial" w:cs="Arial" w:eastAsia="Arial" w:hAnsi="Arial"/>
          <w:sz w:val="17"/>
          <w:szCs w:val="17"/>
          <w:color w:val="FF0000"/>
        </w:rPr>
        <w:t xml:space="preserve"> </w:t>
      </w:r>
      <w:r>
        <w:rPr>
          <w:rFonts w:ascii="Arial" w:cs="Arial" w:eastAsia="Arial" w:hAnsi="Arial"/>
          <w:sz w:val="17"/>
          <w:szCs w:val="17"/>
          <w:color w:val="008000"/>
          <w:strike w:val="1"/>
        </w:rPr>
        <w:t>matters described in</w:t>
      </w:r>
      <w:r>
        <w:rPr>
          <w:rFonts w:ascii="Arial" w:cs="Arial" w:eastAsia="Arial" w:hAnsi="Arial"/>
          <w:sz w:val="17"/>
          <w:szCs w:val="17"/>
          <w:color w:val="FF0000"/>
        </w:rPr>
        <w:t xml:space="preserve"> </w:t>
      </w:r>
      <w:r>
        <w:rPr>
          <w:rFonts w:ascii="Arial" w:cs="Arial" w:eastAsia="Arial" w:hAnsi="Arial"/>
          <w:sz w:val="17"/>
          <w:szCs w:val="17"/>
          <w:color w:val="008000"/>
          <w:strike w:val="1"/>
        </w:rPr>
        <w:t>clause (a)</w:t>
      </w:r>
      <w:r>
        <w:rPr>
          <w:rFonts w:ascii="Arial" w:cs="Arial" w:eastAsia="Arial" w:hAnsi="Arial"/>
          <w:sz w:val="17"/>
          <w:szCs w:val="17"/>
          <w:color w:val="FF0000"/>
          <w:strike w:val="1"/>
        </w:rPr>
        <w:t>, (c) the Refinancing Transactions</w:t>
      </w:r>
      <w:r>
        <w:rPr>
          <w:rFonts w:ascii="Arial" w:cs="Arial" w:eastAsia="Arial" w:hAnsi="Arial"/>
          <w:sz w:val="17"/>
          <w:szCs w:val="17"/>
          <w:u w:val="single" w:color="auto"/>
          <w:color w:val="0000FF"/>
        </w:rPr>
        <w:t>foregoing</w:t>
      </w:r>
      <w:r>
        <w:rPr>
          <w:rFonts w:ascii="Arial" w:cs="Arial" w:eastAsia="Arial" w:hAnsi="Arial"/>
          <w:sz w:val="17"/>
          <w:szCs w:val="17"/>
          <w:color w:val="008000"/>
        </w:rPr>
        <w:t xml:space="preserve"> </w:t>
      </w:r>
      <w:r>
        <w:rPr>
          <w:rFonts w:ascii="Arial" w:cs="Arial" w:eastAsia="Arial" w:hAnsi="Arial"/>
          <w:sz w:val="17"/>
          <w:szCs w:val="17"/>
          <w:color w:val="000000"/>
        </w:rPr>
        <w:t>and (</w:t>
      </w:r>
      <w:r>
        <w:rPr>
          <w:rFonts w:ascii="Arial" w:cs="Arial" w:eastAsia="Arial" w:hAnsi="Arial"/>
          <w:sz w:val="17"/>
          <w:szCs w:val="17"/>
          <w:color w:val="FF0000"/>
          <w:strike w:val="1"/>
        </w:rPr>
        <w:t>d</w:t>
      </w:r>
      <w:r>
        <w:rPr>
          <w:rFonts w:ascii="Arial" w:cs="Arial" w:eastAsia="Arial" w:hAnsi="Arial"/>
          <w:sz w:val="17"/>
          <w:szCs w:val="17"/>
          <w:u w:val="single" w:color="auto"/>
          <w:color w:val="0000FF"/>
        </w:rPr>
        <w:t>b</w:t>
      </w:r>
      <w:r>
        <w:rPr>
          <w:rFonts w:ascii="Arial" w:cs="Arial" w:eastAsia="Arial" w:hAnsi="Arial"/>
          <w:sz w:val="17"/>
          <w:szCs w:val="17"/>
          <w:color w:val="000000"/>
        </w:rPr>
        <w:t>) the payment of the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-149225</wp:posOffset>
            </wp:positionV>
            <wp:extent cx="214312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1988820</wp:posOffset>
            </wp:positionH>
            <wp:positionV relativeFrom="paragraph">
              <wp:posOffset>-12065</wp:posOffset>
            </wp:positionV>
            <wp:extent cx="43751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-12065</wp:posOffset>
            </wp:positionV>
            <wp:extent cx="6032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Guarantor</w:t>
      </w:r>
      <w:r>
        <w:rPr>
          <w:rFonts w:ascii="Arial" w:cs="Arial" w:eastAsia="Arial" w:hAnsi="Arial"/>
          <w:sz w:val="18"/>
          <w:szCs w:val="18"/>
          <w:color w:val="auto"/>
        </w:rPr>
        <w:t xml:space="preserve">” shall have the meaning specified in </w:t>
      </w:r>
      <w:r>
        <w:rPr>
          <w:rFonts w:ascii="Arial" w:cs="Arial" w:eastAsia="Arial" w:hAnsi="Arial"/>
          <w:sz w:val="18"/>
          <w:szCs w:val="18"/>
          <w:color w:val="FF0000"/>
          <w:strike w:val="1"/>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w:t>
      </w:r>
      <w:r>
        <w:rPr>
          <w:rFonts w:ascii="Arial" w:cs="Arial" w:eastAsia="Arial" w:hAnsi="Arial"/>
          <w:sz w:val="18"/>
          <w:szCs w:val="18"/>
          <w:color w:val="auto"/>
        </w:rPr>
        <w:t>” means the United States Department of the Treasury.</w:t>
      </w:r>
    </w:p>
    <w:p>
      <w:pPr>
        <w:spacing w:after="0" w:line="225" w:lineRule="exact"/>
        <w:rPr>
          <w:sz w:val="20"/>
          <w:szCs w:val="20"/>
          <w:color w:val="auto"/>
        </w:rPr>
      </w:pPr>
    </w:p>
    <w:p>
      <w:pPr>
        <w:jc w:val="both"/>
        <w:ind w:left="4" w:right="240" w:firstLine="440"/>
        <w:spacing w:after="0" w:line="281" w:lineRule="auto"/>
        <w:rPr>
          <w:sz w:val="20"/>
          <w:szCs w:val="20"/>
          <w:color w:val="auto"/>
        </w:rPr>
      </w:pP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Treasury Rate</w:t>
      </w:r>
      <w:r>
        <w:rPr>
          <w:rFonts w:ascii="Arial" w:cs="Arial" w:eastAsia="Arial" w:hAnsi="Arial"/>
          <w:sz w:val="17"/>
          <w:szCs w:val="17"/>
          <w:u w:val="single" w:color="auto"/>
          <w:color w:val="0000FF"/>
        </w:rPr>
        <w:t xml:space="preserve">” means, with respect to any repayment or prepayment of Obligations, a rate per annum </w:t>
      </w:r>
      <w:r>
        <w:rPr>
          <w:rFonts w:ascii="Arial" w:cs="Arial" w:eastAsia="Arial" w:hAnsi="Arial"/>
          <w:sz w:val="17"/>
          <w:szCs w:val="17"/>
          <w:u w:val="single" w:color="auto"/>
          <w:color w:val="008000"/>
        </w:rPr>
        <w:t>(computed on the basis of</w:t>
      </w:r>
      <w:r>
        <w:rPr>
          <w:rFonts w:ascii="Arial" w:cs="Arial" w:eastAsia="Arial" w:hAnsi="Arial"/>
          <w:sz w:val="17"/>
          <w:szCs w:val="17"/>
          <w:u w:val="single" w:color="auto"/>
          <w:color w:val="0000FF"/>
        </w:rPr>
        <w:t xml:space="preserve"> actual </w:t>
      </w:r>
      <w:r>
        <w:rPr>
          <w:rFonts w:ascii="Arial" w:cs="Arial" w:eastAsia="Arial" w:hAnsi="Arial"/>
          <w:sz w:val="17"/>
          <w:szCs w:val="17"/>
          <w:u w:val="single" w:color="auto"/>
          <w:color w:val="008000"/>
        </w:rPr>
        <w:t>days</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elapsed over a year of 360 days) </w:t>
      </w:r>
      <w:r>
        <w:rPr>
          <w:rFonts w:ascii="Arial" w:cs="Arial" w:eastAsia="Arial" w:hAnsi="Arial"/>
          <w:sz w:val="17"/>
          <w:szCs w:val="17"/>
          <w:u w:val="single" w:color="auto"/>
          <w:color w:val="0000FF"/>
        </w:rPr>
        <w:t>equal to the rate determined by the Administrative Agent on the date falling three</w:t>
      </w:r>
      <w:r>
        <w:rPr>
          <w:rFonts w:ascii="Arial" w:cs="Arial" w:eastAsia="Arial" w:hAnsi="Arial"/>
          <w:sz w:val="17"/>
          <w:szCs w:val="17"/>
          <w:u w:val="single" w:color="auto"/>
          <w:color w:val="008000"/>
        </w:rPr>
        <w:t xml:space="preserve"> Business Days prior to the date of such </w:t>
      </w:r>
      <w:r>
        <w:rPr>
          <w:rFonts w:ascii="Arial" w:cs="Arial" w:eastAsia="Arial" w:hAnsi="Arial"/>
          <w:sz w:val="17"/>
          <w:szCs w:val="17"/>
          <w:u w:val="single" w:color="auto"/>
          <w:color w:val="0000FF"/>
        </w:rPr>
        <w:t>repayment or prepayment, to be the yield expressed as a rate listed in The Wall Street Journal for United States Treasury securities most nearly</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 xml:space="preserve">equal to the period from </w:t>
      </w:r>
      <w:r>
        <w:rPr>
          <w:rFonts w:ascii="Arial" w:cs="Arial" w:eastAsia="Arial" w:hAnsi="Arial"/>
          <w:sz w:val="17"/>
          <w:szCs w:val="17"/>
          <w:u w:val="single" w:color="auto"/>
          <w:color w:val="008000"/>
        </w:rPr>
        <w:t>the date of such prepayment</w:t>
      </w:r>
      <w:r>
        <w:rPr>
          <w:rFonts w:ascii="Arial" w:cs="Arial" w:eastAsia="Arial" w:hAnsi="Arial"/>
          <w:sz w:val="17"/>
          <w:szCs w:val="17"/>
          <w:u w:val="single" w:color="auto"/>
          <w:color w:val="0000FF"/>
        </w:rPr>
        <w:t xml:space="preserve"> or repayment to and including the Call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-423545</wp:posOffset>
            </wp:positionV>
            <wp:extent cx="65233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-286385</wp:posOffset>
            </wp:positionV>
            <wp:extent cx="680656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wp:posOffset>
            </wp:positionV>
            <wp:extent cx="676338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448310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145" w:lineRule="exact"/>
        <w:rPr>
          <w:sz w:val="20"/>
          <w:szCs w:val="20"/>
          <w:color w:val="auto"/>
        </w:rPr>
      </w:pPr>
    </w:p>
    <w:p>
      <w:pPr>
        <w:ind w:left="4" w:right="20" w:firstLine="440"/>
        <w:spacing w:after="0" w:line="303"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Treasury Equity</w:t>
      </w:r>
      <w:r>
        <w:rPr>
          <w:rFonts w:ascii="Arial" w:cs="Arial" w:eastAsia="Arial" w:hAnsi="Arial"/>
          <w:sz w:val="16"/>
          <w:szCs w:val="16"/>
          <w:color w:val="FF0000"/>
          <w:strike w:val="1"/>
        </w:rPr>
        <w:t>” means the 15,943,753 shares of Common Stock of the Borrower issued and delivered pursuant to the UST Tranche A Credit Agreement and the UST Tranche B Credit Agreement, directly or indirectly, to the United States federal government or any Governmental Authority on behalf thereof (including, in each case, any agent, trust or Person on behalf thereof, including, for the avoidance of doubt, any voting trust and the trustee thereof created to hold the Treasury Equity for the benefit of the United States federal government or any other Governmental Authority).</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Treasury Equity Documents</w:t>
      </w:r>
      <w:r>
        <w:rPr>
          <w:rFonts w:ascii="Arial" w:cs="Arial" w:eastAsia="Arial" w:hAnsi="Arial"/>
          <w:sz w:val="16"/>
          <w:szCs w:val="16"/>
          <w:color w:val="FF0000"/>
          <w:strike w:val="1"/>
        </w:rPr>
        <w:t>” means (i) the Share Issuance Agreement, dated as of June 30, 2020, between the Borrower and the Treasury,</w:t>
      </w:r>
    </w:p>
    <w:p>
      <w:pPr>
        <w:spacing w:after="0" w:line="50" w:lineRule="exact"/>
        <w:rPr>
          <w:sz w:val="20"/>
          <w:szCs w:val="20"/>
          <w:color w:val="auto"/>
        </w:rPr>
      </w:pPr>
    </w:p>
    <w:p>
      <w:pPr>
        <w:jc w:val="both"/>
        <w:ind w:left="4" w:right="280" w:hanging="4"/>
        <w:spacing w:after="0" w:line="255" w:lineRule="auto"/>
        <w:tabs>
          <w:tab w:leader="none" w:pos="269" w:val="left"/>
        </w:tabs>
        <w:numPr>
          <w:ilvl w:val="0"/>
          <w:numId w:val="116"/>
        </w:numPr>
        <w:rPr>
          <w:rFonts w:ascii="Arial" w:cs="Arial" w:eastAsia="Arial" w:hAnsi="Arial"/>
          <w:sz w:val="18"/>
          <w:szCs w:val="18"/>
          <w:color w:val="FF0000"/>
          <w:strike w:val="1"/>
        </w:rPr>
      </w:pPr>
      <w:r>
        <w:rPr>
          <w:rFonts w:ascii="Arial" w:cs="Arial" w:eastAsia="Arial" w:hAnsi="Arial"/>
          <w:sz w:val="18"/>
          <w:szCs w:val="18"/>
          <w:color w:val="FF0000"/>
          <w:strike w:val="1"/>
        </w:rPr>
        <w:t>the Voting Trust Agreement, by and among the Borrower, Treasury and the trustee thereunder to be entered into on or before the Treasury Equity Issuance and (iii) the Registration Rights Agreement, by and between the Borrower and Treasury to be entered into on or before the Treasury Equity Issuance.</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Treasury Equity Issuance</w:t>
      </w:r>
      <w:r>
        <w:rPr>
          <w:rFonts w:ascii="Arial" w:cs="Arial" w:eastAsia="Arial" w:hAnsi="Arial"/>
          <w:sz w:val="18"/>
          <w:szCs w:val="18"/>
          <w:color w:val="FF0000"/>
          <w:strike w:val="1"/>
        </w:rPr>
        <w:t>” shall mean the issuance of Treasury Equity in connection with the Amendment No. 2 Transactions.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Treasury Only Collateral</w:t>
      </w:r>
      <w:r>
        <w:rPr>
          <w:rFonts w:ascii="Arial" w:cs="Arial" w:eastAsia="Arial" w:hAnsi="Arial"/>
          <w:sz w:val="18"/>
          <w:szCs w:val="18"/>
          <w:color w:val="FF0000"/>
          <w:strike w:val="1"/>
        </w:rPr>
        <w:t>” shall mean, collectively, the UST Tranche A Only Collateral and the UST Tranche B Only Collateral.</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4"/>
          </w:cols>
          <w:pgMar w:left="436" w:top="274" w:right="499" w:bottom="1440" w:gutter="0" w:footer="0" w:header="0"/>
        </w:sectPr>
      </w:pPr>
    </w:p>
    <w:bookmarkStart w:id="196" w:name="page197"/>
    <w:bookmarkEnd w:id="196"/>
    <w:p>
      <w:pPr>
        <w:ind w:right="420" w:firstLine="440"/>
        <w:spacing w:after="0" w:line="347"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6"/>
          <w:szCs w:val="16"/>
          <w:b w:val="1"/>
          <w:bCs w:val="1"/>
          <w:color w:val="FF0000"/>
          <w:strike w:val="1"/>
        </w:rPr>
        <w:t>Type</w:t>
      </w:r>
      <w:r>
        <w:rPr>
          <w:rFonts w:ascii="Arial" w:cs="Arial" w:eastAsia="Arial" w:hAnsi="Arial"/>
          <w:sz w:val="16"/>
          <w:szCs w:val="16"/>
          <w:color w:val="FF0000"/>
          <w:strike w:val="1"/>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16"/>
          <w:szCs w:val="16"/>
          <w:b w:val="1"/>
          <w:bCs w:val="1"/>
          <w:color w:val="FF0000"/>
          <w:strike w:val="1"/>
        </w:rPr>
        <w:t>Rate</w:t>
      </w:r>
      <w:r>
        <w:rPr>
          <w:rFonts w:ascii="Arial" w:cs="Arial" w:eastAsia="Arial" w:hAnsi="Arial"/>
          <w:sz w:val="16"/>
          <w:szCs w:val="16"/>
          <w:color w:val="FF0000"/>
          <w:strike w:val="1"/>
        </w:rPr>
        <w:t>” shall mean Adjusted Term SOFR and the Alternate Base Rate.</w:t>
      </w:r>
    </w:p>
    <w:p>
      <w:pPr>
        <w:spacing w:after="0" w:line="116"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Unaudited Financial Statements</w:t>
      </w:r>
      <w:r>
        <w:rPr>
          <w:rFonts w:ascii="Arial" w:cs="Arial" w:eastAsia="Arial" w:hAnsi="Arial"/>
          <w:sz w:val="17"/>
          <w:szCs w:val="17"/>
          <w:color w:val="auto"/>
        </w:rPr>
        <w:t xml:space="preserve">” shall mean the unaudited consolidated balance sheets and related statements of operations and cash flows of the Borrower and its consolidated Subsidiaries as at the end of and for the fiscal quarter ended </w:t>
      </w:r>
      <w:r>
        <w:rPr>
          <w:rFonts w:ascii="Arial" w:cs="Arial" w:eastAsia="Arial" w:hAnsi="Arial"/>
          <w:sz w:val="17"/>
          <w:szCs w:val="17"/>
          <w:color w:val="FF0000"/>
          <w:strike w:val="1"/>
        </w:rPr>
        <w:t>June</w:t>
      </w:r>
      <w:r>
        <w:rPr>
          <w:rFonts w:ascii="Arial" w:cs="Arial" w:eastAsia="Arial" w:hAnsi="Arial"/>
          <w:sz w:val="17"/>
          <w:szCs w:val="17"/>
          <w:u w:val="single" w:color="auto"/>
          <w:color w:val="0000FF"/>
        </w:rPr>
        <w:t>March 31,</w:t>
      </w:r>
      <w:r>
        <w:rPr>
          <w:rFonts w:ascii="Arial" w:cs="Arial" w:eastAsia="Arial" w:hAnsi="Arial"/>
          <w:sz w:val="17"/>
          <w:szCs w:val="17"/>
          <w:color w:val="auto"/>
        </w:rPr>
        <w:t xml:space="preserve"> </w:t>
      </w:r>
      <w:r>
        <w:rPr>
          <w:rFonts w:ascii="Arial" w:cs="Arial" w:eastAsia="Arial" w:hAnsi="Arial"/>
          <w:sz w:val="17"/>
          <w:szCs w:val="17"/>
          <w:color w:val="FF0000"/>
          <w:strike w:val="1"/>
        </w:rPr>
        <w:t>2019</w:t>
      </w:r>
      <w:r>
        <w:rPr>
          <w:rFonts w:ascii="Arial" w:cs="Arial" w:eastAsia="Arial" w:hAnsi="Arial"/>
          <w:sz w:val="17"/>
          <w:szCs w:val="17"/>
          <w:u w:val="single" w:color="auto"/>
          <w:color w:val="0000FF"/>
        </w:rPr>
        <w:t>2023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-27305</wp:posOffset>
            </wp:positionV>
            <wp:extent cx="46291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-27305</wp:posOffset>
            </wp:positionV>
            <wp:extent cx="23177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Unencumbered Assets</w:t>
      </w:r>
      <w:r>
        <w:rPr>
          <w:rFonts w:ascii="Arial" w:cs="Arial" w:eastAsia="Arial" w:hAnsi="Arial"/>
          <w:sz w:val="18"/>
          <w:szCs w:val="18"/>
          <w:u w:val="single" w:color="auto"/>
          <w:color w:val="008000"/>
        </w:rPr>
        <w:t>” shall have the meaning specified in Section</w:t>
      </w:r>
      <w:r>
        <w:rPr>
          <w:rFonts w:ascii="Arial" w:cs="Arial" w:eastAsia="Arial" w:hAnsi="Arial"/>
          <w:sz w:val="18"/>
          <w:szCs w:val="18"/>
          <w:u w:val="single" w:color="auto"/>
          <w:color w:val="0000FF"/>
        </w:rPr>
        <w:t xml:space="preserve"> 5.21(d).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60870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Tax Compliance Certificate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U.S. Government Securities Business Day</w:t>
      </w:r>
      <w:r>
        <w:rPr>
          <w:rFonts w:ascii="Arial" w:cs="Arial" w:eastAsia="Arial" w:hAnsi="Arial"/>
          <w:sz w:val="18"/>
          <w:szCs w:val="18"/>
          <w:color w:val="FF0000"/>
          <w:strike w:val="1"/>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shall mean The Uniting and Strengthening America by Providing Appropriate Tools Required to Intercept and Obstruct Terrorism Act of 2001 (Title III of Pub. L. No. 107-56 (signed into law October 26, 2001)).</w:t>
      </w:r>
    </w:p>
    <w:p>
      <w:pPr>
        <w:spacing w:after="0" w:line="162"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UST Adequate Protection Order</w:t>
      </w:r>
      <w:r>
        <w:rPr>
          <w:rFonts w:ascii="Arial" w:cs="Arial" w:eastAsia="Arial" w:hAnsi="Arial"/>
          <w:sz w:val="18"/>
          <w:szCs w:val="18"/>
          <w:u w:val="single" w:color="auto"/>
          <w:color w:val="0000FF"/>
        </w:rPr>
        <w:t>” means the interim order attached hereto as Exhibit H, as the same may be amended, modified or supplemented from time to time with the express written joinder or consent of the Lenders (and with respect to amendments, modifications or supplements that affect the rights or duties of any Agent, such Agent) or, upon entry thereof by the Bankruptcy Court, the final order approving the interim order attached hereto as 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13791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1379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48081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2084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95453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0"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A Agent</w:t>
      </w:r>
      <w:r>
        <w:rPr>
          <w:rFonts w:ascii="Arial" w:cs="Arial" w:eastAsia="Arial" w:hAnsi="Arial"/>
          <w:sz w:val="18"/>
          <w:szCs w:val="18"/>
          <w:color w:val="008000"/>
          <w:strike w:val="1"/>
        </w:rPr>
        <w:t>” shall mean, as the context may require, The Bank of New York Mellon, in its capacity as administrative agent and as</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collateral agent under the UST Tranche A Facility Documentation, such agents collectively or any permitted successor or assignee administrative agent or collateral agent under the UST Tranche A Facility Documentation.</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A Controlled Account</w:t>
      </w:r>
      <w:r>
        <w:rPr>
          <w:rFonts w:ascii="Arial" w:cs="Arial" w:eastAsia="Arial" w:hAnsi="Arial"/>
          <w:sz w:val="18"/>
          <w:szCs w:val="18"/>
          <w:color w:val="008000"/>
          <w:strike w:val="1"/>
        </w:rPr>
        <w:t>” shall have the meaning assigned to</w:t>
      </w:r>
      <w:r>
        <w:rPr>
          <w:rFonts w:ascii="Arial" w:cs="Arial" w:eastAsia="Arial" w:hAnsi="Arial"/>
          <w:sz w:val="18"/>
          <w:szCs w:val="18"/>
          <w:color w:val="FF0000"/>
          <w:strike w:val="1"/>
        </w:rPr>
        <w:t xml:space="preserve"> such term in the UST Tranche </w:t>
      </w:r>
      <w:r>
        <w:rPr>
          <w:rFonts w:ascii="Arial" w:cs="Arial" w:eastAsia="Arial" w:hAnsi="Arial"/>
          <w:sz w:val="18"/>
          <w:szCs w:val="18"/>
          <w:color w:val="008000"/>
          <w:strike w:val="1"/>
        </w:rPr>
        <w:t>A Credit Agreement (as in effect as of</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the date hereof).</w:t>
      </w:r>
    </w:p>
    <w:p>
      <w:pPr>
        <w:spacing w:after="0" w:line="16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008000"/>
          <w:strike w:val="1"/>
        </w:rPr>
        <w:t>UST Tranche A Credit Agreement</w:t>
      </w:r>
      <w:r>
        <w:rPr>
          <w:rFonts w:ascii="Arial" w:cs="Arial" w:eastAsia="Arial" w:hAnsi="Arial"/>
          <w:sz w:val="17"/>
          <w:szCs w:val="17"/>
          <w:color w:val="008000"/>
          <w:strike w:val="1"/>
        </w:rPr>
        <w:t>” shall mean that certain UST Tranche A Term Loan Credit Agreement dated as of</w:t>
      </w:r>
      <w:r>
        <w:rPr>
          <w:rFonts w:ascii="Arial" w:cs="Arial" w:eastAsia="Arial" w:hAnsi="Arial"/>
          <w:sz w:val="17"/>
          <w:szCs w:val="17"/>
          <w:color w:val="FF0000"/>
          <w:strike w:val="1"/>
        </w:rPr>
        <w:t xml:space="preserve"> the Amendment No. 2 Effective Date</w:t>
      </w:r>
      <w:r>
        <w:rPr>
          <w:rFonts w:ascii="Arial" w:cs="Arial" w:eastAsia="Arial" w:hAnsi="Arial"/>
          <w:sz w:val="17"/>
          <w:szCs w:val="17"/>
          <w:color w:val="008000"/>
          <w:strike w:val="1"/>
        </w:rPr>
        <w:t>, among the Borrower, the other subsidiaries of the Borrower party thereto, the lenders party thereto and the</w:t>
      </w:r>
      <w:r>
        <w:rPr>
          <w:rFonts w:ascii="Arial" w:cs="Arial" w:eastAsia="Arial" w:hAnsi="Arial"/>
          <w:sz w:val="17"/>
          <w:szCs w:val="17"/>
          <w:color w:val="FF0000"/>
          <w:strike w:val="1"/>
        </w:rPr>
        <w:t xml:space="preserve"> Tranche A Treasury </w:t>
      </w:r>
      <w:r>
        <w:rPr>
          <w:rFonts w:ascii="Arial" w:cs="Arial" w:eastAsia="Arial" w:hAnsi="Arial"/>
          <w:sz w:val="17"/>
          <w:szCs w:val="17"/>
          <w:color w:val="008000"/>
          <w:strike w:val="1"/>
        </w:rPr>
        <w:t>Agent,</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and as the same may </w:t>
      </w:r>
      <w:r>
        <w:rPr>
          <w:rFonts w:ascii="Arial" w:cs="Arial" w:eastAsia="Arial" w:hAnsi="Arial"/>
          <w:sz w:val="17"/>
          <w:szCs w:val="17"/>
          <w:color w:val="FF0000"/>
          <w:strike w:val="1"/>
        </w:rPr>
        <w:t>be</w:t>
      </w:r>
      <w:r>
        <w:rPr>
          <w:rFonts w:ascii="Arial" w:cs="Arial" w:eastAsia="Arial" w:hAnsi="Arial"/>
          <w:sz w:val="17"/>
          <w:szCs w:val="17"/>
          <w:color w:val="008000"/>
          <w:strike w:val="1"/>
        </w:rPr>
        <w:t xml:space="preserve"> further amended, restated, modified, supplemented, extended, renewed, restructured, refunded, replaced or refinanced from time to time </w:t>
      </w:r>
      <w:r>
        <w:rPr>
          <w:rFonts w:ascii="Arial" w:cs="Arial" w:eastAsia="Arial" w:hAnsi="Arial"/>
          <w:sz w:val="17"/>
          <w:szCs w:val="17"/>
          <w:color w:val="FF0000"/>
          <w:strike w:val="1"/>
        </w:rPr>
        <w:t>in one or more agreements (in each case with the same or new lenders, institutional investors or agents and resulting in a financing that</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constitutes (or that would constitute if incurred as a new financing) a Permitted Refinancing of the UST Tranche A Facility Indebtedness), including any agreement extending the maturity thereof or otherwise restructuring all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0" w:right="479" w:bottom="1440" w:gutter="0" w:footer="0" w:header="0"/>
        </w:sectPr>
      </w:pPr>
    </w:p>
    <w:bookmarkStart w:id="197" w:name="page198"/>
    <w:bookmarkEnd w:id="197"/>
    <w:p>
      <w:pPr>
        <w:ind w:right="80"/>
        <w:spacing w:after="0" w:line="342"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portion of the Indebtedness thereunder or increasing the amount loaned or issued thereunder or altering the maturity thereof), in each case as and to the extent permitted by this Agreement and, as applicable, the ABL Intercreditor Agreement and the Junior Lien Intercreditor Agreement.</w:t>
      </w:r>
    </w:p>
    <w:p>
      <w:pPr>
        <w:spacing w:after="0" w:line="120"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UST</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Tranche A Facility</w:t>
      </w:r>
      <w:r>
        <w:rPr>
          <w:rFonts w:ascii="Arial" w:cs="Arial" w:eastAsia="Arial" w:hAnsi="Arial"/>
          <w:sz w:val="17"/>
          <w:szCs w:val="17"/>
          <w:b w:val="1"/>
          <w:bCs w:val="1"/>
          <w:u w:val="single" w:color="auto"/>
          <w:color w:val="0000FF"/>
        </w:rPr>
        <w:t>Adequate Protection Payments</w:t>
      </w:r>
      <w:r>
        <w:rPr>
          <w:rFonts w:ascii="Arial" w:cs="Arial" w:eastAsia="Arial" w:hAnsi="Arial"/>
          <w:sz w:val="17"/>
          <w:szCs w:val="17"/>
          <w:color w:val="auto"/>
        </w:rPr>
        <w:t xml:space="preserve">” shall mean </w:t>
      </w:r>
      <w:r>
        <w:rPr>
          <w:rFonts w:ascii="Arial" w:cs="Arial" w:eastAsia="Arial" w:hAnsi="Arial"/>
          <w:sz w:val="17"/>
          <w:szCs w:val="17"/>
          <w:color w:val="008000"/>
          <w:strike w:val="1"/>
        </w:rPr>
        <w:t>the credit facility made available to the Borrower pursuant to the UST</w:t>
      </w:r>
      <w:r>
        <w:rPr>
          <w:rFonts w:ascii="Arial" w:cs="Arial" w:eastAsia="Arial" w:hAnsi="Arial"/>
          <w:sz w:val="17"/>
          <w:szCs w:val="17"/>
          <w:color w:val="auto"/>
        </w:rPr>
        <w:t xml:space="preserve"> </w:t>
      </w:r>
      <w:r>
        <w:rPr>
          <w:rFonts w:ascii="Arial" w:cs="Arial" w:eastAsia="Arial" w:hAnsi="Arial"/>
          <w:sz w:val="17"/>
          <w:szCs w:val="17"/>
          <w:color w:val="008000"/>
          <w:strike w:val="1"/>
        </w:rPr>
        <w:t>Tranche A Credit Agreement</w:t>
      </w:r>
      <w:r>
        <w:rPr>
          <w:rFonts w:ascii="Arial" w:cs="Arial" w:eastAsia="Arial" w:hAnsi="Arial"/>
          <w:sz w:val="17"/>
          <w:szCs w:val="17"/>
          <w:u w:val="single" w:color="auto"/>
          <w:color w:val="0000FF"/>
        </w:rPr>
        <w:t>adequate protection payments expressly set forth in the UST Adequate Protection Order</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-164465</wp:posOffset>
            </wp:positionV>
            <wp:extent cx="150876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-27305</wp:posOffset>
            </wp:positionV>
            <wp:extent cx="402018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20"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UST</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Tranche A Facility Documentation</w:t>
      </w:r>
      <w:r>
        <w:rPr>
          <w:rFonts w:ascii="Arial" w:cs="Arial" w:eastAsia="Arial" w:hAnsi="Arial"/>
          <w:sz w:val="16"/>
          <w:szCs w:val="16"/>
          <w:b w:val="1"/>
          <w:bCs w:val="1"/>
          <w:u w:val="single" w:color="auto"/>
          <w:color w:val="0000FF"/>
        </w:rPr>
        <w:t>Secured Parties</w:t>
      </w:r>
      <w:r>
        <w:rPr>
          <w:rFonts w:ascii="Arial" w:cs="Arial" w:eastAsia="Arial" w:hAnsi="Arial"/>
          <w:sz w:val="16"/>
          <w:szCs w:val="16"/>
          <w:color w:val="auto"/>
        </w:rPr>
        <w:t>” shall mean</w:t>
      </w:r>
      <w:r>
        <w:rPr>
          <w:rFonts w:ascii="Arial" w:cs="Arial" w:eastAsia="Arial" w:hAnsi="Arial"/>
          <w:sz w:val="16"/>
          <w:szCs w:val="16"/>
          <w:u w:val="single" w:color="auto"/>
          <w:color w:val="0000FF"/>
        </w:rPr>
        <w:t>, collectively,</w:t>
      </w:r>
      <w:r>
        <w:rPr>
          <w:rFonts w:ascii="Arial" w:cs="Arial" w:eastAsia="Arial" w:hAnsi="Arial"/>
          <w:sz w:val="16"/>
          <w:szCs w:val="16"/>
          <w:color w:val="auto"/>
        </w:rPr>
        <w:t xml:space="preserve"> the </w:t>
      </w:r>
      <w:r>
        <w:rPr>
          <w:rFonts w:ascii="Arial" w:cs="Arial" w:eastAsia="Arial" w:hAnsi="Arial"/>
          <w:sz w:val="16"/>
          <w:szCs w:val="16"/>
          <w:u w:val="single" w:color="auto"/>
          <w:color w:val="0000FF"/>
        </w:rPr>
        <w:t>Prepetition</w:t>
      </w:r>
      <w:r>
        <w:rPr>
          <w:rFonts w:ascii="Arial" w:cs="Arial" w:eastAsia="Arial" w:hAnsi="Arial"/>
          <w:sz w:val="16"/>
          <w:szCs w:val="16"/>
          <w:color w:val="auto"/>
        </w:rPr>
        <w:t xml:space="preserve"> UST Tranche A </w:t>
      </w:r>
      <w:r>
        <w:rPr>
          <w:rFonts w:ascii="Arial" w:cs="Arial" w:eastAsia="Arial" w:hAnsi="Arial"/>
          <w:sz w:val="16"/>
          <w:szCs w:val="16"/>
          <w:color w:val="008000"/>
          <w:strike w:val="1"/>
        </w:rPr>
        <w:t>Credit Agreement and all</w:t>
      </w:r>
      <w:r>
        <w:rPr>
          <w:rFonts w:ascii="Arial" w:cs="Arial" w:eastAsia="Arial" w:hAnsi="Arial"/>
          <w:sz w:val="16"/>
          <w:szCs w:val="16"/>
          <w:color w:val="auto"/>
        </w:rPr>
        <w:t xml:space="preserve"> </w:t>
      </w:r>
      <w:r>
        <w:rPr>
          <w:rFonts w:ascii="Arial" w:cs="Arial" w:eastAsia="Arial" w:hAnsi="Arial"/>
          <w:sz w:val="16"/>
          <w:szCs w:val="16"/>
          <w:color w:val="008000"/>
          <w:strike w:val="1"/>
        </w:rPr>
        <w:t>security agreements, guarantees, pledge agreements and other agreements or instruments executed in connection therewith and including all “Loan Documents” (as defined in the</w:t>
      </w:r>
      <w:r>
        <w:rPr>
          <w:rFonts w:ascii="Arial" w:cs="Arial" w:eastAsia="Arial" w:hAnsi="Arial"/>
          <w:sz w:val="16"/>
          <w:szCs w:val="16"/>
          <w:u w:val="single" w:color="auto"/>
          <w:color w:val="0000FF"/>
          <w:strike w:val="1"/>
        </w:rPr>
        <w:t>Secured Parties and the Prepetition</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UST Tranche</w:t>
      </w:r>
      <w:r>
        <w:rPr>
          <w:rFonts w:ascii="Arial" w:cs="Arial" w:eastAsia="Arial" w:hAnsi="Arial"/>
          <w:sz w:val="16"/>
          <w:szCs w:val="16"/>
          <w:color w:val="008000"/>
          <w:strike w:val="1"/>
        </w:rPr>
        <w:t xml:space="preserve"> A Credit Agreement) or similar term</w:t>
      </w:r>
      <w:r>
        <w:rPr>
          <w:rFonts w:ascii="Arial" w:cs="Arial" w:eastAsia="Arial" w:hAnsi="Arial"/>
          <w:sz w:val="16"/>
          <w:szCs w:val="16"/>
          <w:u w:val="single" w:color="auto"/>
          <w:color w:val="0000FF"/>
          <w:strike w:val="1"/>
        </w:rPr>
        <w:t>B Secured Parties</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-300355</wp:posOffset>
            </wp:positionV>
            <wp:extent cx="76263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-300355</wp:posOffset>
            </wp:positionV>
            <wp:extent cx="133731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-26035</wp:posOffset>
            </wp:positionV>
            <wp:extent cx="160274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-26035</wp:posOffset>
            </wp:positionV>
            <wp:extent cx="81470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2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A Facility Indebtedness</w:t>
      </w:r>
      <w:r>
        <w:rPr>
          <w:rFonts w:ascii="Arial" w:cs="Arial" w:eastAsia="Arial" w:hAnsi="Arial"/>
          <w:sz w:val="18"/>
          <w:szCs w:val="18"/>
          <w:color w:val="008000"/>
          <w:strike w:val="1"/>
        </w:rPr>
        <w:t>” shall mean Indebtedness of the Borrower or any</w:t>
      </w:r>
      <w:r>
        <w:rPr>
          <w:rFonts w:ascii="Arial" w:cs="Arial" w:eastAsia="Arial" w:hAnsi="Arial"/>
          <w:sz w:val="18"/>
          <w:szCs w:val="18"/>
          <w:color w:val="FF0000"/>
          <w:strike w:val="1"/>
        </w:rPr>
        <w:t xml:space="preserve"> Restricted </w:t>
      </w:r>
      <w:r>
        <w:rPr>
          <w:rFonts w:ascii="Arial" w:cs="Arial" w:eastAsia="Arial" w:hAnsi="Arial"/>
          <w:sz w:val="18"/>
          <w:szCs w:val="18"/>
          <w:color w:val="008000"/>
          <w:strike w:val="1"/>
        </w:rPr>
        <w:t>Subsidiary outstanding under or secured by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the UST Tranche A Facility Documentation</w:t>
      </w:r>
      <w:r>
        <w:rPr>
          <w:rFonts w:ascii="Arial" w:cs="Arial" w:eastAsia="Arial" w:hAnsi="Arial"/>
          <w:sz w:val="18"/>
          <w:szCs w:val="18"/>
          <w:color w:val="FF0000"/>
          <w:strike w:val="1"/>
        </w:rPr>
        <w:t>, and in each case, all Permitted Refinancings thereof.</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A Only Collateral</w:t>
      </w:r>
      <w:r>
        <w:rPr>
          <w:rFonts w:ascii="Arial" w:cs="Arial" w:eastAsia="Arial" w:hAnsi="Arial"/>
          <w:sz w:val="18"/>
          <w:szCs w:val="18"/>
          <w:color w:val="008000"/>
          <w:strike w:val="1"/>
        </w:rPr>
        <w:t>” shall mean the</w:t>
      </w:r>
      <w:r>
        <w:rPr>
          <w:rFonts w:ascii="Arial" w:cs="Arial" w:eastAsia="Arial" w:hAnsi="Arial"/>
          <w:sz w:val="18"/>
          <w:szCs w:val="18"/>
          <w:color w:val="FF0000"/>
        </w:rPr>
        <w:t xml:space="preserve"> </w:t>
      </w:r>
      <w:r>
        <w:rPr>
          <w:rFonts w:ascii="Arial" w:cs="Arial" w:eastAsia="Arial" w:hAnsi="Arial"/>
          <w:sz w:val="18"/>
          <w:szCs w:val="18"/>
          <w:color w:val="FF0000"/>
          <w:strike w:val="1"/>
        </w:rPr>
        <w:t>UST Tranche</w:t>
      </w:r>
      <w:r>
        <w:rPr>
          <w:rFonts w:ascii="Arial" w:cs="Arial" w:eastAsia="Arial" w:hAnsi="Arial"/>
          <w:sz w:val="18"/>
          <w:szCs w:val="18"/>
          <w:color w:val="FF0000"/>
        </w:rPr>
        <w:t xml:space="preserve"> </w:t>
      </w:r>
      <w:r>
        <w:rPr>
          <w:rFonts w:ascii="Arial" w:cs="Arial" w:eastAsia="Arial" w:hAnsi="Arial"/>
          <w:sz w:val="18"/>
          <w:szCs w:val="18"/>
          <w:color w:val="000000"/>
        </w:rPr>
        <w:t>A Controlled Account and all Money (as defined in the UCC) and all cash,</w:t>
      </w:r>
      <w:r>
        <w:rPr>
          <w:rFonts w:ascii="Arial" w:cs="Arial" w:eastAsia="Arial" w:hAnsi="Arial"/>
          <w:sz w:val="18"/>
          <w:szCs w:val="18"/>
          <w:color w:val="FF0000"/>
        </w:rPr>
        <w:t xml:space="preserve"> </w:t>
      </w:r>
      <w:r>
        <w:rPr>
          <w:rFonts w:ascii="Arial" w:cs="Arial" w:eastAsia="Arial" w:hAnsi="Arial"/>
          <w:sz w:val="18"/>
          <w:szCs w:val="18"/>
          <w:color w:val="000000"/>
        </w:rPr>
        <w:t>checks, other negotiable instruments, funds and other evidences of loan proceeds properly held therein.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UST Tranche A Secured Parties</w:t>
      </w:r>
      <w:r>
        <w:rPr>
          <w:rFonts w:ascii="Arial" w:cs="Arial" w:eastAsia="Arial" w:hAnsi="Arial"/>
          <w:sz w:val="18"/>
          <w:szCs w:val="18"/>
          <w:color w:val="FF0000"/>
          <w:strike w:val="1"/>
        </w:rPr>
        <w:t>” shall have the meaning assigned to such term in the ABL Intercreditor Agreement.</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B Agent</w:t>
      </w:r>
      <w:r>
        <w:rPr>
          <w:rFonts w:ascii="Arial" w:cs="Arial" w:eastAsia="Arial" w:hAnsi="Arial"/>
          <w:sz w:val="18"/>
          <w:szCs w:val="18"/>
          <w:color w:val="008000"/>
          <w:strike w:val="1"/>
        </w:rPr>
        <w:t>” shall mean, as the context may require, The Bank of New York Mellon, in its capacity as administrative agent and as</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collateral agent under the UST Tranche B Facility Documentation, such agents collectively or any permitted successor or assignee administrative agent or collateral agent under the UST Tranche B Facility Documentation.</w:t>
      </w:r>
    </w:p>
    <w:p>
      <w:pPr>
        <w:spacing w:after="0" w:line="17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B Controlled Account</w:t>
      </w:r>
      <w:r>
        <w:rPr>
          <w:rFonts w:ascii="Arial" w:cs="Arial" w:eastAsia="Arial" w:hAnsi="Arial"/>
          <w:sz w:val="18"/>
          <w:szCs w:val="18"/>
          <w:color w:val="008000"/>
          <w:strike w:val="1"/>
        </w:rPr>
        <w:t>” shall have the meaning assigned to</w:t>
      </w:r>
      <w:r>
        <w:rPr>
          <w:rFonts w:ascii="Arial" w:cs="Arial" w:eastAsia="Arial" w:hAnsi="Arial"/>
          <w:sz w:val="18"/>
          <w:szCs w:val="18"/>
          <w:color w:val="FF0000"/>
          <w:strike w:val="1"/>
        </w:rPr>
        <w:t xml:space="preserve"> such term in the UST Tranche </w:t>
      </w:r>
      <w:r>
        <w:rPr>
          <w:rFonts w:ascii="Arial" w:cs="Arial" w:eastAsia="Arial" w:hAnsi="Arial"/>
          <w:sz w:val="18"/>
          <w:szCs w:val="18"/>
          <w:color w:val="008000"/>
          <w:strike w:val="1"/>
        </w:rPr>
        <w:t>B Credit Agreement (as in effect as of</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the date hereof).</w:t>
      </w:r>
    </w:p>
    <w:p>
      <w:pPr>
        <w:spacing w:after="0" w:line="16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008000"/>
          <w:strike w:val="1"/>
        </w:rPr>
        <w:t>UST Tranche B Credit Agreement</w:t>
      </w:r>
      <w:r>
        <w:rPr>
          <w:rFonts w:ascii="Arial" w:cs="Arial" w:eastAsia="Arial" w:hAnsi="Arial"/>
          <w:sz w:val="17"/>
          <w:szCs w:val="17"/>
          <w:color w:val="008000"/>
          <w:strike w:val="1"/>
        </w:rPr>
        <w:t>” shall mean that certain UST Tranche B Term Loan Credit Agreement dated as of</w:t>
      </w:r>
      <w:r>
        <w:rPr>
          <w:rFonts w:ascii="Arial" w:cs="Arial" w:eastAsia="Arial" w:hAnsi="Arial"/>
          <w:sz w:val="17"/>
          <w:szCs w:val="17"/>
          <w:color w:val="FF0000"/>
          <w:strike w:val="1"/>
        </w:rPr>
        <w:t xml:space="preserve"> the Amendment No. 2 Effective Date</w:t>
      </w:r>
      <w:r>
        <w:rPr>
          <w:rFonts w:ascii="Arial" w:cs="Arial" w:eastAsia="Arial" w:hAnsi="Arial"/>
          <w:sz w:val="17"/>
          <w:szCs w:val="17"/>
          <w:color w:val="008000"/>
          <w:strike w:val="1"/>
        </w:rPr>
        <w:t>, among the Borrower, the other subsidiaries of the Borrower party thereto, the lenders party thereto and the</w:t>
      </w:r>
      <w:r>
        <w:rPr>
          <w:rFonts w:ascii="Arial" w:cs="Arial" w:eastAsia="Arial" w:hAnsi="Arial"/>
          <w:sz w:val="17"/>
          <w:szCs w:val="17"/>
          <w:color w:val="FF0000"/>
          <w:strike w:val="1"/>
        </w:rPr>
        <w:t xml:space="preserve"> Tranche B Treasury </w:t>
      </w:r>
      <w:r>
        <w:rPr>
          <w:rFonts w:ascii="Arial" w:cs="Arial" w:eastAsia="Arial" w:hAnsi="Arial"/>
          <w:sz w:val="17"/>
          <w:szCs w:val="17"/>
          <w:color w:val="008000"/>
          <w:strike w:val="1"/>
        </w:rPr>
        <w:t>Agent,</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and as the same may </w:t>
      </w:r>
      <w:r>
        <w:rPr>
          <w:rFonts w:ascii="Arial" w:cs="Arial" w:eastAsia="Arial" w:hAnsi="Arial"/>
          <w:sz w:val="17"/>
          <w:szCs w:val="17"/>
          <w:color w:val="FF0000"/>
          <w:strike w:val="1"/>
        </w:rPr>
        <w:t>be</w:t>
      </w:r>
      <w:r>
        <w:rPr>
          <w:rFonts w:ascii="Arial" w:cs="Arial" w:eastAsia="Arial" w:hAnsi="Arial"/>
          <w:sz w:val="17"/>
          <w:szCs w:val="17"/>
          <w:color w:val="008000"/>
          <w:strike w:val="1"/>
        </w:rPr>
        <w:t xml:space="preserve"> further amended, restated, modified, supplemented, extended, renewed, restructured, refunded, replaced or refinanced from time to time </w:t>
      </w:r>
      <w:r>
        <w:rPr>
          <w:rFonts w:ascii="Arial" w:cs="Arial" w:eastAsia="Arial" w:hAnsi="Arial"/>
          <w:sz w:val="17"/>
          <w:szCs w:val="17"/>
          <w:color w:val="FF0000"/>
          <w:strike w:val="1"/>
        </w:rPr>
        <w:t>in one or more agreements (in each case with the same or new lenders, institutional investors or agents and resulting in a financing that</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constitutes (or that would constitute if incurred as a new financing) a Permitted Refinancing of the UST Tranche B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as applicable, the ABL Intercreditor Agreement and the Junior Lien Intercreditor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008000"/>
          <w:strike w:val="1"/>
        </w:rPr>
        <w:t>UST Tranche B Facility</w:t>
      </w:r>
      <w:r>
        <w:rPr>
          <w:rFonts w:ascii="Arial" w:cs="Arial" w:eastAsia="Arial" w:hAnsi="Arial"/>
          <w:sz w:val="17"/>
          <w:szCs w:val="17"/>
          <w:color w:val="008000"/>
          <w:strike w:val="1"/>
        </w:rPr>
        <w:t>” shall mean the credit facility made available to the Borrower pursuant to the UST Tranche B Credit Agreement.</w:t>
      </w:r>
    </w:p>
    <w:p>
      <w:pPr>
        <w:spacing w:after="0" w:line="23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B Facility Documentation</w:t>
      </w:r>
      <w:r>
        <w:rPr>
          <w:rFonts w:ascii="Arial" w:cs="Arial" w:eastAsia="Arial" w:hAnsi="Arial"/>
          <w:sz w:val="18"/>
          <w:szCs w:val="18"/>
          <w:color w:val="008000"/>
          <w:strike w:val="1"/>
        </w:rPr>
        <w:t>” shall mean the</w:t>
      </w:r>
      <w:r>
        <w:rPr>
          <w:rFonts w:ascii="Arial" w:cs="Arial" w:eastAsia="Arial" w:hAnsi="Arial"/>
          <w:sz w:val="18"/>
          <w:szCs w:val="18"/>
          <w:color w:val="FF0000"/>
          <w:strike w:val="1"/>
        </w:rPr>
        <w:t xml:space="preserve"> UST Tranche </w:t>
      </w:r>
      <w:r>
        <w:rPr>
          <w:rFonts w:ascii="Arial" w:cs="Arial" w:eastAsia="Arial" w:hAnsi="Arial"/>
          <w:sz w:val="18"/>
          <w:szCs w:val="18"/>
          <w:color w:val="008000"/>
          <w:strike w:val="1"/>
        </w:rPr>
        <w:t>B Credit Agreement and all security agreements, guarantees, pledge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agreements and other agreements or instruments executed in connection therewith and including all “Loan Documents” (as defined in the UST Tranche B Credit Agreement) or similar term.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198" w:name="page199"/>
    <w:bookmarkEnd w:id="198"/>
    <w:p>
      <w:pPr>
        <w:ind w:right="40" w:firstLine="440"/>
        <w:spacing w:after="0" w:line="282"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8"/>
          <w:szCs w:val="18"/>
          <w:b w:val="1"/>
          <w:bCs w:val="1"/>
          <w:color w:val="008000"/>
          <w:strike w:val="1"/>
        </w:rPr>
        <w:t>UST Tranche B Facility Indebtedness</w:t>
      </w:r>
      <w:r>
        <w:rPr>
          <w:rFonts w:ascii="Arial" w:cs="Arial" w:eastAsia="Arial" w:hAnsi="Arial"/>
          <w:sz w:val="18"/>
          <w:szCs w:val="18"/>
          <w:color w:val="008000"/>
          <w:strike w:val="1"/>
        </w:rPr>
        <w:t>” shall mean Indebtedness of the Borrower or any</w:t>
      </w:r>
      <w:r>
        <w:rPr>
          <w:rFonts w:ascii="Arial" w:cs="Arial" w:eastAsia="Arial" w:hAnsi="Arial"/>
          <w:sz w:val="18"/>
          <w:szCs w:val="18"/>
          <w:color w:val="FF0000"/>
          <w:strike w:val="1"/>
        </w:rPr>
        <w:t xml:space="preserve"> Restricted </w:t>
      </w:r>
      <w:r>
        <w:rPr>
          <w:rFonts w:ascii="Arial" w:cs="Arial" w:eastAsia="Arial" w:hAnsi="Arial"/>
          <w:sz w:val="18"/>
          <w:szCs w:val="18"/>
          <w:color w:val="008000"/>
          <w:strike w:val="1"/>
        </w:rPr>
        <w:t>Subsidiary outstanding under or secured by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the UST Tranche B Facility Documentation</w:t>
      </w:r>
      <w:r>
        <w:rPr>
          <w:rFonts w:ascii="Arial" w:cs="Arial" w:eastAsia="Arial" w:hAnsi="Arial"/>
          <w:sz w:val="18"/>
          <w:szCs w:val="18"/>
          <w:color w:val="FF0000"/>
          <w:strike w:val="1"/>
        </w:rPr>
        <w:t>, and in each case, all Permitted Refinancings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UST Tranche B Joint Collateral</w:t>
      </w:r>
      <w:r>
        <w:rPr>
          <w:rFonts w:ascii="Arial" w:cs="Arial" w:eastAsia="Arial" w:hAnsi="Arial"/>
          <w:sz w:val="18"/>
          <w:szCs w:val="18"/>
          <w:color w:val="FF0000"/>
          <w:strike w:val="1"/>
        </w:rPr>
        <w:t>” shall have the meaning assigned to such term in the ABL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UST Tranche B Joint Account</w:t>
      </w:r>
      <w:r>
        <w:rPr>
          <w:rFonts w:ascii="Arial" w:cs="Arial" w:eastAsia="Arial" w:hAnsi="Arial"/>
          <w:sz w:val="18"/>
          <w:szCs w:val="18"/>
          <w:color w:val="FF0000"/>
          <w:strike w:val="1"/>
        </w:rPr>
        <w:t>” shall have the meaning assigned to such term in the ABL Intercreditor Agreement.</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008000"/>
          <w:strike w:val="1"/>
        </w:rPr>
        <w:t>UST Tranche B Only Collateral</w:t>
      </w:r>
      <w:r>
        <w:rPr>
          <w:rFonts w:ascii="Arial" w:cs="Arial" w:eastAsia="Arial" w:hAnsi="Arial"/>
          <w:sz w:val="18"/>
          <w:szCs w:val="18"/>
          <w:color w:val="008000"/>
          <w:strike w:val="1"/>
        </w:rPr>
        <w:t>” shall mean the</w:t>
      </w:r>
      <w:r>
        <w:rPr>
          <w:rFonts w:ascii="Arial" w:cs="Arial" w:eastAsia="Arial" w:hAnsi="Arial"/>
          <w:sz w:val="18"/>
          <w:szCs w:val="18"/>
          <w:color w:val="FF0000"/>
          <w:strike w:val="1"/>
        </w:rPr>
        <w:t xml:space="preserve"> UST Tranche </w:t>
      </w:r>
      <w:r>
        <w:rPr>
          <w:rFonts w:ascii="Arial" w:cs="Arial" w:eastAsia="Arial" w:hAnsi="Arial"/>
          <w:sz w:val="18"/>
          <w:szCs w:val="18"/>
          <w:color w:val="008000"/>
          <w:strike w:val="1"/>
        </w:rPr>
        <w:t>B Controlled Account and all Money (as defined in the UCC) and all cash,</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checks, other negotiable instruments, funds and other evidences of loan proceeds properly held therein.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UST Tranche B Priority Collateral</w:t>
      </w:r>
      <w:r>
        <w:rPr>
          <w:rFonts w:ascii="Arial" w:cs="Arial" w:eastAsia="Arial" w:hAnsi="Arial"/>
          <w:sz w:val="18"/>
          <w:szCs w:val="18"/>
          <w:color w:val="FF0000"/>
          <w:strike w:val="1"/>
        </w:rPr>
        <w:t>” shall have the meaning assigned to such term in the ABL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UST Tranche B Secured Parties</w:t>
      </w:r>
      <w:r>
        <w:rPr>
          <w:rFonts w:ascii="Arial" w:cs="Arial" w:eastAsia="Arial" w:hAnsi="Arial"/>
          <w:sz w:val="18"/>
          <w:szCs w:val="18"/>
          <w:color w:val="FF0000"/>
          <w:strike w:val="1"/>
        </w:rPr>
        <w:t>” shall have the meaning assigned to such term in the ABL Intercreditor Agreement.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Weighted Average Life to Maturity</w:t>
      </w:r>
      <w:r>
        <w:rPr>
          <w:rFonts w:ascii="Arial" w:cs="Arial" w:eastAsia="Arial" w:hAnsi="Arial"/>
          <w:sz w:val="18"/>
          <w:szCs w:val="18"/>
          <w:color w:val="FF0000"/>
          <w:strike w:val="1"/>
        </w:rPr>
        <w:t xml:space="preserve">” 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for purposes of determining the Weighted Average Life to Maturity of any Refinanced Debt or any Indebtedness that is being modified, refinanced, refunded, renewed, replaced, restructured or extended (the “</w:t>
      </w:r>
      <w:r>
        <w:rPr>
          <w:rFonts w:ascii="Arial" w:cs="Arial" w:eastAsia="Arial" w:hAnsi="Arial"/>
          <w:sz w:val="18"/>
          <w:szCs w:val="18"/>
          <w:b w:val="1"/>
          <w:bCs w:val="1"/>
          <w:color w:val="FF0000"/>
          <w:strike w:val="1"/>
        </w:rPr>
        <w:t>Applicable Indebtedness</w:t>
      </w:r>
      <w:r>
        <w:rPr>
          <w:rFonts w:ascii="Arial" w:cs="Arial" w:eastAsia="Arial" w:hAnsi="Arial"/>
          <w:sz w:val="18"/>
          <w:szCs w:val="18"/>
          <w:color w:val="FF0000"/>
          <w:strike w:val="1"/>
        </w:rPr>
        <w:t>”), the effects of any amortization of or prepayments made on such Applicable Indebtedness prior to the date of the applicable modification, refinancing, restructuring, refunding, renewal, replacement or extension shall be disregarded.</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w:t>
      </w:r>
      <w:r>
        <w:rPr>
          <w:rFonts w:ascii="Arial" w:cs="Arial" w:eastAsia="Arial" w:hAnsi="Arial"/>
          <w:sz w:val="18"/>
          <w:szCs w:val="18"/>
          <w:color w:val="auto"/>
        </w:rPr>
        <w:t>” shall mean,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u w:val="single" w:color="auto"/>
          <w:color w:val="0000FF"/>
        </w:rPr>
        <w:t>Section 1.02</w:t>
      </w:r>
      <w:r>
        <w:rPr>
          <w:rFonts w:ascii="Arial" w:cs="Arial" w:eastAsia="Arial" w:hAnsi="Arial"/>
          <w:sz w:val="18"/>
          <w:szCs w:val="18"/>
          <w:color w:val="000000"/>
        </w:rPr>
        <w:t xml:space="preserve"> </w:t>
      </w:r>
      <w:r>
        <w:rPr>
          <w:rFonts w:ascii="Arial" w:cs="Arial" w:eastAsia="Arial" w:hAnsi="Arial"/>
          <w:sz w:val="18"/>
          <w:szCs w:val="18"/>
          <w:color w:val="FF0000"/>
        </w:rPr>
        <w:t>Section 1.02. </w:t>
      </w:r>
      <w:r>
        <w:rPr>
          <w:rFonts w:ascii="Arial" w:cs="Arial" w:eastAsia="Arial" w:hAnsi="Arial"/>
          <w:sz w:val="18"/>
          <w:szCs w:val="18"/>
          <w:i w:val="1"/>
          <w:iCs w:val="1"/>
          <w:color w:val="000000"/>
        </w:rPr>
        <w:t>Other Interpretive Provisions.</w:t>
      </w:r>
      <w:r>
        <w:rPr>
          <w:rFonts w:ascii="Arial" w:cs="Arial" w:eastAsia="Arial" w:hAnsi="Arial"/>
          <w:sz w:val="18"/>
          <w:szCs w:val="18"/>
          <w:color w:val="0000FF"/>
        </w:rPr>
        <w:t xml:space="preserve"> </w:t>
      </w:r>
      <w:r>
        <w:rPr>
          <w:rFonts w:ascii="Arial" w:cs="Arial" w:eastAsia="Arial" w:hAnsi="Arial"/>
          <w:sz w:val="18"/>
          <w:szCs w:val="18"/>
          <w:color w:val="000000"/>
        </w:rPr>
        <w:t>With reference to this Agreement and each other Loan Document, unless otherwise</w:t>
      </w:r>
      <w:r>
        <w:rPr>
          <w:rFonts w:ascii="Arial" w:cs="Arial" w:eastAsia="Arial" w:hAnsi="Arial"/>
          <w:sz w:val="18"/>
          <w:szCs w:val="18"/>
          <w:color w:val="0000FF"/>
        </w:rPr>
        <w:t xml:space="preserve"> </w:t>
      </w:r>
      <w:r>
        <w:rPr>
          <w:rFonts w:ascii="Arial" w:cs="Arial" w:eastAsia="Arial" w:hAnsi="Arial"/>
          <w:sz w:val="18"/>
          <w:szCs w:val="18"/>
          <w:color w:val="000000"/>
        </w:rPr>
        <w:t>specified herein or in such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56578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-233680</wp:posOffset>
            </wp:positionV>
            <wp:extent cx="71374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meanings of defined terms are equally applicable to the singular and plural forms of the defined terms.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199" w:name="page200"/>
    <w:bookmarkEnd w:id="199"/>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 The words “herein,” “hereto,” “hereof” and “hereunder” and words of similar import when used in any Loan Document shall refer to such Loan Document as a whole and not to any particular provision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(ii) Article, Section, Exhibit and Schedule references are to the Loan Document in which such reference appears.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(iii) The term “including” is by way of example and not limitation.</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(c) The term “documents” includes any and all instruments, documents, agreements, certificates, notices, reports, financial statements and other writings, however evidenced, whether in physical or electronic form.</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(d) In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(e) The words “asset” and “property” shall be construed to have the same meaning and effect and to refer to any and all tangible and intangible assets and properties, including cash, securities, accounts and contract rights.</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 xml:space="preserve">(f) All references to “knowledge” or “awareness” of any Loan Party or a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thereof means the actual knowledge of a Responsible Officer of a Loan Party or such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w:t>
      </w:r>
    </w:p>
    <w:p>
      <w:pPr>
        <w:spacing w:after="0" w:line="170"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(g) Section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(h) The word “or” is not exclusive.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FF0000"/>
          <w:strike w:val="1"/>
        </w:rPr>
        <w:t xml:space="preserve">For purposes of determining compliance with any one of Sections 7.01, 7.02, 7.03, 7.05, 7.06, 7.08, 7.09 and 7.13, in the event that any Lien, Investment, Indebtedness, Disposition, Restricted Payment, affiliate transaction, Contractual Obligation or prepayment of Indebtedness meets the criteria of more than one of the categories of transactions permitted pursuant to any clause of such Section, such transaction (or portion thereof) at any time shall be permitted under one or more of such clauses as determined by the Borrower (and </w:t>
      </w:r>
      <w:r>
        <w:rPr>
          <w:rFonts w:ascii="Arial" w:cs="Arial" w:eastAsia="Arial" w:hAnsi="Arial"/>
          <w:sz w:val="17"/>
          <w:szCs w:val="17"/>
          <w:color w:val="008000"/>
          <w:strike w:val="1"/>
        </w:rPr>
        <w:t>the Borrower shall be entitled to</w:t>
      </w:r>
      <w:r>
        <w:rPr>
          <w:rFonts w:ascii="Arial" w:cs="Arial" w:eastAsia="Arial" w:hAnsi="Arial"/>
          <w:sz w:val="17"/>
          <w:szCs w:val="17"/>
          <w:color w:val="FF0000"/>
          <w:strike w:val="1"/>
        </w:rPr>
        <w:t xml:space="preserve"> redesignate use of any such clauses from time to time) in its sole discretion at such time</w:t>
      </w:r>
      <w:r>
        <w:rPr>
          <w:rFonts w:ascii="Arial" w:cs="Arial" w:eastAsia="Arial" w:hAnsi="Arial"/>
          <w:sz w:val="17"/>
          <w:szCs w:val="17"/>
          <w:color w:val="008000"/>
          <w:strike w:val="1"/>
        </w:rPr>
        <w:t>;</w:t>
      </w:r>
      <w:r>
        <w:rPr>
          <w:rFonts w:ascii="Arial" w:cs="Arial" w:eastAsia="Arial" w:hAnsi="Arial"/>
          <w:sz w:val="17"/>
          <w:szCs w:val="17"/>
          <w:color w:val="FF0000"/>
          <w:strike w:val="1"/>
        </w:rPr>
        <w:t xml:space="preserve"> </w:t>
      </w:r>
      <w:r>
        <w:rPr>
          <w:rFonts w:ascii="Arial" w:cs="Arial" w:eastAsia="Arial" w:hAnsi="Arial"/>
          <w:sz w:val="17"/>
          <w:szCs w:val="17"/>
          <w:i w:val="1"/>
          <w:iCs w:val="1"/>
          <w:color w:val="008000"/>
          <w:strike w:val="1"/>
        </w:rPr>
        <w:t>provided</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that the Borrower shall</w:t>
      </w:r>
      <w:r>
        <w:rPr>
          <w:rFonts w:ascii="Arial" w:cs="Arial" w:eastAsia="Arial" w:hAnsi="Arial"/>
          <w:sz w:val="17"/>
          <w:szCs w:val="17"/>
          <w:color w:val="FF0000"/>
          <w:strike w:val="1"/>
        </w:rPr>
        <w:t xml:space="preserve"> not be permitted to subsequently reclassify any Lien, Investment, Indebtedness, Disposition, Restricted Payment, affiliate transaction, Contractual Obligation or prepayment of Indebtedness as having been incurred under a Non-Fixed Basket if such Lien, Investment, Indebtedness, Disposition, Restricted Payment, affiliate transaction, Contractual Obligation or prepayment of Indebtedness was originally incurred under a Fixed Basket or any other Basket that is not a Non-Fixed Basket. For all purposes hereunder, (x) “</w:t>
      </w:r>
      <w:r>
        <w:rPr>
          <w:rFonts w:ascii="Arial" w:cs="Arial" w:eastAsia="Arial" w:hAnsi="Arial"/>
          <w:sz w:val="17"/>
          <w:szCs w:val="17"/>
          <w:b w:val="1"/>
          <w:bCs w:val="1"/>
          <w:color w:val="FF0000"/>
          <w:strike w:val="1"/>
        </w:rPr>
        <w:t>Fixed Basket</w:t>
      </w:r>
      <w:r>
        <w:rPr>
          <w:rFonts w:ascii="Arial" w:cs="Arial" w:eastAsia="Arial" w:hAnsi="Arial"/>
          <w:sz w:val="17"/>
          <w:szCs w:val="17"/>
          <w:color w:val="FF0000"/>
          <w:strike w:val="1"/>
        </w:rPr>
        <w:t>” shall mean any Basket that is subject to a fixed-dollar limit and (y) “</w:t>
      </w:r>
      <w:r>
        <w:rPr>
          <w:rFonts w:ascii="Arial" w:cs="Arial" w:eastAsia="Arial" w:hAnsi="Arial"/>
          <w:sz w:val="17"/>
          <w:szCs w:val="17"/>
          <w:b w:val="1"/>
          <w:bCs w:val="1"/>
          <w:color w:val="FF0000"/>
          <w:strike w:val="1"/>
        </w:rPr>
        <w:t>Non-Fixed Basket</w:t>
      </w:r>
      <w:r>
        <w:rPr>
          <w:rFonts w:ascii="Arial" w:cs="Arial" w:eastAsia="Arial" w:hAnsi="Arial"/>
          <w:sz w:val="17"/>
          <w:szCs w:val="17"/>
          <w:color w:val="FF0000"/>
          <w:strike w:val="1"/>
        </w:rPr>
        <w:t>” shall mean any Basket that is subject to compliance with a financial ratio or test (including Total Net Leverage Ratio) or based on a percentage of Consolidated EBITDA or total assets.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w:t>
      </w:r>
      <w:r>
        <w:rPr>
          <w:rFonts w:ascii="Arial" w:cs="Arial" w:eastAsia="Arial" w:hAnsi="Arial"/>
          <w:sz w:val="18"/>
          <w:szCs w:val="18"/>
          <w:color w:val="000000"/>
        </w:rPr>
        <w:t xml:space="preserve">  </w:t>
      </w:r>
      <w:r>
        <w:rPr>
          <w:rFonts w:ascii="Arial" w:cs="Arial" w:eastAsia="Arial" w:hAnsi="Arial"/>
          <w:sz w:val="18"/>
          <w:szCs w:val="18"/>
          <w:color w:val="FF0000"/>
          <w:strike w:val="1"/>
        </w:rPr>
        <w:t>(j)</w:t>
      </w:r>
      <w:r>
        <w:rPr>
          <w:rFonts w:ascii="Arial" w:cs="Arial" w:eastAsia="Arial" w:hAnsi="Arial"/>
          <w:sz w:val="18"/>
          <w:szCs w:val="18"/>
          <w:color w:val="0000FF"/>
        </w:rPr>
        <w:t xml:space="preserve"> </w:t>
      </w:r>
      <w:r>
        <w:rPr>
          <w:rFonts w:ascii="Arial" w:cs="Arial" w:eastAsia="Arial" w:hAnsi="Arial"/>
          <w:sz w:val="18"/>
          <w:szCs w:val="18"/>
          <w:color w:val="000000"/>
        </w:rPr>
        <w:t>The usage of the term “written” includes electronic messages, including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0287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u w:val="single" w:color="auto"/>
          <w:color w:val="0000FF"/>
        </w:rPr>
        <w:t>(j)</w:t>
      </w:r>
      <w:r>
        <w:rPr>
          <w:rFonts w:ascii="Arial" w:cs="Arial" w:eastAsia="Arial" w:hAnsi="Arial"/>
          <w:sz w:val="16"/>
          <w:szCs w:val="16"/>
          <w:color w:val="000000"/>
        </w:rPr>
        <w:t xml:space="preserve"> </w:t>
      </w:r>
      <w:r>
        <w:rPr>
          <w:rFonts w:ascii="Arial" w:cs="Arial" w:eastAsia="Arial" w:hAnsi="Arial"/>
          <w:sz w:val="16"/>
          <w:szCs w:val="16"/>
          <w:color w:val="FF0000"/>
          <w:strike w:val="1"/>
        </w:rPr>
        <w:t>(k)</w:t>
      </w:r>
      <w:r>
        <w:rPr>
          <w:rFonts w:ascii="Arial" w:cs="Arial" w:eastAsia="Arial" w:hAnsi="Arial"/>
          <w:sz w:val="16"/>
          <w:szCs w:val="16"/>
          <w:color w:val="0000FF"/>
        </w:rPr>
        <w:t xml:space="preserve"> </w:t>
      </w:r>
      <w:r>
        <w:rPr>
          <w:rFonts w:ascii="Arial" w:cs="Arial" w:eastAsia="Arial" w:hAnsi="Arial"/>
          <w:sz w:val="16"/>
          <w:szCs w:val="16"/>
          <w:color w:val="000000"/>
        </w:rPr>
        <w:t>Any reference herein or in any other Loan Document to (i) a transfer, assignment, sale, disposition or transfer, or similar term, shall be</w:t>
      </w:r>
      <w:r>
        <w:rPr>
          <w:rFonts w:ascii="Arial" w:cs="Arial" w:eastAsia="Arial" w:hAnsi="Arial"/>
          <w:sz w:val="16"/>
          <w:szCs w:val="16"/>
          <w:color w:val="0000FF"/>
        </w:rPr>
        <w:t xml:space="preserve"> </w:t>
      </w:r>
      <w:r>
        <w:rPr>
          <w:rFonts w:ascii="Arial" w:cs="Arial" w:eastAsia="Arial" w:hAnsi="Arial"/>
          <w:sz w:val="16"/>
          <w:szCs w:val="16"/>
          <w:color w:val="000000"/>
        </w:rPr>
        <w:t>deemed to apply to a division of or by a limited liability company, or an allocation of assets to a series of a limited liability company, as if it were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-177800</wp:posOffset>
            </wp:positionV>
            <wp:extent cx="10287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200" w:name="page201"/>
    <w:bookmarkEnd w:id="20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assignment, sale or transfer, or similar term, as applicable, to a separate Person, and (ii) a merger, consolidation, amalgamation or consolidation, or similar term, shall be deemed to apply to the unwinding of such a division or allocation, as if it were a merger, consolidation, amalgamation or consolidation or similar term, as applicable, with a separate Person.</w:t>
      </w:r>
    </w:p>
    <w:p>
      <w:pPr>
        <w:spacing w:after="0" w:line="184"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u w:val="single" w:color="auto"/>
          <w:color w:val="0000FF"/>
        </w:rPr>
        <w:t>Section 1.03</w:t>
      </w:r>
      <w:r>
        <w:rPr>
          <w:rFonts w:ascii="Arial" w:cs="Arial" w:eastAsia="Arial" w:hAnsi="Arial"/>
          <w:sz w:val="18"/>
          <w:szCs w:val="18"/>
          <w:color w:val="000000"/>
        </w:rPr>
        <w:t xml:space="preserve"> </w:t>
      </w:r>
      <w:r>
        <w:rPr>
          <w:rFonts w:ascii="Arial" w:cs="Arial" w:eastAsia="Arial" w:hAnsi="Arial"/>
          <w:sz w:val="18"/>
          <w:szCs w:val="18"/>
          <w:color w:val="FF0000"/>
        </w:rPr>
        <w:t>Section 1.03. </w:t>
      </w:r>
      <w:r>
        <w:rPr>
          <w:rFonts w:ascii="Arial" w:cs="Arial" w:eastAsia="Arial" w:hAnsi="Arial"/>
          <w:sz w:val="18"/>
          <w:szCs w:val="18"/>
          <w:i w:val="1"/>
          <w:iCs w:val="1"/>
          <w:color w:val="000000"/>
        </w:rPr>
        <w:t>Certifications.</w:t>
      </w:r>
      <w:r>
        <w:rPr>
          <w:rFonts w:ascii="Arial" w:cs="Arial" w:eastAsia="Arial" w:hAnsi="Arial"/>
          <w:sz w:val="18"/>
          <w:szCs w:val="18"/>
          <w:color w:val="0000FF"/>
        </w:rPr>
        <w:t xml:space="preserve"> </w:t>
      </w:r>
      <w:r>
        <w:rPr>
          <w:rFonts w:ascii="Arial" w:cs="Arial" w:eastAsia="Arial" w:hAnsi="Arial"/>
          <w:sz w:val="18"/>
          <w:szCs w:val="18"/>
          <w:color w:val="000000"/>
        </w:rPr>
        <w:t>All certifications to be made hereunder by an officer or representative of a Loan Party shall be</w:t>
      </w:r>
      <w:r>
        <w:rPr>
          <w:rFonts w:ascii="Arial" w:cs="Arial" w:eastAsia="Arial" w:hAnsi="Arial"/>
          <w:sz w:val="18"/>
          <w:szCs w:val="18"/>
          <w:color w:val="0000FF"/>
        </w:rPr>
        <w:t xml:space="preserve"> </w:t>
      </w:r>
      <w:r>
        <w:rPr>
          <w:rFonts w:ascii="Arial" w:cs="Arial" w:eastAsia="Arial" w:hAnsi="Arial"/>
          <w:sz w:val="18"/>
          <w:szCs w:val="18"/>
          <w:color w:val="000000"/>
        </w:rPr>
        <w:t>made by such a Person in his or her capacity solely as an officer or representative of such Loan Party, on such Loan Party’s behalf and not in such Person’s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0007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-362585</wp:posOffset>
            </wp:positionV>
            <wp:extent cx="74231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6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0000FF"/>
        </w:rPr>
        <w:t>Section 1.04</w:t>
      </w:r>
      <w:r>
        <w:rPr>
          <w:rFonts w:ascii="Arial" w:cs="Arial" w:eastAsia="Arial" w:hAnsi="Arial"/>
          <w:sz w:val="18"/>
          <w:szCs w:val="18"/>
          <w:color w:val="000000"/>
        </w:rPr>
        <w:t xml:space="preserve"> </w:t>
      </w:r>
      <w:r>
        <w:rPr>
          <w:rFonts w:ascii="Arial" w:cs="Arial" w:eastAsia="Arial" w:hAnsi="Arial"/>
          <w:sz w:val="18"/>
          <w:szCs w:val="18"/>
          <w:color w:val="FF0000"/>
        </w:rPr>
        <w:t>Section 1.04. </w:t>
      </w:r>
      <w:r>
        <w:rPr>
          <w:rFonts w:ascii="Arial" w:cs="Arial" w:eastAsia="Arial" w:hAnsi="Arial"/>
          <w:sz w:val="18"/>
          <w:szCs w:val="18"/>
          <w:i w:val="1"/>
          <w:iCs w:val="1"/>
          <w:color w:val="000000"/>
        </w:rPr>
        <w:t>Accounting Terms.</w:t>
      </w:r>
      <w:r>
        <w:rPr>
          <w:rFonts w:ascii="Arial" w:cs="Arial" w:eastAsia="Arial" w:hAnsi="Arial"/>
          <w:sz w:val="18"/>
          <w:szCs w:val="18"/>
          <w:color w:val="0000FF"/>
        </w:rPr>
        <w:t xml:space="preserve"> </w:t>
      </w:r>
      <w:r>
        <w:rPr>
          <w:rFonts w:ascii="Arial" w:cs="Arial" w:eastAsia="Arial" w:hAnsi="Arial"/>
          <w:sz w:val="18"/>
          <w:szCs w:val="18"/>
          <w:color w:val="000000"/>
        </w:rPr>
        <w:t>All accounting terms not specifically or completely defined herein shall be construed in</w:t>
      </w:r>
      <w:r>
        <w:rPr>
          <w:rFonts w:ascii="Arial" w:cs="Arial" w:eastAsia="Arial" w:hAnsi="Arial"/>
          <w:sz w:val="18"/>
          <w:szCs w:val="18"/>
          <w:color w:val="0000FF"/>
        </w:rPr>
        <w:t xml:space="preserve"> </w:t>
      </w:r>
      <w:r>
        <w:rPr>
          <w:rFonts w:ascii="Arial" w:cs="Arial" w:eastAsia="Arial" w:hAnsi="Arial"/>
          <w:sz w:val="18"/>
          <w:szCs w:val="18"/>
          <w:color w:val="000000"/>
        </w:rPr>
        <w:t>conformity with, and all financial data (including financial ratios and other financial calculations) required to be submitted pursuant to this Agreement shall be prepared in conformity with, GAAP, except as otherwise specifically prescribed herein or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0007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-362585</wp:posOffset>
            </wp:positionV>
            <wp:extent cx="71374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6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0000FF"/>
        </w:rPr>
        <w:t>Section 1.05</w:t>
      </w:r>
      <w:r>
        <w:rPr>
          <w:rFonts w:ascii="Arial" w:cs="Arial" w:eastAsia="Arial" w:hAnsi="Arial"/>
          <w:sz w:val="18"/>
          <w:szCs w:val="18"/>
          <w:color w:val="000000"/>
        </w:rPr>
        <w:t xml:space="preserve"> </w:t>
      </w:r>
      <w:r>
        <w:rPr>
          <w:rFonts w:ascii="Arial" w:cs="Arial" w:eastAsia="Arial" w:hAnsi="Arial"/>
          <w:sz w:val="18"/>
          <w:szCs w:val="18"/>
          <w:color w:val="FF0000"/>
        </w:rPr>
        <w:t>Section 1.05. </w:t>
      </w:r>
      <w:r>
        <w:rPr>
          <w:rFonts w:ascii="Arial" w:cs="Arial" w:eastAsia="Arial" w:hAnsi="Arial"/>
          <w:sz w:val="18"/>
          <w:szCs w:val="18"/>
          <w:i w:val="1"/>
          <w:iCs w:val="1"/>
          <w:color w:val="000000"/>
        </w:rPr>
        <w:t>Rounding.</w:t>
      </w:r>
      <w:r>
        <w:rPr>
          <w:rFonts w:ascii="Arial" w:cs="Arial" w:eastAsia="Arial" w:hAnsi="Arial"/>
          <w:sz w:val="18"/>
          <w:szCs w:val="18"/>
          <w:color w:val="0000FF"/>
        </w:rPr>
        <w:t xml:space="preserve"> </w:t>
      </w:r>
      <w:r>
        <w:rPr>
          <w:rFonts w:ascii="Arial" w:cs="Arial" w:eastAsia="Arial" w:hAnsi="Arial"/>
          <w:sz w:val="18"/>
          <w:szCs w:val="18"/>
          <w:color w:val="000000"/>
        </w:rPr>
        <w:t>Any financial ratios required to be maintained by the Borrower pursuant to this Agreement (or required</w:t>
      </w:r>
      <w:r>
        <w:rPr>
          <w:rFonts w:ascii="Arial" w:cs="Arial" w:eastAsia="Arial" w:hAnsi="Arial"/>
          <w:sz w:val="18"/>
          <w:szCs w:val="18"/>
          <w:color w:val="0000FF"/>
        </w:rPr>
        <w:t xml:space="preserve"> </w:t>
      </w:r>
      <w:r>
        <w:rPr>
          <w:rFonts w:ascii="Arial" w:cs="Arial" w:eastAsia="Arial" w:hAnsi="Arial"/>
          <w:sz w:val="18"/>
          <w:szCs w:val="18"/>
          <w:color w:val="000000"/>
        </w:rPr>
        <w:t>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56578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-497840</wp:posOffset>
            </wp:positionV>
            <wp:extent cx="71374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740" cy="8890"/>
                    </a:xfrm>
                    <a:prstGeom prst="rect">
                      <a:avLst/>
                    </a:prstGeom>
                    <a:noFill/>
                  </pic:spPr>
                </pic:pic>
              </a:graphicData>
            </a:graphic>
          </wp:anchor>
        </w:drawing>
      </w:r>
    </w:p>
    <w:p>
      <w:pPr>
        <w:spacing w:after="0" w:line="16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u w:val="single" w:color="auto"/>
          <w:color w:val="0000FF"/>
        </w:rPr>
        <w:t>Section 1.06</w:t>
      </w:r>
      <w:r>
        <w:rPr>
          <w:rFonts w:ascii="Arial" w:cs="Arial" w:eastAsia="Arial" w:hAnsi="Arial"/>
          <w:sz w:val="18"/>
          <w:szCs w:val="18"/>
          <w:color w:val="000000"/>
        </w:rPr>
        <w:t xml:space="preserve"> </w:t>
      </w:r>
      <w:r>
        <w:rPr>
          <w:rFonts w:ascii="Arial" w:cs="Arial" w:eastAsia="Arial" w:hAnsi="Arial"/>
          <w:sz w:val="18"/>
          <w:szCs w:val="18"/>
          <w:color w:val="FF0000"/>
        </w:rPr>
        <w:t>Section 1.06. </w:t>
      </w:r>
      <w:r>
        <w:rPr>
          <w:rFonts w:ascii="Arial" w:cs="Arial" w:eastAsia="Arial" w:hAnsi="Arial"/>
          <w:sz w:val="18"/>
          <w:szCs w:val="18"/>
          <w:i w:val="1"/>
          <w:iCs w:val="1"/>
          <w:color w:val="000000"/>
        </w:rPr>
        <w:t>References to Agreements, Laws, Etc.</w:t>
      </w:r>
      <w:r>
        <w:rPr>
          <w:rFonts w:ascii="Arial" w:cs="Arial" w:eastAsia="Arial" w:hAnsi="Arial"/>
          <w:sz w:val="18"/>
          <w:szCs w:val="18"/>
          <w:color w:val="0000FF"/>
        </w:rPr>
        <w:t xml:space="preserve"> </w:t>
      </w:r>
      <w:r>
        <w:rPr>
          <w:rFonts w:ascii="Arial" w:cs="Arial" w:eastAsia="Arial" w:hAnsi="Arial"/>
          <w:sz w:val="18"/>
          <w:szCs w:val="18"/>
          <w:color w:val="000000"/>
        </w:rPr>
        <w:t>Unless otherwise expressly provided herein, (a) references to Organization</w:t>
      </w:r>
      <w:r>
        <w:rPr>
          <w:rFonts w:ascii="Arial" w:cs="Arial" w:eastAsia="Arial" w:hAnsi="Arial"/>
          <w:sz w:val="18"/>
          <w:szCs w:val="18"/>
          <w:color w:val="0000FF"/>
        </w:rPr>
        <w:t xml:space="preserve"> </w:t>
      </w:r>
      <w:r>
        <w:rPr>
          <w:rFonts w:ascii="Arial" w:cs="Arial" w:eastAsia="Arial" w:hAnsi="Arial"/>
          <w:sz w:val="18"/>
          <w:szCs w:val="18"/>
          <w:color w:val="000000"/>
        </w:rPr>
        <w:t>Documents, agreements (including the Loan Documents) and other contractual instruments shall be deemed to include all subsequent amendments, restatements, extensions, supplements, replacements, extensions, renewals, refinancings, restructurings and other modifications thereto, but only to the extent that such amendments, restatements, extensions, supplements, replacements, extensions, renewals, refinancings, restructurings and other modifications are not prohibited by hereby; and (b) references to any Law shall include all statutory and regulatory provisions consolidating, amending, replacing, supplementing or interpreting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0007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-768350</wp:posOffset>
            </wp:positionV>
            <wp:extent cx="71374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7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u w:val="single" w:color="auto"/>
          <w:color w:val="0000FF"/>
        </w:rPr>
        <w:t>Section 1.07</w:t>
      </w:r>
      <w:r>
        <w:rPr>
          <w:rFonts w:ascii="Arial" w:cs="Arial" w:eastAsia="Arial" w:hAnsi="Arial"/>
          <w:sz w:val="18"/>
          <w:szCs w:val="18"/>
          <w:color w:val="000000"/>
        </w:rPr>
        <w:t xml:space="preserve"> </w:t>
      </w:r>
      <w:r>
        <w:rPr>
          <w:rFonts w:ascii="Arial" w:cs="Arial" w:eastAsia="Arial" w:hAnsi="Arial"/>
          <w:sz w:val="18"/>
          <w:szCs w:val="18"/>
          <w:color w:val="FF0000"/>
        </w:rPr>
        <w:t>Section 1.07. </w:t>
      </w:r>
      <w:r>
        <w:rPr>
          <w:rFonts w:ascii="Arial" w:cs="Arial" w:eastAsia="Arial" w:hAnsi="Arial"/>
          <w:sz w:val="18"/>
          <w:szCs w:val="18"/>
          <w:i w:val="1"/>
          <w:iCs w:val="1"/>
          <w:color w:val="000000"/>
        </w:rPr>
        <w:t>Times of Day.</w:t>
      </w:r>
      <w:r>
        <w:rPr>
          <w:rFonts w:ascii="Arial" w:cs="Arial" w:eastAsia="Arial" w:hAnsi="Arial"/>
          <w:sz w:val="18"/>
          <w:szCs w:val="18"/>
          <w:color w:val="0000FF"/>
        </w:rPr>
        <w:t xml:space="preserve"> </w:t>
      </w:r>
      <w:r>
        <w:rPr>
          <w:rFonts w:ascii="Arial" w:cs="Arial" w:eastAsia="Arial" w:hAnsi="Arial"/>
          <w:sz w:val="18"/>
          <w:szCs w:val="18"/>
          <w:color w:val="000000"/>
        </w:rPr>
        <w:t>Unless otherwise specified, all references herein to times of day shall be references to Eastern time</w:t>
      </w:r>
      <w:r>
        <w:rPr>
          <w:rFonts w:ascii="Arial" w:cs="Arial" w:eastAsia="Arial" w:hAnsi="Arial"/>
          <w:sz w:val="18"/>
          <w:szCs w:val="18"/>
          <w:color w:val="0000FF"/>
        </w:rPr>
        <w:t xml:space="preserve"> </w:t>
      </w:r>
      <w:r>
        <w:rPr>
          <w:rFonts w:ascii="Arial" w:cs="Arial" w:eastAsia="Arial" w:hAnsi="Arial"/>
          <w:sz w:val="18"/>
          <w:szCs w:val="18"/>
          <w:color w:val="000000"/>
        </w:rPr>
        <w:t>(daylight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0007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-233680</wp:posOffset>
            </wp:positionV>
            <wp:extent cx="71374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740" cy="8890"/>
                    </a:xfrm>
                    <a:prstGeom prst="rect">
                      <a:avLst/>
                    </a:prstGeom>
                    <a:noFill/>
                  </pic:spPr>
                </pic:pic>
              </a:graphicData>
            </a:graphic>
          </wp:anchor>
        </w:drawing>
      </w:r>
    </w:p>
    <w:p>
      <w:pPr>
        <w:spacing w:after="0" w:line="15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u w:val="single" w:color="auto"/>
          <w:color w:val="0000FF"/>
        </w:rPr>
        <w:t>Section 1.08</w:t>
      </w:r>
      <w:r>
        <w:rPr>
          <w:rFonts w:ascii="Arial" w:cs="Arial" w:eastAsia="Arial" w:hAnsi="Arial"/>
          <w:sz w:val="18"/>
          <w:szCs w:val="18"/>
          <w:color w:val="000000"/>
        </w:rPr>
        <w:t xml:space="preserve"> </w:t>
      </w:r>
      <w:r>
        <w:rPr>
          <w:rFonts w:ascii="Arial" w:cs="Arial" w:eastAsia="Arial" w:hAnsi="Arial"/>
          <w:sz w:val="18"/>
          <w:szCs w:val="18"/>
          <w:color w:val="FF0000"/>
        </w:rPr>
        <w:t>Section 1.08. </w:t>
      </w:r>
      <w:r>
        <w:rPr>
          <w:rFonts w:ascii="Arial" w:cs="Arial" w:eastAsia="Arial" w:hAnsi="Arial"/>
          <w:sz w:val="18"/>
          <w:szCs w:val="18"/>
          <w:i w:val="1"/>
          <w:iCs w:val="1"/>
          <w:color w:val="000000"/>
        </w:rPr>
        <w:t>Timing of Payment or Performance.</w:t>
      </w:r>
      <w:r>
        <w:rPr>
          <w:rFonts w:ascii="Arial" w:cs="Arial" w:eastAsia="Arial" w:hAnsi="Arial"/>
          <w:sz w:val="18"/>
          <w:szCs w:val="18"/>
          <w:color w:val="0000FF"/>
        </w:rPr>
        <w:t xml:space="preserve"> </w:t>
      </w:r>
      <w:r>
        <w:rPr>
          <w:rFonts w:ascii="Arial" w:cs="Arial" w:eastAsia="Arial" w:hAnsi="Arial"/>
          <w:sz w:val="18"/>
          <w:szCs w:val="18"/>
          <w:color w:val="000000"/>
        </w:rPr>
        <w:t>Except as otherwise expressly provided herein, when the payment of any</w:t>
      </w:r>
      <w:r>
        <w:rPr>
          <w:rFonts w:ascii="Arial" w:cs="Arial" w:eastAsia="Arial" w:hAnsi="Arial"/>
          <w:sz w:val="18"/>
          <w:szCs w:val="18"/>
          <w:color w:val="0000FF"/>
        </w:rPr>
        <w:t xml:space="preserve"> </w:t>
      </w:r>
      <w:r>
        <w:rPr>
          <w:rFonts w:ascii="Arial" w:cs="Arial" w:eastAsia="Arial" w:hAnsi="Arial"/>
          <w:sz w:val="18"/>
          <w:szCs w:val="18"/>
          <w:color w:val="000000"/>
        </w:rPr>
        <w:t xml:space="preserve">obligation or the performance of any covenant, duty or obligation is stated to be due or performance required on a day which is not a Business Day, the date of such payment </w:t>
      </w:r>
      <w:r>
        <w:rPr>
          <w:rFonts w:ascii="Arial" w:cs="Arial" w:eastAsia="Arial" w:hAnsi="Arial"/>
          <w:sz w:val="18"/>
          <w:szCs w:val="18"/>
          <w:color w:val="FF0000"/>
          <w:strike w:val="1"/>
        </w:rPr>
        <w:t>(other than as described in the definition of Interest Period)</w:t>
      </w:r>
      <w:r>
        <w:rPr>
          <w:rFonts w:ascii="Arial" w:cs="Arial" w:eastAsia="Arial" w:hAnsi="Arial"/>
          <w:sz w:val="18"/>
          <w:szCs w:val="18"/>
          <w:color w:val="000000"/>
        </w:rPr>
        <w:t xml:space="preserve"> or performance shall extend to the immediately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0007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-497840</wp:posOffset>
            </wp:positionV>
            <wp:extent cx="71374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6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FF0000"/>
          <w:strike w:val="1"/>
        </w:rPr>
        <w:t>Section 1.09. </w:t>
      </w:r>
      <w:r>
        <w:rPr>
          <w:rFonts w:ascii="Arial" w:cs="Arial" w:eastAsia="Arial" w:hAnsi="Arial"/>
          <w:sz w:val="16"/>
          <w:szCs w:val="16"/>
          <w:i w:val="1"/>
          <w:iCs w:val="1"/>
          <w:color w:val="FF0000"/>
          <w:strike w:val="1"/>
        </w:rPr>
        <w:t>Cumulative Credit Transactions.</w:t>
      </w:r>
      <w:r>
        <w:rPr>
          <w:rFonts w:ascii="Arial" w:cs="Arial" w:eastAsia="Arial" w:hAnsi="Arial"/>
          <w:sz w:val="16"/>
          <w:szCs w:val="16"/>
          <w:color w:val="FF0000"/>
          <w:strike w:val="1"/>
        </w:rPr>
        <w:t xml:space="preserve"> If more than one action occurs on any given date the permissibility of the taking of which is determined hereunder by reference </w:t>
      </w:r>
      <w:r>
        <w:rPr>
          <w:rFonts w:ascii="Arial" w:cs="Arial" w:eastAsia="Arial" w:hAnsi="Arial"/>
          <w:sz w:val="16"/>
          <w:szCs w:val="16"/>
          <w:color w:val="008000"/>
          <w:strike w:val="1"/>
        </w:rPr>
        <w:t>to the amount of the</w:t>
      </w:r>
      <w:r>
        <w:rPr>
          <w:rFonts w:ascii="Arial" w:cs="Arial" w:eastAsia="Arial" w:hAnsi="Arial"/>
          <w:sz w:val="16"/>
          <w:szCs w:val="16"/>
          <w:color w:val="FF0000"/>
          <w:strike w:val="1"/>
        </w:rPr>
        <w:t xml:space="preserve"> Cumulative Credit immediately prior to the taking of such action, the permissibility of the taking of each such action shall be determined independently and in no event may any two or more such actions be treated as occurring simultaneously.</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Section 1.10</w:t>
      </w:r>
      <w:r>
        <w:rPr>
          <w:rFonts w:ascii="Arial" w:cs="Arial" w:eastAsia="Arial" w:hAnsi="Arial"/>
          <w:sz w:val="18"/>
          <w:szCs w:val="18"/>
          <w:i w:val="1"/>
          <w:iCs w:val="1"/>
          <w:color w:val="FF0000"/>
          <w:strike w:val="1"/>
        </w:rPr>
        <w:t>. Pro Forma Calculations</w:t>
      </w:r>
      <w:r>
        <w:rPr>
          <w:rFonts w:ascii="Arial" w:cs="Arial" w:eastAsia="Arial" w:hAnsi="Arial"/>
          <w:sz w:val="18"/>
          <w:szCs w:val="18"/>
          <w:color w:val="000000"/>
        </w:rPr>
        <w:t>.</w:t>
      </w:r>
    </w:p>
    <w:p>
      <w:pPr>
        <w:spacing w:after="0" w:line="117" w:lineRule="exact"/>
        <w:rPr>
          <w:sz w:val="20"/>
          <w:szCs w:val="20"/>
          <w:color w:val="auto"/>
        </w:rPr>
      </w:pPr>
    </w:p>
    <w:p>
      <w:pPr>
        <w:ind w:right="260" w:firstLine="436"/>
        <w:spacing w:after="0" w:line="277" w:lineRule="auto"/>
        <w:tabs>
          <w:tab w:leader="none" w:pos="685" w:val="left"/>
        </w:tabs>
        <w:numPr>
          <w:ilvl w:val="0"/>
          <w:numId w:val="121"/>
        </w:numPr>
        <w:rPr>
          <w:rFonts w:ascii="Arial" w:cs="Arial" w:eastAsia="Arial" w:hAnsi="Arial"/>
          <w:sz w:val="18"/>
          <w:szCs w:val="18"/>
          <w:color w:val="FF0000"/>
          <w:strike w:val="1"/>
        </w:rPr>
      </w:pPr>
      <w:r>
        <w:rPr>
          <w:rFonts w:ascii="Arial" w:cs="Arial" w:eastAsia="Arial" w:hAnsi="Arial"/>
          <w:sz w:val="18"/>
          <w:szCs w:val="18"/>
          <w:color w:val="008000"/>
          <w:strike w:val="1"/>
        </w:rPr>
        <w:t xml:space="preserve">Notwithstanding anything to the contrary herein, the </w:t>
      </w:r>
      <w:r>
        <w:rPr>
          <w:rFonts w:ascii="Arial" w:cs="Arial" w:eastAsia="Arial" w:hAnsi="Arial"/>
          <w:sz w:val="18"/>
          <w:szCs w:val="18"/>
          <w:color w:val="FF0000"/>
          <w:strike w:val="1"/>
        </w:rPr>
        <w:t>Total Leverage Ratio shall be calculated in the manner prescribed by this</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FF0000"/>
          <w:strike w:val="1"/>
        </w:rPr>
        <w:t>Section 1.10</w:t>
      </w:r>
      <w:r>
        <w:rPr>
          <w:rFonts w:ascii="Arial" w:cs="Arial" w:eastAsia="Arial" w:hAnsi="Arial"/>
          <w:sz w:val="18"/>
          <w:szCs w:val="18"/>
          <w:color w:val="FF0000"/>
          <w:strike w:val="1"/>
        </w:rPr>
        <w:t>;</w:t>
      </w:r>
      <w:r>
        <w:rPr>
          <w:rFonts w:ascii="Arial" w:cs="Arial" w:eastAsia="Arial" w:hAnsi="Arial"/>
          <w:sz w:val="18"/>
          <w:szCs w:val="18"/>
          <w:color w:val="008000"/>
          <w:strike w:val="1"/>
        </w:rPr>
        <w:t xml:space="preserve"> </w:t>
      </w:r>
      <w:r>
        <w:rPr>
          <w:rFonts w:ascii="Arial" w:cs="Arial" w:eastAsia="Arial" w:hAnsi="Arial"/>
          <w:sz w:val="18"/>
          <w:szCs w:val="18"/>
          <w:i w:val="1"/>
          <w:iCs w:val="1"/>
          <w:color w:val="FF0000"/>
          <w:strike w:val="1"/>
        </w:rPr>
        <w:t xml:space="preserve">provided </w:t>
      </w:r>
      <w:r>
        <w:rPr>
          <w:rFonts w:ascii="Arial" w:cs="Arial" w:eastAsia="Arial" w:hAnsi="Arial"/>
          <w:sz w:val="18"/>
          <w:szCs w:val="18"/>
          <w:color w:val="FF0000"/>
          <w:strike w:val="1"/>
        </w:rPr>
        <w:t>that</w:t>
      </w:r>
      <w:r>
        <w:rPr>
          <w:rFonts w:ascii="Arial" w:cs="Arial" w:eastAsia="Arial" w:hAnsi="Arial"/>
          <w:sz w:val="18"/>
          <w:szCs w:val="18"/>
          <w:color w:val="008000"/>
          <w:strike w:val="1"/>
        </w:rPr>
        <w:t>, notwithstanding anything to the contrary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01" w:name="page202"/>
    <w:bookmarkEnd w:id="201"/>
    <w:p>
      <w:pPr>
        <w:ind w:left="4" w:right="60"/>
        <w:spacing w:after="0" w:line="301"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clauses (b), (c) or (d) of this </w:t>
      </w:r>
      <w:r>
        <w:rPr>
          <w:rFonts w:ascii="Arial" w:cs="Arial" w:eastAsia="Arial" w:hAnsi="Arial"/>
          <w:sz w:val="16"/>
          <w:szCs w:val="16"/>
          <w:u w:val="single" w:color="auto"/>
          <w:color w:val="FF0000"/>
          <w:strike w:val="1"/>
        </w:rPr>
        <w:t>Section 1.10</w:t>
      </w:r>
      <w:r>
        <w:rPr>
          <w:rFonts w:ascii="Arial" w:cs="Arial" w:eastAsia="Arial" w:hAnsi="Arial"/>
          <w:sz w:val="16"/>
          <w:szCs w:val="16"/>
          <w:color w:val="FF0000"/>
          <w:strike w:val="1"/>
        </w:rPr>
        <w:t xml:space="preserve">, when calculating the Total Leverage Ratio for purposes of the Applicable ECF Percentage of Excess Cash Flow, the events described in this </w:t>
      </w:r>
      <w:r>
        <w:rPr>
          <w:rFonts w:ascii="Arial" w:cs="Arial" w:eastAsia="Arial" w:hAnsi="Arial"/>
          <w:sz w:val="16"/>
          <w:szCs w:val="16"/>
          <w:u w:val="single" w:color="auto"/>
          <w:color w:val="FF0000"/>
          <w:strike w:val="1"/>
        </w:rPr>
        <w:t>Section 1.10</w:t>
      </w:r>
      <w:r>
        <w:rPr>
          <w:rFonts w:ascii="Arial" w:cs="Arial" w:eastAsia="Arial" w:hAnsi="Arial"/>
          <w:sz w:val="16"/>
          <w:szCs w:val="16"/>
          <w:color w:val="FF0000"/>
          <w:strike w:val="1"/>
        </w:rPr>
        <w:t xml:space="preserve"> that occurred subsequent to the end of the applicable Test Period shall not be given pro forma effect (provided, further, that the foregoing limitation will not be constituted to limit the deductibility of any amounts that are committed to be made or paid or are reasonably expected to be paid in the calculation of Excess Cash Flow for any period as provided for in the definition of Excess Cash Flow).</w:t>
      </w:r>
    </w:p>
    <w:p>
      <w:pPr>
        <w:spacing w:after="0" w:line="157" w:lineRule="exact"/>
        <w:rPr>
          <w:sz w:val="20"/>
          <w:szCs w:val="20"/>
          <w:color w:val="auto"/>
        </w:rPr>
      </w:pPr>
    </w:p>
    <w:p>
      <w:pPr>
        <w:ind w:left="4" w:right="20" w:firstLine="436"/>
        <w:spacing w:after="0" w:line="290" w:lineRule="auto"/>
        <w:tabs>
          <w:tab w:leader="none" w:pos="699" w:val="left"/>
        </w:tabs>
        <w:numPr>
          <w:ilvl w:val="1"/>
          <w:numId w:val="12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For purposes of calculating the Total Leverage Ratio, Specified Transactions (and the incurrence or repayment of any Indebtedness in connection therewith) that have been made (i) during the applicable Test Period or (ii) subsequent to such Test Period and prior to or simultaneously with the event for which the calculation of any such ratio is made shall be calculated on a </w:t>
      </w:r>
      <w:r>
        <w:rPr>
          <w:rFonts w:ascii="Arial" w:cs="Arial" w:eastAsia="Arial" w:hAnsi="Arial"/>
          <w:sz w:val="16"/>
          <w:szCs w:val="16"/>
          <w:i w:val="1"/>
          <w:iCs w:val="1"/>
          <w:color w:val="FF0000"/>
          <w:strike w:val="1"/>
        </w:rPr>
        <w:t>pro forma</w:t>
      </w:r>
      <w:r>
        <w:rPr>
          <w:rFonts w:ascii="Arial" w:cs="Arial" w:eastAsia="Arial" w:hAnsi="Arial"/>
          <w:sz w:val="16"/>
          <w:szCs w:val="16"/>
          <w:color w:val="FF0000"/>
          <w:strike w:val="1"/>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Arial" w:cs="Arial" w:eastAsia="Arial" w:hAnsi="Arial"/>
          <w:sz w:val="16"/>
          <w:szCs w:val="16"/>
          <w:u w:val="single" w:color="auto"/>
          <w:color w:val="FF0000"/>
          <w:strike w:val="1"/>
        </w:rPr>
        <w:t>Section 1.10</w:t>
      </w:r>
      <w:r>
        <w:rPr>
          <w:rFonts w:ascii="Arial" w:cs="Arial" w:eastAsia="Arial" w:hAnsi="Arial"/>
          <w:sz w:val="16"/>
          <w:szCs w:val="16"/>
          <w:color w:val="FF0000"/>
          <w:strike w:val="1"/>
        </w:rPr>
        <w:t xml:space="preserve">, then the Total Leverage Ratio shall be calculated to give </w:t>
      </w:r>
      <w:r>
        <w:rPr>
          <w:rFonts w:ascii="Arial" w:cs="Arial" w:eastAsia="Arial" w:hAnsi="Arial"/>
          <w:sz w:val="16"/>
          <w:szCs w:val="16"/>
          <w:i w:val="1"/>
          <w:iCs w:val="1"/>
          <w:color w:val="FF0000"/>
          <w:strike w:val="1"/>
        </w:rPr>
        <w:t>pro forma</w:t>
      </w:r>
      <w:r>
        <w:rPr>
          <w:rFonts w:ascii="Arial" w:cs="Arial" w:eastAsia="Arial" w:hAnsi="Arial"/>
          <w:sz w:val="16"/>
          <w:szCs w:val="16"/>
          <w:color w:val="FF0000"/>
          <w:strike w:val="1"/>
        </w:rPr>
        <w:t xml:space="preserve"> effect thereto in accordance with this </w:t>
      </w:r>
      <w:r>
        <w:rPr>
          <w:rFonts w:ascii="Arial" w:cs="Arial" w:eastAsia="Arial" w:hAnsi="Arial"/>
          <w:sz w:val="16"/>
          <w:szCs w:val="16"/>
          <w:u w:val="single" w:color="auto"/>
          <w:color w:val="FF0000"/>
          <w:strike w:val="1"/>
        </w:rPr>
        <w:t>Section 1.10</w:t>
      </w:r>
      <w:r>
        <w:rPr>
          <w:rFonts w:ascii="Arial" w:cs="Arial" w:eastAsia="Arial" w:hAnsi="Arial"/>
          <w:sz w:val="16"/>
          <w:szCs w:val="16"/>
          <w:color w:val="FF0000"/>
          <w:strike w:val="1"/>
        </w:rPr>
        <w:t>.</w:t>
      </w:r>
    </w:p>
    <w:p>
      <w:pPr>
        <w:spacing w:after="0" w:line="165" w:lineRule="exact"/>
        <w:rPr>
          <w:rFonts w:ascii="Arial" w:cs="Arial" w:eastAsia="Arial" w:hAnsi="Arial"/>
          <w:sz w:val="16"/>
          <w:szCs w:val="16"/>
          <w:color w:val="FF0000"/>
          <w:strike w:val="1"/>
        </w:rPr>
      </w:pPr>
    </w:p>
    <w:p>
      <w:pPr>
        <w:ind w:left="4" w:right="20" w:firstLine="436"/>
        <w:spacing w:after="0" w:line="255" w:lineRule="auto"/>
        <w:tabs>
          <w:tab w:leader="none" w:pos="686" w:val="left"/>
        </w:tabs>
        <w:numPr>
          <w:ilvl w:val="1"/>
          <w:numId w:val="12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Whenever </w:t>
      </w:r>
      <w:r>
        <w:rPr>
          <w:rFonts w:ascii="Arial" w:cs="Arial" w:eastAsia="Arial" w:hAnsi="Arial"/>
          <w:sz w:val="18"/>
          <w:szCs w:val="18"/>
          <w:i w:val="1"/>
          <w:iCs w:val="1"/>
          <w:color w:val="FF0000"/>
          <w:strike w:val="1"/>
        </w:rPr>
        <w:t>pro forma</w:t>
      </w:r>
      <w:r>
        <w:rPr>
          <w:rFonts w:ascii="Arial" w:cs="Arial" w:eastAsia="Arial" w:hAnsi="Arial"/>
          <w:sz w:val="18"/>
          <w:szCs w:val="18"/>
          <w:color w:val="FF0000"/>
          <w:strike w:val="1"/>
        </w:rPr>
        <w:t xml:space="preserve"> effect is to be given to a Specified Transaction, the </w:t>
      </w:r>
      <w:r>
        <w:rPr>
          <w:rFonts w:ascii="Arial" w:cs="Arial" w:eastAsia="Arial" w:hAnsi="Arial"/>
          <w:sz w:val="18"/>
          <w:szCs w:val="18"/>
          <w:i w:val="1"/>
          <w:iCs w:val="1"/>
          <w:color w:val="FF0000"/>
          <w:strike w:val="1"/>
        </w:rPr>
        <w:t>pro forma</w:t>
      </w:r>
      <w:r>
        <w:rPr>
          <w:rFonts w:ascii="Arial" w:cs="Arial" w:eastAsia="Arial" w:hAnsi="Arial"/>
          <w:sz w:val="18"/>
          <w:szCs w:val="18"/>
          <w:color w:val="FF0000"/>
          <w:strike w:val="1"/>
        </w:rPr>
        <w:t xml:space="preserve"> calculations shall be made in good faith by a Senior Financial Officer of the Borrower and may include, for the avoidance of doubt, Cost Savings to the extent permitted by, and subject to the requirements of, clause (a)(viii) of the definition of “Consolidated EBITDA”. Notwithstanding the foregoing, all </w:t>
      </w:r>
      <w:r>
        <w:rPr>
          <w:rFonts w:ascii="Arial" w:cs="Arial" w:eastAsia="Arial" w:hAnsi="Arial"/>
          <w:sz w:val="18"/>
          <w:szCs w:val="18"/>
          <w:i w:val="1"/>
          <w:iCs w:val="1"/>
          <w:color w:val="FF0000"/>
          <w:strike w:val="1"/>
        </w:rPr>
        <w:t>pro forma</w:t>
      </w:r>
      <w:r>
        <w:rPr>
          <w:rFonts w:ascii="Arial" w:cs="Arial" w:eastAsia="Arial" w:hAnsi="Arial"/>
          <w:sz w:val="18"/>
          <w:szCs w:val="18"/>
          <w:color w:val="FF0000"/>
          <w:strike w:val="1"/>
        </w:rPr>
        <w:t xml:space="preserve"> adjustments under this clause (c) shall not, taken together with those added pursuant to clause (a)(viii) of the definition of “Consolidated EBITDA”, increase </w:t>
      </w:r>
      <w:r>
        <w:rPr>
          <w:rFonts w:ascii="Arial" w:cs="Arial" w:eastAsia="Arial" w:hAnsi="Arial"/>
          <w:sz w:val="18"/>
          <w:szCs w:val="18"/>
          <w:i w:val="1"/>
          <w:iCs w:val="1"/>
          <w:color w:val="FF0000"/>
          <w:strike w:val="1"/>
        </w:rPr>
        <w:t>pro forma</w:t>
      </w:r>
      <w:r>
        <w:rPr>
          <w:rFonts w:ascii="Arial" w:cs="Arial" w:eastAsia="Arial" w:hAnsi="Arial"/>
          <w:sz w:val="18"/>
          <w:szCs w:val="18"/>
          <w:color w:val="FF0000"/>
          <w:strike w:val="1"/>
        </w:rPr>
        <w:t xml:space="preserve"> Consolidated EBITDA by more than 5% for any Test Period (calculated prior to giving effect to any addback pursuant to this clause (c) or clause (a)(viii) of the definition of “Consolidated EBITDA”).</w:t>
      </w:r>
    </w:p>
    <w:p>
      <w:pPr>
        <w:spacing w:after="0" w:line="192" w:lineRule="exact"/>
        <w:rPr>
          <w:rFonts w:ascii="Arial" w:cs="Arial" w:eastAsia="Arial" w:hAnsi="Arial"/>
          <w:sz w:val="18"/>
          <w:szCs w:val="18"/>
          <w:color w:val="FF0000"/>
          <w:strike w:val="1"/>
        </w:rPr>
      </w:pPr>
    </w:p>
    <w:p>
      <w:pPr>
        <w:jc w:val="both"/>
        <w:ind w:left="4" w:firstLine="436"/>
        <w:spacing w:after="0" w:line="287" w:lineRule="auto"/>
        <w:tabs>
          <w:tab w:leader="none" w:pos="699" w:val="left"/>
        </w:tabs>
        <w:numPr>
          <w:ilvl w:val="1"/>
          <w:numId w:val="12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In the event that the Borrower or any Restricted Subsidiary incurs (including by assumption or guarantees) or repays (including by redemption, repayment, retirement or extinguishment) any Indebtedness included in the calculations of the Total Leverage Ratio (other than Indebtedness incurred or repaid under any revolving credit facility in the ordinary course of business for working capital purposes and not incurred in reliance on </w:t>
      </w:r>
      <w:r>
        <w:rPr>
          <w:rFonts w:ascii="Arial" w:cs="Arial" w:eastAsia="Arial" w:hAnsi="Arial"/>
          <w:sz w:val="16"/>
          <w:szCs w:val="16"/>
          <w:u w:val="single" w:color="auto"/>
          <w:color w:val="FF0000"/>
          <w:strike w:val="1"/>
        </w:rPr>
        <w:t>Section 7.03(t)</w:t>
      </w:r>
      <w:r>
        <w:rPr>
          <w:rFonts w:ascii="Arial" w:cs="Arial" w:eastAsia="Arial" w:hAnsi="Arial"/>
          <w:sz w:val="16"/>
          <w:szCs w:val="16"/>
          <w:color w:val="FF0000"/>
          <w:strike w:val="1"/>
        </w:rPr>
        <w:t>),</w:t>
      </w:r>
    </w:p>
    <w:p>
      <w:pPr>
        <w:spacing w:after="0" w:line="2" w:lineRule="exact"/>
        <w:rPr>
          <w:rFonts w:ascii="Arial" w:cs="Arial" w:eastAsia="Arial" w:hAnsi="Arial"/>
          <w:sz w:val="16"/>
          <w:szCs w:val="16"/>
          <w:color w:val="FF0000"/>
          <w:strike w:val="1"/>
        </w:rPr>
      </w:pPr>
    </w:p>
    <w:p>
      <w:pPr>
        <w:ind w:left="4" w:right="40" w:hanging="4"/>
        <w:spacing w:after="0" w:line="288" w:lineRule="auto"/>
        <w:tabs>
          <w:tab w:leader="none" w:pos="219" w:val="left"/>
        </w:tabs>
        <w:numPr>
          <w:ilvl w:val="0"/>
          <w:numId w:val="123"/>
        </w:numPr>
        <w:rPr>
          <w:rFonts w:ascii="Arial" w:cs="Arial" w:eastAsia="Arial" w:hAnsi="Arial"/>
          <w:sz w:val="16"/>
          <w:szCs w:val="16"/>
          <w:color w:val="FF0000"/>
          <w:strike w:val="1"/>
        </w:rPr>
      </w:pPr>
      <w:r>
        <w:rPr>
          <w:rFonts w:ascii="Arial" w:cs="Arial" w:eastAsia="Arial" w:hAnsi="Arial"/>
          <w:sz w:val="16"/>
          <w:szCs w:val="16"/>
          <w:color w:val="FF0000"/>
          <w:strike w:val="1"/>
        </w:rPr>
        <w:t xml:space="preserve">during the applicable Test Period or (ii) subsequent to the end of the applicable Test Period and prior to or simultaneously with the event for which the calculation of any such ratio is made, then the Total Leverage Ratio shall be calculated giving </w:t>
      </w:r>
      <w:r>
        <w:rPr>
          <w:rFonts w:ascii="Arial" w:cs="Arial" w:eastAsia="Arial" w:hAnsi="Arial"/>
          <w:sz w:val="16"/>
          <w:szCs w:val="16"/>
          <w:i w:val="1"/>
          <w:iCs w:val="1"/>
          <w:color w:val="FF0000"/>
          <w:strike w:val="1"/>
        </w:rPr>
        <w:t>pro forma</w:t>
      </w:r>
      <w:r>
        <w:rPr>
          <w:rFonts w:ascii="Arial" w:cs="Arial" w:eastAsia="Arial" w:hAnsi="Arial"/>
          <w:sz w:val="16"/>
          <w:szCs w:val="16"/>
          <w:color w:val="FF0000"/>
          <w:strike w:val="1"/>
        </w:rPr>
        <w:t xml:space="preserve"> effect to such incurrence or repayment of Indebtedness, to the extent required, as if the same had occurred on the last day of the applicable Test Period of the Total Leverage Ratio. Interest on a Capitalized Lease shall be deemed to accrue at an interest rate reasonably determined by a responsible financial or accounting officer of the Borrower to be the rate of interest implicit in such Capitalized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or Restricted Subsidiary may designate.</w:t>
      </w:r>
    </w:p>
    <w:p>
      <w:pPr>
        <w:spacing w:after="0" w:line="168" w:lineRule="exact"/>
        <w:rPr>
          <w:rFonts w:ascii="Arial" w:cs="Arial" w:eastAsia="Arial" w:hAnsi="Arial"/>
          <w:sz w:val="16"/>
          <w:szCs w:val="16"/>
          <w:color w:val="FF0000"/>
          <w:strike w:val="1"/>
        </w:rPr>
      </w:pPr>
    </w:p>
    <w:p>
      <w:pPr>
        <w:jc w:val="both"/>
        <w:ind w:left="4" w:right="40" w:firstLine="436"/>
        <w:spacing w:after="0" w:line="263" w:lineRule="auto"/>
        <w:tabs>
          <w:tab w:leader="none" w:pos="689" w:val="left"/>
        </w:tabs>
        <w:numPr>
          <w:ilvl w:val="1"/>
          <w:numId w:val="123"/>
        </w:numPr>
        <w:rPr>
          <w:rFonts w:ascii="Arial" w:cs="Arial" w:eastAsia="Arial" w:hAnsi="Arial"/>
          <w:sz w:val="18"/>
          <w:szCs w:val="18"/>
          <w:color w:val="FF0000"/>
          <w:strike w:val="1"/>
        </w:rPr>
      </w:pPr>
      <w:r>
        <w:rPr>
          <w:rFonts w:ascii="Arial" w:cs="Arial" w:eastAsia="Arial" w:hAnsi="Arial"/>
          <w:sz w:val="18"/>
          <w:szCs w:val="18"/>
          <w:color w:val="FF0000"/>
          <w:strike w:val="1"/>
        </w:rPr>
        <w:t>Whenever any provision of this Agreement requires the Borrower to have a Total Leverage Ratio on a Pro Forma Basis in connection with any action to be taken by the Borrower hereunder, the Borrower shall deliver to the Administrative Agent a certificate of a Responsible Officer setting forth in reasonable detail the calculations demonstrating such compliance or such Total Leverage Ratio.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202" w:name="page203"/>
    <w:bookmarkEnd w:id="202"/>
    <w:p>
      <w:pPr>
        <w:ind w:left="4" w:right="40" w:firstLine="440"/>
        <w:spacing w:after="0" w:line="268"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1.09</w:t>
      </w:r>
      <w:r>
        <w:rPr>
          <w:rFonts w:ascii="Arial" w:cs="Arial" w:eastAsia="Arial" w:hAnsi="Arial"/>
          <w:sz w:val="17"/>
          <w:szCs w:val="17"/>
          <w:color w:val="000000"/>
        </w:rPr>
        <w:t xml:space="preserve"> </w:t>
      </w:r>
      <w:r>
        <w:rPr>
          <w:rFonts w:ascii="Arial" w:cs="Arial" w:eastAsia="Arial" w:hAnsi="Arial"/>
          <w:sz w:val="17"/>
          <w:szCs w:val="17"/>
          <w:color w:val="FF0000"/>
        </w:rPr>
        <w:t>Section 1.11. </w:t>
      </w:r>
      <w:r>
        <w:rPr>
          <w:rFonts w:ascii="Arial" w:cs="Arial" w:eastAsia="Arial" w:hAnsi="Arial"/>
          <w:sz w:val="17"/>
          <w:szCs w:val="17"/>
          <w:i w:val="1"/>
          <w:iCs w:val="1"/>
          <w:color w:val="000000"/>
        </w:rPr>
        <w:t>Certain Accounting Matters.</w:t>
      </w:r>
      <w:r>
        <w:rPr>
          <w:rFonts w:ascii="Arial" w:cs="Arial" w:eastAsia="Arial" w:hAnsi="Arial"/>
          <w:sz w:val="17"/>
          <w:szCs w:val="17"/>
          <w:color w:val="0000FF"/>
        </w:rPr>
        <w:t xml:space="preserve"> </w:t>
      </w:r>
      <w:r>
        <w:rPr>
          <w:rFonts w:ascii="Arial" w:cs="Arial" w:eastAsia="Arial" w:hAnsi="Arial"/>
          <w:sz w:val="17"/>
          <w:szCs w:val="17"/>
          <w:color w:val="000000"/>
        </w:rPr>
        <w:t>Notwithstanding any other provision contained herein or in any other Loan</w:t>
      </w:r>
      <w:r>
        <w:rPr>
          <w:rFonts w:ascii="Arial" w:cs="Arial" w:eastAsia="Arial" w:hAnsi="Arial"/>
          <w:sz w:val="17"/>
          <w:szCs w:val="17"/>
          <w:color w:val="0000FF"/>
        </w:rPr>
        <w:t xml:space="preserve"> </w:t>
      </w:r>
      <w:r>
        <w:rPr>
          <w:rFonts w:ascii="Arial" w:cs="Arial" w:eastAsia="Arial" w:hAnsi="Arial"/>
          <w:sz w:val="17"/>
          <w:szCs w:val="17"/>
          <w:color w:val="000000"/>
        </w:rPr>
        <w:t xml:space="preserve">Document, all terms of an accounting or financial nature used herein shall be construed, and all computations of amounts and ratios referred to herein shall be made, (a) without giving effect to any election under Statement of Financial Accounting Standards 159 or Accounting Standards Codification 825-10-25 (or any other Accounting Standards Codification or Financial Accounting Standard having a similar result or effect) to value any Indebtedness or other liabilities of the Borrower or any of its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at “fair value”, as defined therein; and (b) without giving effect to any treatment of Indebtedness in respect of convertible debt instruments under Accounting Standards Codification 470-20 and/or Statement of Financial Accounting Standards 150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Furthermore, unless the Borrower elects otherwise, notwithstanding any other provision contained herein or in any other Loan Document, for all purposes under this Agreement and the other Loan Documents, including negative covenants, financials covenants and component definitions, operating leases and Capitalized Leases will be deemed to be treated in a manner consistent with their current treatment under GAAP as in effect on December 31, 2018, notwithstanding any modifications or interpretive changes thereto that may occur thereafter. For the avoidance of doubt, the principal amount of any non-interest bearing Indebtedness or other discount security constituting Indebtedness at any date shall be the principal amount thereof that would be shown on a balance sheet of the Borrower dated such date prepared in accordance with GAAP, except as expressly set forth in clauses (a) and (b) of this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-1923415</wp:posOffset>
            </wp:positionV>
            <wp:extent cx="60007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-2009140</wp:posOffset>
            </wp:positionV>
            <wp:extent cx="70993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6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u w:val="single" w:color="auto"/>
          <w:color w:val="0000FF"/>
        </w:rPr>
        <w:t>Section 1.10</w:t>
      </w:r>
      <w:r>
        <w:rPr>
          <w:rFonts w:ascii="Arial" w:cs="Arial" w:eastAsia="Arial" w:hAnsi="Arial"/>
          <w:sz w:val="18"/>
          <w:szCs w:val="18"/>
          <w:color w:val="000000"/>
        </w:rPr>
        <w:t xml:space="preserve"> </w:t>
      </w:r>
      <w:r>
        <w:rPr>
          <w:rFonts w:ascii="Arial" w:cs="Arial" w:eastAsia="Arial" w:hAnsi="Arial"/>
          <w:sz w:val="18"/>
          <w:szCs w:val="18"/>
          <w:color w:val="FF0000"/>
        </w:rPr>
        <w:t>Section 1.12. </w:t>
      </w:r>
      <w:r>
        <w:rPr>
          <w:rFonts w:ascii="Arial" w:cs="Arial" w:eastAsia="Arial" w:hAnsi="Arial"/>
          <w:sz w:val="18"/>
          <w:szCs w:val="18"/>
          <w:i w:val="1"/>
          <w:iCs w:val="1"/>
          <w:color w:val="000000"/>
        </w:rPr>
        <w:t>Classification of Loans and Borrowings.</w:t>
      </w:r>
      <w:r>
        <w:rPr>
          <w:rFonts w:ascii="Arial" w:cs="Arial" w:eastAsia="Arial" w:hAnsi="Arial"/>
          <w:sz w:val="18"/>
          <w:szCs w:val="18"/>
          <w:color w:val="0000FF"/>
        </w:rPr>
        <w:t xml:space="preserve"> </w:t>
      </w:r>
      <w:r>
        <w:rPr>
          <w:rFonts w:ascii="Arial" w:cs="Arial" w:eastAsia="Arial" w:hAnsi="Arial"/>
          <w:sz w:val="18"/>
          <w:szCs w:val="18"/>
          <w:color w:val="000000"/>
        </w:rPr>
        <w:t>For purposes of this Agreement, Loans may be classified and referred to</w:t>
      </w:r>
      <w:r>
        <w:rPr>
          <w:rFonts w:ascii="Arial" w:cs="Arial" w:eastAsia="Arial" w:hAnsi="Arial"/>
          <w:sz w:val="18"/>
          <w:szCs w:val="18"/>
          <w:color w:val="0000FF"/>
        </w:rPr>
        <w:t xml:space="preserve"> </w:t>
      </w:r>
      <w:r>
        <w:rPr>
          <w:rFonts w:ascii="Arial" w:cs="Arial" w:eastAsia="Arial" w:hAnsi="Arial"/>
          <w:sz w:val="18"/>
          <w:szCs w:val="18"/>
          <w:color w:val="000000"/>
        </w:rPr>
        <w:t xml:space="preserve">by Class (e.g., </w:t>
      </w:r>
      <w:r>
        <w:rPr>
          <w:rFonts w:ascii="Arial" w:cs="Arial" w:eastAsia="Arial" w:hAnsi="Arial"/>
          <w:sz w:val="18"/>
          <w:szCs w:val="18"/>
          <w:color w:val="FF0000"/>
          <w:strike w:val="1"/>
        </w:rPr>
        <w:t>a “Tranche B-2 Term Loan”) or by Type (e.g., a “SOFR Loan”) or by Class and Type (e.g., a “SOFR Term</w:t>
      </w:r>
      <w:r>
        <w:rPr>
          <w:rFonts w:ascii="Arial" w:cs="Arial" w:eastAsia="Arial" w:hAnsi="Arial"/>
          <w:sz w:val="18"/>
          <w:szCs w:val="18"/>
          <w:u w:val="single" w:color="auto"/>
          <w:color w:val="0000FF"/>
        </w:rPr>
        <w:t>an “Initial Postpetition</w:t>
      </w:r>
      <w:r>
        <w:rPr>
          <w:rFonts w:ascii="Arial" w:cs="Arial" w:eastAsia="Arial" w:hAnsi="Arial"/>
          <w:sz w:val="18"/>
          <w:szCs w:val="18"/>
          <w:color w:val="000000"/>
        </w:rPr>
        <w:t xml:space="preserve"> Loan”). Borrowings also may be classified and referred to by Class (e.g., </w:t>
      </w:r>
      <w:r>
        <w:rPr>
          <w:rFonts w:ascii="Arial" w:cs="Arial" w:eastAsia="Arial" w:hAnsi="Arial"/>
          <w:sz w:val="18"/>
          <w:szCs w:val="18"/>
          <w:color w:val="FF0000"/>
          <w:strike w:val="1"/>
        </w:rPr>
        <w:t>a “Term Borrowing”) or by Type (e.g., a “SOFR Borrowing”) or by Class and Type</w:t>
      </w:r>
      <w:r>
        <w:rPr>
          <w:rFonts w:ascii="Arial" w:cs="Arial" w:eastAsia="Arial" w:hAnsi="Arial"/>
          <w:sz w:val="18"/>
          <w:szCs w:val="18"/>
          <w:color w:val="000000"/>
        </w:rPr>
        <w:t xml:space="preserve"> </w:t>
      </w:r>
      <w:r>
        <w:rPr>
          <w:rFonts w:ascii="Arial" w:cs="Arial" w:eastAsia="Arial" w:hAnsi="Arial"/>
          <w:sz w:val="18"/>
          <w:szCs w:val="18"/>
          <w:color w:val="FF0000"/>
          <w:strike w:val="1"/>
        </w:rPr>
        <w:t>(e.g., a “SOFR Term</w:t>
      </w:r>
      <w:r>
        <w:rPr>
          <w:rFonts w:ascii="Arial" w:cs="Arial" w:eastAsia="Arial" w:hAnsi="Arial"/>
          <w:sz w:val="18"/>
          <w:szCs w:val="18"/>
          <w:u w:val="single" w:color="auto"/>
          <w:color w:val="0000FF"/>
        </w:rPr>
        <w:t>an “Initial Postpetition</w:t>
      </w:r>
      <w:r>
        <w:rPr>
          <w:rFonts w:ascii="Arial" w:cs="Arial" w:eastAsia="Arial" w:hAnsi="Arial"/>
          <w:sz w:val="18"/>
          <w:szCs w:val="18"/>
          <w:color w:val="FF0000"/>
        </w:rPr>
        <w:t xml:space="preserve"> </w:t>
      </w:r>
      <w:r>
        <w:rPr>
          <w:rFonts w:ascii="Arial" w:cs="Arial" w:eastAsia="Arial" w:hAnsi="Arial"/>
          <w:sz w:val="18"/>
          <w:szCs w:val="18"/>
          <w:color w:val="000000"/>
        </w:rPr>
        <w:t>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-412115</wp:posOffset>
            </wp:positionV>
            <wp:extent cx="60007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-497840</wp:posOffset>
            </wp:positionV>
            <wp:extent cx="74231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-274955</wp:posOffset>
            </wp:positionV>
            <wp:extent cx="10375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037590" cy="825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-635</wp:posOffset>
            </wp:positionV>
            <wp:extent cx="10369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Section 1.11</w:t>
      </w:r>
      <w:r>
        <w:rPr>
          <w:rFonts w:ascii="Arial" w:cs="Arial" w:eastAsia="Arial" w:hAnsi="Arial"/>
          <w:sz w:val="18"/>
          <w:szCs w:val="18"/>
          <w:color w:val="000000"/>
        </w:rPr>
        <w:t xml:space="preserve"> </w:t>
      </w:r>
      <w:r>
        <w:rPr>
          <w:rFonts w:ascii="Arial" w:cs="Arial" w:eastAsia="Arial" w:hAnsi="Arial"/>
          <w:sz w:val="18"/>
          <w:szCs w:val="18"/>
          <w:color w:val="FF0000"/>
        </w:rPr>
        <w:t>Section 1.13. </w:t>
      </w:r>
      <w:r>
        <w:rPr>
          <w:rFonts w:ascii="Arial" w:cs="Arial" w:eastAsia="Arial" w:hAnsi="Arial"/>
          <w:sz w:val="18"/>
          <w:szCs w:val="18"/>
          <w:i w:val="1"/>
          <w:iCs w:val="1"/>
          <w:color w:val="000000"/>
        </w:rPr>
        <w:t>Currency Equivalents Generally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59118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-61595</wp:posOffset>
            </wp:positionV>
            <wp:extent cx="71374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205" w:lineRule="exact"/>
        <w:rPr>
          <w:sz w:val="20"/>
          <w:szCs w:val="20"/>
          <w:color w:val="auto"/>
        </w:rPr>
      </w:pPr>
    </w:p>
    <w:p>
      <w:pPr>
        <w:ind w:left="4" w:hanging="4"/>
        <w:spacing w:after="0" w:line="272" w:lineRule="auto"/>
        <w:tabs>
          <w:tab w:leader="none" w:pos="248" w:val="left"/>
        </w:tabs>
        <w:numPr>
          <w:ilvl w:val="0"/>
          <w:numId w:val="124"/>
        </w:numPr>
        <w:rPr>
          <w:rFonts w:ascii="Arial" w:cs="Arial" w:eastAsia="Arial" w:hAnsi="Arial"/>
          <w:sz w:val="17"/>
          <w:szCs w:val="17"/>
          <w:color w:val="FF0000"/>
          <w:strike w:val="1"/>
        </w:rPr>
      </w:pP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For purposes of determining compliance with</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Sections 7.01</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7.02</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FF0000"/>
          <w:strike w:val="1"/>
        </w:rPr>
        <w:t>7.03</w:t>
      </w:r>
      <w:r>
        <w:rPr>
          <w:rFonts w:ascii="Arial" w:cs="Arial" w:eastAsia="Arial" w:hAnsi="Arial"/>
          <w:sz w:val="17"/>
          <w:szCs w:val="17"/>
          <w:color w:val="FF0000"/>
          <w:strike w:val="1"/>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7.05</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7.06</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7.08</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7.09</w:t>
      </w:r>
      <w:r>
        <w:rPr>
          <w:rFonts w:ascii="Arial" w:cs="Arial" w:eastAsia="Arial" w:hAnsi="Arial"/>
          <w:sz w:val="17"/>
          <w:szCs w:val="17"/>
          <w:color w:val="0000FF"/>
        </w:rPr>
        <w:t xml:space="preserve"> </w:t>
      </w:r>
      <w:r>
        <w:rPr>
          <w:rFonts w:ascii="Arial" w:cs="Arial" w:eastAsia="Arial" w:hAnsi="Arial"/>
          <w:sz w:val="17"/>
          <w:szCs w:val="17"/>
          <w:color w:val="000000"/>
        </w:rPr>
        <w:t>and</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7.13</w:t>
      </w:r>
      <w:r>
        <w:rPr>
          <w:rFonts w:ascii="Arial" w:cs="Arial" w:eastAsia="Arial" w:hAnsi="Arial"/>
          <w:sz w:val="17"/>
          <w:szCs w:val="17"/>
          <w:color w:val="0000FF"/>
        </w:rPr>
        <w:t xml:space="preserve"> </w:t>
      </w:r>
      <w:r>
        <w:rPr>
          <w:rFonts w:ascii="Arial" w:cs="Arial" w:eastAsia="Arial" w:hAnsi="Arial"/>
          <w:sz w:val="17"/>
          <w:szCs w:val="17"/>
          <w:color w:val="000000"/>
        </w:rPr>
        <w:t>with respect to any amount of Indebtedness,</w:t>
      </w:r>
      <w:r>
        <w:rPr>
          <w:rFonts w:ascii="Arial" w:cs="Arial" w:eastAsia="Arial" w:hAnsi="Arial"/>
          <w:sz w:val="17"/>
          <w:szCs w:val="17"/>
          <w:color w:val="0000FF"/>
        </w:rPr>
        <w:t xml:space="preserve"> </w:t>
      </w:r>
      <w:r>
        <w:rPr>
          <w:rFonts w:ascii="Arial" w:cs="Arial" w:eastAsia="Arial" w:hAnsi="Arial"/>
          <w:sz w:val="17"/>
          <w:szCs w:val="17"/>
          <w:color w:val="000000"/>
        </w:rPr>
        <w:t>Lien, Asset Sale, Restricted Payment, Capital Expenditure, affiliate transaction, Contractual Obligation, prepayment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and once incurred or made, the amount of such Indebtedness, Lien, Asset Sale, Restricted Payment, Capital Expenditure, affiliate transaction, Contractual Obligation, prepayment of Indebtedness or Investment, shall be always deemed to be at the Dollar amount on such date, regardless of later changes in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-829310</wp:posOffset>
            </wp:positionV>
            <wp:extent cx="596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7"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FF0000"/>
          <w:strike w:val="1"/>
        </w:rPr>
        <w:t>For purposes of determining the Total Leverage Ratio, amounts denominated in a currency other than Dollars will be converted to Dollars at the currency exchange rates used in preparing the Borrower’s financial statements corresponding to the Test Period with respect to the applicable date of determination and will, in the case of Indebtedness, reflect the currency translation effects, determined in accordance with GAAP, of Swap Contracts permitted hereunder for currency exchange risks with respect to the applicable currency in effect on the date of determination of the Dollar equivalent of such Indebtedness.</w:t>
      </w:r>
    </w:p>
    <w:p>
      <w:pPr>
        <w:spacing w:after="0" w:line="188" w:lineRule="exact"/>
        <w:rPr>
          <w:sz w:val="20"/>
          <w:szCs w:val="20"/>
          <w:color w:val="auto"/>
        </w:rPr>
      </w:pPr>
    </w:p>
    <w:p>
      <w:pPr>
        <w:ind w:left="4" w:right="1340" w:firstLine="440"/>
        <w:spacing w:after="0" w:line="277" w:lineRule="auto"/>
        <w:rPr>
          <w:sz w:val="20"/>
          <w:szCs w:val="20"/>
          <w:color w:val="auto"/>
        </w:rPr>
      </w:pPr>
      <w:r>
        <w:rPr>
          <w:rFonts w:ascii="Arial" w:cs="Arial" w:eastAsia="Arial" w:hAnsi="Arial"/>
          <w:sz w:val="18"/>
          <w:szCs w:val="18"/>
          <w:u w:val="single" w:color="auto"/>
          <w:color w:val="0000FF"/>
        </w:rPr>
        <w:t>Section 1.12</w:t>
      </w:r>
      <w:r>
        <w:rPr>
          <w:rFonts w:ascii="Arial" w:cs="Arial" w:eastAsia="Arial" w:hAnsi="Arial"/>
          <w:sz w:val="18"/>
          <w:szCs w:val="18"/>
          <w:color w:val="000000"/>
        </w:rPr>
        <w:t xml:space="preserve"> </w:t>
      </w:r>
      <w:r>
        <w:rPr>
          <w:rFonts w:ascii="Arial" w:cs="Arial" w:eastAsia="Arial" w:hAnsi="Arial"/>
          <w:sz w:val="18"/>
          <w:szCs w:val="18"/>
          <w:color w:val="FF0000"/>
        </w:rPr>
        <w:t>Section 1.14. </w:t>
      </w:r>
      <w:r>
        <w:rPr>
          <w:rFonts w:ascii="Arial" w:cs="Arial" w:eastAsia="Arial" w:hAnsi="Arial"/>
          <w:sz w:val="18"/>
          <w:szCs w:val="18"/>
          <w:i w:val="1"/>
          <w:iCs w:val="1"/>
          <w:color w:val="000000"/>
        </w:rPr>
        <w:t>Effect of Amendment and Restatement</w:t>
      </w:r>
      <w:r>
        <w:rPr>
          <w:rFonts w:ascii="Arial" w:cs="Arial" w:eastAsia="Arial" w:hAnsi="Arial"/>
          <w:sz w:val="18"/>
          <w:szCs w:val="18"/>
          <w:color w:val="000000"/>
        </w:rPr>
        <w:t>. On the</w:t>
      </w:r>
      <w:r>
        <w:rPr>
          <w:rFonts w:ascii="Arial" w:cs="Arial" w:eastAsia="Arial" w:hAnsi="Arial"/>
          <w:sz w:val="18"/>
          <w:szCs w:val="18"/>
          <w:color w:val="0000FF"/>
        </w:rPr>
        <w:t xml:space="preserve"> </w:t>
      </w:r>
      <w:r>
        <w:rPr>
          <w:rFonts w:ascii="Arial" w:cs="Arial" w:eastAsia="Arial" w:hAnsi="Arial"/>
          <w:sz w:val="18"/>
          <w:szCs w:val="18"/>
          <w:color w:val="FF0000"/>
          <w:strike w:val="1"/>
        </w:rPr>
        <w:t>Restatement</w:t>
      </w:r>
      <w:r>
        <w:rPr>
          <w:rFonts w:ascii="Arial" w:cs="Arial" w:eastAsia="Arial" w:hAnsi="Arial"/>
          <w:sz w:val="18"/>
          <w:szCs w:val="18"/>
          <w:u w:val="single" w:color="auto"/>
          <w:color w:val="0000FF"/>
        </w:rPr>
        <w:t>Amendment No. 4</w:t>
      </w:r>
      <w:r>
        <w:rPr>
          <w:rFonts w:ascii="Arial" w:cs="Arial" w:eastAsia="Arial" w:hAnsi="Arial"/>
          <w:sz w:val="18"/>
          <w:szCs w:val="18"/>
          <w:color w:val="0000FF"/>
        </w:rPr>
        <w:t xml:space="preserve"> </w:t>
      </w:r>
      <w:r>
        <w:rPr>
          <w:rFonts w:ascii="Arial" w:cs="Arial" w:eastAsia="Arial" w:hAnsi="Arial"/>
          <w:sz w:val="18"/>
          <w:szCs w:val="18"/>
          <w:color w:val="000000"/>
        </w:rPr>
        <w:t>Effective Date, the</w:t>
      </w:r>
      <w:r>
        <w:rPr>
          <w:rFonts w:ascii="Arial" w:cs="Arial" w:eastAsia="Arial" w:hAnsi="Arial"/>
          <w:sz w:val="18"/>
          <w:szCs w:val="18"/>
          <w:color w:val="0000FF"/>
        </w:rPr>
        <w:t xml:space="preserve"> </w:t>
      </w:r>
      <w:r>
        <w:rPr>
          <w:rFonts w:ascii="Arial" w:cs="Arial" w:eastAsia="Arial" w:hAnsi="Arial"/>
          <w:sz w:val="18"/>
          <w:szCs w:val="18"/>
          <w:color w:val="FF0000"/>
          <w:strike w:val="1"/>
        </w:rPr>
        <w:t>Existing</w:t>
      </w:r>
      <w:r>
        <w:rPr>
          <w:rFonts w:ascii="Arial" w:cs="Arial" w:eastAsia="Arial" w:hAnsi="Arial"/>
          <w:sz w:val="18"/>
          <w:szCs w:val="18"/>
          <w:u w:val="single" w:color="auto"/>
          <w:color w:val="0000FF"/>
        </w:rPr>
        <w:t>Prepetition B-2 Term Loan</w:t>
      </w:r>
      <w:r>
        <w:rPr>
          <w:rFonts w:ascii="Arial" w:cs="Arial" w:eastAsia="Arial" w:hAnsi="Arial"/>
          <w:sz w:val="18"/>
          <w:szCs w:val="18"/>
          <w:color w:val="FF0000"/>
        </w:rPr>
        <w:t xml:space="preserve"> </w:t>
      </w:r>
      <w:r>
        <w:rPr>
          <w:rFonts w:ascii="Arial" w:cs="Arial" w:eastAsia="Arial" w:hAnsi="Arial"/>
          <w:sz w:val="18"/>
          <w:szCs w:val="18"/>
          <w:color w:val="000000"/>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0007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-233680</wp:posOffset>
            </wp:positionV>
            <wp:extent cx="71374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74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-147955</wp:posOffset>
            </wp:positionV>
            <wp:extent cx="84010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-10795</wp:posOffset>
            </wp:positionV>
            <wp:extent cx="123444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4" w:right="45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amended and restated in its entirety in the form hereof. The parties hereto acknowledge and agree that</w:t>
      </w:r>
      <w:r>
        <w:rPr>
          <w:rFonts w:ascii="Arial" w:cs="Arial" w:eastAsia="Arial" w:hAnsi="Arial"/>
          <w:sz w:val="16"/>
          <w:szCs w:val="16"/>
          <w:u w:val="single" w:color="auto"/>
          <w:color w:val="0000FF"/>
        </w:rPr>
        <w:t>, subject to the DIP Order and</w:t>
      </w:r>
      <w:r>
        <w:rPr>
          <w:rFonts w:ascii="Arial" w:cs="Arial" w:eastAsia="Arial" w:hAnsi="Arial"/>
          <w:sz w:val="16"/>
          <w:szCs w:val="16"/>
          <w:color w:val="auto"/>
        </w:rPr>
        <w:t xml:space="preserve"> except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modified </w:t>
      </w:r>
      <w:r>
        <w:rPr>
          <w:rFonts w:ascii="Arial" w:cs="Arial" w:eastAsia="Arial" w:hAnsi="Arial"/>
          <w:sz w:val="16"/>
          <w:szCs w:val="16"/>
          <w:u w:val="single" w:color="auto"/>
          <w:color w:val="0000FF"/>
        </w:rPr>
        <w:t>by the DIP Term Sheet (prior to the date hereof) and</w:t>
      </w:r>
      <w:r>
        <w:rPr>
          <w:rFonts w:ascii="Arial" w:cs="Arial" w:eastAsia="Arial" w:hAnsi="Arial"/>
          <w:sz w:val="16"/>
          <w:szCs w:val="16"/>
          <w:color w:val="auto"/>
        </w:rPr>
        <w:t xml:space="preserve"> in this Agreement and the other Loan Documents </w:t>
      </w:r>
      <w:r>
        <w:rPr>
          <w:rFonts w:ascii="Arial" w:cs="Arial" w:eastAsia="Arial" w:hAnsi="Arial"/>
          <w:sz w:val="16"/>
          <w:szCs w:val="16"/>
          <w:color w:val="FF0000"/>
          <w:strike w:val="1"/>
        </w:rPr>
        <w:t>delivered on the Restatement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-107315</wp:posOffset>
            </wp:positionV>
            <wp:extent cx="137160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Date, the Existing</w:t>
      </w:r>
      <w:r>
        <w:rPr>
          <w:rFonts w:ascii="Arial" w:cs="Arial" w:eastAsia="Arial" w:hAnsi="Arial"/>
          <w:sz w:val="18"/>
          <w:szCs w:val="18"/>
          <w:u w:val="single" w:color="auto"/>
          <w:color w:val="0000FF"/>
        </w:rPr>
        <w:t>, the Prepetition B-2 Term Loan</w:t>
      </w:r>
      <w:r>
        <w:rPr>
          <w:rFonts w:ascii="Arial" w:cs="Arial" w:eastAsia="Arial" w:hAnsi="Arial"/>
          <w:sz w:val="18"/>
          <w:szCs w:val="18"/>
          <w:color w:val="FF0000"/>
        </w:rPr>
        <w:t xml:space="preserve"> </w:t>
      </w:r>
      <w:r>
        <w:rPr>
          <w:rFonts w:ascii="Arial" w:cs="Arial" w:eastAsia="Arial" w:hAnsi="Arial"/>
          <w:sz w:val="18"/>
          <w:szCs w:val="18"/>
          <w:color w:val="000000"/>
        </w:rPr>
        <w:t>Credit Agreement and all Loan Documents thereunder (collectively, together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-121920</wp:posOffset>
            </wp:positionV>
            <wp:extent cx="2425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FF0000"/>
          <w:strike w:val="1"/>
        </w:rPr>
        <w:t>Existing</w:t>
      </w:r>
      <w:r>
        <w:rPr>
          <w:rFonts w:ascii="Arial" w:cs="Arial" w:eastAsia="Arial" w:hAnsi="Arial"/>
          <w:sz w:val="16"/>
          <w:szCs w:val="16"/>
          <w:u w:val="single" w:color="auto"/>
          <w:color w:val="0000FF"/>
        </w:rPr>
        <w:t>Original</w:t>
      </w:r>
      <w:r>
        <w:rPr>
          <w:rFonts w:ascii="Arial" w:cs="Arial" w:eastAsia="Arial" w:hAnsi="Arial"/>
          <w:sz w:val="16"/>
          <w:szCs w:val="16"/>
          <w:color w:val="FF0000"/>
        </w:rPr>
        <w:t xml:space="preserve"> </w:t>
      </w:r>
      <w:r>
        <w:rPr>
          <w:rFonts w:ascii="Arial" w:cs="Arial" w:eastAsia="Arial" w:hAnsi="Arial"/>
          <w:sz w:val="16"/>
          <w:szCs w:val="16"/>
          <w:color w:val="000000"/>
        </w:rPr>
        <w:t>Credit Agreement, the “</w:t>
      </w:r>
      <w:r>
        <w:rPr>
          <w:rFonts w:ascii="Arial" w:cs="Arial" w:eastAsia="Arial" w:hAnsi="Arial"/>
          <w:sz w:val="16"/>
          <w:szCs w:val="16"/>
          <w:b w:val="1"/>
          <w:bCs w:val="1"/>
          <w:color w:val="000000"/>
        </w:rPr>
        <w:t>Existing Loan Documents</w:t>
      </w:r>
      <w:r>
        <w:rPr>
          <w:rFonts w:ascii="Arial" w:cs="Arial" w:eastAsia="Arial" w:hAnsi="Arial"/>
          <w:sz w:val="16"/>
          <w:szCs w:val="16"/>
          <w:color w:val="000000"/>
        </w:rPr>
        <w:t>”) are hereby reaffirmed, ratified and confirmed on behalf of the parties 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-107315</wp:posOffset>
            </wp:positionV>
            <wp:extent cx="145732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thereto on the </w:t>
      </w:r>
      <w:r>
        <w:rPr>
          <w:rFonts w:ascii="Arial" w:cs="Arial" w:eastAsia="Arial" w:hAnsi="Arial"/>
          <w:sz w:val="16"/>
          <w:szCs w:val="16"/>
          <w:u w:val="single" w:color="auto"/>
          <w:color w:val="0000FF"/>
        </w:rPr>
        <w:t>Amendment No. 4 Effective</w:t>
      </w:r>
      <w:r>
        <w:rPr>
          <w:rFonts w:ascii="Arial" w:cs="Arial" w:eastAsia="Arial" w:hAnsi="Arial"/>
          <w:sz w:val="16"/>
          <w:szCs w:val="16"/>
          <w:color w:val="auto"/>
        </w:rPr>
        <w:t xml:space="preserve"> </w:t>
      </w:r>
      <w:r>
        <w:rPr>
          <w:rFonts w:ascii="Arial" w:cs="Arial" w:eastAsia="Arial" w:hAnsi="Arial"/>
          <w:sz w:val="16"/>
          <w:szCs w:val="16"/>
          <w:color w:val="FF0000"/>
          <w:strike w:val="1"/>
        </w:rPr>
        <w:t>d</w:t>
      </w:r>
      <w:r>
        <w:rPr>
          <w:rFonts w:ascii="Arial" w:cs="Arial" w:eastAsia="Arial" w:hAnsi="Arial"/>
          <w:sz w:val="16"/>
          <w:szCs w:val="16"/>
          <w:u w:val="single" w:color="auto"/>
          <w:color w:val="0000FF"/>
        </w:rPr>
        <w:t>D</w:t>
      </w:r>
      <w:r>
        <w:rPr>
          <w:rFonts w:ascii="Arial" w:cs="Arial" w:eastAsia="Arial" w:hAnsi="Arial"/>
          <w:sz w:val="16"/>
          <w:szCs w:val="16"/>
          <w:color w:val="auto"/>
        </w:rPr>
        <w:t xml:space="preserve"> ate </w:t>
      </w:r>
      <w:r>
        <w:rPr>
          <w:rFonts w:ascii="Arial" w:cs="Arial" w:eastAsia="Arial" w:hAnsi="Arial"/>
          <w:sz w:val="16"/>
          <w:szCs w:val="16"/>
          <w:color w:val="FF0000"/>
          <w:strike w:val="1"/>
        </w:rPr>
        <w:t>hereof</w:t>
      </w:r>
      <w:r>
        <w:rPr>
          <w:rFonts w:ascii="Arial" w:cs="Arial" w:eastAsia="Arial" w:hAnsi="Arial"/>
          <w:sz w:val="16"/>
          <w:szCs w:val="16"/>
          <w:color w:val="auto"/>
        </w:rPr>
        <w:t>, and the Obligations thereunder shall be amended and completely restated hereby, but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-107315</wp:posOffset>
            </wp:positionV>
            <wp:extent cx="38544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Agreement shall not constitute a novation, extinguishment or substitution of such Obligations or in any way impair the Liens created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-107315</wp:posOffset>
            </wp:positionV>
            <wp:extent cx="145732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Existing Loan Documents or affect the </w:t>
      </w:r>
      <w:r>
        <w:rPr>
          <w:rFonts w:ascii="Arial" w:cs="Arial" w:eastAsia="Arial" w:hAnsi="Arial"/>
          <w:sz w:val="16"/>
          <w:szCs w:val="16"/>
          <w:u w:val="single" w:color="auto"/>
          <w:color w:val="0000FF"/>
        </w:rPr>
        <w:t>perfection or</w:t>
      </w:r>
      <w:r>
        <w:rPr>
          <w:rFonts w:ascii="Arial" w:cs="Arial" w:eastAsia="Arial" w:hAnsi="Arial"/>
          <w:sz w:val="16"/>
          <w:szCs w:val="16"/>
          <w:color w:val="auto"/>
        </w:rPr>
        <w:t xml:space="preserve"> priority thereof, all of which are hereby reaffirmed, ratified and confirmed. </w:t>
      </w:r>
      <w:r>
        <w:rPr>
          <w:rFonts w:ascii="Arial" w:cs="Arial" w:eastAsia="Arial" w:hAnsi="Arial"/>
          <w:sz w:val="16"/>
          <w:szCs w:val="16"/>
          <w:u w:val="single" w:color="auto"/>
          <w:color w:val="0000FF"/>
        </w:rPr>
        <w:t>as of the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No. 4 Effective Date. Each party hereto hereby confirms that the Existing Defaults exist under the Loan Documents as in effect prior to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-114935</wp:posOffset>
            </wp:positionV>
            <wp:extent cx="6172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-114935</wp:posOffset>
            </wp:positionV>
            <wp:extent cx="97726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Amendment No. 4 and upon the effectiveness of Amendment No. 4 such Existing Defaults continue to exist for purposes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69480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executed in connection with the Postpetition B-2 Facility. The parties hereto acknowledge that the 2.00% default rate contemplated by Section 2.07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63511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the Prepetition B-2 Term Loan Credit Agreement shall continue to accrue and be payable in accordance with this Agreement and the DIP Order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8580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respect to the Prepetition Term Loans but that no Lender or Agent may take any action or exercise any other rights or remedies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79767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Existing Defaults and acknowledge that any representations, warranties or covenants made herein on and following the Amendment No. 4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66940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Date are being made without taking into account the Existing Defaults. Amendment No. 4 also restates and replaces the DIP Term Sheet insofar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76338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DIP Term Sheet relates to the Postpetition B-2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86625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52031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91"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Section 1.13 </w:t>
      </w:r>
      <w:r>
        <w:rPr>
          <w:rFonts w:ascii="Arial" w:cs="Arial" w:eastAsia="Arial" w:hAnsi="Arial"/>
          <w:sz w:val="17"/>
          <w:szCs w:val="17"/>
          <w:i w:val="1"/>
          <w:iCs w:val="1"/>
          <w:u w:val="single" w:color="auto"/>
          <w:color w:val="0000FF"/>
        </w:rPr>
        <w:t>Québec Matters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. For purposes of any assets, liabilities or entities located in the Province of Québec and for all other purposes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pursuant to which the interpretation or construction of this Agreement or any other Loan Document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PPSA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be including “holding title on behalf of an owner as mandatary or prete-nom”, (v) “ground lease” shall include “emphyteusis” or a “lease with a right of superficies, as applicable, (w) “leasehold interest” shall include “rights resulting from a lease”, (x) “lease” shall include a “leasing contract” and (y) “foreclosure” shall include “the exercise of hypothecary recourse”, and (z)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-2744470</wp:posOffset>
            </wp:positionV>
            <wp:extent cx="584644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-2607310</wp:posOffset>
            </wp:positionV>
            <wp:extent cx="663511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-2470150</wp:posOffset>
            </wp:positionV>
            <wp:extent cx="669480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-2332990</wp:posOffset>
            </wp:positionV>
            <wp:extent cx="694372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-2195830</wp:posOffset>
            </wp:positionV>
            <wp:extent cx="697801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-2058670</wp:posOffset>
            </wp:positionV>
            <wp:extent cx="6926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-1921510</wp:posOffset>
            </wp:positionV>
            <wp:extent cx="684911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-1784350</wp:posOffset>
            </wp:positionV>
            <wp:extent cx="68922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-1647190</wp:posOffset>
            </wp:positionV>
            <wp:extent cx="696912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-1510030</wp:posOffset>
            </wp:positionV>
            <wp:extent cx="653224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-1372870</wp:posOffset>
            </wp:positionV>
            <wp:extent cx="663511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-1235710</wp:posOffset>
            </wp:positionV>
            <wp:extent cx="661797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-1098550</wp:posOffset>
            </wp:positionV>
            <wp:extent cx="665226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-961390</wp:posOffset>
            </wp:positionV>
            <wp:extent cx="677227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-824230</wp:posOffset>
            </wp:positionV>
            <wp:extent cx="698627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-687070</wp:posOffset>
            </wp:positionV>
            <wp:extent cx="669480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-549910</wp:posOffset>
            </wp:positionV>
            <wp:extent cx="679767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-412750</wp:posOffset>
            </wp:positionV>
            <wp:extent cx="692658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wp:posOffset>
            </wp:positionV>
            <wp:extent cx="668655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72084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6172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04" w:name="page205"/>
    <w:bookmarkEnd w:id="204"/>
    <w:p>
      <w:pPr>
        <w:ind w:right="160"/>
        <w:spacing w:after="0" w:line="286"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thereunder or relating thereto, including notices, may also be drawn up in the English language only. </w:t>
      </w:r>
      <w:r>
        <w:rPr>
          <w:rFonts w:ascii="Arial" w:cs="Arial" w:eastAsia="Arial" w:hAnsi="Arial"/>
          <w:sz w:val="17"/>
          <w:szCs w:val="17"/>
          <w:i w:val="1"/>
          <w:iCs w:val="1"/>
          <w:u w:val="single" w:color="auto"/>
          <w:color w:val="0000FF"/>
        </w:rPr>
        <w:t>Les parties aux pré sentes confirment que c’ est</w:t>
      </w:r>
      <w:r>
        <w:rPr>
          <w:rFonts w:ascii="Arial" w:cs="Arial" w:eastAsia="Arial" w:hAnsi="Arial"/>
          <w:sz w:val="17"/>
          <w:szCs w:val="17"/>
          <w:u w:val="single" w:color="auto"/>
          <w:color w:val="0000FF"/>
        </w:rPr>
        <w:t xml:space="preserve"> </w:t>
      </w:r>
      <w:r>
        <w:rPr>
          <w:rFonts w:ascii="Arial" w:cs="Arial" w:eastAsia="Arial" w:hAnsi="Arial"/>
          <w:sz w:val="17"/>
          <w:szCs w:val="17"/>
          <w:i w:val="1"/>
          <w:iCs w:val="1"/>
          <w:u w:val="single" w:color="auto"/>
          <w:color w:val="0000FF"/>
        </w:rPr>
        <w:t>leur volonté que cette convention et les autres documents de cré dit soient ré digé s en langue anglaise seulement et que tous les documents, y compris tous avis, envisagé s par cette convention et les autres documents peuvent être ré digé s en langue anglaise seulement.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679767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86625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40067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400675" cy="8890"/>
                    </a:xfrm>
                    <a:prstGeom prst="rect">
                      <a:avLst/>
                    </a:prstGeom>
                    <a:noFill/>
                  </pic:spPr>
                </pic:pic>
              </a:graphicData>
            </a:graphic>
          </wp:anchor>
        </w:drawing>
      </w:r>
    </w:p>
    <w:p>
      <w:pPr>
        <w:spacing w:after="0" w:line="35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The Credits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2.01 </w:t>
      </w:r>
      <w:r>
        <w:rPr>
          <w:rFonts w:ascii="Arial" w:cs="Arial" w:eastAsia="Arial" w:hAnsi="Arial"/>
          <w:sz w:val="18"/>
          <w:szCs w:val="18"/>
          <w:i w:val="1"/>
          <w:iCs w:val="1"/>
          <w:color w:val="FF0000"/>
          <w:strike w:val="1"/>
        </w:rPr>
        <w:t>Tranche B-2</w:t>
      </w:r>
      <w:r>
        <w:rPr>
          <w:rFonts w:ascii="Arial" w:cs="Arial" w:eastAsia="Arial" w:hAnsi="Arial"/>
          <w:sz w:val="18"/>
          <w:szCs w:val="18"/>
          <w:color w:val="auto"/>
        </w:rPr>
        <w:t xml:space="preserve"> </w:t>
      </w:r>
      <w:r>
        <w:rPr>
          <w:rFonts w:ascii="Arial" w:cs="Arial" w:eastAsia="Arial" w:hAnsi="Arial"/>
          <w:sz w:val="18"/>
          <w:szCs w:val="18"/>
          <w:i w:val="1"/>
          <w:iCs w:val="1"/>
          <w:color w:val="auto"/>
        </w:rPr>
        <w:t>Term Loan Commitments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(a) [Reserved].</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u w:val="single" w:color="auto"/>
          <w:color w:val="0000FF"/>
        </w:rPr>
        <w:t>(a)</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Subject to the terms and conditions set forth in the Prepetition B-2 Term Loan Credit Agreement, each Prepetition B-2 Lender party to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Prepetition B-2 Term Loan Credit Agreement at such time severally and not jointly made, on September 11, 2019, certain Term Loans to the Borrower. The aggregate principal amount of the Prepetition Term Loans as of the Postpetition B-2 Facility Closing Date was $485,372,693.29 and is allocated among the Lenders in the aggregate principal amount set forth opposite each Lender’s name on Appendix D under the caption “Prepetition Term Loan Amount.” The Prepetition Loans were automatically accelerated with effect on and from the Petition Date in accordance with Section 8.02 of the Prepetition B-2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5747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90943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79767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87514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62622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10883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7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(b) Subject to the terms and conditions </w:t>
      </w:r>
      <w:r>
        <w:rPr>
          <w:rFonts w:ascii="Arial" w:cs="Arial" w:eastAsia="Arial" w:hAnsi="Arial"/>
          <w:sz w:val="16"/>
          <w:szCs w:val="16"/>
          <w:color w:val="FF0000"/>
          <w:strike w:val="1"/>
        </w:rPr>
        <w:t>and relying upon the representations and warranties</w:t>
      </w:r>
      <w:r>
        <w:rPr>
          <w:rFonts w:ascii="Arial" w:cs="Arial" w:eastAsia="Arial" w:hAnsi="Arial"/>
          <w:sz w:val="16"/>
          <w:szCs w:val="16"/>
          <w:color w:val="auto"/>
        </w:rPr>
        <w:t xml:space="preserve"> set forth </w:t>
      </w:r>
      <w:r>
        <w:rPr>
          <w:rFonts w:ascii="Arial" w:cs="Arial" w:eastAsia="Arial" w:hAnsi="Arial"/>
          <w:sz w:val="16"/>
          <w:szCs w:val="16"/>
          <w:u w:val="single" w:color="auto"/>
          <w:color w:val="0000FF"/>
        </w:rPr>
        <w:t>in the DIP Term Sheet (if applicable) or</w:t>
      </w:r>
      <w:r>
        <w:rPr>
          <w:rFonts w:ascii="Arial" w:cs="Arial" w:eastAsia="Arial" w:hAnsi="Arial"/>
          <w:sz w:val="16"/>
          <w:szCs w:val="16"/>
          <w:color w:val="auto"/>
        </w:rPr>
        <w:t xml:space="preserve"> herein </w:t>
      </w:r>
      <w:r>
        <w:rPr>
          <w:rFonts w:ascii="Arial" w:cs="Arial" w:eastAsia="Arial" w:hAnsi="Arial"/>
          <w:sz w:val="16"/>
          <w:szCs w:val="16"/>
          <w:color w:val="0000FF"/>
        </w:rPr>
        <w:t>and in the DIP Order</w:t>
      </w:r>
      <w:r>
        <w:rPr>
          <w:rFonts w:ascii="Arial" w:cs="Arial" w:eastAsia="Arial" w:hAnsi="Arial"/>
          <w:sz w:val="16"/>
          <w:szCs w:val="16"/>
          <w:color w:val="auto"/>
        </w:rPr>
        <w:t xml:space="preserve">, each </w:t>
      </w:r>
      <w:r>
        <w:rPr>
          <w:rFonts w:ascii="Arial" w:cs="Arial" w:eastAsia="Arial" w:hAnsi="Arial"/>
          <w:sz w:val="16"/>
          <w:szCs w:val="16"/>
          <w:color w:val="FF0000"/>
          <w:strike w:val="1"/>
        </w:rPr>
        <w:t>Tranche B-2 Term</w:t>
      </w:r>
      <w:r>
        <w:rPr>
          <w:rFonts w:ascii="Arial" w:cs="Arial" w:eastAsia="Arial" w:hAnsi="Arial"/>
          <w:sz w:val="16"/>
          <w:szCs w:val="16"/>
          <w:color w:val="auto"/>
        </w:rPr>
        <w:t xml:space="preserve"> Lender </w:t>
      </w:r>
      <w:r>
        <w:rPr>
          <w:rFonts w:ascii="Arial" w:cs="Arial" w:eastAsia="Arial" w:hAnsi="Arial"/>
          <w:sz w:val="16"/>
          <w:szCs w:val="16"/>
          <w:color w:val="FF0000"/>
          <w:strike w:val="1"/>
        </w:rPr>
        <w:t>agrees,</w:t>
      </w:r>
      <w:r>
        <w:rPr>
          <w:rFonts w:ascii="Arial" w:cs="Arial" w:eastAsia="Arial" w:hAnsi="Arial"/>
          <w:sz w:val="16"/>
          <w:szCs w:val="16"/>
          <w:color w:val="auto"/>
        </w:rPr>
        <w:t xml:space="preserve"> severally and not jointly</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agrees</w:t>
      </w:r>
      <w:r>
        <w:rPr>
          <w:rFonts w:ascii="Arial" w:cs="Arial" w:eastAsia="Arial" w:hAnsi="Arial"/>
          <w:sz w:val="16"/>
          <w:szCs w:val="16"/>
          <w:color w:val="auto"/>
        </w:rPr>
        <w:t xml:space="preserve"> to make </w:t>
      </w:r>
      <w:r>
        <w:rPr>
          <w:rFonts w:ascii="Arial" w:cs="Arial" w:eastAsia="Arial" w:hAnsi="Arial"/>
          <w:sz w:val="16"/>
          <w:szCs w:val="16"/>
          <w:color w:val="FF0000"/>
        </w:rPr>
        <w:t>a Tranche B-2 Term</w:t>
      </w:r>
      <w:r>
        <w:rPr>
          <w:rFonts w:ascii="Arial" w:cs="Arial" w:eastAsia="Arial" w:hAnsi="Arial"/>
          <w:sz w:val="16"/>
          <w:szCs w:val="16"/>
          <w:u w:val="single" w:color="auto"/>
          <w:color w:val="0000FF"/>
        </w:rPr>
        <w:t>, on the applicable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borrowing date, a</w:t>
      </w:r>
      <w:r>
        <w:rPr>
          <w:rFonts w:ascii="Arial" w:cs="Arial" w:eastAsia="Arial" w:hAnsi="Arial"/>
          <w:sz w:val="16"/>
          <w:szCs w:val="16"/>
          <w:color w:val="0000FF"/>
        </w:rPr>
        <w:t xml:space="preserve"> </w:t>
      </w:r>
      <w:r>
        <w:rPr>
          <w:rFonts w:ascii="Arial" w:cs="Arial" w:eastAsia="Arial" w:hAnsi="Arial"/>
          <w:sz w:val="16"/>
          <w:szCs w:val="16"/>
          <w:color w:val="000000"/>
        </w:rPr>
        <w:t>Loan to the Borrower</w:t>
      </w:r>
      <w:r>
        <w:rPr>
          <w:rFonts w:ascii="Arial" w:cs="Arial" w:eastAsia="Arial" w:hAnsi="Arial"/>
          <w:sz w:val="16"/>
          <w:szCs w:val="16"/>
          <w:color w:val="0000FF"/>
        </w:rPr>
        <w:t xml:space="preserve"> </w:t>
      </w:r>
      <w:r>
        <w:rPr>
          <w:rFonts w:ascii="Arial" w:cs="Arial" w:eastAsia="Arial" w:hAnsi="Arial"/>
          <w:sz w:val="16"/>
          <w:szCs w:val="16"/>
          <w:color w:val="FF0000"/>
          <w:strike w:val="1"/>
        </w:rPr>
        <w:t>on the Restatement Effective Date in a principal</w:t>
      </w:r>
      <w:r>
        <w:rPr>
          <w:rFonts w:ascii="Arial" w:cs="Arial" w:eastAsia="Arial" w:hAnsi="Arial"/>
          <w:sz w:val="16"/>
          <w:szCs w:val="16"/>
          <w:u w:val="single" w:color="auto"/>
          <w:color w:val="0000FF"/>
        </w:rPr>
        <w:t>in an aggregate</w:t>
      </w:r>
      <w:r>
        <w:rPr>
          <w:rFonts w:ascii="Arial" w:cs="Arial" w:eastAsia="Arial" w:hAnsi="Arial"/>
          <w:sz w:val="16"/>
          <w:szCs w:val="16"/>
          <w:color w:val="0000FF"/>
        </w:rPr>
        <w:t xml:space="preserve"> </w:t>
      </w:r>
      <w:r>
        <w:rPr>
          <w:rFonts w:ascii="Arial" w:cs="Arial" w:eastAsia="Arial" w:hAnsi="Arial"/>
          <w:sz w:val="16"/>
          <w:szCs w:val="16"/>
          <w:color w:val="000000"/>
        </w:rPr>
        <w:t>amount not to exceed</w:t>
      </w:r>
      <w:r>
        <w:rPr>
          <w:rFonts w:ascii="Arial" w:cs="Arial" w:eastAsia="Arial" w:hAnsi="Arial"/>
          <w:sz w:val="16"/>
          <w:szCs w:val="16"/>
          <w:color w:val="0000FF"/>
        </w:rPr>
        <w:t xml:space="preserve"> </w:t>
      </w:r>
      <w:r>
        <w:rPr>
          <w:rFonts w:ascii="Arial" w:cs="Arial" w:eastAsia="Arial" w:hAnsi="Arial"/>
          <w:sz w:val="16"/>
          <w:szCs w:val="16"/>
          <w:color w:val="FF0000"/>
          <w:strike w:val="1"/>
        </w:rPr>
        <w:t>its Tranche B-2 Term</w:t>
      </w:r>
      <w:r>
        <w:rPr>
          <w:rFonts w:ascii="Arial" w:cs="Arial" w:eastAsia="Arial" w:hAnsi="Arial"/>
          <w:sz w:val="16"/>
          <w:szCs w:val="16"/>
          <w:color w:val="0000FF"/>
        </w:rPr>
        <w:t xml:space="preserve"> </w:t>
      </w:r>
      <w:r>
        <w:rPr>
          <w:rFonts w:ascii="Arial" w:cs="Arial" w:eastAsia="Arial" w:hAnsi="Arial"/>
          <w:sz w:val="16"/>
          <w:szCs w:val="16"/>
          <w:color w:val="FF0000"/>
          <w:strike w:val="1"/>
        </w:rPr>
        <w:t>Loan Commitment. Amounts repaid or prepaid in respect of Tranche B-2 Term Loan may not be reborrowed.</w:t>
      </w:r>
      <w:r>
        <w:rPr>
          <w:rFonts w:ascii="Arial" w:cs="Arial" w:eastAsia="Arial" w:hAnsi="Arial"/>
          <w:sz w:val="16"/>
          <w:szCs w:val="16"/>
          <w:u w:val="single" w:color="auto"/>
          <w:color w:val="0000FF"/>
          <w:strike w:val="1"/>
        </w:rPr>
        <w:t>such Lender’s Commitment. The Borrower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may make only three (3) Borrowings under the Commitments that shall be, (a) in the case of the Initial Postpetition Commitments, one Borrowing which was made on the Postpetition B-2 Facility Closing Date under the terms and conditions of the DIP Term Sheet and the DIP Order in an aggregate principal amount equal to $42,105,263.16 plus $4,000,000 on account of the Arrangement Fee pursuant to Section 2.05(a), (b) in the case of the Second Postpetition Commitments, as set forth in Section 2.02(b), and (c) in the case of the Final Postpetition Commitments, as set forth in Section 2.02(c). The Initial Postpetition Loans were made on the Postpetition B-2 Facility Closing Date pursuant to the terms and conditions of the DIP Term Sheet and the DIP Order and the Initial Postpetition Commitments automatically reduced to zero as of such date. The Second Postpetition Commitments shall reduce automatically on a dollar for dollar basis immediately after the making of the Second Postpetition Loans. The Final Postpetition Commitments shall reduce automatically on a dollar for dollar basis immediately after the making of the Final Postpetition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-1520825</wp:posOffset>
            </wp:positionV>
            <wp:extent cx="180848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-1383665</wp:posOffset>
            </wp:positionV>
            <wp:extent cx="98552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-1417955</wp:posOffset>
            </wp:positionV>
            <wp:extent cx="9867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-1383665</wp:posOffset>
            </wp:positionV>
            <wp:extent cx="3003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-1469390</wp:posOffset>
            </wp:positionV>
            <wp:extent cx="94615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94615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-1383665</wp:posOffset>
            </wp:positionV>
            <wp:extent cx="83185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-1246505</wp:posOffset>
            </wp:positionV>
            <wp:extent cx="80581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-1246505</wp:posOffset>
            </wp:positionV>
            <wp:extent cx="6940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-1109345</wp:posOffset>
            </wp:positionV>
            <wp:extent cx="197167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-972185</wp:posOffset>
            </wp:positionV>
            <wp:extent cx="668655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-835025</wp:posOffset>
            </wp:positionV>
            <wp:extent cx="694372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-697865</wp:posOffset>
            </wp:positionV>
            <wp:extent cx="694372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696087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-423545</wp:posOffset>
            </wp:positionV>
            <wp:extent cx="687514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690943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76338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503174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4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u w:val="single" w:color="auto"/>
          <w:color w:val="0000FF"/>
        </w:rPr>
        <w:t>(c)</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Prepetition Term Loans and the New Money Postpetition Term Loans are sometimes referred to individually as a “Term Loan”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together as the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2937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3716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5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u w:val="single" w:color="auto"/>
          <w:color w:val="0000FF"/>
        </w:rPr>
        <w:t>(d)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Prepetition Term Loans, Initial Postpetition Loans, Second Postpetition Loans and Final Postpetition Loans which are repaid or prepaid may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 be reborrowed. All New Money Postpetition Term Loans and all other amounts owed hereunder and under any other Loan Document with respect to the New Money Postpetition Term Loans shall be paid in full in cash not later than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68655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6912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64629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205" w:name="page206"/>
    <w:bookmarkEnd w:id="205"/>
    <w:p>
      <w:pPr>
        <w:ind w:left="4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2.02.</w:t>
      </w:r>
      <w:r>
        <w:rPr>
          <w:rFonts w:ascii="Arial" w:cs="Arial" w:eastAsia="Arial" w:hAnsi="Arial"/>
          <w:sz w:val="18"/>
          <w:szCs w:val="18"/>
          <w:color w:val="FF0000"/>
        </w:rPr>
        <w:t xml:space="preserve"> </w:t>
      </w:r>
      <w:r>
        <w:rPr>
          <w:rFonts w:ascii="Arial" w:cs="Arial" w:eastAsia="Arial" w:hAnsi="Arial"/>
          <w:sz w:val="18"/>
          <w:szCs w:val="18"/>
          <w:color w:val="0000FF"/>
        </w:rPr>
        <w:t>Section 2.02 </w:t>
      </w:r>
      <w:r>
        <w:rPr>
          <w:rFonts w:ascii="Arial" w:cs="Arial" w:eastAsia="Arial" w:hAnsi="Arial"/>
          <w:sz w:val="18"/>
          <w:szCs w:val="18"/>
          <w:i w:val="1"/>
          <w:iCs w:val="1"/>
          <w:color w:val="000000"/>
        </w:rPr>
        <w:t>Loans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23495</wp:posOffset>
            </wp:positionV>
            <wp:extent cx="6858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-10160</wp:posOffset>
            </wp:positionV>
            <wp:extent cx="68516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(a) Each </w:t>
      </w:r>
      <w:r>
        <w:rPr>
          <w:rFonts w:ascii="Arial" w:cs="Arial" w:eastAsia="Arial" w:hAnsi="Arial"/>
          <w:sz w:val="18"/>
          <w:szCs w:val="18"/>
          <w:u w:val="single" w:color="auto"/>
          <w:color w:val="0000FF"/>
        </w:rPr>
        <w:t>New Money Postpetition Term</w:t>
      </w:r>
      <w:r>
        <w:rPr>
          <w:rFonts w:ascii="Arial" w:cs="Arial" w:eastAsia="Arial" w:hAnsi="Arial"/>
          <w:sz w:val="18"/>
          <w:szCs w:val="18"/>
          <w:color w:val="auto"/>
        </w:rPr>
        <w:t xml:space="preserve"> Loan shall be made as part of a Borrowing consisting of </w:t>
      </w:r>
      <w:r>
        <w:rPr>
          <w:rFonts w:ascii="Arial" w:cs="Arial" w:eastAsia="Arial" w:hAnsi="Arial"/>
          <w:sz w:val="18"/>
          <w:szCs w:val="18"/>
          <w:u w:val="single" w:color="auto"/>
          <w:color w:val="0000FF"/>
        </w:rPr>
        <w:t>New Money Postpetition Term</w:t>
      </w:r>
      <w:r>
        <w:rPr>
          <w:rFonts w:ascii="Arial" w:cs="Arial" w:eastAsia="Arial" w:hAnsi="Arial"/>
          <w:sz w:val="18"/>
          <w:szCs w:val="18"/>
          <w:color w:val="auto"/>
        </w:rPr>
        <w:t xml:space="preserve"> Loans made by the Lenders ratably in accordance with their applicable Commitments</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the failure of any Lender to make any </w:t>
      </w:r>
      <w:r>
        <w:rPr>
          <w:rFonts w:ascii="Arial" w:cs="Arial" w:eastAsia="Arial" w:hAnsi="Arial"/>
          <w:sz w:val="18"/>
          <w:szCs w:val="18"/>
          <w:u w:val="single" w:color="auto"/>
          <w:color w:val="0000FF"/>
        </w:rPr>
        <w:t>New Money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Postpetition Term</w:t>
      </w:r>
      <w:r>
        <w:rPr>
          <w:rFonts w:ascii="Arial" w:cs="Arial" w:eastAsia="Arial" w:hAnsi="Arial"/>
          <w:sz w:val="18"/>
          <w:szCs w:val="18"/>
          <w:color w:val="0000FF"/>
        </w:rPr>
        <w:t xml:space="preserve"> </w:t>
      </w:r>
      <w:r>
        <w:rPr>
          <w:rFonts w:ascii="Arial" w:cs="Arial" w:eastAsia="Arial" w:hAnsi="Arial"/>
          <w:sz w:val="18"/>
          <w:szCs w:val="18"/>
          <w:color w:val="000000"/>
        </w:rPr>
        <w:t>Loan shall not in itself relieve any other Lender of its obligation to lend hereunder (it being understood, however, that no Lender shall</w:t>
      </w:r>
      <w:r>
        <w:rPr>
          <w:rFonts w:ascii="Arial" w:cs="Arial" w:eastAsia="Arial" w:hAnsi="Arial"/>
          <w:sz w:val="18"/>
          <w:szCs w:val="18"/>
          <w:color w:val="0000FF"/>
        </w:rPr>
        <w:t xml:space="preserve"> </w:t>
      </w:r>
      <w:r>
        <w:rPr>
          <w:rFonts w:ascii="Arial" w:cs="Arial" w:eastAsia="Arial" w:hAnsi="Arial"/>
          <w:sz w:val="18"/>
          <w:szCs w:val="18"/>
          <w:color w:val="000000"/>
        </w:rPr>
        <w:t xml:space="preserve">be responsible for the failure of any other Lender to make any Loan required to be made by such other Lender). </w:t>
      </w:r>
      <w:r>
        <w:rPr>
          <w:rFonts w:ascii="Arial" w:cs="Arial" w:eastAsia="Arial" w:hAnsi="Arial"/>
          <w:sz w:val="18"/>
          <w:szCs w:val="18"/>
          <w:color w:val="FF0000"/>
          <w:strike w:val="1"/>
        </w:rPr>
        <w:t>The Loans comprising any Borrowing</w:t>
      </w:r>
      <w:r>
        <w:rPr>
          <w:rFonts w:ascii="Arial" w:cs="Arial" w:eastAsia="Arial" w:hAnsi="Arial"/>
          <w:sz w:val="18"/>
          <w:szCs w:val="18"/>
          <w:color w:val="000000"/>
        </w:rPr>
        <w:t xml:space="preserve"> </w:t>
      </w:r>
      <w:r>
        <w:rPr>
          <w:rFonts w:ascii="Arial" w:cs="Arial" w:eastAsia="Arial" w:hAnsi="Arial"/>
          <w:sz w:val="18"/>
          <w:szCs w:val="18"/>
          <w:color w:val="FF0000"/>
          <w:strike w:val="1"/>
        </w:rPr>
        <w:t>shall be in an aggregate principal amount that is (i) an integral multiple of $1,000,000 and not less than $5,000,000 (except, with respect to any Other Term Loans, to the extent otherwise provided in the applicable Refinancing Amendment) or (ii) equal to the remaining available balance of the applicable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-818515</wp:posOffset>
            </wp:positionV>
            <wp:extent cx="144018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-818515</wp:posOffset>
            </wp:positionV>
            <wp:extent cx="144018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-681355</wp:posOffset>
            </wp:positionV>
            <wp:extent cx="57467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84010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7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FF0000"/>
          <w:strike w:val="1"/>
        </w:rPr>
        <w:t xml:space="preserve">(b) Subject to Sections 2.08 and 3.02 each Borrowing shall be comprised entirely of ABR Loans or SOFR Loans as the Borrower may request pursuant to Section 2.03. Each Lender may at its option make any SOFR Loan by causing any domestic or foreign branch or Affiliate of such Lender to make such Loan;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any exercise of such option shall not affect the obligation of the Borrower to repay such Loan to such Lender in accordance with the terms of this Agreement. Borrowings of more than one Type may be outstanding at the same time; </w:t>
      </w:r>
      <w:r>
        <w:rPr>
          <w:rFonts w:ascii="Arial" w:cs="Arial" w:eastAsia="Arial" w:hAnsi="Arial"/>
          <w:sz w:val="16"/>
          <w:szCs w:val="16"/>
          <w:i w:val="1"/>
          <w:iCs w:val="1"/>
          <w:color w:val="FF0000"/>
          <w:strike w:val="1"/>
        </w:rPr>
        <w:t>provided, however</w:t>
      </w:r>
      <w:r>
        <w:rPr>
          <w:rFonts w:ascii="Arial" w:cs="Arial" w:eastAsia="Arial" w:hAnsi="Arial"/>
          <w:sz w:val="16"/>
          <w:szCs w:val="16"/>
          <w:color w:val="FF0000"/>
          <w:strike w:val="1"/>
        </w:rPr>
        <w:t xml:space="preserve">, that the Borrower shall not be entitled to request any Borrowing that, if made, would result in more than five SOFR Borrowings outstanding hereunder at any time plus up to an additional 3 Interest Periods in respect of each (i) [reserved], (ii) Extended Term Loans and (iii) Other Term Loans,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total number of such additional Interest Periods does not exceed 15 at any one time. For purposes of the foregoing, Borrowings having different Interest Periods, regardless of whether they commence on the same date, shall be considered separate Borrowings.</w:t>
      </w:r>
    </w:p>
    <w:p>
      <w:pPr>
        <w:spacing w:after="0" w:line="16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0000FF"/>
        </w:rPr>
        <w:t>(b)</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Subject to the terms and conditions set forth herein and in the DIP Order, the Borrower may request Second Postpetition Loans on or after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 Amendment No. 4 Effective Date, in an aggregate amount not to exceed $26,315,789.47.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5493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24307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5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u w:val="single" w:color="auto"/>
          <w:color w:val="0000FF"/>
        </w:rPr>
        <w:t>(c)</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Subject to the terms and conditions set forth herein and in the DIP Order, the Borrower may request Final Postpetition Loans on or after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Final Order Entry Date, in an aggregate amount not to exceed $31,578,947.37.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4337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59156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Each Borrowing shall be comprised entirely of ABR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00863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05"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FF0000"/>
          <w:strike w:val="1"/>
        </w:rPr>
        <w:t>(c)</w:t>
      </w:r>
      <w:r>
        <w:rPr>
          <w:rFonts w:ascii="Arial" w:cs="Arial" w:eastAsia="Arial" w:hAnsi="Arial"/>
          <w:sz w:val="17"/>
          <w:szCs w:val="17"/>
          <w:color w:val="0000FF"/>
        </w:rPr>
        <w:t xml:space="preserve">(e) </w:t>
      </w:r>
      <w:r>
        <w:rPr>
          <w:rFonts w:ascii="Arial" w:cs="Arial" w:eastAsia="Arial" w:hAnsi="Arial"/>
          <w:sz w:val="17"/>
          <w:szCs w:val="17"/>
          <w:color w:val="000000"/>
        </w:rPr>
        <w:t>Each Lender shall make each</w:t>
      </w:r>
      <w:r>
        <w:rPr>
          <w:rFonts w:ascii="Arial" w:cs="Arial" w:eastAsia="Arial" w:hAnsi="Arial"/>
          <w:sz w:val="17"/>
          <w:szCs w:val="17"/>
          <w:color w:val="FF0000"/>
        </w:rPr>
        <w:t xml:space="preserve"> </w:t>
      </w:r>
      <w:r>
        <w:rPr>
          <w:rFonts w:ascii="Arial" w:cs="Arial" w:eastAsia="Arial" w:hAnsi="Arial"/>
          <w:sz w:val="17"/>
          <w:szCs w:val="17"/>
          <w:color w:val="FF0000"/>
          <w:strike w:val="1"/>
        </w:rPr>
        <w:t>Tranche B-2</w:t>
      </w:r>
      <w:r>
        <w:rPr>
          <w:rFonts w:ascii="Arial" w:cs="Arial" w:eastAsia="Arial" w:hAnsi="Arial"/>
          <w:sz w:val="17"/>
          <w:szCs w:val="17"/>
          <w:u w:val="single" w:color="auto"/>
          <w:color w:val="0000FF"/>
        </w:rPr>
        <w:t>New Money Postpetition</w:t>
      </w:r>
      <w:r>
        <w:rPr>
          <w:rFonts w:ascii="Arial" w:cs="Arial" w:eastAsia="Arial" w:hAnsi="Arial"/>
          <w:sz w:val="17"/>
          <w:szCs w:val="17"/>
          <w:color w:val="FF0000"/>
        </w:rPr>
        <w:t xml:space="preserve"> </w:t>
      </w:r>
      <w:r>
        <w:rPr>
          <w:rFonts w:ascii="Arial" w:cs="Arial" w:eastAsia="Arial" w:hAnsi="Arial"/>
          <w:sz w:val="17"/>
          <w:szCs w:val="17"/>
          <w:color w:val="000000"/>
        </w:rPr>
        <w:t>Term Loan to be made by it hereunder on</w:t>
      </w:r>
      <w:r>
        <w:rPr>
          <w:rFonts w:ascii="Arial" w:cs="Arial" w:eastAsia="Arial" w:hAnsi="Arial"/>
          <w:sz w:val="17"/>
          <w:szCs w:val="17"/>
          <w:color w:val="FF0000"/>
        </w:rPr>
        <w:t xml:space="preserve"> </w:t>
      </w:r>
      <w:r>
        <w:rPr>
          <w:rFonts w:ascii="Arial" w:cs="Arial" w:eastAsia="Arial" w:hAnsi="Arial"/>
          <w:sz w:val="17"/>
          <w:szCs w:val="17"/>
          <w:color w:val="FF0000"/>
          <w:strike w:val="1"/>
        </w:rPr>
        <w:t>the Restatement Effective</w:t>
      </w:r>
      <w:r>
        <w:rPr>
          <w:rFonts w:ascii="Arial" w:cs="Arial" w:eastAsia="Arial" w:hAnsi="Arial"/>
          <w:sz w:val="17"/>
          <w:szCs w:val="17"/>
          <w:u w:val="single" w:color="auto"/>
          <w:color w:val="0000FF"/>
        </w:rPr>
        <w:t>or</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after the Postpetition B-2 Facility Closing</w:t>
      </w:r>
      <w:r>
        <w:rPr>
          <w:rFonts w:ascii="Arial" w:cs="Arial" w:eastAsia="Arial" w:hAnsi="Arial"/>
          <w:sz w:val="17"/>
          <w:szCs w:val="17"/>
          <w:color w:val="0000FF"/>
        </w:rPr>
        <w:t xml:space="preserve"> </w:t>
      </w:r>
      <w:r>
        <w:rPr>
          <w:rFonts w:ascii="Arial" w:cs="Arial" w:eastAsia="Arial" w:hAnsi="Arial"/>
          <w:sz w:val="17"/>
          <w:szCs w:val="17"/>
          <w:color w:val="000000"/>
        </w:rPr>
        <w:t>Date by wire transfer of immediately available funds to the Administrative Agent’s Office not later than 1:00</w:t>
      </w:r>
      <w:r>
        <w:rPr>
          <w:rFonts w:ascii="Arial" w:cs="Arial" w:eastAsia="Arial" w:hAnsi="Arial"/>
          <w:sz w:val="17"/>
          <w:szCs w:val="17"/>
          <w:color w:val="0000FF"/>
        </w:rPr>
        <w:t xml:space="preserve"> </w:t>
      </w:r>
      <w:r>
        <w:rPr>
          <w:rFonts w:ascii="Arial" w:cs="Arial" w:eastAsia="Arial" w:hAnsi="Arial"/>
          <w:sz w:val="17"/>
          <w:szCs w:val="17"/>
          <w:color w:val="000000"/>
        </w:rPr>
        <w:t xml:space="preserve">p.m., New York City time, and upon receipt of all requested funds the Administrative Agent shall promptly credit the amounts so received to </w:t>
      </w:r>
      <w:r>
        <w:rPr>
          <w:rFonts w:ascii="Arial" w:cs="Arial" w:eastAsia="Arial" w:hAnsi="Arial"/>
          <w:sz w:val="17"/>
          <w:szCs w:val="17"/>
          <w:color w:val="FF0000"/>
          <w:strike w:val="1"/>
        </w:rPr>
        <w:t>an account</w:t>
      </w:r>
      <w:r>
        <w:rPr>
          <w:rFonts w:ascii="Arial" w:cs="Arial" w:eastAsia="Arial" w:hAnsi="Arial"/>
          <w:sz w:val="17"/>
          <w:szCs w:val="17"/>
          <w:color w:val="000000"/>
        </w:rPr>
        <w:t xml:space="preserve"> </w:t>
      </w:r>
      <w:r>
        <w:rPr>
          <w:rFonts w:ascii="Arial" w:cs="Arial" w:eastAsia="Arial" w:hAnsi="Arial"/>
          <w:sz w:val="17"/>
          <w:szCs w:val="17"/>
          <w:color w:val="FF0000"/>
          <w:strike w:val="1"/>
        </w:rPr>
        <w:t>designated by the Borrower in the applicable Request for Credit Extension</w:t>
      </w:r>
      <w:r>
        <w:rPr>
          <w:rFonts w:ascii="Arial" w:cs="Arial" w:eastAsia="Arial" w:hAnsi="Arial"/>
          <w:sz w:val="17"/>
          <w:szCs w:val="17"/>
          <w:u w:val="single" w:color="auto"/>
          <w:color w:val="0000FF"/>
        </w:rPr>
        <w:t>the DIP Proceeds Account</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-421640</wp:posOffset>
            </wp:positionV>
            <wp:extent cx="24828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-455930</wp:posOffset>
            </wp:positionV>
            <wp:extent cx="24066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40665" cy="889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-421640</wp:posOffset>
            </wp:positionV>
            <wp:extent cx="114871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-421640</wp:posOffset>
            </wp:positionV>
            <wp:extent cx="9398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191135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-10160</wp:posOffset>
            </wp:positionV>
            <wp:extent cx="120840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5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FF0000"/>
          <w:strike w:val="1"/>
        </w:rPr>
        <w:t>(d)</w:t>
      </w:r>
      <w:r>
        <w:rPr>
          <w:rFonts w:ascii="Arial" w:cs="Arial" w:eastAsia="Arial" w:hAnsi="Arial"/>
          <w:sz w:val="16"/>
          <w:szCs w:val="16"/>
          <w:color w:val="0000FF"/>
        </w:rPr>
        <w:t xml:space="preserve">(f) </w:t>
      </w:r>
      <w:r>
        <w:rPr>
          <w:rFonts w:ascii="Arial" w:cs="Arial" w:eastAsia="Arial" w:hAnsi="Arial"/>
          <w:sz w:val="16"/>
          <w:szCs w:val="16"/>
          <w:color w:val="000000"/>
        </w:rPr>
        <w:t>Unless the Administrative Agent shall have received notice from a Lender prior to the date of any Borrowing that such Lender will not</w:t>
      </w:r>
      <w:r>
        <w:rPr>
          <w:rFonts w:ascii="Arial" w:cs="Arial" w:eastAsia="Arial" w:hAnsi="Arial"/>
          <w:sz w:val="16"/>
          <w:szCs w:val="16"/>
          <w:color w:val="FF0000"/>
        </w:rPr>
        <w:t xml:space="preserve"> </w:t>
      </w:r>
      <w:r>
        <w:rPr>
          <w:rFonts w:ascii="Arial" w:cs="Arial" w:eastAsia="Arial" w:hAnsi="Arial"/>
          <w:sz w:val="16"/>
          <w:szCs w:val="16"/>
          <w:color w:val="000000"/>
        </w:rPr>
        <w:t>make available to the Administrative Agent such Lender’s portion of such Borrowing, the Administrative Agent may assume that such Lender has made such portion available to the Administrative Agent on the date of such Borrowing in accordance with paragraph (</w:t>
      </w:r>
      <w:r>
        <w:rPr>
          <w:rFonts w:ascii="Arial" w:cs="Arial" w:eastAsia="Arial" w:hAnsi="Arial"/>
          <w:sz w:val="16"/>
          <w:szCs w:val="16"/>
          <w:color w:val="FF0000"/>
          <w:strike w:val="1"/>
        </w:rPr>
        <w:t>c</w:t>
      </w:r>
      <w:r>
        <w:rPr>
          <w:rFonts w:ascii="Arial" w:cs="Arial" w:eastAsia="Arial" w:hAnsi="Arial"/>
          <w:sz w:val="16"/>
          <w:szCs w:val="16"/>
          <w:u w:val="single" w:color="auto"/>
          <w:color w:val="0000FF"/>
        </w:rPr>
        <w:t>e</w:t>
      </w:r>
      <w:r>
        <w:rPr>
          <w:rFonts w:ascii="Arial" w:cs="Arial" w:eastAsia="Arial" w:hAnsi="Arial"/>
          <w:sz w:val="16"/>
          <w:szCs w:val="16"/>
          <w:color w:val="000000"/>
        </w:rPr>
        <w:t>)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such Lender and the Borrower severally agree to repay to the Administrative Agent forthwith on demand such corresponding amount together with interest thereon, for each day from the date such amount is made available to the Borrower to but excluding the date such amount is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-836295</wp:posOffset>
            </wp:positionV>
            <wp:extent cx="23177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-870585</wp:posOffset>
            </wp:positionV>
            <wp:extent cx="22860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-561975</wp:posOffset>
            </wp:positionV>
            <wp:extent cx="4318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40" w:top="274" w:right="499" w:bottom="1440" w:gutter="0" w:footer="0" w:header="0"/>
        </w:sectPr>
      </w:pPr>
    </w:p>
    <w:bookmarkStart w:id="206" w:name="page207"/>
    <w:bookmarkEnd w:id="206"/>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Administrative Agent at (i) in the case of the Borrower, a rate per annum equal to the interest rate applicable at the time to the Loans comprising such Borrowing, and (ii) in the case of such Lender, a rate determined by the Administrative Agent to represent its cost of overnight or short-term funds (which determination shall be conclusive absent manifest error). If such Lender shall repay to the Administrative Agent such corresponding amount, such amount shall constitute such Lender’s Loan as part of such Borrowing for purposes of this Agreement.</w:t>
      </w:r>
    </w:p>
    <w:p>
      <w:pPr>
        <w:spacing w:after="0" w:line="171"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FF0000"/>
          <w:strike w:val="1"/>
        </w:rPr>
        <w:t>Section 2.03.</w:t>
      </w:r>
      <w:r>
        <w:rPr>
          <w:rFonts w:ascii="Arial" w:cs="Arial" w:eastAsia="Arial" w:hAnsi="Arial"/>
          <w:sz w:val="16"/>
          <w:szCs w:val="16"/>
          <w:color w:val="FF0000"/>
        </w:rPr>
        <w:t xml:space="preserve"> </w:t>
      </w:r>
      <w:r>
        <w:rPr>
          <w:rFonts w:ascii="Arial" w:cs="Arial" w:eastAsia="Arial" w:hAnsi="Arial"/>
          <w:sz w:val="16"/>
          <w:szCs w:val="16"/>
          <w:color w:val="0000FF"/>
        </w:rPr>
        <w:t>Section 2.03 </w:t>
      </w:r>
      <w:r>
        <w:rPr>
          <w:rFonts w:ascii="Arial" w:cs="Arial" w:eastAsia="Arial" w:hAnsi="Arial"/>
          <w:sz w:val="16"/>
          <w:szCs w:val="16"/>
          <w:i w:val="1"/>
          <w:iCs w:val="1"/>
          <w:color w:val="000000"/>
        </w:rPr>
        <w:t>Borrowing Procedure.</w:t>
      </w:r>
      <w:r>
        <w:rPr>
          <w:rFonts w:ascii="Arial" w:cs="Arial" w:eastAsia="Arial" w:hAnsi="Arial"/>
          <w:sz w:val="16"/>
          <w:szCs w:val="16"/>
          <w:color w:val="FF0000"/>
        </w:rPr>
        <w:t xml:space="preserve"> </w:t>
      </w:r>
      <w:r>
        <w:rPr>
          <w:rFonts w:ascii="Arial" w:cs="Arial" w:eastAsia="Arial" w:hAnsi="Arial"/>
          <w:sz w:val="16"/>
          <w:szCs w:val="16"/>
          <w:color w:val="000000"/>
        </w:rPr>
        <w:t>In order to request a Borrowing, the Borrower shall notify the Administrative Agent of such</w:t>
      </w:r>
      <w:r>
        <w:rPr>
          <w:rFonts w:ascii="Arial" w:cs="Arial" w:eastAsia="Arial" w:hAnsi="Arial"/>
          <w:sz w:val="16"/>
          <w:szCs w:val="16"/>
          <w:color w:val="FF0000"/>
        </w:rPr>
        <w:t xml:space="preserve"> </w:t>
      </w:r>
      <w:r>
        <w:rPr>
          <w:rFonts w:ascii="Arial" w:cs="Arial" w:eastAsia="Arial" w:hAnsi="Arial"/>
          <w:sz w:val="16"/>
          <w:szCs w:val="16"/>
          <w:color w:val="000000"/>
        </w:rPr>
        <w:t xml:space="preserve">request in writing </w:t>
      </w:r>
      <w:r>
        <w:rPr>
          <w:rFonts w:ascii="Arial" w:cs="Arial" w:eastAsia="Arial" w:hAnsi="Arial"/>
          <w:sz w:val="16"/>
          <w:szCs w:val="16"/>
          <w:color w:val="FF0000"/>
          <w:strike w:val="1"/>
        </w:rPr>
        <w:t>(a) in the case of a SOFR Borrowing,</w:t>
      </w:r>
      <w:r>
        <w:rPr>
          <w:rFonts w:ascii="Arial" w:cs="Arial" w:eastAsia="Arial" w:hAnsi="Arial"/>
          <w:sz w:val="16"/>
          <w:szCs w:val="16"/>
          <w:color w:val="000000"/>
        </w:rPr>
        <w:t xml:space="preserve"> not later than 1:00 p.m., New York City time, </w:t>
      </w:r>
      <w:r>
        <w:rPr>
          <w:rFonts w:ascii="Arial" w:cs="Arial" w:eastAsia="Arial" w:hAnsi="Arial"/>
          <w:sz w:val="16"/>
          <w:szCs w:val="16"/>
          <w:color w:val="FF0000"/>
          <w:strike w:val="1"/>
        </w:rPr>
        <w:t>three</w:t>
      </w:r>
      <w:r>
        <w:rPr>
          <w:rFonts w:ascii="Arial" w:cs="Arial" w:eastAsia="Arial" w:hAnsi="Arial"/>
          <w:sz w:val="16"/>
          <w:szCs w:val="16"/>
          <w:u w:val="single" w:color="auto"/>
          <w:color w:val="0000FF"/>
        </w:rPr>
        <w:t>two (2)</w:t>
      </w:r>
      <w:r>
        <w:rPr>
          <w:rFonts w:ascii="Arial" w:cs="Arial" w:eastAsia="Arial" w:hAnsi="Arial"/>
          <w:sz w:val="16"/>
          <w:szCs w:val="16"/>
          <w:color w:val="000000"/>
        </w:rPr>
        <w:t xml:space="preserve"> Business Days before </w:t>
      </w:r>
      <w:r>
        <w:rPr>
          <w:rFonts w:ascii="Arial" w:cs="Arial" w:eastAsia="Arial" w:hAnsi="Arial"/>
          <w:sz w:val="16"/>
          <w:szCs w:val="16"/>
          <w:color w:val="FF0000"/>
          <w:strike w:val="1"/>
        </w:rPr>
        <w:t>a proposed</w:t>
      </w:r>
      <w:r>
        <w:rPr>
          <w:rFonts w:ascii="Arial" w:cs="Arial" w:eastAsia="Arial" w:hAnsi="Arial"/>
          <w:sz w:val="16"/>
          <w:szCs w:val="16"/>
          <w:color w:val="000000"/>
        </w:rPr>
        <w:t xml:space="preserve"> </w:t>
      </w:r>
      <w:r>
        <w:rPr>
          <w:rFonts w:ascii="Arial" w:cs="Arial" w:eastAsia="Arial" w:hAnsi="Arial"/>
          <w:sz w:val="16"/>
          <w:szCs w:val="16"/>
          <w:color w:val="FF0000"/>
          <w:strike w:val="1"/>
        </w:rPr>
        <w:t>Borrowing (or, in the case of the extension of credit on the Restatement Effective Date, prior to the proposed Borrowing), and (b) in the case of an ABR Borrowing, not later than 1:00 p.m., New York City time, one Business Day before a</w:t>
      </w:r>
      <w:r>
        <w:rPr>
          <w:rFonts w:ascii="Arial" w:cs="Arial" w:eastAsia="Arial" w:hAnsi="Arial"/>
          <w:sz w:val="16"/>
          <w:szCs w:val="16"/>
          <w:u w:val="single" w:color="auto"/>
          <w:color w:val="0000FF"/>
          <w:strike w:val="1"/>
        </w:rPr>
        <w:t>such</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proposed Borrowing. Each such Request for Credit Extension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shall be irrevocable (but may be conditioned upon the prepayment of indebtedness or the consummation of a specified transaction) and shall specify the following information: (i) the Class of Loans to be borrowed </w:t>
      </w:r>
      <w:r>
        <w:rPr>
          <w:rFonts w:ascii="Arial" w:cs="Arial" w:eastAsia="Arial" w:hAnsi="Arial"/>
          <w:sz w:val="16"/>
          <w:szCs w:val="16"/>
          <w:color w:val="FF0000"/>
          <w:strike w:val="1"/>
        </w:rPr>
        <w:t>and whether such Borrowing is to be a SOFR Borrowing or an ABR Borrowing</w:t>
      </w:r>
      <w:r>
        <w:rPr>
          <w:rFonts w:ascii="Arial" w:cs="Arial" w:eastAsia="Arial" w:hAnsi="Arial"/>
          <w:sz w:val="16"/>
          <w:szCs w:val="16"/>
          <w:color w:val="000000"/>
          <w:strike w:val="1"/>
        </w:rPr>
        <w:t xml:space="preserve">; (ii) the date of such Borrowing (which shall be a Business Day); (iii) the </w:t>
      </w:r>
      <w:r>
        <w:rPr>
          <w:rFonts w:ascii="Arial" w:cs="Arial" w:eastAsia="Arial" w:hAnsi="Arial"/>
          <w:sz w:val="16"/>
          <w:szCs w:val="16"/>
          <w:color w:val="FF0000"/>
          <w:strike w:val="1"/>
        </w:rPr>
        <w:t>number and location of the</w:t>
      </w:r>
      <w:r>
        <w:rPr>
          <w:rFonts w:ascii="Arial" w:cs="Arial" w:eastAsia="Arial" w:hAnsi="Arial"/>
          <w:sz w:val="16"/>
          <w:szCs w:val="16"/>
          <w:u w:val="single" w:color="auto"/>
          <w:color w:val="0000FF"/>
          <w:strike w:val="1"/>
        </w:rPr>
        <w:t>wire instructions for the DIP Proceeds</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a</w:t>
      </w:r>
      <w:r>
        <w:rPr>
          <w:rFonts w:ascii="Arial" w:cs="Arial" w:eastAsia="Arial" w:hAnsi="Arial"/>
          <w:sz w:val="16"/>
          <w:szCs w:val="16"/>
          <w:u w:val="single" w:color="auto"/>
          <w:color w:val="0000FF"/>
          <w:strike w:val="1"/>
        </w:rPr>
        <w:t>A</w:t>
      </w:r>
      <w:r>
        <w:rPr>
          <w:rFonts w:ascii="Arial" w:cs="Arial" w:eastAsia="Arial" w:hAnsi="Arial"/>
          <w:sz w:val="16"/>
          <w:szCs w:val="16"/>
          <w:color w:val="000000"/>
          <w:strike w:val="1"/>
        </w:rPr>
        <w:t xml:space="preserve">ccount to which </w:t>
      </w:r>
      <w:r>
        <w:rPr>
          <w:rFonts w:ascii="Arial" w:cs="Arial" w:eastAsia="Arial" w:hAnsi="Arial"/>
          <w:sz w:val="16"/>
          <w:szCs w:val="16"/>
          <w:u w:val="single" w:color="auto"/>
          <w:color w:val="0000FF"/>
          <w:strike w:val="1"/>
        </w:rPr>
        <w:t>such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funds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are to be disbursed;</w:t>
      </w:r>
      <w:r>
        <w:rPr>
          <w:rFonts w:ascii="Arial" w:cs="Arial" w:eastAsia="Arial" w:hAnsi="Arial"/>
          <w:sz w:val="16"/>
          <w:szCs w:val="16"/>
          <w:u w:val="single" w:color="auto"/>
          <w:color w:val="0000FF"/>
          <w:strike w:val="1"/>
        </w:rPr>
        <w:t>shall be delivered and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(iv) the amount of such Borrowing</w:t>
      </w:r>
      <w:r>
        <w:rPr>
          <w:rFonts w:ascii="Arial" w:cs="Arial" w:eastAsia="Arial" w:hAnsi="Arial"/>
          <w:sz w:val="16"/>
          <w:szCs w:val="16"/>
          <w:color w:val="FF0000"/>
          <w:strike w:val="1"/>
        </w:rPr>
        <w:t>; and (v) if such Borrowing is to be a SOFR Borrowing, the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Interest Period with respect thereto</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w:t>
      </w:r>
      <w:r>
        <w:rPr>
          <w:rFonts w:ascii="Arial" w:cs="Arial" w:eastAsia="Arial" w:hAnsi="Arial"/>
          <w:sz w:val="16"/>
          <w:szCs w:val="16"/>
          <w:i w:val="1"/>
          <w:iCs w:val="1"/>
          <w:color w:val="000000"/>
          <w:strike w:val="1"/>
        </w:rPr>
        <w:t>provided, however</w:t>
      </w:r>
      <w:r>
        <w:rPr>
          <w:rFonts w:ascii="Arial" w:cs="Arial" w:eastAsia="Arial" w:hAnsi="Arial"/>
          <w:sz w:val="16"/>
          <w:szCs w:val="16"/>
          <w:color w:val="000000"/>
          <w:strike w:val="1"/>
        </w:rPr>
        <w:t>, that, notwithstanding any contrary specification in any Request for Credit Extension, each</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requested Borrowing shall comply with the requirements set forth in </w:t>
      </w:r>
      <w:r>
        <w:rPr>
          <w:rFonts w:ascii="Arial" w:cs="Arial" w:eastAsia="Arial" w:hAnsi="Arial"/>
          <w:sz w:val="16"/>
          <w:szCs w:val="16"/>
          <w:u w:val="single" w:color="auto"/>
          <w:color w:val="000000"/>
          <w:strike w:val="1"/>
        </w:rPr>
        <w:t>Section 2.02</w:t>
      </w:r>
      <w:r>
        <w:rPr>
          <w:rFonts w:ascii="Arial" w:cs="Arial" w:eastAsia="Arial" w:hAnsi="Arial"/>
          <w:sz w:val="16"/>
          <w:szCs w:val="16"/>
          <w:color w:val="FF0000"/>
          <w:strike w:val="1"/>
        </w:rPr>
        <w:t>. If no election as to the Type of Borrowing is specified in any such</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notice, then the requested Borrowing shall be an ABR Borrowing. If no Interest Period with respect to any SOFR Borrowing is specified in any such notice, then the Borrower shall be deemed to have selected an Interest Period of one month’s duration </w:t>
      </w:r>
      <w:r>
        <w:rPr>
          <w:rFonts w:ascii="Arial" w:cs="Arial" w:eastAsia="Arial" w:hAnsi="Arial"/>
          <w:sz w:val="16"/>
          <w:szCs w:val="16"/>
          <w:color w:val="0000FF"/>
          <w:strike w:val="1"/>
        </w:rPr>
        <w:t>and shall be subject to satisfaction (or waiver) of</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the conditions precedent set forth in Section 4.01</w:t>
      </w:r>
      <w:r>
        <w:rPr>
          <w:rFonts w:ascii="Arial" w:cs="Arial" w:eastAsia="Arial" w:hAnsi="Arial"/>
          <w:sz w:val="16"/>
          <w:szCs w:val="16"/>
          <w:color w:val="000000"/>
          <w:strike w:val="1"/>
        </w:rPr>
        <w:t>. The Administrative Agent shall promptly advise the applicable Lenders of any notice given pursuant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to this </w:t>
      </w:r>
      <w:r>
        <w:rPr>
          <w:rFonts w:ascii="Arial" w:cs="Arial" w:eastAsia="Arial" w:hAnsi="Arial"/>
          <w:sz w:val="16"/>
          <w:szCs w:val="16"/>
          <w:u w:val="single" w:color="auto"/>
          <w:color w:val="000000"/>
          <w:strike w:val="1"/>
        </w:rPr>
        <w:t>Section 2.03</w:t>
      </w:r>
      <w:r>
        <w:rPr>
          <w:rFonts w:ascii="Arial" w:cs="Arial" w:eastAsia="Arial" w:hAnsi="Arial"/>
          <w:sz w:val="16"/>
          <w:szCs w:val="16"/>
          <w:color w:val="000000"/>
          <w:strike w:val="1"/>
        </w:rPr>
        <w:t xml:space="preserve"> (and the contents thereof), and of each Lender’s portion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-1793875</wp:posOffset>
            </wp:positionV>
            <wp:extent cx="68580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-1828165</wp:posOffset>
            </wp:positionV>
            <wp:extent cx="68516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-1656715</wp:posOffset>
            </wp:positionV>
            <wp:extent cx="33401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-1382395</wp:posOffset>
            </wp:positionV>
            <wp:extent cx="21463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-1193800</wp:posOffset>
            </wp:positionV>
            <wp:extent cx="367474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674745"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-970915</wp:posOffset>
            </wp:positionV>
            <wp:extent cx="191135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-833755</wp:posOffset>
            </wp:positionV>
            <wp:extent cx="24003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-833755</wp:posOffset>
            </wp:positionV>
            <wp:extent cx="99441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-285115</wp:posOffset>
            </wp:positionV>
            <wp:extent cx="225425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-319405</wp:posOffset>
            </wp:positionV>
            <wp:extent cx="225552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2555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-147955</wp:posOffset>
            </wp:positionV>
            <wp:extent cx="223710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Section 2.04.</w:t>
      </w:r>
      <w:r>
        <w:rPr>
          <w:rFonts w:ascii="Arial" w:cs="Arial" w:eastAsia="Arial" w:hAnsi="Arial"/>
          <w:sz w:val="18"/>
          <w:szCs w:val="18"/>
          <w:color w:val="FF0000"/>
        </w:rPr>
        <w:t xml:space="preserve"> </w:t>
      </w:r>
      <w:r>
        <w:rPr>
          <w:rFonts w:ascii="Arial" w:cs="Arial" w:eastAsia="Arial" w:hAnsi="Arial"/>
          <w:sz w:val="18"/>
          <w:szCs w:val="18"/>
          <w:color w:val="0000FF"/>
        </w:rPr>
        <w:t>Section 2.04 </w:t>
      </w:r>
      <w:r>
        <w:rPr>
          <w:rFonts w:ascii="Arial" w:cs="Arial" w:eastAsia="Arial" w:hAnsi="Arial"/>
          <w:sz w:val="18"/>
          <w:szCs w:val="18"/>
          <w:i w:val="1"/>
          <w:iCs w:val="1"/>
          <w:color w:val="000000"/>
        </w:rPr>
        <w:t>Evidence of Debt; Repayment of Loans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23495</wp:posOffset>
            </wp:positionV>
            <wp:extent cx="68580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-10160</wp:posOffset>
            </wp:positionV>
            <wp:extent cx="68516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(a) The Borrower hereby unconditionally promises to pay to the Administrative Agent for the account of each Lender the principal amount of each Term Loan of such Lender as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color w:val="FF0000"/>
        </w:rPr>
        <w:t>(or, in the case of Extended Term Loans or Other Term Loans, as provided for in the</w:t>
      </w:r>
      <w:r>
        <w:rPr>
          <w:rFonts w:ascii="Arial" w:cs="Arial" w:eastAsia="Arial" w:hAnsi="Arial"/>
          <w:sz w:val="18"/>
          <w:szCs w:val="18"/>
          <w:color w:val="auto"/>
        </w:rPr>
        <w:t xml:space="preserve"> </w:t>
      </w:r>
      <w:r>
        <w:rPr>
          <w:rFonts w:ascii="Arial" w:cs="Arial" w:eastAsia="Arial" w:hAnsi="Arial"/>
          <w:sz w:val="18"/>
          <w:szCs w:val="18"/>
          <w:color w:val="FF0000"/>
          <w:strike w:val="1"/>
        </w:rPr>
        <w:t>applicable Extension Offer, Refinancing Amendment or other governing documentation)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-225425</wp:posOffset>
            </wp:positionV>
            <wp:extent cx="387858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878580" cy="8890"/>
                    </a:xfrm>
                    <a:prstGeom prst="rect">
                      <a:avLst/>
                    </a:prstGeom>
                    <a:noFill/>
                  </pic:spPr>
                </pic:pic>
              </a:graphicData>
            </a:graphic>
          </wp:anchor>
        </w:drawing>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(c) The Administrative Agent shall maintain accounts in which it will record (i) the amount of each Loan made hereunder</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the Class </w:t>
      </w:r>
      <w:r>
        <w:rPr>
          <w:rFonts w:ascii="Arial" w:cs="Arial" w:eastAsia="Arial" w:hAnsi="Arial"/>
          <w:sz w:val="18"/>
          <w:szCs w:val="18"/>
          <w:color w:val="FF0000"/>
          <w:strike w:val="1"/>
        </w:rPr>
        <w:t>and</w:t>
      </w:r>
      <w:r>
        <w:rPr>
          <w:rFonts w:ascii="Arial" w:cs="Arial" w:eastAsia="Arial" w:hAnsi="Arial"/>
          <w:sz w:val="18"/>
          <w:szCs w:val="18"/>
          <w:color w:val="auto"/>
        </w:rPr>
        <w:t xml:space="preserve"> </w:t>
      </w:r>
      <w:r>
        <w:rPr>
          <w:rFonts w:ascii="Arial" w:cs="Arial" w:eastAsia="Arial" w:hAnsi="Arial"/>
          <w:sz w:val="18"/>
          <w:szCs w:val="18"/>
          <w:color w:val="FF0000"/>
          <w:strike w:val="1"/>
        </w:rPr>
        <w:t>Type</w:t>
      </w:r>
      <w:r>
        <w:rPr>
          <w:rFonts w:ascii="Arial" w:cs="Arial" w:eastAsia="Arial" w:hAnsi="Arial"/>
          <w:sz w:val="18"/>
          <w:szCs w:val="18"/>
          <w:color w:val="FF0000"/>
        </w:rPr>
        <w:t xml:space="preserve"> </w:t>
      </w:r>
      <w:r>
        <w:rPr>
          <w:rFonts w:ascii="Arial" w:cs="Arial" w:eastAsia="Arial" w:hAnsi="Arial"/>
          <w:sz w:val="18"/>
          <w:szCs w:val="18"/>
          <w:color w:val="000000"/>
        </w:rPr>
        <w:t>thereof</w:t>
      </w:r>
      <w:r>
        <w:rPr>
          <w:rFonts w:ascii="Arial" w:cs="Arial" w:eastAsia="Arial" w:hAnsi="Arial"/>
          <w:sz w:val="18"/>
          <w:szCs w:val="18"/>
          <w:color w:val="FF0000"/>
        </w:rPr>
        <w:t xml:space="preserve"> </w:t>
      </w:r>
      <w:r>
        <w:rPr>
          <w:rFonts w:ascii="Arial" w:cs="Arial" w:eastAsia="Arial" w:hAnsi="Arial"/>
          <w:sz w:val="18"/>
          <w:szCs w:val="18"/>
          <w:color w:val="FF0000"/>
          <w:strike w:val="1"/>
        </w:rPr>
        <w:t>and, if applicable, the Interest Period applicable thereto</w:t>
      </w:r>
      <w:r>
        <w:rPr>
          <w:rFonts w:ascii="Arial" w:cs="Arial" w:eastAsia="Arial" w:hAnsi="Arial"/>
          <w:sz w:val="18"/>
          <w:szCs w:val="18"/>
          <w:color w:val="000000"/>
        </w:rPr>
        <w:t>, (ii) the amount of any principal or interest due and payable or to become due and</w:t>
      </w:r>
      <w:r>
        <w:rPr>
          <w:rFonts w:ascii="Arial" w:cs="Arial" w:eastAsia="Arial" w:hAnsi="Arial"/>
          <w:sz w:val="18"/>
          <w:szCs w:val="18"/>
          <w:color w:val="FF0000"/>
        </w:rPr>
        <w:t xml:space="preserve"> </w:t>
      </w:r>
      <w:r>
        <w:rPr>
          <w:rFonts w:ascii="Arial" w:cs="Arial" w:eastAsia="Arial" w:hAnsi="Arial"/>
          <w:sz w:val="18"/>
          <w:szCs w:val="18"/>
          <w:color w:val="000000"/>
        </w:rPr>
        <w:t>payable from the Borrower to each Lender hereunder and (iii) the amount of any sum received by the Administrative Agent hereunder from the Borrower or any Guarantor and each Lender’s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5981065</wp:posOffset>
            </wp:positionH>
            <wp:positionV relativeFrom="paragraph">
              <wp:posOffset>-412115</wp:posOffset>
            </wp:positionV>
            <wp:extent cx="16256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6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(d) The entries made in the accounts maintained pursuant to paragraphs (b) and (c) above shall be prima facie evidence of the existence and amounts of the obligations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 the failure of any Lender or the Administrative Agent to maintain such accounts or any error therein shall not in any manner affect the obligations of the Borrower to repay the Loans 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207" w:name="page208"/>
    <w:bookmarkEnd w:id="20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their terms and (ii) in the event of any conflict between the accounts set forth in paragraphs (b) and (c) above, the amounts set forth in the accounts maintained pursuant to paragraph (c) shall prevail.</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(e) Any Lender may request that Loans made by it hereunder be evidenced by a Term Note. In such event, the Borrower shall promptly execute and deliver to such Lender a Term Note payable to such Lender and its registered assigns in accordance with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Notwithstanding any other provision of this Agreement, in the event any Lender shall request and receive a Term Note, the interests represented by such Term Note shall at all times (including after any assignment of all or part of such interests pursuant to </w:t>
      </w:r>
      <w:r>
        <w:rPr>
          <w:rFonts w:ascii="Arial" w:cs="Arial" w:eastAsia="Arial" w:hAnsi="Arial"/>
          <w:sz w:val="17"/>
          <w:szCs w:val="17"/>
          <w:u w:val="single" w:color="auto"/>
          <w:color w:val="auto"/>
        </w:rPr>
        <w:t>Section 10.04</w:t>
      </w:r>
      <w:r>
        <w:rPr>
          <w:rFonts w:ascii="Arial" w:cs="Arial" w:eastAsia="Arial" w:hAnsi="Arial"/>
          <w:sz w:val="17"/>
          <w:szCs w:val="17"/>
          <w:color w:val="auto"/>
        </w:rPr>
        <w:t>) be represented by one or more promissory notes payable to the payee named therein or its registered assigns, unless such Term Note is duly cancelled.</w:t>
      </w:r>
    </w:p>
    <w:p>
      <w:pPr>
        <w:spacing w:after="0" w:line="17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shall at all times be interpreted and administered in such a way that the Term Notes will be issued in “registered form” within the meaning of Treasury Regulation Section 5f.163-1(a).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Section 2.05.</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Section 2.05</w:t>
      </w:r>
      <w:r>
        <w:rPr>
          <w:rFonts w:ascii="Arial" w:cs="Arial" w:eastAsia="Arial" w:hAnsi="Arial"/>
          <w:sz w:val="18"/>
          <w:szCs w:val="18"/>
          <w:color w:val="FF0000"/>
        </w:rPr>
        <w:t xml:space="preserve"> </w:t>
      </w:r>
      <w:r>
        <w:rPr>
          <w:rFonts w:ascii="Arial" w:cs="Arial" w:eastAsia="Arial" w:hAnsi="Arial"/>
          <w:sz w:val="18"/>
          <w:szCs w:val="18"/>
          <w:i w:val="1"/>
          <w:iCs w:val="1"/>
          <w:color w:val="000000"/>
        </w:rPr>
        <w:t>Fees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23495</wp:posOffset>
            </wp:positionV>
            <wp:extent cx="60007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(a)</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The Borrower agrees to pay the Administrative Agent, for the account of the Lenders, an arrangement fee (the “</w:t>
      </w:r>
      <w:r>
        <w:rPr>
          <w:rFonts w:ascii="Arial" w:cs="Arial" w:eastAsia="Arial" w:hAnsi="Arial"/>
          <w:sz w:val="17"/>
          <w:szCs w:val="17"/>
          <w:b w:val="1"/>
          <w:bCs w:val="1"/>
          <w:u w:val="single" w:color="auto"/>
          <w:color w:val="0000FF"/>
        </w:rPr>
        <w:t>Arrangement Fee</w:t>
      </w:r>
      <w:r>
        <w:rPr>
          <w:rFonts w:ascii="Arial" w:cs="Arial" w:eastAsia="Arial" w:hAnsi="Arial"/>
          <w:sz w:val="17"/>
          <w:szCs w:val="17"/>
          <w:u w:val="single" w:color="auto"/>
          <w:color w:val="0000FF"/>
        </w:rPr>
        <w:t>”) in 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amount of equal to 4.00% of the aggregate amount of the Commitments immediately prior to the making of the Initial Postpetition Loans (i.e.,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-114935</wp:posOffset>
            </wp:positionV>
            <wp:extent cx="655764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$4,000,000). The Arrangement Fee was fully earned and due and payable on the Postpetition B-2 Facility Closing Date and was paid in kind (in lieu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50621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payment in cash) and such amount is deemed added to the principal amount of the outstanding Initial Postpetition Loan extended by the Lenders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00545"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the Postpetition B-2 Facility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84911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94564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9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FF0000"/>
          <w:strike w:val="1"/>
        </w:rPr>
        <w:t>(a)</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(b)</w:t>
      </w:r>
      <w:r>
        <w:rPr>
          <w:rFonts w:ascii="Arial" w:cs="Arial" w:eastAsia="Arial" w:hAnsi="Arial"/>
          <w:sz w:val="18"/>
          <w:szCs w:val="18"/>
          <w:color w:val="FF0000"/>
        </w:rPr>
        <w:t xml:space="preserve"> </w:t>
      </w:r>
      <w:r>
        <w:rPr>
          <w:rFonts w:ascii="Arial" w:cs="Arial" w:eastAsia="Arial" w:hAnsi="Arial"/>
          <w:sz w:val="18"/>
          <w:szCs w:val="18"/>
          <w:color w:val="000000"/>
        </w:rPr>
        <w:t>The Borrower agrees to pay to the</w:t>
      </w:r>
      <w:r>
        <w:rPr>
          <w:rFonts w:ascii="Arial" w:cs="Arial" w:eastAsia="Arial" w:hAnsi="Arial"/>
          <w:sz w:val="18"/>
          <w:szCs w:val="18"/>
          <w:color w:val="FF0000"/>
        </w:rPr>
        <w:t xml:space="preserve"> </w:t>
      </w:r>
      <w:r>
        <w:rPr>
          <w:rFonts w:ascii="Arial" w:cs="Arial" w:eastAsia="Arial" w:hAnsi="Arial"/>
          <w:sz w:val="18"/>
          <w:szCs w:val="18"/>
          <w:color w:val="FF0000"/>
          <w:strike w:val="1"/>
        </w:rPr>
        <w:t>Administrative</w:t>
      </w:r>
      <w:r>
        <w:rPr>
          <w:rFonts w:ascii="Arial" w:cs="Arial" w:eastAsia="Arial" w:hAnsi="Arial"/>
          <w:sz w:val="18"/>
          <w:szCs w:val="18"/>
          <w:color w:val="FF0000"/>
        </w:rPr>
        <w:t xml:space="preserve"> </w:t>
      </w:r>
      <w:r>
        <w:rPr>
          <w:rFonts w:ascii="Arial" w:cs="Arial" w:eastAsia="Arial" w:hAnsi="Arial"/>
          <w:sz w:val="18"/>
          <w:szCs w:val="18"/>
          <w:color w:val="000000"/>
        </w:rPr>
        <w:t>Agent</w:t>
      </w:r>
      <w:r>
        <w:rPr>
          <w:rFonts w:ascii="Arial" w:cs="Arial" w:eastAsia="Arial" w:hAnsi="Arial"/>
          <w:sz w:val="18"/>
          <w:szCs w:val="18"/>
          <w:u w:val="single" w:color="auto"/>
          <w:color w:val="0000FF"/>
        </w:rPr>
        <w:t>s</w:t>
      </w:r>
      <w:r>
        <w:rPr>
          <w:rFonts w:ascii="Arial" w:cs="Arial" w:eastAsia="Arial" w:hAnsi="Arial"/>
          <w:sz w:val="18"/>
          <w:szCs w:val="18"/>
          <w:color w:val="000000"/>
        </w:rPr>
        <w:t>, for</w:t>
      </w:r>
      <w:r>
        <w:rPr>
          <w:rFonts w:ascii="Arial" w:cs="Arial" w:eastAsia="Arial" w:hAnsi="Arial"/>
          <w:sz w:val="18"/>
          <w:szCs w:val="18"/>
          <w:color w:val="FF0000"/>
        </w:rPr>
        <w:t xml:space="preserve"> </w:t>
      </w:r>
      <w:r>
        <w:rPr>
          <w:rFonts w:ascii="Arial" w:cs="Arial" w:eastAsia="Arial" w:hAnsi="Arial"/>
          <w:sz w:val="18"/>
          <w:szCs w:val="18"/>
          <w:color w:val="FF0000"/>
          <w:strike w:val="1"/>
        </w:rPr>
        <w:t>its</w:t>
      </w:r>
      <w:r>
        <w:rPr>
          <w:rFonts w:ascii="Arial" w:cs="Arial" w:eastAsia="Arial" w:hAnsi="Arial"/>
          <w:sz w:val="18"/>
          <w:szCs w:val="18"/>
          <w:u w:val="single" w:color="auto"/>
          <w:color w:val="0000FF"/>
        </w:rPr>
        <w:t>their</w:t>
      </w:r>
      <w:r>
        <w:rPr>
          <w:rFonts w:ascii="Arial" w:cs="Arial" w:eastAsia="Arial" w:hAnsi="Arial"/>
          <w:sz w:val="18"/>
          <w:szCs w:val="18"/>
          <w:color w:val="FF0000"/>
        </w:rPr>
        <w:t xml:space="preserve"> </w:t>
      </w:r>
      <w:r>
        <w:rPr>
          <w:rFonts w:ascii="Arial" w:cs="Arial" w:eastAsia="Arial" w:hAnsi="Arial"/>
          <w:sz w:val="18"/>
          <w:szCs w:val="18"/>
          <w:color w:val="000000"/>
        </w:rPr>
        <w:t>own account, the administrative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agent and collateral</w:t>
      </w:r>
      <w:r>
        <w:rPr>
          <w:rFonts w:ascii="Arial" w:cs="Arial" w:eastAsia="Arial" w:hAnsi="Arial"/>
          <w:sz w:val="18"/>
          <w:szCs w:val="18"/>
          <w:color w:val="FF0000"/>
        </w:rPr>
        <w:t xml:space="preserve"> </w:t>
      </w:r>
      <w:r>
        <w:rPr>
          <w:rFonts w:ascii="Arial" w:cs="Arial" w:eastAsia="Arial" w:hAnsi="Arial"/>
          <w:sz w:val="18"/>
          <w:szCs w:val="18"/>
          <w:color w:val="000000"/>
        </w:rPr>
        <w:t>agent fees</w:t>
      </w:r>
      <w:r>
        <w:rPr>
          <w:rFonts w:ascii="Arial" w:cs="Arial" w:eastAsia="Arial" w:hAnsi="Arial"/>
          <w:sz w:val="18"/>
          <w:szCs w:val="18"/>
          <w:color w:val="FF0000"/>
        </w:rPr>
        <w:t xml:space="preserve"> </w:t>
      </w:r>
      <w:r>
        <w:rPr>
          <w:rFonts w:ascii="Arial" w:cs="Arial" w:eastAsia="Arial" w:hAnsi="Arial"/>
          <w:sz w:val="18"/>
          <w:szCs w:val="18"/>
          <w:color w:val="000000"/>
        </w:rPr>
        <w:t xml:space="preserve">applicable to the Facilities payable in the amounts and at the times agreed upon between the Borrower and the Administrative Agent as set forth in the </w:t>
      </w:r>
      <w:r>
        <w:rPr>
          <w:rFonts w:ascii="Arial" w:cs="Arial" w:eastAsia="Arial" w:hAnsi="Arial"/>
          <w:sz w:val="18"/>
          <w:szCs w:val="18"/>
          <w:color w:val="FF0000"/>
          <w:strike w:val="1"/>
        </w:rPr>
        <w:t>Administrative</w:t>
      </w:r>
      <w:r>
        <w:rPr>
          <w:rFonts w:ascii="Arial" w:cs="Arial" w:eastAsia="Arial" w:hAnsi="Arial"/>
          <w:sz w:val="18"/>
          <w:szCs w:val="18"/>
          <w:color w:val="FF0000"/>
        </w:rPr>
        <w:t xml:space="preserve"> </w:t>
      </w:r>
      <w:r>
        <w:rPr>
          <w:rFonts w:ascii="Arial" w:cs="Arial" w:eastAsia="Arial" w:hAnsi="Arial"/>
          <w:sz w:val="18"/>
          <w:szCs w:val="18"/>
          <w:color w:val="000000"/>
        </w:rPr>
        <w:t>Agen</w:t>
      </w:r>
      <w:r>
        <w:rPr>
          <w:rFonts w:ascii="Arial" w:cs="Arial" w:eastAsia="Arial" w:hAnsi="Arial"/>
          <w:sz w:val="18"/>
          <w:szCs w:val="18"/>
          <w:color w:val="FF0000"/>
          <w:strike w:val="1"/>
        </w:rPr>
        <w:t>t</w:t>
      </w:r>
      <w:r>
        <w:rPr>
          <w:rFonts w:ascii="Arial" w:cs="Arial" w:eastAsia="Arial" w:hAnsi="Arial"/>
          <w:sz w:val="18"/>
          <w:szCs w:val="18"/>
          <w:u w:val="single" w:color="auto"/>
          <w:color w:val="0000FF"/>
        </w:rPr>
        <w:t>cy</w:t>
      </w:r>
      <w:r>
        <w:rPr>
          <w:rFonts w:ascii="Arial" w:cs="Arial" w:eastAsia="Arial" w:hAnsi="Arial"/>
          <w:sz w:val="18"/>
          <w:szCs w:val="18"/>
          <w:color w:val="FF0000"/>
        </w:rPr>
        <w:t xml:space="preserve"> </w:t>
      </w:r>
      <w:r>
        <w:rPr>
          <w:rFonts w:ascii="Arial" w:cs="Arial" w:eastAsia="Arial" w:hAnsi="Arial"/>
          <w:sz w:val="18"/>
          <w:szCs w:val="18"/>
          <w:color w:val="000000"/>
        </w:rPr>
        <w:t>Fee Letter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fees pursuant to Section 2.05(a) and this Section 2.05(b), collectively, the</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w:t>
      </w:r>
      <w:r>
        <w:rPr>
          <w:rFonts w:ascii="Arial" w:cs="Arial" w:eastAsia="Arial" w:hAnsi="Arial"/>
          <w:sz w:val="18"/>
          <w:szCs w:val="18"/>
          <w:b w:val="1"/>
          <w:bCs w:val="1"/>
          <w:u w:val="single" w:color="auto"/>
          <w:color w:val="000000"/>
        </w:rPr>
        <w:t>Fees</w:t>
      </w:r>
      <w:r>
        <w:rPr>
          <w:rFonts w:ascii="Arial" w:cs="Arial" w:eastAsia="Arial" w:hAnsi="Arial"/>
          <w:sz w:val="18"/>
          <w:szCs w:val="18"/>
          <w:u w:val="single" w:color="auto"/>
          <w:color w:val="000000"/>
        </w:rPr>
        <w:t>”).</w:t>
      </w:r>
      <w:r>
        <w:rPr>
          <w:rFonts w:ascii="Arial" w:cs="Arial" w:eastAsia="Arial" w:hAnsi="Arial"/>
          <w:sz w:val="18"/>
          <w:szCs w:val="18"/>
          <w:color w:val="FF0000"/>
        </w:rPr>
        <w:t xml:space="preserve"> </w:t>
      </w:r>
      <w:r>
        <w:rPr>
          <w:rFonts w:ascii="Arial" w:cs="Arial" w:eastAsia="Arial" w:hAnsi="Arial"/>
          <w:sz w:val="18"/>
          <w:szCs w:val="18"/>
          <w:color w:val="0000FF"/>
        </w:rPr>
        <w:t>All Fees pursuant to this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Section 2.05(b) shall be paid on the dates due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-412115</wp:posOffset>
            </wp:positionV>
            <wp:extent cx="12827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-412115</wp:posOffset>
            </wp:positionV>
            <wp:extent cx="4318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-137795</wp:posOffset>
            </wp:positionV>
            <wp:extent cx="10287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-137795</wp:posOffset>
            </wp:positionV>
            <wp:extent cx="114871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-172085</wp:posOffset>
            </wp:positionV>
            <wp:extent cx="114554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54901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FF0000"/>
          <w:strike w:val="1"/>
        </w:rPr>
        <w:t>(b)</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w:t>
      </w:r>
      <w:r>
        <w:rPr>
          <w:rFonts w:ascii="Arial" w:cs="Arial" w:eastAsia="Arial" w:hAnsi="Arial"/>
          <w:sz w:val="18"/>
          <w:szCs w:val="18"/>
          <w:color w:val="FF0000"/>
        </w:rPr>
        <w:t xml:space="preserve"> </w:t>
      </w:r>
      <w:r>
        <w:rPr>
          <w:rFonts w:ascii="Arial" w:cs="Arial" w:eastAsia="Arial" w:hAnsi="Arial"/>
          <w:sz w:val="18"/>
          <w:szCs w:val="18"/>
          <w:color w:val="FF0000"/>
          <w:strike w:val="1"/>
        </w:rPr>
        <w:t>All Fees shall be paid on the dates due, in immediately available funds, to the Administrative Agent.</w:t>
      </w:r>
      <w:r>
        <w:rPr>
          <w:rFonts w:ascii="Arial" w:cs="Arial" w:eastAsia="Arial" w:hAnsi="Arial"/>
          <w:sz w:val="18"/>
          <w:szCs w:val="18"/>
          <w:color w:val="FF0000"/>
        </w:rPr>
        <w:t xml:space="preserve"> </w:t>
      </w:r>
      <w:r>
        <w:rPr>
          <w:rFonts w:ascii="Arial" w:cs="Arial" w:eastAsia="Arial" w:hAnsi="Arial"/>
          <w:sz w:val="18"/>
          <w:szCs w:val="18"/>
          <w:color w:val="000000"/>
        </w:rPr>
        <w:t>Once paid, none of the Fees shall be</w:t>
      </w:r>
      <w:r>
        <w:rPr>
          <w:rFonts w:ascii="Arial" w:cs="Arial" w:eastAsia="Arial" w:hAnsi="Arial"/>
          <w:sz w:val="18"/>
          <w:szCs w:val="18"/>
          <w:color w:val="FF0000"/>
        </w:rPr>
        <w:t xml:space="preserve"> </w:t>
      </w:r>
      <w:r>
        <w:rPr>
          <w:rFonts w:ascii="Arial" w:cs="Arial" w:eastAsia="Arial" w:hAnsi="Arial"/>
          <w:sz w:val="18"/>
          <w:szCs w:val="18"/>
          <w:color w:val="000000"/>
        </w:rPr>
        <w:t>refundable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-147955</wp:posOffset>
            </wp:positionV>
            <wp:extent cx="16319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50" w:lineRule="exact"/>
        <w:rPr>
          <w:sz w:val="20"/>
          <w:szCs w:val="20"/>
          <w:color w:val="auto"/>
        </w:rPr>
      </w:pPr>
    </w:p>
    <w:p>
      <w:pPr>
        <w:ind w:firstLine="436"/>
        <w:spacing w:after="0" w:line="269" w:lineRule="auto"/>
        <w:tabs>
          <w:tab w:leader="none" w:pos="685" w:val="left"/>
        </w:tabs>
        <w:numPr>
          <w:ilvl w:val="0"/>
          <w:numId w:val="125"/>
        </w:numPr>
        <w:rPr>
          <w:rFonts w:ascii="Arial" w:cs="Arial" w:eastAsia="Arial" w:hAnsi="Arial"/>
          <w:sz w:val="17"/>
          <w:szCs w:val="17"/>
          <w:color w:val="FF0000"/>
          <w:strike w:val="1"/>
        </w:rPr>
      </w:pPr>
      <w:r>
        <w:rPr>
          <w:rFonts w:ascii="Arial" w:cs="Arial" w:eastAsia="Arial" w:hAnsi="Arial"/>
          <w:sz w:val="17"/>
          <w:szCs w:val="17"/>
          <w:color w:val="FF0000"/>
          <w:strike w:val="1"/>
        </w:rPr>
        <w:t>The Borrower agrees to pay to the Administrative Agent, for the ratable account of each Tranche B-2 Term Lender, an exit fee in an aggregate amount equal to 2.00% of the aggregate principal amount of the Tranche B-2 Term Loans outstanding as of the Amendment No. 3 Effective Date (the “</w:t>
      </w:r>
      <w:r>
        <w:rPr>
          <w:rFonts w:ascii="Arial" w:cs="Arial" w:eastAsia="Arial" w:hAnsi="Arial"/>
          <w:sz w:val="17"/>
          <w:szCs w:val="17"/>
          <w:b w:val="1"/>
          <w:bCs w:val="1"/>
          <w:color w:val="FF0000"/>
          <w:strike w:val="1"/>
        </w:rPr>
        <w:t>Exit Fee</w:t>
      </w:r>
      <w:r>
        <w:rPr>
          <w:rFonts w:ascii="Arial" w:cs="Arial" w:eastAsia="Arial" w:hAnsi="Arial"/>
          <w:sz w:val="17"/>
          <w:szCs w:val="17"/>
          <w:color w:val="FF0000"/>
          <w:strike w:val="1"/>
        </w:rPr>
        <w:t xml:space="preserve">”), which Exit Fee shall be earned in full and shall be due on the Amendment No. 3 Effective Date but shall be payable in cash on the earliest to occur of (x) the Maturity Date, (y) the termination, conversion and/or repayment or prepayment of the Tranche-B-2 Term Loans in full (including after or as a result of an Event of Default or acceleration of the Tranche B-2 Term Loans) of the Tranche B-2 Term Loans, and (z) any acceleration of the Tranche B-2 Term Loans, including as a result of any insolvency, liquidation or other similar event with respect to any Loan Party or its Subsidiaries; </w:t>
      </w:r>
      <w:r>
        <w:rPr>
          <w:rFonts w:ascii="Arial" w:cs="Arial" w:eastAsia="Arial" w:hAnsi="Arial"/>
          <w:sz w:val="17"/>
          <w:szCs w:val="17"/>
          <w:i w:val="1"/>
          <w:iCs w:val="1"/>
          <w:color w:val="FF0000"/>
          <w:strike w:val="1"/>
        </w:rPr>
        <w:t xml:space="preserve">provided </w:t>
      </w:r>
      <w:r>
        <w:rPr>
          <w:rFonts w:ascii="Arial" w:cs="Arial" w:eastAsia="Arial" w:hAnsi="Arial"/>
          <w:sz w:val="17"/>
          <w:szCs w:val="17"/>
          <w:color w:val="FF0000"/>
          <w:strike w:val="1"/>
        </w:rPr>
        <w:t>that, so long as no Event of Default is continuing at such time, in the event of a repayment or prepayment of the Tranche-B-2 Term Loans in</w:t>
      </w:r>
      <w:r>
        <w:rPr>
          <w:rFonts w:ascii="Arial" w:cs="Arial" w:eastAsia="Arial" w:hAnsi="Arial"/>
          <w:sz w:val="17"/>
          <w:szCs w:val="17"/>
          <w:i w:val="1"/>
          <w:iCs w:val="1"/>
          <w:color w:val="FF0000"/>
          <w:strike w:val="1"/>
        </w:rPr>
        <w:t xml:space="preserve"> </w:t>
      </w:r>
      <w:r>
        <w:rPr>
          <w:rFonts w:ascii="Arial" w:cs="Arial" w:eastAsia="Arial" w:hAnsi="Arial"/>
          <w:sz w:val="17"/>
          <w:szCs w:val="17"/>
          <w:color w:val="FF0000"/>
          <w:strike w:val="1"/>
        </w:rPr>
        <w:t>full with the proceeds of a new financing facility prior to September 30, 2023, the Exit Fee shall be reduced to 1.00% of the aggregate principal amount of the Tranche B-2 Term Loans outstanding as of the Amendment No. 3 Effective Date. Without limiting the generality of the foregoing, it is understood and agreed that if the Tranche B-2 Term Loans are accelerated or otherwise become due prior to their maturity date, in each case, in respect of any Event of Default (including upon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208" w:name="page209"/>
    <w:bookmarkEnd w:id="208"/>
    <w:p>
      <w:pPr>
        <w:ind w:right="80"/>
        <w:spacing w:after="0" w:line="287"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 bankruptcy or insolvency event (including the acceleration of claims by operation of law)), the Exit Fee applicable with respect to a voluntary prepayment of the Tranche B-2 Term Loans will also be payable on the date of such acceleration or such other prior due date as though the Tranche B-2 Term Loans were voluntarily prepaid as of such date and shall constitute part of the Obligations, in view of the impracticability and extreme difficulty of ascertaining actual damages and by mutual agreement of the parties as to a reasonable calculation of each Term Lender’s loss as a result thereof. Any exit fee payable above shall be presumed to be the liquidated damages sustained by each Term Lender and the Borrower agrees that it is reasonable under the circumstances currently existing. THE BORROWER EXPRESSLY WAIVES (TO THE FULLEST EXTENT IT MAY LAWFULLY DO SO) THE PROVISIONS OF ANY PRESENT OR FUTURE STATUTE OR LAW THAT PROHIBITS OR MAY PROHIBIT THE COLLECTION OF THE EXIT FEE IN CONNECTION WITH ANY SUCH ACCELERATION. The Borrower expressly agrees (to the fullest extent it may lawfully do so) that: (A) the Exit Fee is reasonable and is the product of an arm’s length transaction between sophisticated business people, ably represented by counsel; (B) the Exit Fee shall be payable notwithstanding the then prevailing market rates at the time payment is made; (C) there has been a course of conduct between the Term Lenders and the Borrower giving specific consideration in this transaction for such agreement to pay the Exit Fee; and (D) the Borrower shall be estopped hereafter from claiming differently than as agreed to in this paragraph.</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Section 2.06.</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Section 2.06</w:t>
      </w:r>
      <w:r>
        <w:rPr>
          <w:rFonts w:ascii="Arial" w:cs="Arial" w:eastAsia="Arial" w:hAnsi="Arial"/>
          <w:sz w:val="18"/>
          <w:szCs w:val="18"/>
          <w:color w:val="FF0000"/>
        </w:rPr>
        <w:t xml:space="preserve"> </w:t>
      </w:r>
      <w:r>
        <w:rPr>
          <w:rFonts w:ascii="Arial" w:cs="Arial" w:eastAsia="Arial" w:hAnsi="Arial"/>
          <w:sz w:val="18"/>
          <w:szCs w:val="18"/>
          <w:i w:val="1"/>
          <w:iCs w:val="1"/>
          <w:color w:val="000000"/>
        </w:rPr>
        <w:t>Interest on Loans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23495</wp:posOffset>
            </wp:positionV>
            <wp:extent cx="60007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(a) Subject to the provisions of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the Loans </w:t>
      </w:r>
      <w:r>
        <w:rPr>
          <w:rFonts w:ascii="Arial" w:cs="Arial" w:eastAsia="Arial" w:hAnsi="Arial"/>
          <w:sz w:val="18"/>
          <w:szCs w:val="18"/>
          <w:color w:val="FF0000"/>
          <w:strike w:val="1"/>
        </w:rPr>
        <w:t>comprising each ABR Borrowing</w:t>
      </w:r>
      <w:r>
        <w:rPr>
          <w:rFonts w:ascii="Arial" w:cs="Arial" w:eastAsia="Arial" w:hAnsi="Arial"/>
          <w:sz w:val="18"/>
          <w:szCs w:val="18"/>
          <w:color w:val="auto"/>
        </w:rPr>
        <w:t xml:space="preserve"> shall bear interest (computed on the basis of the actual number of days elapsed over a year of 365 or 366 days, as the case may be, and calculated from and including the date of such Borrowing to but excluding the date of repayment thereof) at a rate per annum equal to the Alternate Base Rate plus the Applicable Margin. </w:t>
      </w:r>
      <w:r>
        <w:rPr>
          <w:rFonts w:ascii="Arial" w:cs="Arial" w:eastAsia="Arial" w:hAnsi="Arial"/>
          <w:sz w:val="18"/>
          <w:szCs w:val="18"/>
          <w:color w:val="0000FF"/>
        </w:rPr>
        <w:t>For the avoidance of doubt,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 date of payment shall be included in the calculation of fees 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-137795</wp:posOffset>
            </wp:positionV>
            <wp:extent cx="128587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-172085</wp:posOffset>
            </wp:positionV>
            <wp:extent cx="128841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88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35153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7"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FF0000"/>
          <w:strike w:val="1"/>
        </w:rPr>
        <w:t>Subject to the provisions of Section 2.07, the Loans comprising each SOFR Borrowing shall bear interest (computed on the basis of the</w:t>
      </w:r>
      <w:r>
        <w:rPr>
          <w:rFonts w:ascii="Arial" w:cs="Arial" w:eastAsia="Arial" w:hAnsi="Arial"/>
          <w:sz w:val="18"/>
          <w:szCs w:val="18"/>
          <w:color w:val="auto"/>
        </w:rPr>
        <w:t xml:space="preserve"> </w:t>
      </w:r>
      <w:r>
        <w:rPr>
          <w:rFonts w:ascii="Arial" w:cs="Arial" w:eastAsia="Arial" w:hAnsi="Arial"/>
          <w:sz w:val="18"/>
          <w:szCs w:val="18"/>
          <w:color w:val="FF0000"/>
          <w:strike w:val="1"/>
        </w:rPr>
        <w:t>actual number of days elapsed over a year of 360 days) at a rate per annum equal to Adjusted Term SOFR for the Interest Period in effect for such Borrowing plus the Applicable Margin.</w:t>
      </w:r>
      <w:r>
        <w:rPr>
          <w:rFonts w:ascii="Arial" w:cs="Arial" w:eastAsia="Arial" w:hAnsi="Arial"/>
          <w:sz w:val="18"/>
          <w:szCs w:val="18"/>
          <w:u w:val="single" w:color="auto"/>
          <w:color w:val="0000FF"/>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-2540</wp:posOffset>
            </wp:positionV>
            <wp:extent cx="52260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64" w:lineRule="exact"/>
        <w:rPr>
          <w:sz w:val="20"/>
          <w:szCs w:val="20"/>
          <w:color w:val="auto"/>
        </w:rPr>
      </w:pPr>
    </w:p>
    <w:p>
      <w:pPr>
        <w:jc w:val="both"/>
        <w:ind w:right="220" w:firstLine="440"/>
        <w:spacing w:after="0" w:line="286" w:lineRule="auto"/>
        <w:rPr>
          <w:sz w:val="20"/>
          <w:szCs w:val="20"/>
          <w:color w:val="auto"/>
        </w:rPr>
      </w:pPr>
      <w:r>
        <w:rPr>
          <w:rFonts w:ascii="Arial" w:cs="Arial" w:eastAsia="Arial" w:hAnsi="Arial"/>
          <w:sz w:val="17"/>
          <w:szCs w:val="17"/>
          <w:color w:val="auto"/>
        </w:rPr>
        <w:t xml:space="preserve">(c) Interest on each Loan shall be payable </w:t>
      </w:r>
      <w:r>
        <w:rPr>
          <w:rFonts w:ascii="Arial" w:cs="Arial" w:eastAsia="Arial" w:hAnsi="Arial"/>
          <w:sz w:val="17"/>
          <w:szCs w:val="17"/>
          <w:u w:val="single" w:color="auto"/>
          <w:color w:val="0000FF"/>
        </w:rPr>
        <w:t>in cash</w:t>
      </w:r>
      <w:r>
        <w:rPr>
          <w:rFonts w:ascii="Arial" w:cs="Arial" w:eastAsia="Arial" w:hAnsi="Arial"/>
          <w:sz w:val="17"/>
          <w:szCs w:val="17"/>
          <w:color w:val="auto"/>
        </w:rPr>
        <w:t xml:space="preserve"> on the Interest Payment Dates applicable to such Loan except as otherwise provided in this Agreement. The applicable Alternate Base Rate </w:t>
      </w:r>
      <w:r>
        <w:rPr>
          <w:rFonts w:ascii="Arial" w:cs="Arial" w:eastAsia="Arial" w:hAnsi="Arial"/>
          <w:sz w:val="17"/>
          <w:szCs w:val="17"/>
          <w:color w:val="FF0000"/>
          <w:strike w:val="1"/>
        </w:rPr>
        <w:t>or Adjusted Term SOFR for each Interest Period or day within an Interest Period, as the case may be,</w:t>
      </w:r>
      <w:r>
        <w:rPr>
          <w:rFonts w:ascii="Arial" w:cs="Arial" w:eastAsia="Arial" w:hAnsi="Arial"/>
          <w:sz w:val="17"/>
          <w:szCs w:val="17"/>
          <w:color w:val="auto"/>
        </w:rPr>
        <w:t xml:space="preserve"> shall be determined by the Administrative 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-288290</wp:posOffset>
            </wp:positionV>
            <wp:extent cx="3511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45" w:lineRule="exact"/>
        <w:rPr>
          <w:sz w:val="20"/>
          <w:szCs w:val="20"/>
          <w:color w:val="auto"/>
        </w:rPr>
      </w:pPr>
    </w:p>
    <w:p>
      <w:pPr>
        <w:ind w:left="700" w:hanging="264"/>
        <w:spacing w:after="0"/>
        <w:tabs>
          <w:tab w:leader="none" w:pos="700" w:val="left"/>
        </w:tabs>
        <w:numPr>
          <w:ilvl w:val="0"/>
          <w:numId w:val="126"/>
        </w:numPr>
        <w:rPr>
          <w:rFonts w:ascii="Arial" w:cs="Arial" w:eastAsia="Arial" w:hAnsi="Arial"/>
          <w:sz w:val="18"/>
          <w:szCs w:val="18"/>
          <w:color w:val="FF0000"/>
          <w:strike w:val="1"/>
        </w:rPr>
      </w:pPr>
      <w:r>
        <w:rPr>
          <w:rFonts w:ascii="Arial" w:cs="Arial" w:eastAsia="Arial" w:hAnsi="Arial"/>
          <w:sz w:val="18"/>
          <w:szCs w:val="18"/>
          <w:color w:val="FF0000"/>
          <w:strike w:val="1"/>
        </w:rPr>
        <w:t>Notwithstanding anything to the contrary in this Section 2.06,</w:t>
      </w:r>
    </w:p>
    <w:p>
      <w:pPr>
        <w:spacing w:after="0" w:line="117" w:lineRule="exact"/>
        <w:rPr>
          <w:rFonts w:ascii="Arial" w:cs="Arial" w:eastAsia="Arial" w:hAnsi="Arial"/>
          <w:sz w:val="18"/>
          <w:szCs w:val="18"/>
          <w:color w:val="FF0000"/>
          <w:strike w:val="1"/>
        </w:rPr>
      </w:pPr>
    </w:p>
    <w:p>
      <w:pPr>
        <w:jc w:val="both"/>
        <w:ind w:left="1420" w:firstLine="391"/>
        <w:spacing w:after="0" w:line="263" w:lineRule="auto"/>
        <w:tabs>
          <w:tab w:leader="none" w:pos="2018" w:val="left"/>
        </w:tabs>
        <w:numPr>
          <w:ilvl w:val="1"/>
          <w:numId w:val="126"/>
        </w:numPr>
        <w:rPr>
          <w:rFonts w:ascii="Arial" w:cs="Arial" w:eastAsia="Arial" w:hAnsi="Arial"/>
          <w:sz w:val="18"/>
          <w:szCs w:val="18"/>
          <w:color w:val="FF0000"/>
          <w:strike w:val="1"/>
        </w:rPr>
      </w:pPr>
      <w:r>
        <w:rPr>
          <w:rFonts w:ascii="Arial" w:cs="Arial" w:eastAsia="Arial" w:hAnsi="Arial"/>
          <w:sz w:val="18"/>
          <w:szCs w:val="18"/>
          <w:color w:val="auto"/>
        </w:rPr>
        <w:t> </w:t>
      </w:r>
      <w:r>
        <w:rPr>
          <w:rFonts w:ascii="Arial" w:cs="Arial" w:eastAsia="Arial" w:hAnsi="Arial"/>
          <w:sz w:val="18"/>
          <w:szCs w:val="18"/>
          <w:color w:val="FF0000"/>
          <w:strike w:val="1"/>
        </w:rPr>
        <w:t>on the Amendment No. 1 Effective Date and each Interest Payment Date during the PIK Period, the Borrower shall pay a</w:t>
      </w:r>
      <w:r>
        <w:rPr>
          <w:rFonts w:ascii="Arial" w:cs="Arial" w:eastAsia="Arial" w:hAnsi="Arial"/>
          <w:sz w:val="18"/>
          <w:szCs w:val="18"/>
          <w:color w:val="auto"/>
        </w:rPr>
        <w:t xml:space="preserve"> </w:t>
      </w:r>
      <w:r>
        <w:rPr>
          <w:rFonts w:ascii="Arial" w:cs="Arial" w:eastAsia="Arial" w:hAnsi="Arial"/>
          <w:sz w:val="18"/>
          <w:szCs w:val="18"/>
          <w:color w:val="FF0000"/>
          <w:strike w:val="1"/>
        </w:rPr>
        <w:t>portion of the interest due on each such date in cash in an amount equal to interest at a rate per annum equal to one percent (1%) (the “</w:t>
      </w:r>
      <w:r>
        <w:rPr>
          <w:rFonts w:ascii="Arial" w:cs="Arial" w:eastAsia="Arial" w:hAnsi="Arial"/>
          <w:sz w:val="18"/>
          <w:szCs w:val="18"/>
          <w:b w:val="1"/>
          <w:bCs w:val="1"/>
          <w:color w:val="FF0000"/>
          <w:strike w:val="1"/>
        </w:rPr>
        <w:t>Cash Interest Portion</w:t>
      </w:r>
      <w:r>
        <w:rPr>
          <w:rFonts w:ascii="Arial" w:cs="Arial" w:eastAsia="Arial" w:hAnsi="Arial"/>
          <w:sz w:val="18"/>
          <w:szCs w:val="18"/>
          <w:color w:val="FF0000"/>
          <w:strike w:val="1"/>
        </w:rPr>
        <w:t>”); and</w:t>
      </w:r>
    </w:p>
    <w:p>
      <w:pPr>
        <w:spacing w:after="0" w:line="76" w:lineRule="exact"/>
        <w:rPr>
          <w:sz w:val="20"/>
          <w:szCs w:val="20"/>
          <w:color w:val="auto"/>
        </w:rPr>
      </w:pPr>
    </w:p>
    <w:p>
      <w:pPr>
        <w:ind w:left="1420" w:right="180" w:firstLine="383"/>
        <w:spacing w:after="0" w:line="263" w:lineRule="auto"/>
        <w:rPr>
          <w:sz w:val="20"/>
          <w:szCs w:val="20"/>
          <w:color w:val="auto"/>
        </w:rPr>
      </w:pPr>
      <w:r>
        <w:rPr>
          <w:rFonts w:ascii="Arial" w:cs="Arial" w:eastAsia="Arial" w:hAnsi="Arial"/>
          <w:sz w:val="18"/>
          <w:szCs w:val="18"/>
          <w:color w:val="FF0000"/>
          <w:strike w:val="1"/>
        </w:rPr>
        <w:t>(ii) all accrued but unpaid interest as of the Amendment No. 1 Effective Date (including all accrued and unpaid interest during the Interest Period that commenced on December 31, 2019 and ending on March 31, 2020) and all interest payable on each Interest Payment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4" w:right="479" w:bottom="1440" w:gutter="0" w:footer="0" w:header="0"/>
        </w:sectPr>
      </w:pPr>
    </w:p>
    <w:bookmarkStart w:id="209" w:name="page210"/>
    <w:bookmarkEnd w:id="209"/>
    <w:p>
      <w:pPr>
        <w:ind w:left="1420" w:right="20"/>
        <w:spacing w:after="0" w:line="288"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PIK Period (other than the Cash Interest Portion which is due and payable on each such Interest Payment Date) accruing during the period commencing on the Amendment No. 1 Effective Date and ending on June 30, 2020 (such period, the “</w:t>
      </w:r>
      <w:r>
        <w:rPr>
          <w:rFonts w:ascii="Arial" w:cs="Arial" w:eastAsia="Arial" w:hAnsi="Arial"/>
          <w:sz w:val="16"/>
          <w:szCs w:val="16"/>
          <w:b w:val="1"/>
          <w:bCs w:val="1"/>
          <w:color w:val="FF0000"/>
          <w:strike w:val="1"/>
        </w:rPr>
        <w:t>PIK</w:t>
      </w:r>
      <w:r>
        <w:rPr>
          <w:rFonts w:ascii="Arial" w:cs="Arial" w:eastAsia="Arial" w:hAnsi="Arial"/>
          <w:sz w:val="16"/>
          <w:szCs w:val="16"/>
          <w:color w:val="FF0000"/>
          <w:strike w:val="1"/>
        </w:rPr>
        <w:t xml:space="preserve"> </w:t>
      </w:r>
      <w:r>
        <w:rPr>
          <w:rFonts w:ascii="Arial" w:cs="Arial" w:eastAsia="Arial" w:hAnsi="Arial"/>
          <w:sz w:val="16"/>
          <w:szCs w:val="16"/>
          <w:b w:val="1"/>
          <w:bCs w:val="1"/>
          <w:color w:val="FF0000"/>
          <w:strike w:val="1"/>
        </w:rPr>
        <w:t>Period</w:t>
      </w:r>
      <w:r>
        <w:rPr>
          <w:rFonts w:ascii="Arial" w:cs="Arial" w:eastAsia="Arial" w:hAnsi="Arial"/>
          <w:sz w:val="16"/>
          <w:szCs w:val="16"/>
          <w:color w:val="FF0000"/>
          <w:strike w:val="1"/>
        </w:rPr>
        <w:t>”), with respect to any ABR Term Loan or SOFR Term Loan, shall be payable in kind, with such interest amount being</w:t>
      </w:r>
      <w:r>
        <w:rPr>
          <w:rFonts w:ascii="Arial" w:cs="Arial" w:eastAsia="Arial" w:hAnsi="Arial"/>
          <w:sz w:val="16"/>
          <w:szCs w:val="16"/>
          <w:b w:val="1"/>
          <w:bCs w:val="1"/>
          <w:color w:val="FF0000"/>
          <w:strike w:val="1"/>
        </w:rPr>
        <w:t xml:space="preserve"> </w:t>
      </w:r>
      <w:r>
        <w:rPr>
          <w:rFonts w:ascii="Arial" w:cs="Arial" w:eastAsia="Arial" w:hAnsi="Arial"/>
          <w:sz w:val="16"/>
          <w:szCs w:val="16"/>
          <w:color w:val="FF0000"/>
          <w:strike w:val="1"/>
        </w:rPr>
        <w:t>automatically added to, and made part of, the outstanding principal amount of Loans in the case of (x) accrued but unpaid interest as of the Amendment No. 1 Effective Date, on the Amendment No. 1 Effective Date, and (y) interest payable on each Interest Payment Date during the PIK Period, on such date (all interest payable in kind pursuant to this Agreement, “</w:t>
      </w:r>
      <w:r>
        <w:rPr>
          <w:rFonts w:ascii="Arial" w:cs="Arial" w:eastAsia="Arial" w:hAnsi="Arial"/>
          <w:sz w:val="16"/>
          <w:szCs w:val="16"/>
          <w:b w:val="1"/>
          <w:bCs w:val="1"/>
          <w:color w:val="FF0000"/>
          <w:strike w:val="1"/>
        </w:rPr>
        <w:t>PIK Interest</w:t>
      </w:r>
      <w:r>
        <w:rPr>
          <w:rFonts w:ascii="Arial" w:cs="Arial" w:eastAsia="Arial" w:hAnsi="Arial"/>
          <w:sz w:val="16"/>
          <w:szCs w:val="16"/>
          <w:color w:val="FF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with respect to any such payment of PIK Interest pursuant to this clause (d), the then Applicable Margin in respect of such accrued and unpaid interest shall be increased by an additional amount of basis points such that the all-in interest rate for each such Borrowing, inclusive of Adjusted Term SOFR for such Interest Period then in effect or the Alternate Base Rate, as applicable, is equal to thirteen percent (13.00%) per annum, which increase shall also be paid in the form of PIK Interest.</w:t>
      </w:r>
    </w:p>
    <w:p>
      <w:pPr>
        <w:spacing w:after="0" w:line="60" w:lineRule="exact"/>
        <w:rPr>
          <w:sz w:val="20"/>
          <w:szCs w:val="20"/>
          <w:color w:val="auto"/>
        </w:rPr>
      </w:pPr>
    </w:p>
    <w:p>
      <w:pPr>
        <w:ind w:left="1420" w:right="20" w:firstLine="383"/>
        <w:spacing w:after="0" w:line="263" w:lineRule="auto"/>
        <w:rPr>
          <w:sz w:val="20"/>
          <w:szCs w:val="20"/>
          <w:color w:val="auto"/>
        </w:rPr>
      </w:pPr>
      <w:r>
        <w:rPr>
          <w:rFonts w:ascii="Arial" w:cs="Arial" w:eastAsia="Arial" w:hAnsi="Arial"/>
          <w:sz w:val="18"/>
          <w:szCs w:val="18"/>
          <w:color w:val="FF0000"/>
          <w:strike w:val="1"/>
        </w:rPr>
        <w:t>Unless the context otherwise requires, for all purposes under this Agreement, references to the “principal” and the “principal amount” of any Term Loans include any increase in the principal amount thereof due to the addition of PIK Interest thereto pursuant to this clause (d). All interest payable after June 30, 2020 shall be payable in cash.</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FF0000"/>
          <w:strike w:val="1"/>
        </w:rPr>
        <w:t>Section 2.10.</w:t>
      </w:r>
      <w:r>
        <w:rPr>
          <w:rFonts w:ascii="Arial" w:cs="Arial" w:eastAsia="Arial" w:hAnsi="Arial"/>
          <w:sz w:val="16"/>
          <w:szCs w:val="16"/>
          <w:color w:val="FF0000"/>
        </w:rPr>
        <w:t xml:space="preserve"> </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Section 2.07.</w:t>
      </w:r>
      <w:r>
        <w:rPr>
          <w:rFonts w:ascii="Arial" w:cs="Arial" w:eastAsia="Arial" w:hAnsi="Arial"/>
          <w:sz w:val="16"/>
          <w:szCs w:val="16"/>
          <w:color w:val="FF0000"/>
        </w:rPr>
        <w:t xml:space="preserve"> </w:t>
      </w:r>
      <w:r>
        <w:rPr>
          <w:rFonts w:ascii="Arial" w:cs="Arial" w:eastAsia="Arial" w:hAnsi="Arial"/>
          <w:sz w:val="16"/>
          <w:szCs w:val="16"/>
          <w:i w:val="1"/>
          <w:iCs w:val="1"/>
          <w:color w:val="000000"/>
        </w:rPr>
        <w:t>Default Interest.</w:t>
      </w:r>
      <w:r>
        <w:rPr>
          <w:rFonts w:ascii="Arial" w:cs="Arial" w:eastAsia="Arial" w:hAnsi="Arial"/>
          <w:sz w:val="16"/>
          <w:szCs w:val="16"/>
          <w:color w:val="FF0000"/>
        </w:rPr>
        <w:t xml:space="preserve"> </w:t>
      </w:r>
      <w:r>
        <w:rPr>
          <w:rFonts w:ascii="Arial" w:cs="Arial" w:eastAsia="Arial" w:hAnsi="Arial"/>
          <w:sz w:val="16"/>
          <w:szCs w:val="16"/>
          <w:color w:val="000000"/>
        </w:rPr>
        <w:t>Automatically from and after the occurrence and during the continuance of an Event of Default</w:t>
      </w:r>
      <w:r>
        <w:rPr>
          <w:rFonts w:ascii="Arial" w:cs="Arial" w:eastAsia="Arial" w:hAnsi="Arial"/>
          <w:sz w:val="16"/>
          <w:szCs w:val="16"/>
          <w:color w:val="FF0000"/>
        </w:rPr>
        <w:t xml:space="preserve"> </w:t>
      </w:r>
      <w:r>
        <w:rPr>
          <w:rFonts w:ascii="Arial" w:cs="Arial" w:eastAsia="Arial" w:hAnsi="Arial"/>
          <w:sz w:val="16"/>
          <w:szCs w:val="16"/>
          <w:color w:val="FF0000"/>
          <w:strike w:val="1"/>
        </w:rPr>
        <w:t>under Section 8.01(a), (f) or (g) or at the election of the Required Lenders during the continuance of any other Event of Default,</w:t>
      </w:r>
      <w:r>
        <w:rPr>
          <w:rFonts w:ascii="Arial" w:cs="Arial" w:eastAsia="Arial" w:hAnsi="Arial"/>
          <w:sz w:val="16"/>
          <w:szCs w:val="16"/>
          <w:u w:val="single" w:color="auto"/>
          <w:color w:val="0000FF"/>
          <w:strike w:val="1"/>
        </w:rPr>
        <w:t>(excluding the Existing</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Defaults),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the principal amount of all</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New Money Postpetition Term</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Loans outstanding and, to the extent permitted by applicable law, any interest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payments on the </w:t>
      </w:r>
      <w:r>
        <w:rPr>
          <w:rFonts w:ascii="Arial" w:cs="Arial" w:eastAsia="Arial" w:hAnsi="Arial"/>
          <w:sz w:val="16"/>
          <w:szCs w:val="16"/>
          <w:u w:val="single" w:color="auto"/>
          <w:color w:val="0000FF"/>
          <w:strike w:val="1"/>
        </w:rPr>
        <w:t>New Money Postpetition Term</w:t>
      </w:r>
      <w:r>
        <w:rPr>
          <w:rFonts w:ascii="Arial" w:cs="Arial" w:eastAsia="Arial" w:hAnsi="Arial"/>
          <w:sz w:val="16"/>
          <w:szCs w:val="16"/>
          <w:color w:val="000000"/>
          <w:strike w:val="1"/>
        </w:rPr>
        <w:t xml:space="preserve"> Loans or any fees or other amounts owed hereunder, shall thereafter, after as well as before judgment, bear interest (including post-petition interest in any proceeding under Debtor Relief Laws) payable on written demand at a rate that is 2.0% per annum in excess of the interest rate otherwise payable hereunder with respect to the applicable </w:t>
      </w:r>
      <w:r>
        <w:rPr>
          <w:rFonts w:ascii="Arial" w:cs="Arial" w:eastAsia="Arial" w:hAnsi="Arial"/>
          <w:sz w:val="16"/>
          <w:szCs w:val="16"/>
          <w:u w:val="single" w:color="auto"/>
          <w:color w:val="0000FF"/>
          <w:strike w:val="1"/>
        </w:rPr>
        <w:t>New Money Postpetition Term</w:t>
      </w:r>
      <w:r>
        <w:rPr>
          <w:rFonts w:ascii="Arial" w:cs="Arial" w:eastAsia="Arial" w:hAnsi="Arial"/>
          <w:sz w:val="16"/>
          <w:szCs w:val="16"/>
          <w:color w:val="000000"/>
          <w:strike w:val="1"/>
        </w:rPr>
        <w:t xml:space="preserve"> Loans (or, in the case of any such fees and other amounts, at a rate which is 2.0% per annum in excess of the interest rate otherwise payable hereunder </w:t>
      </w:r>
      <w:r>
        <w:rPr>
          <w:rFonts w:ascii="Arial" w:cs="Arial" w:eastAsia="Arial" w:hAnsi="Arial"/>
          <w:sz w:val="16"/>
          <w:szCs w:val="16"/>
          <w:color w:val="FF0000"/>
          <w:strike w:val="1"/>
        </w:rPr>
        <w:t>for ABR Loans);</w:t>
      </w:r>
      <w:r>
        <w:rPr>
          <w:rFonts w:ascii="Arial" w:cs="Arial" w:eastAsia="Arial" w:hAnsi="Arial"/>
          <w:sz w:val="16"/>
          <w:szCs w:val="16"/>
          <w:color w:val="00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that in</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the case of SOFR Term Loans, upon the expiration of the Interest Period in effect at the time any such increase in interest rate is effective, if such SOFR Loans shall become ABR Loans in accordance with Section 2.10(e), such Loans shall thereafter bear interest payable upon written demand at a rate which is 2.0% per annum in excess of the interest rate otherwise payable hereunder for ABR Loans.</w:t>
      </w:r>
      <w:r>
        <w:rPr>
          <w:rFonts w:ascii="Arial" w:cs="Arial" w:eastAsia="Arial" w:hAnsi="Arial"/>
          <w:sz w:val="16"/>
          <w:szCs w:val="16"/>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-1246505</wp:posOffset>
            </wp:positionV>
            <wp:extent cx="63436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-1109345</wp:posOffset>
            </wp:positionV>
            <wp:extent cx="10629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-972185</wp:posOffset>
            </wp:positionV>
            <wp:extent cx="45402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-972185</wp:posOffset>
            </wp:positionV>
            <wp:extent cx="141478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-835025</wp:posOffset>
            </wp:positionV>
            <wp:extent cx="1405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-560705</wp:posOffset>
            </wp:positionV>
            <wp:extent cx="1405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-12065</wp:posOffset>
            </wp:positionV>
            <wp:extent cx="6858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2.08 </w:t>
      </w:r>
      <w:r>
        <w:rPr>
          <w:rFonts w:ascii="Arial" w:cs="Arial" w:eastAsia="Arial" w:hAnsi="Arial"/>
          <w:sz w:val="18"/>
          <w:szCs w:val="18"/>
          <w:i w:val="1"/>
          <w:iCs w:val="1"/>
          <w:color w:val="FF0000"/>
          <w:strike w:val="1"/>
        </w:rPr>
        <w:t>Alternate Rate of Interest</w:t>
      </w:r>
      <w:r>
        <w:rPr>
          <w:rFonts w:ascii="Arial" w:cs="Arial" w:eastAsia="Arial" w:hAnsi="Arial"/>
          <w:sz w:val="18"/>
          <w:szCs w:val="18"/>
          <w:i w:val="1"/>
          <w:iCs w:val="1"/>
          <w:u w:val="single" w:color="auto"/>
          <w:color w:val="0000FF"/>
        </w:rPr>
        <w:t>[Reserved]</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0546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Subject to clauses (b), (c), (d), (e) and (f) of this Section 2.08:</w:t>
      </w:r>
    </w:p>
    <w:p>
      <w:pPr>
        <w:spacing w:after="0" w:line="131" w:lineRule="exact"/>
        <w:rPr>
          <w:sz w:val="20"/>
          <w:szCs w:val="20"/>
          <w:color w:val="auto"/>
        </w:rPr>
      </w:pPr>
    </w:p>
    <w:p>
      <w:pPr>
        <w:ind w:left="2400" w:right="40" w:hanging="649"/>
        <w:spacing w:after="0" w:line="279" w:lineRule="auto"/>
        <w:tabs>
          <w:tab w:leader="none" w:pos="2400" w:val="left"/>
        </w:tabs>
        <w:numPr>
          <w:ilvl w:val="0"/>
          <w:numId w:val="127"/>
        </w:numPr>
        <w:rPr>
          <w:rFonts w:ascii="Arial" w:cs="Arial" w:eastAsia="Arial" w:hAnsi="Arial"/>
          <w:sz w:val="17"/>
          <w:szCs w:val="17"/>
          <w:color w:val="FF0000"/>
          <w:strike w:val="1"/>
        </w:rPr>
      </w:pPr>
      <w:r>
        <w:rPr>
          <w:rFonts w:ascii="Arial" w:cs="Arial" w:eastAsia="Arial" w:hAnsi="Arial"/>
          <w:sz w:val="17"/>
          <w:szCs w:val="17"/>
          <w:color w:val="FF0000"/>
          <w:strike w:val="1"/>
        </w:rPr>
        <w:t>if the Administrative Agent reasonably determines (which determination shall be conclusive absent manifest error) prior to the commencement of any Interest Period for a SOFR Loan, that adequate and reasonable means do not exist for ascertaining the Adjusted Term SOFR or the Term SOFR (including because the Term SOFR Reference Rate is not available or published on a current basis) for such Interest Period;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210" w:name="page211"/>
    <w:bookmarkEnd w:id="210"/>
    <w:p>
      <w:pPr>
        <w:ind w:left="2404" w:hanging="649"/>
        <w:spacing w:after="0" w:line="311" w:lineRule="auto"/>
        <w:tabs>
          <w:tab w:leader="none" w:pos="2404" w:val="left"/>
        </w:tabs>
        <w:numPr>
          <w:ilvl w:val="0"/>
          <w:numId w:val="128"/>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is advised by the Required Lenders that prior to the commencement of any Interest Period for a SOFR Loan, the Adjusted Term SOFR for such Interest Period will not adequately and fairly reflect the cost to such Lenders of making or maintaining their Loans (or its Loan) included in such Loan for such Interest Period;</w:t>
      </w:r>
    </w:p>
    <w:p>
      <w:pPr>
        <w:spacing w:after="0" w:line="41" w:lineRule="exact"/>
        <w:rPr>
          <w:sz w:val="20"/>
          <w:szCs w:val="20"/>
          <w:color w:val="auto"/>
        </w:rPr>
      </w:pPr>
    </w:p>
    <w:p>
      <w:pPr>
        <w:ind w:left="444" w:right="160"/>
        <w:spacing w:after="0" w:line="290" w:lineRule="auto"/>
        <w:rPr>
          <w:sz w:val="20"/>
          <w:szCs w:val="20"/>
          <w:color w:val="auto"/>
        </w:rPr>
      </w:pPr>
      <w:r>
        <w:rPr>
          <w:rFonts w:ascii="Arial" w:cs="Arial" w:eastAsia="Arial" w:hAnsi="Arial"/>
          <w:sz w:val="16"/>
          <w:szCs w:val="16"/>
          <w:color w:val="FF0000"/>
          <w:strike w:val="1"/>
        </w:rPr>
        <w:t>then the Administrative Agent shall give notice thereof to the Borrower and the Lenders in accordance with Section 10.01 as promptly as practicable thereafter and, until the Administrative Agent notifies the Borrower and the Lenders that the circumstances giving rise to such notice no longer exist, any notice of conversion or continuation that requests the conversion of any Loans to or continuation of any Loans as, a SOFR Loan shall be ineffective. Furthermore, if any SOFR Loan is outstanding on the date of the Borrower’s receipt of the notice from the Administrative Agent referred to in this Section 2.08(a), then until (x) the Administrative Agent notifies the Borrower and the Lenders that the circumstances giving rise to such notice no longer exist and (y) the Borrower delivers a new notice of conversion or continuation in accordance with the terms of Section 2.10, any SOFR Loans shall on the last day of the Interest Period applicable to such Loan (or the next succeeding Business Day if such day is not a Business Day), be converted by the Administrative Agent to, and shall constitute, ABR Loans.</w:t>
      </w:r>
    </w:p>
    <w:p>
      <w:pPr>
        <w:spacing w:after="0" w:line="165"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FF0000"/>
          <w:strike w:val="1"/>
        </w:rPr>
        <w:t>(b) Benchmark Replacement. Notwithstanding anything to the contrary herein or in any other Loan Document,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 unless the Administrative Agent and the Borrower elect monthly payments.</w:t>
      </w:r>
    </w:p>
    <w:p>
      <w:pPr>
        <w:spacing w:after="0" w:line="168" w:lineRule="exact"/>
        <w:rPr>
          <w:sz w:val="20"/>
          <w:szCs w:val="20"/>
          <w:color w:val="auto"/>
        </w:rPr>
      </w:pPr>
    </w:p>
    <w:p>
      <w:pPr>
        <w:ind w:left="4" w:right="140" w:firstLine="991"/>
        <w:spacing w:after="0" w:line="257" w:lineRule="auto"/>
        <w:rPr>
          <w:sz w:val="20"/>
          <w:szCs w:val="20"/>
          <w:color w:val="auto"/>
        </w:rPr>
      </w:pPr>
      <w:r>
        <w:rPr>
          <w:rFonts w:ascii="Arial" w:cs="Arial" w:eastAsia="Arial" w:hAnsi="Arial"/>
          <w:sz w:val="18"/>
          <w:szCs w:val="18"/>
          <w:color w:val="FF0000"/>
          <w:strike w:val="1"/>
        </w:rPr>
        <w:t>(c) Benchmark Replacement Conforming Changes. Notwithstanding anything to the contrary herein or in any other Loan Document,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6"/>
          <w:szCs w:val="16"/>
          <w:color w:val="FF0000"/>
          <w:strike w:val="1"/>
        </w:rPr>
        <w:t>(d)</w:t>
      </w:r>
      <w:r>
        <w:rPr>
          <w:rFonts w:ascii="Arial" w:cs="Arial" w:eastAsia="Arial" w:hAnsi="Arial"/>
          <w:sz w:val="16"/>
          <w:szCs w:val="16"/>
          <w:color w:val="000000"/>
        </w:rPr>
        <w:t xml:space="preserve"> </w:t>
      </w:r>
      <w:r>
        <w:rPr>
          <w:rFonts w:ascii="Arial" w:cs="Arial" w:eastAsia="Arial" w:hAnsi="Arial"/>
          <w:sz w:val="16"/>
          <w:szCs w:val="16"/>
          <w:color w:val="FF0000"/>
          <w:strike w:val="1"/>
        </w:rPr>
        <w:t>Notice; Standards for Decisions and Determinations. The Administrative Agent will promptly notify the Borrower and the Lenders of</w:t>
      </w:r>
    </w:p>
    <w:p>
      <w:pPr>
        <w:spacing w:after="0" w:line="46" w:lineRule="exact"/>
        <w:rPr>
          <w:sz w:val="20"/>
          <w:szCs w:val="20"/>
          <w:color w:val="auto"/>
        </w:rPr>
      </w:pPr>
    </w:p>
    <w:p>
      <w:pPr>
        <w:ind w:left="5424" w:right="1060" w:hanging="5424"/>
        <w:spacing w:after="0" w:line="433" w:lineRule="auto"/>
        <w:tabs>
          <w:tab w:leader="none" w:pos="301" w:val="left"/>
        </w:tabs>
        <w:numPr>
          <w:ilvl w:val="0"/>
          <w:numId w:val="129"/>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implementation of any Benchmark Replacement and (B) the effectiveness of any Conforming Changes in connection with the use, </w:t>
      </w:r>
      <w:r>
        <w:rPr>
          <w:rFonts w:ascii="Arial" w:cs="Arial" w:eastAsia="Arial" w:hAnsi="Arial"/>
          <w:sz w:val="18"/>
          <w:szCs w:val="18"/>
          <w:color w:val="000000"/>
          <w:strike w:val="1"/>
        </w:rPr>
        <w:t>77</w:t>
      </w:r>
    </w:p>
    <w:p>
      <w:pPr>
        <w:sectPr>
          <w:pgSz w:w="11900" w:h="16838" w:orient="portrait"/>
          <w:cols w:equalWidth="0" w:num="1">
            <w:col w:w="11004"/>
          </w:cols>
          <w:pgMar w:left="436" w:top="274" w:right="459" w:bottom="1440" w:gutter="0" w:footer="0" w:header="0"/>
        </w:sectPr>
      </w:pPr>
    </w:p>
    <w:bookmarkStart w:id="211" w:name="page212"/>
    <w:bookmarkEnd w:id="211"/>
    <w:p>
      <w:pPr>
        <w:spacing w:after="0" w:line="254"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adoption or implementation of a Benchmark Replacement. The Administrative Agent will promptly notify the Borrower of (A) the removal or reinstatement of any tenor of a Benchmark pursuant to this Section 2.08 and (B) the commencement of any Benchmark Unavailability Period. Any determination, decision or election that may be made by the Administrative Agent or, if applicable, the Borrower or any Lender (or group of Lenders) pursuant to this Section 2.08,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2.08.</w:t>
      </w:r>
    </w:p>
    <w:p>
      <w:pPr>
        <w:spacing w:after="0" w:line="19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FF0000"/>
          <w:strike w:val="1"/>
        </w:rPr>
        <w:t>(e)</w:t>
      </w:r>
      <w:r>
        <w:rPr>
          <w:rFonts w:ascii="Arial" w:cs="Arial" w:eastAsia="Arial" w:hAnsi="Arial"/>
          <w:sz w:val="17"/>
          <w:szCs w:val="17"/>
          <w:color w:val="000000"/>
        </w:rPr>
        <w:t xml:space="preserve"> </w:t>
      </w:r>
      <w:r>
        <w:rPr>
          <w:rFonts w:ascii="Arial" w:cs="Arial" w:eastAsia="Arial" w:hAnsi="Arial"/>
          <w:sz w:val="17"/>
          <w:szCs w:val="17"/>
          <w:color w:val="FF0000"/>
          <w:strike w:val="1"/>
        </w:rPr>
        <w:t>Unavailability of Tenor of Benchmark. At any time (including in connection with the implementation of a Benchmark Replacement) (A) if</w:t>
      </w:r>
      <w:r>
        <w:rPr>
          <w:rFonts w:ascii="Arial" w:cs="Arial" w:eastAsia="Arial" w:hAnsi="Arial"/>
          <w:sz w:val="17"/>
          <w:szCs w:val="17"/>
          <w:color w:val="FF0000"/>
        </w:rPr>
        <w:t xml:space="preserve"> </w:t>
      </w:r>
      <w:r>
        <w:rPr>
          <w:rFonts w:ascii="Arial" w:cs="Arial" w:eastAsia="Arial" w:hAnsi="Arial"/>
          <w:sz w:val="17"/>
          <w:szCs w:val="17"/>
          <w:color w:val="FF0000"/>
          <w:strike w:val="1"/>
        </w:rPr>
        <w:t>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in consultation with Borrower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in consultation with the Borrower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will not be representative or in compliance with or aligned with the International Organization of Securities Commissions (IOSCO) Principles for Financial Benchmarks for a Benchmark (including a Benchmark Replacement), then the Administrative Agent in consultation with the Borrower may modify the definition of “Interest Period” (or any similar or analogous definition) for all Benchmark settings at or after such time to reinstate such previously removed tenor.</w:t>
      </w:r>
    </w:p>
    <w:p>
      <w:pPr>
        <w:spacing w:after="0" w:line="186"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FF0000"/>
          <w:strike w:val="1"/>
        </w:rPr>
        <w:t>(f)</w:t>
      </w:r>
      <w:r>
        <w:rPr>
          <w:rFonts w:ascii="Arial" w:cs="Arial" w:eastAsia="Arial" w:hAnsi="Arial"/>
          <w:sz w:val="17"/>
          <w:szCs w:val="17"/>
          <w:color w:val="000000"/>
        </w:rPr>
        <w:t xml:space="preserve">  </w:t>
      </w:r>
      <w:r>
        <w:rPr>
          <w:rFonts w:ascii="Arial" w:cs="Arial" w:eastAsia="Arial" w:hAnsi="Arial"/>
          <w:sz w:val="17"/>
          <w:szCs w:val="17"/>
          <w:color w:val="FF0000"/>
          <w:strike w:val="1"/>
        </w:rPr>
        <w:t>Benchmark Unavailability Period. Upon the Borrower’s receipt of notice of the commencement of a Benchmark Unavailability Period, the</w:t>
      </w:r>
      <w:r>
        <w:rPr>
          <w:rFonts w:ascii="Arial" w:cs="Arial" w:eastAsia="Arial" w:hAnsi="Arial"/>
          <w:sz w:val="17"/>
          <w:szCs w:val="17"/>
          <w:color w:val="FF0000"/>
        </w:rPr>
        <w:t xml:space="preserve"> </w:t>
      </w:r>
      <w:r>
        <w:rPr>
          <w:rFonts w:ascii="Arial" w:cs="Arial" w:eastAsia="Arial" w:hAnsi="Arial"/>
          <w:sz w:val="17"/>
          <w:szCs w:val="17"/>
          <w:color w:val="FF0000"/>
          <w:strike w:val="1"/>
        </w:rPr>
        <w:t>Borrower may revoke any pending request for a SOFR Loan, or conversion to or continuation of SOFR Loans to be made, converted or continued during any Benchmark Unavailability Period and, failing that, the Borrower will be deemed to have converted any such request in respect of a SOFR Loan into a request for a Borrowing of or conversion to ABR Loans in the amount specified therein and any outstanding affected SOFR Loans will be deemed to have converted into ABR Loans at the end of the applicable Interest Period.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2.09 </w:t>
      </w:r>
      <w:r>
        <w:rPr>
          <w:rFonts w:ascii="Arial" w:cs="Arial" w:eastAsia="Arial" w:hAnsi="Arial"/>
          <w:sz w:val="18"/>
          <w:szCs w:val="18"/>
          <w:i w:val="1"/>
          <w:iCs w:val="1"/>
          <w:color w:val="FF0000"/>
          <w:strike w:val="1"/>
        </w:rPr>
        <w:t>Termination and Reduction of Commitments</w:t>
      </w:r>
      <w:r>
        <w:rPr>
          <w:rFonts w:ascii="Arial" w:cs="Arial" w:eastAsia="Arial" w:hAnsi="Arial"/>
          <w:sz w:val="18"/>
          <w:szCs w:val="18"/>
          <w:i w:val="1"/>
          <w:iCs w:val="1"/>
          <w:u w:val="single" w:color="auto"/>
          <w:color w:val="0000FF"/>
        </w:rPr>
        <w:t>[Reserved]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50546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5" w:lineRule="exact"/>
        <w:rPr>
          <w:sz w:val="20"/>
          <w:szCs w:val="20"/>
          <w:color w:val="auto"/>
        </w:rPr>
      </w:pPr>
    </w:p>
    <w:p>
      <w:pPr>
        <w:ind w:right="240" w:firstLine="436"/>
        <w:spacing w:after="0" w:line="277" w:lineRule="auto"/>
        <w:tabs>
          <w:tab w:leader="none" w:pos="685" w:val="left"/>
        </w:tabs>
        <w:numPr>
          <w:ilvl w:val="0"/>
          <w:numId w:val="130"/>
        </w:numPr>
        <w:rPr>
          <w:rFonts w:ascii="Arial" w:cs="Arial" w:eastAsia="Arial" w:hAnsi="Arial"/>
          <w:sz w:val="18"/>
          <w:szCs w:val="18"/>
          <w:color w:val="FF0000"/>
          <w:strike w:val="1"/>
        </w:rPr>
      </w:pPr>
      <w:r>
        <w:rPr>
          <w:rFonts w:ascii="Arial" w:cs="Arial" w:eastAsia="Arial" w:hAnsi="Arial"/>
          <w:sz w:val="18"/>
          <w:szCs w:val="18"/>
          <w:color w:val="FF0000"/>
          <w:strike w:val="1"/>
        </w:rPr>
        <w:t>The Term Loan Commitment for the Tranche B-2 Term Loan in effect on the Restatement Effective Date shall automatically terminate upon the making of the Tranche B-2 Term Loans on the Restatement Effective Date.</w:t>
      </w:r>
    </w:p>
    <w:p>
      <w:pPr>
        <w:spacing w:after="0" w:line="170" w:lineRule="exact"/>
        <w:rPr>
          <w:rFonts w:ascii="Arial" w:cs="Arial" w:eastAsia="Arial" w:hAnsi="Arial"/>
          <w:sz w:val="18"/>
          <w:szCs w:val="18"/>
          <w:color w:val="FF0000"/>
          <w:strike w:val="1"/>
        </w:rPr>
      </w:pPr>
    </w:p>
    <w:p>
      <w:pPr>
        <w:ind w:right="180" w:firstLine="436"/>
        <w:spacing w:after="0" w:line="277" w:lineRule="auto"/>
        <w:tabs>
          <w:tab w:leader="none" w:pos="695" w:val="left"/>
        </w:tabs>
        <w:numPr>
          <w:ilvl w:val="0"/>
          <w:numId w:val="130"/>
        </w:numPr>
        <w:rPr>
          <w:rFonts w:ascii="Arial" w:cs="Arial" w:eastAsia="Arial" w:hAnsi="Arial"/>
          <w:sz w:val="18"/>
          <w:szCs w:val="18"/>
          <w:color w:val="FF0000"/>
          <w:strike w:val="1"/>
        </w:rPr>
      </w:pPr>
      <w:r>
        <w:rPr>
          <w:rFonts w:ascii="Arial" w:cs="Arial" w:eastAsia="Arial" w:hAnsi="Arial"/>
          <w:sz w:val="18"/>
          <w:szCs w:val="18"/>
          <w:color w:val="FF0000"/>
          <w:strike w:val="1"/>
        </w:rPr>
        <w:t>Upon at least one Business Days’ prior irrevocable written or fax notice to the Administrative Agent, the Borrower may at any time in whole permanently terminate, or from time to time in part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212" w:name="page213"/>
    <w:bookmarkEnd w:id="212"/>
    <w:p>
      <w:pPr>
        <w:ind w:right="220"/>
        <w:spacing w:after="0" w:line="255"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permanently reduce, any Class of unfunded Term Loan Commitments; </w:t>
      </w:r>
      <w:r>
        <w:rPr>
          <w:rFonts w:ascii="Arial" w:cs="Arial" w:eastAsia="Arial" w:hAnsi="Arial"/>
          <w:sz w:val="18"/>
          <w:szCs w:val="18"/>
          <w:i w:val="1"/>
          <w:iCs w:val="1"/>
          <w:color w:val="FF0000"/>
          <w:strike w:val="1"/>
        </w:rPr>
        <w:t>provided, however</w:t>
      </w:r>
      <w:r>
        <w:rPr>
          <w:rFonts w:ascii="Arial" w:cs="Arial" w:eastAsia="Arial" w:hAnsi="Arial"/>
          <w:sz w:val="18"/>
          <w:szCs w:val="18"/>
          <w:color w:val="FF0000"/>
          <w:strike w:val="1"/>
        </w:rPr>
        <w:t xml:space="preserve">, that each partial reduction of any Class of Term Loan Commitments shall be in an integral multiple of $1,000,000 and in a minimum amount of $1,000,000;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further that, a notice of termination of the Commitments of any Class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w:t>
      </w:r>
    </w:p>
    <w:p>
      <w:pPr>
        <w:spacing w:after="0" w:line="84" w:lineRule="exact"/>
        <w:rPr>
          <w:sz w:val="20"/>
          <w:szCs w:val="20"/>
          <w:color w:val="auto"/>
        </w:rPr>
      </w:pPr>
    </w:p>
    <w:p>
      <w:pPr>
        <w:ind w:left="440" w:right="160" w:firstLine="419"/>
        <w:spacing w:after="0" w:line="277" w:lineRule="auto"/>
        <w:tabs>
          <w:tab w:leader="none" w:pos="1108" w:val="left"/>
        </w:tabs>
        <w:numPr>
          <w:ilvl w:val="0"/>
          <w:numId w:val="131"/>
        </w:numPr>
        <w:rPr>
          <w:rFonts w:ascii="Arial" w:cs="Arial" w:eastAsia="Arial" w:hAnsi="Arial"/>
          <w:sz w:val="18"/>
          <w:szCs w:val="18"/>
          <w:color w:val="FF0000"/>
          <w:strike w:val="1"/>
        </w:rPr>
      </w:pPr>
      <w:r>
        <w:rPr>
          <w:rFonts w:ascii="Arial" w:cs="Arial" w:eastAsia="Arial" w:hAnsi="Arial"/>
          <w:sz w:val="18"/>
          <w:szCs w:val="18"/>
          <w:color w:val="FF0000"/>
          <w:strike w:val="1"/>
        </w:rPr>
        <w:t>Each reduction in the Term Loan Commitments hereunder shall be made ratably among the Lenders in accordance with their respective applicable Commitments.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Section 2.12.</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Section 2.10</w:t>
      </w:r>
      <w:r>
        <w:rPr>
          <w:rFonts w:ascii="Arial" w:cs="Arial" w:eastAsia="Arial" w:hAnsi="Arial"/>
          <w:sz w:val="18"/>
          <w:szCs w:val="18"/>
          <w:color w:val="FF0000"/>
        </w:rPr>
        <w:t xml:space="preserve"> </w:t>
      </w:r>
      <w:r>
        <w:rPr>
          <w:rFonts w:ascii="Arial" w:cs="Arial" w:eastAsia="Arial" w:hAnsi="Arial"/>
          <w:sz w:val="18"/>
          <w:szCs w:val="18"/>
          <w:color w:val="FF0000"/>
          <w:strike w:val="1"/>
        </w:rPr>
        <w:t>Conversion and Continuation of Borrowings</w:t>
      </w:r>
      <w:r>
        <w:rPr>
          <w:rFonts w:ascii="Arial" w:cs="Arial" w:eastAsia="Arial" w:hAnsi="Arial"/>
          <w:sz w:val="18"/>
          <w:szCs w:val="18"/>
          <w:i w:val="1"/>
          <w:iCs w:val="1"/>
          <w:u w:val="single" w:color="auto"/>
          <w:color w:val="0000FF"/>
        </w:rPr>
        <w:t>[Reserved]</w:t>
      </w:r>
      <w:r>
        <w:rPr>
          <w:rFonts w:ascii="Arial" w:cs="Arial" w:eastAsia="Arial" w:hAnsi="Arial"/>
          <w:sz w:val="18"/>
          <w:szCs w:val="18"/>
          <w:color w:val="FF000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23495</wp:posOffset>
            </wp:positionV>
            <wp:extent cx="60007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23495</wp:posOffset>
            </wp:positionV>
            <wp:extent cx="53149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5" w:lineRule="exact"/>
        <w:rPr>
          <w:sz w:val="20"/>
          <w:szCs w:val="20"/>
          <w:color w:val="auto"/>
        </w:rPr>
      </w:pPr>
    </w:p>
    <w:p>
      <w:pPr>
        <w:ind w:right="60" w:firstLine="436"/>
        <w:spacing w:after="0" w:line="255" w:lineRule="auto"/>
        <w:tabs>
          <w:tab w:leader="none" w:pos="530" w:val="left"/>
        </w:tabs>
        <w:numPr>
          <w:ilvl w:val="0"/>
          <w:numId w:val="132"/>
        </w:numPr>
        <w:rPr>
          <w:rFonts w:ascii="Arial" w:cs="Arial" w:eastAsia="Arial" w:hAnsi="Arial"/>
          <w:sz w:val="18"/>
          <w:szCs w:val="18"/>
          <w:i w:val="1"/>
          <w:iCs w:val="1"/>
          <w:color w:val="FF0000"/>
          <w:strike w:val="1"/>
        </w:rPr>
      </w:pPr>
      <w:r>
        <w:rPr>
          <w:rFonts w:ascii="Arial" w:cs="Arial" w:eastAsia="Arial" w:hAnsi="Arial"/>
          <w:sz w:val="18"/>
          <w:szCs w:val="18"/>
          <w:color w:val="FF0000"/>
          <w:strike w:val="1"/>
        </w:rPr>
        <w:t>The Borrower shall have the right at any time upon prior irrevocable written notice to the Administrative Agent (a) not later than 1:00 p.m., New York City time, one Business Day prior to the day of any conversion, to convert any SOFR Borrowing into an ABR Borrowing, (b) not later than 1:00 p.m., New York City time, three Business Days prior to conversion or continuation, to convert any ABR Borrowing into a SOFR Borrowing or to continue any SOFR Borrowing as a SOFR Borrowing for an additional Interest Period, and (c) not later than 1:00 p.m., New York City time, three Business Days prior to conversion, to convert the Interest Period with respect to any SOFR Borrowing to another permissible Interest Period, subject in each case to the following:</w:t>
      </w:r>
    </w:p>
    <w:p>
      <w:pPr>
        <w:spacing w:after="0" w:line="192" w:lineRule="exact"/>
        <w:rPr>
          <w:rFonts w:ascii="Arial" w:cs="Arial" w:eastAsia="Arial" w:hAnsi="Arial"/>
          <w:sz w:val="18"/>
          <w:szCs w:val="18"/>
          <w:i w:val="1"/>
          <w:iCs w:val="1"/>
          <w:color w:val="FF0000"/>
          <w:strike w:val="1"/>
        </w:rPr>
      </w:pPr>
    </w:p>
    <w:p>
      <w:pPr>
        <w:ind w:left="1200" w:hanging="213"/>
        <w:spacing w:after="0"/>
        <w:tabs>
          <w:tab w:leader="none" w:pos="1200" w:val="left"/>
        </w:tabs>
        <w:numPr>
          <w:ilvl w:val="1"/>
          <w:numId w:val="132"/>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right="160" w:firstLine="987"/>
        <w:spacing w:after="0" w:line="277" w:lineRule="auto"/>
        <w:tabs>
          <w:tab w:leader="none" w:pos="1256" w:val="left"/>
        </w:tabs>
        <w:numPr>
          <w:ilvl w:val="1"/>
          <w:numId w:val="132"/>
        </w:numPr>
        <w:rPr>
          <w:rFonts w:ascii="Arial" w:cs="Arial" w:eastAsia="Arial" w:hAnsi="Arial"/>
          <w:sz w:val="18"/>
          <w:szCs w:val="18"/>
          <w:color w:val="FF0000"/>
          <w:strike w:val="1"/>
        </w:rPr>
      </w:pPr>
      <w:r>
        <w:rPr>
          <w:rFonts w:ascii="Arial" w:cs="Arial" w:eastAsia="Arial" w:hAnsi="Arial"/>
          <w:sz w:val="18"/>
          <w:szCs w:val="18"/>
          <w:color w:val="FF0000"/>
          <w:strike w:val="1"/>
        </w:rPr>
        <w:t>each conversion or continuation shall be made pro rata among the Lenders in accordance with the respective principal amounts of the Loans comprising the converted or continued Borrowing;</w:t>
      </w:r>
    </w:p>
    <w:p>
      <w:pPr>
        <w:spacing w:after="0" w:line="170" w:lineRule="exact"/>
        <w:rPr>
          <w:rFonts w:ascii="Arial" w:cs="Arial" w:eastAsia="Arial" w:hAnsi="Arial"/>
          <w:sz w:val="18"/>
          <w:szCs w:val="18"/>
          <w:color w:val="FF0000"/>
          <w:strike w:val="1"/>
        </w:rPr>
      </w:pPr>
    </w:p>
    <w:p>
      <w:pPr>
        <w:ind w:firstLine="987"/>
        <w:spacing w:after="0" w:line="263" w:lineRule="auto"/>
        <w:tabs>
          <w:tab w:leader="none" w:pos="1306" w:val="left"/>
        </w:tabs>
        <w:numPr>
          <w:ilvl w:val="1"/>
          <w:numId w:val="132"/>
        </w:numPr>
        <w:rPr>
          <w:rFonts w:ascii="Arial" w:cs="Arial" w:eastAsia="Arial" w:hAnsi="Arial"/>
          <w:sz w:val="18"/>
          <w:szCs w:val="18"/>
          <w:color w:val="FF0000"/>
          <w:strike w:val="1"/>
        </w:rPr>
      </w:pPr>
      <w:r>
        <w:rPr>
          <w:rFonts w:ascii="Arial" w:cs="Arial" w:eastAsia="Arial" w:hAnsi="Arial"/>
          <w:sz w:val="18"/>
          <w:szCs w:val="18"/>
          <w:color w:val="FF0000"/>
          <w:strike w:val="1"/>
        </w:rPr>
        <w:t>if less than all the outstanding principal amount of any Borrowing shall be converted or continued, then each resulting Borrowing shall satisfy the limitations specified in Sections 2.02(a) and 2.02(b) regarding the principal amount and maximum number of Borrowings of the relevant Type;</w:t>
      </w:r>
    </w:p>
    <w:p>
      <w:pPr>
        <w:spacing w:after="0" w:line="184" w:lineRule="exact"/>
        <w:rPr>
          <w:sz w:val="20"/>
          <w:szCs w:val="20"/>
          <w:color w:val="auto"/>
        </w:rPr>
      </w:pPr>
    </w:p>
    <w:p>
      <w:pPr>
        <w:ind w:right="200" w:firstLine="436"/>
        <w:spacing w:after="0" w:line="311" w:lineRule="auto"/>
        <w:tabs>
          <w:tab w:leader="none" w:pos="695" w:val="left"/>
        </w:tabs>
        <w:numPr>
          <w:ilvl w:val="0"/>
          <w:numId w:val="133"/>
        </w:numPr>
        <w:rPr>
          <w:rFonts w:ascii="Arial" w:cs="Arial" w:eastAsia="Arial" w:hAnsi="Arial"/>
          <w:sz w:val="16"/>
          <w:szCs w:val="16"/>
          <w:color w:val="FF0000"/>
          <w:strike w:val="1"/>
        </w:rPr>
      </w:pPr>
      <w:r>
        <w:rPr>
          <w:rFonts w:ascii="Arial" w:cs="Arial" w:eastAsia="Arial" w:hAnsi="Arial"/>
          <w:sz w:val="16"/>
          <w:szCs w:val="16"/>
          <w:color w:val="FF0000"/>
          <w:strike w:val="1"/>
        </w:rPr>
        <w:t>each conversion shall be effected by each Lender and the Administrative Agent by recording for the account of such Lender the new Loan of such Lender resulting from such conversion and reducing the Loan (or portion thereof) of such Lender being converted by an equivalent principal amount; accrued interest on any SOFR Loan (or portion thereof) being converted shall be paid by the Borrower at the time of conversion;</w:t>
      </w:r>
    </w:p>
    <w:p>
      <w:pPr>
        <w:spacing w:after="0" w:line="148" w:lineRule="exact"/>
        <w:rPr>
          <w:rFonts w:ascii="Arial" w:cs="Arial" w:eastAsia="Arial" w:hAnsi="Arial"/>
          <w:sz w:val="16"/>
          <w:szCs w:val="16"/>
          <w:color w:val="FF0000"/>
          <w:strike w:val="1"/>
        </w:rPr>
      </w:pPr>
    </w:p>
    <w:p>
      <w:pPr>
        <w:ind w:right="580" w:firstLine="436"/>
        <w:spacing w:after="0" w:line="277" w:lineRule="auto"/>
        <w:tabs>
          <w:tab w:leader="none" w:pos="685" w:val="left"/>
        </w:tabs>
        <w:numPr>
          <w:ilvl w:val="0"/>
          <w:numId w:val="133"/>
        </w:numPr>
        <w:rPr>
          <w:rFonts w:ascii="Arial" w:cs="Arial" w:eastAsia="Arial" w:hAnsi="Arial"/>
          <w:sz w:val="18"/>
          <w:szCs w:val="18"/>
          <w:color w:val="FF0000"/>
          <w:strike w:val="1"/>
        </w:rPr>
      </w:pPr>
      <w:r>
        <w:rPr>
          <w:rFonts w:ascii="Arial" w:cs="Arial" w:eastAsia="Arial" w:hAnsi="Arial"/>
          <w:sz w:val="18"/>
          <w:szCs w:val="18"/>
          <w:color w:val="FF0000"/>
          <w:strike w:val="1"/>
        </w:rPr>
        <w:t>any portion of a Borrowing maturing or required to be repaid in less than one month may not be converted into or continued as a SOFR Borrowing, unless agreed by all applicable Lenders;</w:t>
      </w:r>
    </w:p>
    <w:p>
      <w:pPr>
        <w:spacing w:after="0" w:line="170" w:lineRule="exact"/>
        <w:rPr>
          <w:rFonts w:ascii="Arial" w:cs="Arial" w:eastAsia="Arial" w:hAnsi="Arial"/>
          <w:sz w:val="18"/>
          <w:szCs w:val="18"/>
          <w:color w:val="FF0000"/>
          <w:strike w:val="1"/>
        </w:rPr>
      </w:pPr>
    </w:p>
    <w:p>
      <w:pPr>
        <w:ind w:right="240" w:firstLine="436"/>
        <w:spacing w:after="0" w:line="308" w:lineRule="auto"/>
        <w:tabs>
          <w:tab w:leader="none" w:pos="695" w:val="left"/>
        </w:tabs>
        <w:numPr>
          <w:ilvl w:val="0"/>
          <w:numId w:val="133"/>
        </w:numPr>
        <w:rPr>
          <w:rFonts w:ascii="Arial" w:cs="Arial" w:eastAsia="Arial" w:hAnsi="Arial"/>
          <w:sz w:val="17"/>
          <w:szCs w:val="17"/>
          <w:color w:val="FF0000"/>
          <w:strike w:val="1"/>
        </w:rPr>
      </w:pPr>
      <w:r>
        <w:rPr>
          <w:rFonts w:ascii="Arial" w:cs="Arial" w:eastAsia="Arial" w:hAnsi="Arial"/>
          <w:sz w:val="17"/>
          <w:szCs w:val="17"/>
          <w:color w:val="FF0000"/>
          <w:strike w:val="1"/>
        </w:rPr>
        <w:t>any portion of a SOFR Borrowing that cannot be converted into or continued as a SOFR Borrowing by reason of the immediately preceding clause shall be automatically converted at the end of the Interest Period in effect for such Borrowing into an ABR Borrowing; and</w:t>
      </w:r>
    </w:p>
    <w:p>
      <w:pPr>
        <w:spacing w:after="0" w:line="146" w:lineRule="exact"/>
        <w:rPr>
          <w:rFonts w:ascii="Arial" w:cs="Arial" w:eastAsia="Arial" w:hAnsi="Arial"/>
          <w:sz w:val="17"/>
          <w:szCs w:val="17"/>
          <w:color w:val="FF0000"/>
          <w:strike w:val="1"/>
        </w:rPr>
      </w:pPr>
    </w:p>
    <w:p>
      <w:pPr>
        <w:ind w:right="200" w:firstLine="436"/>
        <w:spacing w:after="0" w:line="277" w:lineRule="auto"/>
        <w:tabs>
          <w:tab w:leader="none" w:pos="685" w:val="left"/>
        </w:tabs>
        <w:numPr>
          <w:ilvl w:val="0"/>
          <w:numId w:val="133"/>
        </w:numPr>
        <w:rPr>
          <w:rFonts w:ascii="Arial" w:cs="Arial" w:eastAsia="Arial" w:hAnsi="Arial"/>
          <w:sz w:val="18"/>
          <w:szCs w:val="18"/>
          <w:color w:val="FF0000"/>
          <w:strike w:val="1"/>
        </w:rPr>
      </w:pPr>
      <w:r>
        <w:rPr>
          <w:rFonts w:ascii="Arial" w:cs="Arial" w:eastAsia="Arial" w:hAnsi="Arial"/>
          <w:sz w:val="18"/>
          <w:szCs w:val="18"/>
          <w:color w:val="FF0000"/>
          <w:strike w:val="1"/>
        </w:rPr>
        <w:t>upon notice to the Borrower from the Administrative Agent given at the request of the Required Lenders, after the occurrence and during the continuance of an Event of Default, no outstanding Loan may be converted into, or continued as, a SOFR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213" w:name="page214"/>
    <w:bookmarkEnd w:id="213"/>
    <w:p>
      <w:pPr>
        <w:ind w:left="4" w:right="120" w:firstLine="440"/>
        <w:spacing w:after="0" w:line="288"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Request for Credit Extension shall (except as set forth herein) be irrevocable and shall refer to this Agreement and specify (i) the identity and amount of the Borrowing that the Borrower requests be converted or continued, (ii) whether such Borrowing is to be converted to or continued as a SOFR Borrowing or an ABR Borrowing, (iii) if such Request for Credit Extension requests a conversion, the date of such conversion (which shall be a Business Day) and (iv) if such Borrowing is to be converted to or continued as a SOFR Borrowing, the Interest Period with respect thereto. If no Interest Period is specified in any such Request for Credit Extension with respect to any conversion to or continuation as a SOFR Borrowing, the Borrower shall be deemed to have selected an Interest Period of one month’s duration. The Administrative Agent shall promptly advise the Lenders of any Request for Credit Extension and of each Lender’s portion of any converted or continued Borrowing. If the Borrower shall not have given a Request for Credit Extension in accordance with this Section 2.10 to continue any Borrowing into a subsequent Interest Period (and shall not otherwise have given notice in accordance with this Section 2.10 to convert such Borrowing), such Borrowing shall, at the end of the Interest Period applicable thereto (unless repaid pursuant to the terms hereof), automatically be converted into an ABR Borrowing.</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Section 2.11</w:t>
      </w:r>
      <w:r>
        <w:rPr>
          <w:rFonts w:ascii="Arial" w:cs="Arial" w:eastAsia="Arial" w:hAnsi="Arial"/>
          <w:sz w:val="18"/>
          <w:szCs w:val="18"/>
          <w:color w:val="000000"/>
        </w:rPr>
        <w:t xml:space="preserve"> </w:t>
      </w:r>
      <w:r>
        <w:rPr>
          <w:rFonts w:ascii="Arial" w:cs="Arial" w:eastAsia="Arial" w:hAnsi="Arial"/>
          <w:sz w:val="18"/>
          <w:szCs w:val="18"/>
          <w:i w:val="1"/>
          <w:iCs w:val="1"/>
          <w:color w:val="FF0000"/>
          <w:strike w:val="1"/>
        </w:rPr>
        <w:t>Section 2.11.</w:t>
      </w:r>
      <w:r>
        <w:rPr>
          <w:rFonts w:ascii="Arial" w:cs="Arial" w:eastAsia="Arial" w:hAnsi="Arial"/>
          <w:sz w:val="18"/>
          <w:szCs w:val="18"/>
          <w:color w:val="0000FF"/>
        </w:rPr>
        <w:t xml:space="preserve"> </w:t>
      </w:r>
      <w:r>
        <w:rPr>
          <w:rFonts w:ascii="Arial" w:cs="Arial" w:eastAsia="Arial" w:hAnsi="Arial"/>
          <w:sz w:val="18"/>
          <w:szCs w:val="18"/>
          <w:i w:val="1"/>
          <w:iCs w:val="1"/>
          <w:color w:val="000000"/>
        </w:rPr>
        <w:t>Repayment of</w:t>
      </w:r>
      <w:r>
        <w:rPr>
          <w:rFonts w:ascii="Arial" w:cs="Arial" w:eastAsia="Arial" w:hAnsi="Arial"/>
          <w:sz w:val="18"/>
          <w:szCs w:val="18"/>
          <w:color w:val="0000FF"/>
        </w:rPr>
        <w:t xml:space="preserve"> </w:t>
      </w:r>
      <w:r>
        <w:rPr>
          <w:rFonts w:ascii="Arial" w:cs="Arial" w:eastAsia="Arial" w:hAnsi="Arial"/>
          <w:sz w:val="18"/>
          <w:szCs w:val="18"/>
          <w:i w:val="1"/>
          <w:iCs w:val="1"/>
          <w:u w:val="single" w:color="auto"/>
          <w:color w:val="0000FF"/>
        </w:rPr>
        <w:t>New Money Postpetition</w:t>
      </w:r>
      <w:r>
        <w:rPr>
          <w:rFonts w:ascii="Arial" w:cs="Arial" w:eastAsia="Arial" w:hAnsi="Arial"/>
          <w:sz w:val="18"/>
          <w:szCs w:val="18"/>
          <w:color w:val="0000FF"/>
        </w:rPr>
        <w:t xml:space="preserve"> </w:t>
      </w:r>
      <w:r>
        <w:rPr>
          <w:rFonts w:ascii="Arial" w:cs="Arial" w:eastAsia="Arial" w:hAnsi="Arial"/>
          <w:sz w:val="18"/>
          <w:szCs w:val="18"/>
          <w:i w:val="1"/>
          <w:iCs w:val="1"/>
          <w:color w:val="000000"/>
        </w:rPr>
        <w:t>Term</w:t>
      </w:r>
      <w:r>
        <w:rPr>
          <w:rFonts w:ascii="Arial" w:cs="Arial" w:eastAsia="Arial" w:hAnsi="Arial"/>
          <w:sz w:val="18"/>
          <w:szCs w:val="18"/>
          <w:color w:val="0000FF"/>
        </w:rPr>
        <w:t xml:space="preserve"> </w:t>
      </w:r>
      <w:r>
        <w:rPr>
          <w:rFonts w:ascii="Arial" w:cs="Arial" w:eastAsia="Arial" w:hAnsi="Arial"/>
          <w:sz w:val="18"/>
          <w:szCs w:val="18"/>
          <w:i w:val="1"/>
          <w:iCs w:val="1"/>
          <w:color w:val="FF0000"/>
          <w:strike w:val="1"/>
        </w:rPr>
        <w:t>Borrowings</w:t>
      </w:r>
      <w:r>
        <w:rPr>
          <w:rFonts w:ascii="Arial" w:cs="Arial" w:eastAsia="Arial" w:hAnsi="Arial"/>
          <w:sz w:val="18"/>
          <w:szCs w:val="18"/>
          <w:i w:val="1"/>
          <w:iCs w:val="1"/>
          <w:u w:val="single" w:color="auto"/>
          <w:color w:val="0000FF"/>
        </w:rPr>
        <w:t>Loans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59118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23495</wp:posOffset>
            </wp:positionV>
            <wp:extent cx="115760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23495</wp:posOffset>
            </wp:positionV>
            <wp:extent cx="28257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The Borrower shall repay to the Administrative Agent</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for the ratable account of the</w:t>
      </w:r>
      <w:r>
        <w:rPr>
          <w:rFonts w:ascii="Arial" w:cs="Arial" w:eastAsia="Arial" w:hAnsi="Arial"/>
          <w:sz w:val="16"/>
          <w:szCs w:val="16"/>
          <w:color w:val="FF0000"/>
        </w:rPr>
        <w:t xml:space="preserve"> </w:t>
      </w:r>
      <w:r>
        <w:rPr>
          <w:rFonts w:ascii="Arial" w:cs="Arial" w:eastAsia="Arial" w:hAnsi="Arial"/>
          <w:sz w:val="16"/>
          <w:szCs w:val="16"/>
          <w:color w:val="FF0000"/>
          <w:strike w:val="1"/>
        </w:rPr>
        <w:t>applicable Term</w:t>
      </w:r>
      <w:r>
        <w:rPr>
          <w:rFonts w:ascii="Arial" w:cs="Arial" w:eastAsia="Arial" w:hAnsi="Arial"/>
          <w:sz w:val="16"/>
          <w:szCs w:val="16"/>
          <w:color w:val="FF0000"/>
        </w:rPr>
        <w:t xml:space="preserve"> </w:t>
      </w:r>
      <w:r>
        <w:rPr>
          <w:rFonts w:ascii="Arial" w:cs="Arial" w:eastAsia="Arial" w:hAnsi="Arial"/>
          <w:sz w:val="16"/>
          <w:szCs w:val="16"/>
          <w:color w:val="000000"/>
        </w:rPr>
        <w:t>Lenders on the Maturity Date</w:t>
      </w:r>
      <w:r>
        <w:rPr>
          <w:rFonts w:ascii="Arial" w:cs="Arial" w:eastAsia="Arial" w:hAnsi="Arial"/>
          <w:sz w:val="16"/>
          <w:szCs w:val="16"/>
          <w:color w:val="FF0000"/>
        </w:rPr>
        <w:t xml:space="preserve"> for such </w:t>
      </w:r>
      <w:r>
        <w:rPr>
          <w:rFonts w:ascii="Arial" w:cs="Arial" w:eastAsia="Arial" w:hAnsi="Arial"/>
          <w:sz w:val="16"/>
          <w:szCs w:val="16"/>
          <w:color w:val="FF0000"/>
          <w:strike w:val="1"/>
        </w:rPr>
        <w:t>Tranche B-2 Term Loans</w:t>
      </w:r>
      <w:r>
        <w:rPr>
          <w:rFonts w:ascii="Arial" w:cs="Arial" w:eastAsia="Arial" w:hAnsi="Arial"/>
          <w:sz w:val="16"/>
          <w:szCs w:val="16"/>
          <w:color w:val="000000"/>
        </w:rPr>
        <w:t>, the aggregate principal amount of</w:t>
      </w:r>
      <w:r>
        <w:rPr>
          <w:rFonts w:ascii="Arial" w:cs="Arial" w:eastAsia="Arial" w:hAnsi="Arial"/>
          <w:sz w:val="16"/>
          <w:szCs w:val="16"/>
          <w:color w:val="FF0000"/>
        </w:rPr>
        <w:t xml:space="preserve"> </w:t>
      </w:r>
      <w:r>
        <w:rPr>
          <w:rFonts w:ascii="Arial" w:cs="Arial" w:eastAsia="Arial" w:hAnsi="Arial"/>
          <w:sz w:val="16"/>
          <w:szCs w:val="16"/>
          <w:color w:val="FF0000"/>
          <w:strike w:val="1"/>
        </w:rPr>
        <w:t>such Tranche B-2</w:t>
      </w:r>
      <w:r>
        <w:rPr>
          <w:rFonts w:ascii="Arial" w:cs="Arial" w:eastAsia="Arial" w:hAnsi="Arial"/>
          <w:sz w:val="16"/>
          <w:szCs w:val="16"/>
          <w:u w:val="single" w:color="auto"/>
          <w:color w:val="0000FF"/>
        </w:rPr>
        <w:t>all New Money Postpetition</w:t>
      </w:r>
      <w:r>
        <w:rPr>
          <w:rFonts w:ascii="Arial" w:cs="Arial" w:eastAsia="Arial" w:hAnsi="Arial"/>
          <w:sz w:val="16"/>
          <w:szCs w:val="16"/>
          <w:color w:val="FF0000"/>
        </w:rPr>
        <w:t xml:space="preserve"> </w:t>
      </w:r>
      <w:r>
        <w:rPr>
          <w:rFonts w:ascii="Arial" w:cs="Arial" w:eastAsia="Arial" w:hAnsi="Arial"/>
          <w:sz w:val="16"/>
          <w:szCs w:val="16"/>
          <w:color w:val="000000"/>
        </w:rPr>
        <w:t>Term Loans outstanding on such date,</w:t>
      </w:r>
      <w:r>
        <w:rPr>
          <w:rFonts w:ascii="Arial" w:cs="Arial" w:eastAsia="Arial" w:hAnsi="Arial"/>
          <w:sz w:val="16"/>
          <w:szCs w:val="16"/>
          <w:color w:val="FF0000"/>
        </w:rPr>
        <w:t xml:space="preserve"> </w:t>
      </w:r>
      <w:r>
        <w:rPr>
          <w:rFonts w:ascii="Arial" w:cs="Arial" w:eastAsia="Arial" w:hAnsi="Arial"/>
          <w:sz w:val="16"/>
          <w:szCs w:val="16"/>
          <w:color w:val="000000"/>
        </w:rPr>
        <w:t xml:space="preserve">together </w:t>
      </w:r>
      <w:r>
        <w:rPr>
          <w:rFonts w:ascii="Arial" w:cs="Arial" w:eastAsia="Arial" w:hAnsi="Arial"/>
          <w:sz w:val="16"/>
          <w:szCs w:val="16"/>
          <w:color w:val="FF0000"/>
          <w:strike w:val="1"/>
        </w:rPr>
        <w:t>in each case</w:t>
      </w:r>
      <w:r>
        <w:rPr>
          <w:rFonts w:ascii="Arial" w:cs="Arial" w:eastAsia="Arial" w:hAnsi="Arial"/>
          <w:sz w:val="16"/>
          <w:szCs w:val="16"/>
          <w:color w:val="000000"/>
        </w:rPr>
        <w:t xml:space="preserve"> with </w:t>
      </w:r>
      <w:r>
        <w:rPr>
          <w:rFonts w:ascii="Arial" w:cs="Arial" w:eastAsia="Arial" w:hAnsi="Arial"/>
          <w:sz w:val="16"/>
          <w:szCs w:val="16"/>
          <w:u w:val="single" w:color="auto"/>
          <w:color w:val="0000FF"/>
        </w:rPr>
        <w:t>all</w:t>
      </w:r>
      <w:r>
        <w:rPr>
          <w:rFonts w:ascii="Arial" w:cs="Arial" w:eastAsia="Arial" w:hAnsi="Arial"/>
          <w:sz w:val="16"/>
          <w:szCs w:val="16"/>
          <w:color w:val="000000"/>
        </w:rPr>
        <w:t xml:space="preserve"> accrued and unpaid interest on the principal amount to be paid </w:t>
      </w:r>
      <w:r>
        <w:rPr>
          <w:rFonts w:ascii="Arial" w:cs="Arial" w:eastAsia="Arial" w:hAnsi="Arial"/>
          <w:sz w:val="16"/>
          <w:szCs w:val="16"/>
          <w:u w:val="single" w:color="auto"/>
          <w:color w:val="0000FF"/>
        </w:rPr>
        <w:t>(</w:t>
      </w:r>
      <w:r>
        <w:rPr>
          <w:rFonts w:ascii="Arial" w:cs="Arial" w:eastAsia="Arial" w:hAnsi="Arial"/>
          <w:sz w:val="16"/>
          <w:szCs w:val="16"/>
          <w:color w:val="000000"/>
        </w:rPr>
        <w:t>to</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but excluding</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the date of such payment</w:t>
      </w:r>
      <w:r>
        <w:rPr>
          <w:rFonts w:ascii="Arial" w:cs="Arial" w:eastAsia="Arial" w:hAnsi="Arial"/>
          <w:sz w:val="16"/>
          <w:szCs w:val="16"/>
          <w:color w:val="FF0000"/>
          <w:strike w:val="1"/>
        </w:rPr>
        <w:t>. Upon the</w:t>
      </w:r>
      <w:r>
        <w:rPr>
          <w:rFonts w:ascii="Arial" w:cs="Arial" w:eastAsia="Arial" w:hAnsi="Arial"/>
          <w:sz w:val="16"/>
          <w:szCs w:val="16"/>
          <w:color w:val="000000"/>
        </w:rPr>
        <w:t xml:space="preserve"> </w:t>
      </w:r>
      <w:r>
        <w:rPr>
          <w:rFonts w:ascii="Arial" w:cs="Arial" w:eastAsia="Arial" w:hAnsi="Arial"/>
          <w:sz w:val="16"/>
          <w:szCs w:val="16"/>
          <w:color w:val="FF0000"/>
          <w:strike w:val="1"/>
        </w:rPr>
        <w:t>conversion of Tranche B-2 Term Loans to Extended Term Loans or the refinancing of Tranche B-2 Term Loans with Credit Agreement Refinancing Indebtedness, all scheduled amortization payments, if any, shall be reduced ratably by the aggregate principal amount of the Tranche B-2 Term Loans so converted, refinanced or replaced. The Borrower shall repay Extended Term Loans and Other Term Loans in such amounts and on such date or dates as shall be specified therefor in the applicable Extension Offer, Refinancing Amendment or other governing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-836295</wp:posOffset>
            </wp:positionV>
            <wp:extent cx="5143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-836295</wp:posOffset>
            </wp:positionV>
            <wp:extent cx="342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6575425</wp:posOffset>
            </wp:positionH>
            <wp:positionV relativeFrom="paragraph">
              <wp:posOffset>-922020</wp:posOffset>
            </wp:positionV>
            <wp:extent cx="39941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99415" cy="825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-699135</wp:posOffset>
            </wp:positionV>
            <wp:extent cx="128587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1217295</wp:posOffset>
            </wp:positionH>
            <wp:positionV relativeFrom="paragraph">
              <wp:posOffset>-561975</wp:posOffset>
            </wp:positionV>
            <wp:extent cx="13716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-561975</wp:posOffset>
            </wp:positionV>
            <wp:extent cx="342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-561975</wp:posOffset>
            </wp:positionV>
            <wp:extent cx="2540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-561975</wp:posOffset>
            </wp:positionV>
            <wp:extent cx="342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6" w:lineRule="exact"/>
        <w:rPr>
          <w:sz w:val="20"/>
          <w:szCs w:val="20"/>
          <w:color w:val="auto"/>
        </w:rPr>
      </w:pPr>
    </w:p>
    <w:p>
      <w:pPr>
        <w:jc w:val="both"/>
        <w:ind w:left="4" w:right="140" w:firstLine="436"/>
        <w:spacing w:after="0" w:line="286" w:lineRule="auto"/>
        <w:tabs>
          <w:tab w:leader="none" w:pos="699" w:val="left"/>
        </w:tabs>
        <w:numPr>
          <w:ilvl w:val="1"/>
          <w:numId w:val="134"/>
        </w:numPr>
        <w:rPr>
          <w:rFonts w:ascii="Arial" w:cs="Arial" w:eastAsia="Arial" w:hAnsi="Arial"/>
          <w:sz w:val="17"/>
          <w:szCs w:val="17"/>
          <w:u w:val="single" w:color="auto"/>
          <w:color w:val="FF0000"/>
          <w:strike w:val="1"/>
        </w:rPr>
      </w:pPr>
      <w:r>
        <w:rPr>
          <w:rFonts w:ascii="Arial" w:cs="Arial" w:eastAsia="Arial" w:hAnsi="Arial"/>
          <w:sz w:val="17"/>
          <w:szCs w:val="17"/>
          <w:color w:val="0000FF"/>
        </w:rPr>
        <w:t xml:space="preserve">) and all fees and expenses payable under the Loan Documents and other outstanding Obligations. </w:t>
      </w:r>
      <w:r>
        <w:rPr>
          <w:rFonts w:ascii="Arial" w:cs="Arial" w:eastAsia="Arial" w:hAnsi="Arial"/>
          <w:sz w:val="17"/>
          <w:szCs w:val="17"/>
          <w:color w:val="FF0000"/>
          <w:strike w:val="1"/>
        </w:rPr>
        <w:t>To the extent not previously paid, all Term</w:t>
      </w:r>
      <w:r>
        <w:rPr>
          <w:rFonts w:ascii="Arial" w:cs="Arial" w:eastAsia="Arial" w:hAnsi="Arial"/>
          <w:sz w:val="17"/>
          <w:szCs w:val="17"/>
          <w:color w:val="0000FF"/>
        </w:rPr>
        <w:t xml:space="preserve"> </w:t>
      </w:r>
      <w:r>
        <w:rPr>
          <w:rFonts w:ascii="Arial" w:cs="Arial" w:eastAsia="Arial" w:hAnsi="Arial"/>
          <w:sz w:val="17"/>
          <w:szCs w:val="17"/>
          <w:color w:val="FF0000"/>
          <w:strike w:val="1"/>
        </w:rPr>
        <w:t>Loans (including, for avoidance of doubt, Term Loans that are not Tranche B-2 Term Loans) shall be due and payable on the applicable Maturity Date, together with accrued and unpaid interest on the principal amount to be paid to but excluding the date of payment.</w:t>
      </w:r>
    </w:p>
    <w:p>
      <w:pPr>
        <w:spacing w:after="0" w:line="165" w:lineRule="exact"/>
        <w:rPr>
          <w:rFonts w:ascii="Arial" w:cs="Arial" w:eastAsia="Arial" w:hAnsi="Arial"/>
          <w:sz w:val="17"/>
          <w:szCs w:val="17"/>
          <w:u w:val="single" w:color="auto"/>
          <w:color w:val="FF0000"/>
          <w:strike w:val="1"/>
        </w:rPr>
      </w:pPr>
    </w:p>
    <w:p>
      <w:pPr>
        <w:ind w:left="4" w:right="380" w:hanging="4"/>
        <w:spacing w:after="0" w:line="277" w:lineRule="auto"/>
        <w:tabs>
          <w:tab w:leader="none" w:pos="249" w:val="left"/>
        </w:tabs>
        <w:numPr>
          <w:ilvl w:val="0"/>
          <w:numId w:val="135"/>
        </w:numPr>
        <w:rPr>
          <w:rFonts w:ascii="Arial" w:cs="Arial" w:eastAsia="Arial" w:hAnsi="Arial"/>
          <w:sz w:val="18"/>
          <w:szCs w:val="18"/>
          <w:color w:val="FF0000"/>
          <w:strike w:val="1"/>
        </w:rPr>
      </w:pPr>
      <w:r>
        <w:rPr>
          <w:rFonts w:ascii="Arial" w:cs="Arial" w:eastAsia="Arial" w:hAnsi="Arial"/>
          <w:sz w:val="18"/>
          <w:szCs w:val="18"/>
          <w:color w:val="auto"/>
        </w:rPr>
        <w:t xml:space="preserve">All repayments </w:t>
      </w:r>
      <w:r>
        <w:rPr>
          <w:rFonts w:ascii="Arial" w:cs="Arial" w:eastAsia="Arial" w:hAnsi="Arial"/>
          <w:sz w:val="18"/>
          <w:szCs w:val="18"/>
          <w:u w:val="single" w:color="auto"/>
          <w:color w:val="0000FF"/>
        </w:rPr>
        <w:t>on the Maturity Date</w:t>
      </w:r>
      <w:r>
        <w:rPr>
          <w:rFonts w:ascii="Arial" w:cs="Arial" w:eastAsia="Arial" w:hAnsi="Arial"/>
          <w:sz w:val="18"/>
          <w:szCs w:val="18"/>
          <w:color w:val="auto"/>
        </w:rPr>
        <w:t xml:space="preserve">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w:t>
      </w:r>
      <w:r>
        <w:rPr>
          <w:rFonts w:ascii="Arial" w:cs="Arial" w:eastAsia="Arial" w:hAnsi="Arial"/>
          <w:sz w:val="18"/>
          <w:szCs w:val="18"/>
          <w:color w:val="FF0000"/>
          <w:strike w:val="1"/>
        </w:rPr>
        <w:t>subject to Section 2.05(c), but shall otherwise be</w:t>
      </w:r>
      <w:r>
        <w:rPr>
          <w:rFonts w:ascii="Arial" w:cs="Arial" w:eastAsia="Arial" w:hAnsi="Arial"/>
          <w:sz w:val="18"/>
          <w:szCs w:val="18"/>
          <w:color w:val="auto"/>
        </w:rPr>
        <w:t xml:space="preserve"> without premium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-696595</wp:posOffset>
            </wp:positionV>
            <wp:extent cx="467169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4671695" cy="889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-730885</wp:posOffset>
            </wp:positionV>
            <wp:extent cx="454025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4540250"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-147955</wp:posOffset>
            </wp:positionV>
            <wp:extent cx="9855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Section 2.12</w:t>
      </w:r>
      <w:r>
        <w:rPr>
          <w:rFonts w:ascii="Arial" w:cs="Arial" w:eastAsia="Arial" w:hAnsi="Arial"/>
          <w:sz w:val="18"/>
          <w:szCs w:val="18"/>
          <w:color w:val="FF0000"/>
        </w:rPr>
        <w:t xml:space="preserve"> </w:t>
      </w:r>
      <w:r>
        <w:rPr>
          <w:rFonts w:ascii="Arial" w:cs="Arial" w:eastAsia="Arial" w:hAnsi="Arial"/>
          <w:sz w:val="18"/>
          <w:szCs w:val="18"/>
          <w:color w:val="0000FF"/>
        </w:rPr>
        <w:t>Section 2.12 </w:t>
      </w:r>
      <w:r>
        <w:rPr>
          <w:rFonts w:ascii="Arial" w:cs="Arial" w:eastAsia="Arial" w:hAnsi="Arial"/>
          <w:sz w:val="18"/>
          <w:szCs w:val="18"/>
          <w:i w:val="1"/>
          <w:iCs w:val="1"/>
          <w:color w:val="000000"/>
        </w:rPr>
        <w:t>Voluntary Prepayment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23495</wp:posOffset>
            </wp:positionV>
            <wp:extent cx="68580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-10160</wp:posOffset>
            </wp:positionV>
            <wp:extent cx="68516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Subject to Section 2.17, the</w:t>
      </w:r>
      <w:r>
        <w:rPr>
          <w:rFonts w:ascii="Arial" w:cs="Arial" w:eastAsia="Arial" w:hAnsi="Arial"/>
          <w:sz w:val="16"/>
          <w:szCs w:val="16"/>
          <w:color w:val="auto"/>
        </w:rPr>
        <w:t xml:space="preserve"> Borrower shall have the right at any time and from time to time to prepay </w:t>
      </w:r>
      <w:r>
        <w:rPr>
          <w:rFonts w:ascii="Arial" w:cs="Arial" w:eastAsia="Arial" w:hAnsi="Arial"/>
          <w:sz w:val="16"/>
          <w:szCs w:val="16"/>
          <w:color w:val="FF0000"/>
          <w:strike w:val="1"/>
        </w:rPr>
        <w:t>any Borrowing, in whole</w:t>
      </w:r>
      <w:r>
        <w:rPr>
          <w:rFonts w:ascii="Arial" w:cs="Arial" w:eastAsia="Arial" w:hAnsi="Arial"/>
          <w:sz w:val="16"/>
          <w:szCs w:val="16"/>
          <w:u w:val="single" w:color="auto"/>
          <w:color w:val="0000FF"/>
        </w:rPr>
        <w:t>the Term</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Loans in full</w:t>
      </w:r>
      <w:r>
        <w:rPr>
          <w:rFonts w:ascii="Arial" w:cs="Arial" w:eastAsia="Arial" w:hAnsi="Arial"/>
          <w:sz w:val="18"/>
          <w:szCs w:val="18"/>
          <w:color w:val="0000FF"/>
        </w:rPr>
        <w:t xml:space="preserve"> </w:t>
      </w:r>
      <w:r>
        <w:rPr>
          <w:rFonts w:ascii="Arial" w:cs="Arial" w:eastAsia="Arial" w:hAnsi="Arial"/>
          <w:sz w:val="18"/>
          <w:szCs w:val="18"/>
          <w:color w:val="000000"/>
        </w:rPr>
        <w:t>or in part, upon</w:t>
      </w:r>
      <w:r>
        <w:rPr>
          <w:rFonts w:ascii="Arial" w:cs="Arial" w:eastAsia="Arial" w:hAnsi="Arial"/>
          <w:sz w:val="18"/>
          <w:szCs w:val="18"/>
          <w:color w:val="0000FF"/>
        </w:rPr>
        <w:t xml:space="preserve"> </w:t>
      </w:r>
      <w:r>
        <w:rPr>
          <w:rFonts w:ascii="Arial" w:cs="Arial" w:eastAsia="Arial" w:hAnsi="Arial"/>
          <w:sz w:val="18"/>
          <w:szCs w:val="18"/>
          <w:color w:val="FF0000"/>
          <w:strike w:val="1"/>
        </w:rPr>
        <w:t>at least three Business Days’ prior</w:t>
      </w:r>
      <w:r>
        <w:rPr>
          <w:rFonts w:ascii="Arial" w:cs="Arial" w:eastAsia="Arial" w:hAnsi="Arial"/>
          <w:sz w:val="18"/>
          <w:szCs w:val="18"/>
          <w:color w:val="0000FF"/>
        </w:rPr>
        <w:t xml:space="preserve"> </w:t>
      </w:r>
      <w:r>
        <w:rPr>
          <w:rFonts w:ascii="Arial" w:cs="Arial" w:eastAsia="Arial" w:hAnsi="Arial"/>
          <w:sz w:val="18"/>
          <w:szCs w:val="18"/>
          <w:color w:val="000000"/>
        </w:rPr>
        <w:t>written (email) notice</w:t>
      </w:r>
      <w:r>
        <w:rPr>
          <w:rFonts w:ascii="Arial" w:cs="Arial" w:eastAsia="Arial" w:hAnsi="Arial"/>
          <w:sz w:val="18"/>
          <w:szCs w:val="18"/>
          <w:color w:val="0000FF"/>
        </w:rPr>
        <w:t xml:space="preserve"> </w:t>
      </w:r>
      <w:r>
        <w:rPr>
          <w:rFonts w:ascii="Arial" w:cs="Arial" w:eastAsia="Arial" w:hAnsi="Arial"/>
          <w:sz w:val="18"/>
          <w:szCs w:val="18"/>
          <w:color w:val="FF0000"/>
          <w:strike w:val="1"/>
        </w:rPr>
        <w:t>in</w:t>
      </w:r>
      <w:r>
        <w:rPr>
          <w:rFonts w:ascii="Arial" w:cs="Arial" w:eastAsia="Arial" w:hAnsi="Arial"/>
          <w:sz w:val="18"/>
          <w:szCs w:val="18"/>
          <w:u w:val="single" w:color="auto"/>
          <w:color w:val="0000FF"/>
        </w:rPr>
        <w:t>to</w:t>
      </w:r>
      <w:r>
        <w:rPr>
          <w:rFonts w:ascii="Arial" w:cs="Arial" w:eastAsia="Arial" w:hAnsi="Arial"/>
          <w:sz w:val="18"/>
          <w:szCs w:val="18"/>
          <w:color w:val="0000FF"/>
        </w:rPr>
        <w:t xml:space="preserve"> </w:t>
      </w:r>
      <w:r>
        <w:rPr>
          <w:rFonts w:ascii="Arial" w:cs="Arial" w:eastAsia="Arial" w:hAnsi="Arial"/>
          <w:sz w:val="18"/>
          <w:szCs w:val="18"/>
          <w:color w:val="000000"/>
        </w:rPr>
        <w:t>the</w:t>
      </w:r>
      <w:r>
        <w:rPr>
          <w:rFonts w:ascii="Arial" w:cs="Arial" w:eastAsia="Arial" w:hAnsi="Arial"/>
          <w:sz w:val="18"/>
          <w:szCs w:val="18"/>
          <w:color w:val="0000FF"/>
        </w:rPr>
        <w:t xml:space="preserve"> </w:t>
      </w:r>
      <w:r>
        <w:rPr>
          <w:rFonts w:ascii="Arial" w:cs="Arial" w:eastAsia="Arial" w:hAnsi="Arial"/>
          <w:sz w:val="18"/>
          <w:szCs w:val="18"/>
          <w:color w:val="FF0000"/>
          <w:strike w:val="1"/>
        </w:rPr>
        <w:t>case of SOFR Loans, or written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-121920</wp:posOffset>
            </wp:positionV>
            <wp:extent cx="48831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1757045</wp:posOffset>
            </wp:positionH>
            <wp:positionV relativeFrom="paragraph">
              <wp:posOffset>-121920</wp:posOffset>
            </wp:positionV>
            <wp:extent cx="19685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-121920</wp:posOffset>
            </wp:positionV>
            <wp:extent cx="40322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FF0000"/>
          <w:strike w:val="1"/>
        </w:rPr>
        <w:t>notice</w:t>
      </w:r>
      <w:r>
        <w:rPr>
          <w:rFonts w:ascii="Arial" w:cs="Arial" w:eastAsia="Arial" w:hAnsi="Arial"/>
          <w:sz w:val="16"/>
          <w:szCs w:val="16"/>
          <w:u w:val="single" w:color="auto"/>
          <w:color w:val="0000FF"/>
        </w:rPr>
        <w:t>Administrative Agent</w:t>
      </w:r>
      <w:r>
        <w:rPr>
          <w:rFonts w:ascii="Arial" w:cs="Arial" w:eastAsia="Arial" w:hAnsi="Arial"/>
          <w:sz w:val="16"/>
          <w:szCs w:val="16"/>
          <w:color w:val="FF0000"/>
        </w:rPr>
        <w:t xml:space="preserve"> </w:t>
      </w:r>
      <w:r>
        <w:rPr>
          <w:rFonts w:ascii="Arial" w:cs="Arial" w:eastAsia="Arial" w:hAnsi="Arial"/>
          <w:sz w:val="16"/>
          <w:szCs w:val="16"/>
          <w:color w:val="000000"/>
        </w:rPr>
        <w:t>at least one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(1)</w:t>
      </w:r>
      <w:r>
        <w:rPr>
          <w:rFonts w:ascii="Arial" w:cs="Arial" w:eastAsia="Arial" w:hAnsi="Arial"/>
          <w:sz w:val="16"/>
          <w:szCs w:val="16"/>
          <w:color w:val="FF0000"/>
        </w:rPr>
        <w:t xml:space="preserve"> </w:t>
      </w:r>
      <w:r>
        <w:rPr>
          <w:rFonts w:ascii="Arial" w:cs="Arial" w:eastAsia="Arial" w:hAnsi="Arial"/>
          <w:sz w:val="16"/>
          <w:szCs w:val="16"/>
          <w:color w:val="000000"/>
        </w:rPr>
        <w:t>Business Day prior to the date of prepayment</w:t>
      </w:r>
      <w:r>
        <w:rPr>
          <w:rFonts w:ascii="Arial" w:cs="Arial" w:eastAsia="Arial" w:hAnsi="Arial"/>
          <w:sz w:val="16"/>
          <w:szCs w:val="16"/>
          <w:color w:val="FF0000"/>
        </w:rPr>
        <w:t xml:space="preserve"> in the case of ABR Loans, to the Administrative Agent</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58293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-107315</wp:posOffset>
            </wp:positionV>
            <wp:extent cx="8572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-55880</wp:posOffset>
            </wp:positionV>
            <wp:extent cx="25355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 p.m., New York City time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i w:val="1"/>
          <w:iCs w:val="1"/>
          <w:color w:val="FF0000"/>
          <w:strike w:val="1"/>
        </w:rPr>
        <w:t>provided, however</w:t>
      </w:r>
      <w:r>
        <w:rPr>
          <w:rFonts w:ascii="Arial" w:cs="Arial" w:eastAsia="Arial" w:hAnsi="Arial"/>
          <w:sz w:val="16"/>
          <w:szCs w:val="16"/>
          <w:color w:val="FF0000"/>
          <w:strike w:val="1"/>
        </w:rPr>
        <w:t>, that each partial prepayment shall be in an amount that is an integral multiple of $1,000,000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-107315</wp:posOffset>
            </wp:positionV>
            <wp:extent cx="98552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-107315</wp:posOffset>
            </wp:positionV>
            <wp:extent cx="16256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-107315</wp:posOffset>
            </wp:positionV>
            <wp:extent cx="2603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less than $2,500,000</w:t>
      </w:r>
      <w:r>
        <w:rPr>
          <w:rFonts w:ascii="Arial" w:cs="Arial" w:eastAsia="Arial" w:hAnsi="Arial"/>
          <w:sz w:val="18"/>
          <w:szCs w:val="18"/>
          <w:color w:val="000000"/>
        </w:rPr>
        <w:t>.</w:t>
      </w:r>
    </w:p>
    <w:p>
      <w:pPr>
        <w:spacing w:after="0" w:line="211" w:lineRule="exact"/>
        <w:rPr>
          <w:sz w:val="20"/>
          <w:szCs w:val="20"/>
          <w:color w:val="auto"/>
        </w:rPr>
      </w:pPr>
    </w:p>
    <w:p>
      <w:pPr>
        <w:ind w:left="4" w:right="100" w:firstLine="436"/>
        <w:spacing w:after="0" w:line="277" w:lineRule="auto"/>
        <w:tabs>
          <w:tab w:leader="none" w:pos="699" w:val="left"/>
        </w:tabs>
        <w:numPr>
          <w:ilvl w:val="0"/>
          <w:numId w:val="136"/>
        </w:numPr>
        <w:rPr>
          <w:rFonts w:ascii="Arial" w:cs="Arial" w:eastAsia="Arial" w:hAnsi="Arial"/>
          <w:sz w:val="18"/>
          <w:szCs w:val="18"/>
          <w:color w:val="FF0000"/>
          <w:strike w:val="1"/>
        </w:rPr>
      </w:pPr>
      <w:r>
        <w:rPr>
          <w:rFonts w:ascii="Arial" w:cs="Arial" w:eastAsia="Arial" w:hAnsi="Arial"/>
          <w:sz w:val="18"/>
          <w:szCs w:val="18"/>
          <w:color w:val="FF0000"/>
          <w:strike w:val="1"/>
        </w:rPr>
        <w:t>Except as may otherwise be set forth in any Extension Offer or any Refinancing Amendment, voluntary prepayments of Term Loans pursuant to this Section 2.12 shall be applied ratably to each Class of Term Loans then outstanding.</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4" w:right="459" w:bottom="1440" w:gutter="0" w:footer="0" w:header="0"/>
        </w:sectPr>
      </w:pPr>
    </w:p>
    <w:bookmarkStart w:id="214" w:name="page215"/>
    <w:bookmarkEnd w:id="214"/>
    <w:p>
      <w:pPr>
        <w:ind w:left="440"/>
        <w:spacing w:after="0"/>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7"/>
          <w:szCs w:val="17"/>
          <w:u w:val="single" w:color="auto"/>
          <w:color w:val="0000FF"/>
        </w:rPr>
        <w:t>(b)</w:t>
      </w:r>
      <w:r>
        <w:rPr>
          <w:rFonts w:ascii="Arial" w:cs="Arial" w:eastAsia="Arial" w:hAnsi="Arial"/>
          <w:sz w:val="17"/>
          <w:szCs w:val="17"/>
          <w:color w:val="000000"/>
        </w:rPr>
        <w:t xml:space="preserve"> </w:t>
      </w:r>
      <w:r>
        <w:rPr>
          <w:rFonts w:ascii="Arial" w:cs="Arial" w:eastAsia="Arial" w:hAnsi="Arial"/>
          <w:sz w:val="17"/>
          <w:szCs w:val="17"/>
          <w:color w:val="FF0000"/>
          <w:strike w:val="1"/>
        </w:rPr>
        <w:t>Each</w:t>
      </w:r>
      <w:r>
        <w:rPr>
          <w:rFonts w:ascii="Arial" w:cs="Arial" w:eastAsia="Arial" w:hAnsi="Arial"/>
          <w:sz w:val="17"/>
          <w:szCs w:val="17"/>
          <w:u w:val="single" w:color="auto"/>
          <w:color w:val="0000FF"/>
        </w:rPr>
        <w:t>Such</w:t>
      </w:r>
      <w:r>
        <w:rPr>
          <w:rFonts w:ascii="Arial" w:cs="Arial" w:eastAsia="Arial" w:hAnsi="Arial"/>
          <w:sz w:val="17"/>
          <w:szCs w:val="17"/>
          <w:color w:val="FF0000"/>
        </w:rPr>
        <w:t xml:space="preserve"> </w:t>
      </w:r>
      <w:r>
        <w:rPr>
          <w:rFonts w:ascii="Arial" w:cs="Arial" w:eastAsia="Arial" w:hAnsi="Arial"/>
          <w:sz w:val="17"/>
          <w:szCs w:val="17"/>
          <w:color w:val="000000"/>
        </w:rPr>
        <w:t>notice of prepayment shall specify the prepayment date</w:t>
      </w:r>
      <w:r>
        <w:rPr>
          <w:rFonts w:ascii="Arial" w:cs="Arial" w:eastAsia="Arial" w:hAnsi="Arial"/>
          <w:sz w:val="17"/>
          <w:szCs w:val="17"/>
          <w:u w:val="single" w:color="auto"/>
          <w:color w:val="0000FF"/>
        </w:rPr>
        <w:t>, shall be irrevocable</w:t>
      </w:r>
      <w:r>
        <w:rPr>
          <w:rFonts w:ascii="Arial" w:cs="Arial" w:eastAsia="Arial" w:hAnsi="Arial"/>
          <w:sz w:val="17"/>
          <w:szCs w:val="17"/>
          <w:color w:val="FF0000"/>
        </w:rPr>
        <w:t xml:space="preserve"> </w:t>
      </w:r>
      <w:r>
        <w:rPr>
          <w:rFonts w:ascii="Arial" w:cs="Arial" w:eastAsia="Arial" w:hAnsi="Arial"/>
          <w:sz w:val="17"/>
          <w:szCs w:val="17"/>
          <w:color w:val="000000"/>
        </w:rPr>
        <w:t>and</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shall specify</w:t>
      </w:r>
      <w:r>
        <w:rPr>
          <w:rFonts w:ascii="Arial" w:cs="Arial" w:eastAsia="Arial" w:hAnsi="Arial"/>
          <w:sz w:val="17"/>
          <w:szCs w:val="17"/>
          <w:color w:val="FF0000"/>
        </w:rPr>
        <w:t xml:space="preserve"> </w:t>
      </w:r>
      <w:r>
        <w:rPr>
          <w:rFonts w:ascii="Arial" w:cs="Arial" w:eastAsia="Arial" w:hAnsi="Arial"/>
          <w:sz w:val="17"/>
          <w:szCs w:val="17"/>
          <w:color w:val="000000"/>
        </w:rPr>
        <w:t>the principal amount of</w:t>
      </w:r>
      <w:r>
        <w:rPr>
          <w:rFonts w:ascii="Arial" w:cs="Arial" w:eastAsia="Arial" w:hAnsi="Arial"/>
          <w:sz w:val="17"/>
          <w:szCs w:val="17"/>
          <w:color w:val="FF0000"/>
        </w:rPr>
        <w:t xml:space="preserve"> </w:t>
      </w:r>
      <w:r>
        <w:rPr>
          <w:rFonts w:ascii="Arial" w:cs="Arial" w:eastAsia="Arial" w:hAnsi="Arial"/>
          <w:sz w:val="17"/>
          <w:szCs w:val="17"/>
          <w:color w:val="FF0000"/>
          <w:strike w:val="1"/>
        </w:rPr>
        <w:t>each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Borrowing</w:t>
      </w:r>
      <w:r>
        <w:rPr>
          <w:rFonts w:ascii="Arial" w:cs="Arial" w:eastAsia="Arial" w:hAnsi="Arial"/>
          <w:sz w:val="17"/>
          <w:szCs w:val="17"/>
          <w:u w:val="single" w:color="auto"/>
          <w:color w:val="0000FF"/>
        </w:rPr>
        <w:t>the Term Loans</w:t>
      </w:r>
      <w:r>
        <w:rPr>
          <w:rFonts w:ascii="Arial" w:cs="Arial" w:eastAsia="Arial" w:hAnsi="Arial"/>
          <w:sz w:val="17"/>
          <w:szCs w:val="17"/>
          <w:color w:val="FF0000"/>
        </w:rPr>
        <w:t xml:space="preserve"> </w:t>
      </w:r>
      <w:r>
        <w:rPr>
          <w:rFonts w:ascii="Arial" w:cs="Arial" w:eastAsia="Arial" w:hAnsi="Arial"/>
          <w:sz w:val="17"/>
          <w:szCs w:val="17"/>
          <w:color w:val="000000"/>
        </w:rPr>
        <w:t>(or portion thereof) to be prepaid</w:t>
      </w:r>
      <w:r>
        <w:rPr>
          <w:rFonts w:ascii="Arial" w:cs="Arial" w:eastAsia="Arial" w:hAnsi="Arial"/>
          <w:sz w:val="17"/>
          <w:szCs w:val="17"/>
          <w:color w:val="FF0000"/>
        </w:rPr>
        <w:t xml:space="preserve"> </w:t>
      </w:r>
      <w:r>
        <w:rPr>
          <w:rFonts w:ascii="Arial" w:cs="Arial" w:eastAsia="Arial" w:hAnsi="Arial"/>
          <w:sz w:val="17"/>
          <w:szCs w:val="17"/>
          <w:color w:val="FF0000"/>
          <w:strike w:val="1"/>
        </w:rPr>
        <w:t>shall be irrevocable and shall commit the Borrower to prepay such Borrowing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-114935</wp:posOffset>
            </wp:positionV>
            <wp:extent cx="13716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-114935</wp:posOffset>
            </wp:positionV>
            <wp:extent cx="23114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-114935</wp:posOffset>
            </wp:positionV>
            <wp:extent cx="177482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amount stated therein</w:t>
      </w:r>
      <w:r>
        <w:rPr>
          <w:rFonts w:ascii="Arial" w:cs="Arial" w:eastAsia="Arial" w:hAnsi="Arial"/>
          <w:sz w:val="16"/>
          <w:szCs w:val="16"/>
          <w:color w:val="FF0000"/>
        </w:rPr>
        <w:t xml:space="preserve"> </w:t>
      </w:r>
      <w:r>
        <w:rPr>
          <w:rFonts w:ascii="Arial" w:cs="Arial" w:eastAsia="Arial" w:hAnsi="Arial"/>
          <w:sz w:val="16"/>
          <w:szCs w:val="16"/>
          <w:color w:val="000000"/>
        </w:rPr>
        <w:t>on the date stated therein; provided, however, that a notice of prepayment delivered by the Borrower may state that such notice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-107315</wp:posOffset>
            </wp:positionV>
            <wp:extent cx="71120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conditioned upon the consummation of </w:t>
      </w:r>
      <w:r>
        <w:rPr>
          <w:rFonts w:ascii="Arial" w:cs="Arial" w:eastAsia="Arial" w:hAnsi="Arial"/>
          <w:sz w:val="16"/>
          <w:szCs w:val="16"/>
          <w:color w:val="FF0000"/>
          <w:strike w:val="1"/>
        </w:rPr>
        <w:t>an acquisition or</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sale transaction </w:t>
      </w:r>
      <w:r>
        <w:rPr>
          <w:rFonts w:ascii="Arial" w:cs="Arial" w:eastAsia="Arial" w:hAnsi="Arial"/>
          <w:sz w:val="16"/>
          <w:szCs w:val="16"/>
          <w:color w:val="FF0000"/>
          <w:strike w:val="1"/>
        </w:rPr>
        <w:t>or upon the effectiveness of other credit facilities or the receipt of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from the issuance of other Indebtedness</w:t>
      </w:r>
      <w:r>
        <w:rPr>
          <w:rFonts w:ascii="Arial" w:cs="Arial" w:eastAsia="Arial" w:hAnsi="Arial"/>
          <w:sz w:val="17"/>
          <w:szCs w:val="17"/>
          <w:color w:val="FF0000"/>
        </w:rPr>
        <w:t xml:space="preserve"> </w:t>
      </w:r>
      <w:r>
        <w:rPr>
          <w:rFonts w:ascii="Arial" w:cs="Arial" w:eastAsia="Arial" w:hAnsi="Arial"/>
          <w:sz w:val="17"/>
          <w:szCs w:val="17"/>
          <w:color w:val="000000"/>
        </w:rPr>
        <w:t>or any other specified event, in which case such notice may be revoked by the Borrower (by notice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-114935</wp:posOffset>
            </wp:positionV>
            <wp:extent cx="5143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on or prior to the specified effective date) if such condition is not satisfied. All prepayments under this Section 2.12 shall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subject to Section 2.12(d) (to the extent applicable) and Section 2.05(c) but otherwise without premium or penalty. All prepayments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Section 2.12 shall be</w:t>
      </w:r>
      <w:r>
        <w:rPr>
          <w:rFonts w:ascii="Arial" w:cs="Arial" w:eastAsia="Arial" w:hAnsi="Arial"/>
          <w:sz w:val="16"/>
          <w:szCs w:val="16"/>
          <w:color w:val="FF0000"/>
        </w:rPr>
        <w:t xml:space="preserve"> </w:t>
      </w:r>
      <w:r>
        <w:rPr>
          <w:rFonts w:ascii="Arial" w:cs="Arial" w:eastAsia="Arial" w:hAnsi="Arial"/>
          <w:sz w:val="16"/>
          <w:szCs w:val="16"/>
          <w:color w:val="000000"/>
        </w:rPr>
        <w:t>accompanied by</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all</w:t>
      </w:r>
      <w:r>
        <w:rPr>
          <w:rFonts w:ascii="Arial" w:cs="Arial" w:eastAsia="Arial" w:hAnsi="Arial"/>
          <w:sz w:val="16"/>
          <w:szCs w:val="16"/>
          <w:color w:val="FF0000"/>
        </w:rPr>
        <w:t xml:space="preserve"> </w:t>
      </w:r>
      <w:r>
        <w:rPr>
          <w:rFonts w:ascii="Arial" w:cs="Arial" w:eastAsia="Arial" w:hAnsi="Arial"/>
          <w:sz w:val="16"/>
          <w:szCs w:val="16"/>
          <w:color w:val="000000"/>
        </w:rPr>
        <w:t>accrued and unpaid interest on the principal amount to be prepaid to but excluding the date of payment</w:t>
      </w:r>
      <w:r>
        <w:rPr>
          <w:rFonts w:ascii="Arial" w:cs="Arial" w:eastAsia="Arial" w:hAnsi="Arial"/>
          <w:sz w:val="16"/>
          <w:szCs w:val="16"/>
          <w:color w:val="FF0000"/>
        </w:rPr>
        <w:t xml:space="preserve"> </w:t>
      </w:r>
      <w:r>
        <w:rPr>
          <w:rFonts w:ascii="Arial" w:cs="Arial" w:eastAsia="Arial" w:hAnsi="Arial"/>
          <w:sz w:val="16"/>
          <w:szCs w:val="16"/>
          <w:color w:val="0000FF"/>
        </w:rPr>
        <w:t>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6593205</wp:posOffset>
            </wp:positionH>
            <wp:positionV relativeFrom="paragraph">
              <wp:posOffset>-4445</wp:posOffset>
            </wp:positionV>
            <wp:extent cx="33591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fees, expenses and other outstanding Obligations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-121920</wp:posOffset>
            </wp:positionV>
            <wp:extent cx="13716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-121920</wp:posOffset>
            </wp:positionV>
            <wp:extent cx="34290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23710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1" w:lineRule="exact"/>
        <w:rPr>
          <w:sz w:val="20"/>
          <w:szCs w:val="20"/>
          <w:color w:val="auto"/>
        </w:rPr>
      </w:pPr>
    </w:p>
    <w:p>
      <w:pPr>
        <w:ind w:firstLine="987"/>
        <w:spacing w:after="0" w:line="284" w:lineRule="auto"/>
        <w:tabs>
          <w:tab w:leader="none" w:pos="1246" w:val="left"/>
        </w:tabs>
        <w:numPr>
          <w:ilvl w:val="0"/>
          <w:numId w:val="137"/>
        </w:numPr>
        <w:rPr>
          <w:rFonts w:ascii="Arial" w:cs="Arial" w:eastAsia="Arial" w:hAnsi="Arial"/>
          <w:sz w:val="16"/>
          <w:szCs w:val="16"/>
          <w:color w:val="FF0000"/>
          <w:strike w:val="1"/>
        </w:rPr>
      </w:pPr>
      <w:r>
        <w:rPr>
          <w:rFonts w:ascii="Arial" w:cs="Arial" w:eastAsia="Arial" w:hAnsi="Arial"/>
          <w:sz w:val="16"/>
          <w:szCs w:val="16"/>
          <w:color w:val="FF0000"/>
          <w:strike w:val="1"/>
        </w:rPr>
        <w:t>In the event that, (i) the Borrower voluntarily prepays any Tranche B-2 Term Loans, (ii) the Borrower makes any mandatory prepayment of the Tranche B-2 Term Loans pursuant to Sections 2.13(a)(ii), 2.13(a)(iii), 2.13(a)(iv) or 2.13(a)(v), (iii) a Term Lender is deemed a Non-Consenting Lender and must assign its Tranche B-2 Term Loans pursuant to Section 3.06(a) or (iv) the Tranche B-2 Term Loans are accelerated, then in each case, the Borrower shall pay to the Administrative Agent on the date of such prepayment, assignment or acceleration, for the ratable account of each applicable Term Lender, a prepayment premium equal to (x) 3% of the aggregate amount of the applicable Tranche B-2 Term Loans being prepaid, accelerated or assigned if such prepayment, acceleration or assignment occurs after the Restatement Effective Date but prior to the first anniversary of the Restatement Effective Date, (y) 2% of the aggregate amount of the applicable Tranche B-2 Term Loans being prepaid, accelerated or assigned if such prepayment or assignment occurs on or after the first but prior to the second anniversary of the Restatement Effective Date and (z) 1% of the aggregate amount of the applicable Tranche B-2 Term Loans being prepaid, accelerated or assigned if such prepayment, acceleration or assignment occurs on or after the second but prior to the third anniversary of the Restatement Effective Date (the foregoing premiums, the “</w:t>
      </w:r>
      <w:r>
        <w:rPr>
          <w:rFonts w:ascii="Arial" w:cs="Arial" w:eastAsia="Arial" w:hAnsi="Arial"/>
          <w:sz w:val="16"/>
          <w:szCs w:val="16"/>
          <w:b w:val="1"/>
          <w:bCs w:val="1"/>
          <w:color w:val="FF0000"/>
          <w:strike w:val="1"/>
        </w:rPr>
        <w:t>Prepayment</w:t>
      </w:r>
      <w:r>
        <w:rPr>
          <w:rFonts w:ascii="Arial" w:cs="Arial" w:eastAsia="Arial" w:hAnsi="Arial"/>
          <w:sz w:val="16"/>
          <w:szCs w:val="16"/>
          <w:color w:val="FF0000"/>
          <w:strike w:val="1"/>
        </w:rPr>
        <w:t xml:space="preserve"> </w:t>
      </w:r>
      <w:r>
        <w:rPr>
          <w:rFonts w:ascii="Arial" w:cs="Arial" w:eastAsia="Arial" w:hAnsi="Arial"/>
          <w:sz w:val="16"/>
          <w:szCs w:val="16"/>
          <w:b w:val="1"/>
          <w:bCs w:val="1"/>
          <w:color w:val="FF0000"/>
          <w:strike w:val="1"/>
        </w:rPr>
        <w:t>Premium</w:t>
      </w: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b w:val="1"/>
          <w:bCs w:val="1"/>
          <w:color w:val="FF0000"/>
          <w:strike w:val="1"/>
        </w:rPr>
        <w:t xml:space="preserve"> </w:t>
      </w:r>
      <w:r>
        <w:rPr>
          <w:rFonts w:ascii="Arial" w:cs="Arial" w:eastAsia="Arial" w:hAnsi="Arial"/>
          <w:sz w:val="16"/>
          <w:szCs w:val="16"/>
          <w:color w:val="FF0000"/>
          <w:strike w:val="1"/>
        </w:rPr>
        <w:t>that (A) for the avoidance of doubt, no Prepayment Premium shall be payable on or following the third anniversary of the</w:t>
      </w:r>
      <w:r>
        <w:rPr>
          <w:rFonts w:ascii="Arial" w:cs="Arial" w:eastAsia="Arial" w:hAnsi="Arial"/>
          <w:sz w:val="16"/>
          <w:szCs w:val="16"/>
          <w:b w:val="1"/>
          <w:bCs w:val="1"/>
          <w:color w:val="FF0000"/>
          <w:strike w:val="1"/>
        </w:rPr>
        <w:t xml:space="preserve"> </w:t>
      </w:r>
      <w:r>
        <w:rPr>
          <w:rFonts w:ascii="Arial" w:cs="Arial" w:eastAsia="Arial" w:hAnsi="Arial"/>
          <w:sz w:val="16"/>
          <w:szCs w:val="16"/>
          <w:color w:val="FF0000"/>
          <w:strike w:val="1"/>
        </w:rPr>
        <w:t>Restatement Effective Date and (B) the Prepayment Premium shall not apply to mandatory prepayments of the Tranche B-2 Term Loans pursuant to Section 2.13(a)(ii) that do not exceed $100,000,000 in the aggregate during the term of this Agreement. Without limiting the generality of the foregoing, it is understood and agreed that if the Tranche B-2 Term Loans are accelerated or otherwise become due prior to their maturity date, in each case, in respect of any Event of Default (including upon the occurrence of a bankruptcy or insolvency event (including the acceleration of claims by operation of law)), the Prepayment Premium applicable with respect to a voluntary prepayment of the Tranche B-2 Term Loans will also be due and payable on the date of such acceleration or such other prior due date as though the Tranche B-2 Term Loans were voluntarily prepaid as of such date and shall constitute part of the Obligations, in view of the impracticability and extreme difficulty of ascertaining actual damages and by mutual agreement of the parties as to a reasonable calculation of each Term Lender’s loss as a result thereof. Any premium payable above shall be presumed to be the liquidated damages sustained by each Term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Term Lenders and the Borrower giving specific consideration in this transaction for such agreement to pay the Prepayment Premium; and (D) the Borrower shall be estopped hereafter from claiming differently than as agreed to in this paragraph.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215" w:name="page216"/>
    <w:bookmarkEnd w:id="215"/>
    <w:p>
      <w:pPr>
        <w:ind w:left="4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2.13</w:t>
      </w:r>
      <w:r>
        <w:rPr>
          <w:rFonts w:ascii="Arial" w:cs="Arial" w:eastAsia="Arial" w:hAnsi="Arial"/>
          <w:sz w:val="18"/>
          <w:szCs w:val="18"/>
          <w:color w:val="FF0000"/>
        </w:rPr>
        <w:t xml:space="preserve"> </w:t>
      </w:r>
      <w:r>
        <w:rPr>
          <w:rFonts w:ascii="Arial" w:cs="Arial" w:eastAsia="Arial" w:hAnsi="Arial"/>
          <w:sz w:val="18"/>
          <w:szCs w:val="18"/>
          <w:color w:val="0000FF"/>
        </w:rPr>
        <w:t>Section 2.13 </w:t>
      </w:r>
      <w:r>
        <w:rPr>
          <w:rFonts w:ascii="Arial" w:cs="Arial" w:eastAsia="Arial" w:hAnsi="Arial"/>
          <w:sz w:val="18"/>
          <w:szCs w:val="18"/>
          <w:i w:val="1"/>
          <w:iCs w:val="1"/>
          <w:color w:val="FF0000"/>
          <w:strike w:val="1"/>
        </w:rPr>
        <w:t>Mandatory Prepayments</w:t>
      </w:r>
      <w:r>
        <w:rPr>
          <w:rFonts w:ascii="Arial" w:cs="Arial" w:eastAsia="Arial" w:hAnsi="Arial"/>
          <w:sz w:val="18"/>
          <w:szCs w:val="18"/>
          <w:i w:val="1"/>
          <w:iCs w:val="1"/>
          <w:u w:val="single" w:color="auto"/>
          <w:color w:val="0000FF"/>
        </w:rPr>
        <w:t>[Reserved]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23495</wp:posOffset>
            </wp:positionV>
            <wp:extent cx="68580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-10160</wp:posOffset>
            </wp:positionV>
            <wp:extent cx="68516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23495</wp:posOffset>
            </wp:positionV>
            <wp:extent cx="50609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5" w:lineRule="exact"/>
        <w:rPr>
          <w:sz w:val="20"/>
          <w:szCs w:val="20"/>
          <w:color w:val="auto"/>
        </w:rPr>
      </w:pPr>
    </w:p>
    <w:p>
      <w:pPr>
        <w:ind w:right="260" w:firstLine="436"/>
        <w:spacing w:after="0" w:line="291" w:lineRule="auto"/>
        <w:tabs>
          <w:tab w:leader="none" w:pos="685" w:val="left"/>
        </w:tabs>
        <w:numPr>
          <w:ilvl w:val="0"/>
          <w:numId w:val="138"/>
        </w:numPr>
        <w:rPr>
          <w:rFonts w:ascii="Arial" w:cs="Arial" w:eastAsia="Arial" w:hAnsi="Arial"/>
          <w:sz w:val="16"/>
          <w:szCs w:val="16"/>
          <w:color w:val="FF0000"/>
          <w:strike w:val="1"/>
        </w:rPr>
      </w:pPr>
      <w:r>
        <w:rPr>
          <w:rFonts w:ascii="Arial" w:cs="Arial" w:eastAsia="Arial" w:hAnsi="Arial"/>
          <w:sz w:val="16"/>
          <w:szCs w:val="16"/>
          <w:color w:val="FF0000"/>
          <w:strike w:val="1"/>
        </w:rPr>
        <w:t>(i) Within five (5) Business Days after the earlier of (x) 90 days after the end of each Excess Cash Flow Period and (y) the date on which financial statements have been delivered pursuant to Section 6.01(a) (commencing with the Excess Cash Flow Period ended December 31, 2019) and</w:t>
      </w:r>
    </w:p>
    <w:p>
      <w:pPr>
        <w:spacing w:after="0" w:line="266" w:lineRule="auto"/>
        <w:rPr>
          <w:sz w:val="20"/>
          <w:szCs w:val="20"/>
          <w:color w:val="auto"/>
        </w:rPr>
      </w:pPr>
      <w:r>
        <w:rPr>
          <w:rFonts w:ascii="Arial" w:cs="Arial" w:eastAsia="Arial" w:hAnsi="Arial"/>
          <w:sz w:val="17"/>
          <w:szCs w:val="17"/>
          <w:color w:val="FF0000"/>
          <w:strike w:val="1"/>
        </w:rPr>
        <w:t xml:space="preserve">the related Compliance Certificate has been delivered pursuant to Section 6.02(a), the Borrower shall cause to be prepaid an aggregate amount of Term Loans in an amount equal to (A) the Applicable ECF Percentage of Excess Cash Flow, if any, for the Excess Cash Flow Period covered or required to have been covered by such financial statements minus (B) the sum of (1) all voluntary prepayments of principal of Term Loans (including the amount of cash used to make all debt buybacks and repurchases pursuant to Section 10.04(k)), and (2) all voluntary prepayments of loans under the ABL Facility during such fiscal year to the extent accompanied by a corresponding permanent reduction in the commitments under the ABL Facility and, in the case of each of the immediately preceding clauses (1) and (2), to the extent such prepayments are funded with Internally Generated Cash;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the amount of prepayment required under this Section 2.13(a)(i) shall be reduced to the extent (but only to the extent) that (x) after giving effect to such prepayment, the sum of (a) the maximum aggregate amount available to be drawn under the ABL Credit Agreement that would not result in a Financial Covenant Trigger Period under the ABL Facility (or any similar term under any replacement ABL Facility) plus (b) the aggregate amount of cash and Cash Equivalents of the Borrower and its Restricted Subsidiaries (other than any cash or Cash Equivalents appearing on the consolidated balance sheet of the Borrower as “restricted” (or with a like designation)) would be less than $200,000,000 and (y) the Borrower shall have delivered to the Administrative Agent a certificate of a Responsible Officer certifying as to the foregoing. Notwithstanding anything to the contrary contained herein, the Borrower shall not be obligated to make any such prepayments described in this Section 2.13(a)(i) (and no Default or Event of Default shall arise as a result of such nonpayment) to the extent such payment would otherwise constitute a violation or breach of the ABL Credit Agreement in respect of minimum liquidity requirements (as in effect on the date hereof in respect of such restriction, or as otherwise modified, supplemented or amended in a manner not adverse to the Lenders).</w:t>
      </w:r>
    </w:p>
    <w:p>
      <w:pPr>
        <w:spacing w:after="0" w:line="191" w:lineRule="exact"/>
        <w:rPr>
          <w:sz w:val="20"/>
          <w:szCs w:val="20"/>
          <w:color w:val="auto"/>
        </w:rPr>
      </w:pPr>
    </w:p>
    <w:p>
      <w:pPr>
        <w:ind w:left="980" w:right="120" w:firstLine="401"/>
        <w:spacing w:after="0" w:line="269" w:lineRule="auto"/>
        <w:rPr>
          <w:sz w:val="20"/>
          <w:szCs w:val="20"/>
          <w:color w:val="auto"/>
        </w:rPr>
      </w:pPr>
      <w:r>
        <w:rPr>
          <w:rFonts w:ascii="Arial" w:cs="Arial" w:eastAsia="Arial" w:hAnsi="Arial"/>
          <w:sz w:val="17"/>
          <w:szCs w:val="17"/>
          <w:color w:val="FF0000"/>
          <w:strike w:val="1"/>
        </w:rPr>
        <w:t>(ii)</w:t>
      </w:r>
      <w:r>
        <w:rPr>
          <w:rFonts w:ascii="Arial" w:cs="Arial" w:eastAsia="Arial" w:hAnsi="Arial"/>
          <w:sz w:val="17"/>
          <w:szCs w:val="17"/>
          <w:color w:val="000000"/>
        </w:rPr>
        <w:t xml:space="preserve"> </w:t>
      </w:r>
      <w:r>
        <w:rPr>
          <w:rFonts w:ascii="Arial" w:cs="Arial" w:eastAsia="Arial" w:hAnsi="Arial"/>
          <w:sz w:val="17"/>
          <w:szCs w:val="17"/>
          <w:color w:val="FF0000"/>
          <w:strike w:val="1"/>
        </w:rPr>
        <w:t>If (1) the Borrower or any Restricted Subsidiary Disposes of any Real Property (including any Specified Amendment No. 3</w:t>
      </w:r>
      <w:r>
        <w:rPr>
          <w:rFonts w:ascii="Arial" w:cs="Arial" w:eastAsia="Arial" w:hAnsi="Arial"/>
          <w:sz w:val="17"/>
          <w:szCs w:val="17"/>
          <w:color w:val="FF0000"/>
        </w:rPr>
        <w:t xml:space="preserve"> </w:t>
      </w:r>
      <w:r>
        <w:rPr>
          <w:rFonts w:ascii="Arial" w:cs="Arial" w:eastAsia="Arial" w:hAnsi="Arial"/>
          <w:sz w:val="17"/>
          <w:szCs w:val="17"/>
          <w:color w:val="FF0000"/>
          <w:strike w:val="1"/>
        </w:rPr>
        <w:t>Real Property), Rolling Stock or Disposes of any other property or assets pursuant to Section 7.05 (j), (l) or (t) or under any transaction that would be prohibited by Section 7.05 (other than (w) so long as the ABL Credit Agreement is in effect, any Disposition of ABL Priority Collateral, (x) so long as the UST Tranche B Credit Agreement is in effect, any Disposition of UST Tranche B Priority Collateral or UST Tranche B Only Collateral, (y) so long as the UST Tranche A Credit Agreement is in effect, any Disposition of UST Tranche A Only Collateral, and (z) leases of Real Property entered into in the ordinary course of business (excluding Sale and Leaseback Transactions)), or (2) any Casualty Event occurs, which results in the realization or receipt by the Borrower or a Restricted Subsidiary of Net Proceeds, the Borrower shall cause to be prepaid on or prior to the date which is ten (10) Business Days after the date of the realization or receipt by the Borrower or any Restricted Subsidiary of such Net Proceeds an aggregate principal amount of Term Loans in an amount equal to 100% of the Net Proceeds (or, in the case of any Disposition of, or Sale and Leaseback Transaction, with respect to Real Property, 100% of the Real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216" w:name="page217"/>
    <w:bookmarkEnd w:id="216"/>
    <w:p>
      <w:pPr>
        <w:ind w:left="980"/>
        <w:spacing w:after="0" w:line="286"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Property Disposition Proceeds) realized or received. Notwithstanding the foregoing, (i) solely with respect to Dispositions of UST Tranche B Joint Collateral, Net Proceeds of Dispositions of UST Tranche B Joint Collateral shall be applied as follows: (A) an amount equal to 33% of such Net Proceeds shall be applied to the prepayment of the Term Loans (and applied ratably to each Class of Term Loans then outstanding) in accordance with this Section 2.13(a)(ii) and (B) an amount equal to 67% of such Net Proceeds shall be applied to the prepayment of the UST Tranche B Facility Indebtedness, in each case, during the Specified Rolling Stock Prepayment Period without giving effect to any thresholds (except for the Specified Rolling Stock Reinvestment Threshold referred to in clause (ii) of the proviso to clause (a) of the definition of Net Proceeds) or reinvestment rights, and (ii) solely with respect to Dispositions of Specified Rolling Stock, prepayments of the Term Loans required pursuant to this Section 2.13(a)(ii) from the Net Proceeds of such Disposition of Specified Rolling Stock shall be made not later than the date that is five (5) Business Days after the end of the calendar month in which such Disposition of Specified Rolling Stock is made;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in each case, the Borrower shall comply with the requirements set forth in the definition of “Net Proceeds”, including the requirements regarding application of such proceeds and, as required, deposit and maintenance of such proceeds in the specified accounts. Notwithstanding anything else herein to the contrary, in the case of the Compton Sale, the Borrower and its Subsidiaries shall cause the Net Proceeds therefrom to be funded directly to the Administrative Agent on the date such sale is consummated for application to prepay the Term Loans in accordance with this Section 2.13(a)(ii).</w:t>
      </w:r>
    </w:p>
    <w:p>
      <w:pPr>
        <w:spacing w:after="0" w:line="171" w:lineRule="exact"/>
        <w:rPr>
          <w:sz w:val="20"/>
          <w:szCs w:val="20"/>
          <w:color w:val="auto"/>
        </w:rPr>
      </w:pPr>
    </w:p>
    <w:p>
      <w:pPr>
        <w:ind w:left="980" w:firstLine="401"/>
        <w:spacing w:after="0" w:line="275" w:lineRule="auto"/>
        <w:rPr>
          <w:sz w:val="20"/>
          <w:szCs w:val="20"/>
          <w:color w:val="auto"/>
        </w:rPr>
      </w:pPr>
      <w:r>
        <w:rPr>
          <w:rFonts w:ascii="Arial" w:cs="Arial" w:eastAsia="Arial" w:hAnsi="Arial"/>
          <w:sz w:val="17"/>
          <w:szCs w:val="17"/>
          <w:color w:val="FF0000"/>
          <w:strike w:val="1"/>
        </w:rPr>
        <w:t>(iii)</w:t>
      </w:r>
      <w:r>
        <w:rPr>
          <w:rFonts w:ascii="Arial" w:cs="Arial" w:eastAsia="Arial" w:hAnsi="Arial"/>
          <w:sz w:val="17"/>
          <w:szCs w:val="17"/>
          <w:color w:val="000000"/>
        </w:rPr>
        <w:t xml:space="preserve"> </w:t>
      </w:r>
      <w:r>
        <w:rPr>
          <w:rFonts w:ascii="Arial" w:cs="Arial" w:eastAsia="Arial" w:hAnsi="Arial"/>
          <w:sz w:val="17"/>
          <w:szCs w:val="17"/>
          <w:color w:val="FF0000"/>
          <w:strike w:val="1"/>
        </w:rPr>
        <w:t>If the Borrower or any Restricted Subsidiary incurs or issues any Indebtedness after the Restatement Effective Date (other than</w:t>
      </w:r>
      <w:r>
        <w:rPr>
          <w:rFonts w:ascii="Arial" w:cs="Arial" w:eastAsia="Arial" w:hAnsi="Arial"/>
          <w:sz w:val="17"/>
          <w:szCs w:val="17"/>
          <w:color w:val="FF0000"/>
        </w:rPr>
        <w:t xml:space="preserve"> </w:t>
      </w:r>
      <w:r>
        <w:rPr>
          <w:rFonts w:ascii="Arial" w:cs="Arial" w:eastAsia="Arial" w:hAnsi="Arial"/>
          <w:sz w:val="17"/>
          <w:szCs w:val="17"/>
          <w:color w:val="FF0000"/>
          <w:strike w:val="1"/>
        </w:rPr>
        <w:t>Indebtedness permitted under Section 7.03 (other than any Credit Agreement Refinancing Indebtedness)), the Borrower shall cause to be prepaid an aggregate principal amount of Term Loans in an amount equal to 100% of all Net Proceeds received therefrom on or prior to the date which is five (5) Business Days after (or, in the case of Credit Agreement Refinancing Indebtedness, one Business Day after) the receipt by the Borrower or such Restricted Subsidiary of such Net Proceeds.</w:t>
      </w:r>
    </w:p>
    <w:p>
      <w:pPr>
        <w:spacing w:after="0" w:line="17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FF0000"/>
          <w:strike w:val="1"/>
        </w:rPr>
        <w:t>(iv)</w:t>
      </w:r>
      <w:r>
        <w:rPr>
          <w:rFonts w:ascii="Arial" w:cs="Arial" w:eastAsia="Arial" w:hAnsi="Arial"/>
          <w:sz w:val="18"/>
          <w:szCs w:val="18"/>
          <w:color w:val="000000"/>
        </w:rPr>
        <w:t xml:space="preserve"> </w:t>
      </w:r>
      <w:r>
        <w:rPr>
          <w:rFonts w:ascii="Arial" w:cs="Arial" w:eastAsia="Arial" w:hAnsi="Arial"/>
          <w:sz w:val="18"/>
          <w:szCs w:val="18"/>
          <w:color w:val="FF0000"/>
          <w:strike w:val="1"/>
        </w:rPr>
        <w:t>If the Borrower issues any Subordinated Indebtedness after the Restatement Effective Date, the Borrower shall cause to be prepaid</w:t>
      </w:r>
      <w:r>
        <w:rPr>
          <w:rFonts w:ascii="Arial" w:cs="Arial" w:eastAsia="Arial" w:hAnsi="Arial"/>
          <w:sz w:val="18"/>
          <w:szCs w:val="18"/>
          <w:color w:val="FF0000"/>
        </w:rPr>
        <w:t xml:space="preserve"> </w:t>
      </w:r>
      <w:r>
        <w:rPr>
          <w:rFonts w:ascii="Arial" w:cs="Arial" w:eastAsia="Arial" w:hAnsi="Arial"/>
          <w:sz w:val="18"/>
          <w:szCs w:val="18"/>
          <w:color w:val="FF0000"/>
          <w:strike w:val="1"/>
        </w:rPr>
        <w:t>an aggregate principal amount of Term Loans in an amount equal to 33% of all Net Proceeds received therefrom on or prior to the date which is five (5) Business Days after the receipt by the Borrower of such Net Proceeds.</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FF0000"/>
          <w:strike w:val="1"/>
        </w:rPr>
        <w:t>(v)</w:t>
      </w:r>
      <w:r>
        <w:rPr>
          <w:rFonts w:ascii="Arial" w:cs="Arial" w:eastAsia="Arial" w:hAnsi="Arial"/>
          <w:sz w:val="18"/>
          <w:szCs w:val="18"/>
          <w:color w:val="000000"/>
        </w:rPr>
        <w:t xml:space="preserve"> </w:t>
      </w:r>
      <w:r>
        <w:rPr>
          <w:rFonts w:ascii="Arial" w:cs="Arial" w:eastAsia="Arial" w:hAnsi="Arial"/>
          <w:sz w:val="18"/>
          <w:szCs w:val="18"/>
          <w:color w:val="FF0000"/>
          <w:strike w:val="1"/>
        </w:rPr>
        <w:t>If the Borrower issues any Equity Interests (excluding, for the avoidance of doubt, any Treasury Equity) after the Amendment No. 2</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Effective Date, the Borrower shall cause to be prepaid an aggregate principal amount of Term Loans in an amount equal to 50% of all Net Equity Proceeds received therefrom on or prior to the date which is five (5) Business Days after the receipt by the Borrower of such Net Equity Proceeds;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the Borrower shall only be required to apply up to $30,000,000 in the aggregate of Net Equity Proceeds pursuant to this Section 2.13(a)</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(v).</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217" w:name="page218"/>
    <w:bookmarkEnd w:id="217"/>
    <w:p>
      <w:pPr>
        <w:ind w:left="4" w:right="80" w:firstLine="440"/>
        <w:spacing w:after="0" w:line="259"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Except as may otherwise be set forth in any Extension Offer, any Refinancing Amendment, any Permitted Repricing Amendment or any other governing documentation, each prepayment of Term Loans pursuant to Section 2.13(a) shall be applied ratably to each Class of Term Loans then outstanding;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any prepayment of Term Loans pursuant to the parenthetical in Section 2.13(a)(iii) shall be applied solely to each applicable Class of Refinanced Debt.</w:t>
      </w:r>
    </w:p>
    <w:p>
      <w:pPr>
        <w:spacing w:after="0" w:line="187" w:lineRule="exact"/>
        <w:rPr>
          <w:sz w:val="20"/>
          <w:szCs w:val="20"/>
          <w:color w:val="auto"/>
        </w:rPr>
      </w:pPr>
    </w:p>
    <w:p>
      <w:pPr>
        <w:jc w:val="both"/>
        <w:ind w:left="4" w:right="200" w:firstLine="436"/>
        <w:spacing w:after="0" w:line="263" w:lineRule="auto"/>
        <w:tabs>
          <w:tab w:leader="none" w:pos="689" w:val="left"/>
        </w:tabs>
        <w:numPr>
          <w:ilvl w:val="0"/>
          <w:numId w:val="139"/>
        </w:numPr>
        <w:rPr>
          <w:rFonts w:ascii="Arial" w:cs="Arial" w:eastAsia="Arial" w:hAnsi="Arial"/>
          <w:sz w:val="18"/>
          <w:szCs w:val="18"/>
          <w:color w:val="FF0000"/>
          <w:strike w:val="1"/>
        </w:rPr>
      </w:pPr>
      <w:r>
        <w:rPr>
          <w:rFonts w:ascii="Arial" w:cs="Arial" w:eastAsia="Arial" w:hAnsi="Arial"/>
          <w:sz w:val="18"/>
          <w:szCs w:val="18"/>
          <w:color w:val="FF0000"/>
          <w:strike w:val="1"/>
        </w:rPr>
        <w:t>With respect to each Class of Term Loans, each prepayment pursuant to Section 2.13(a) shall be paid to the Lenders in accordance with their respective Pro Rata Shares, subject to Section 2.13(d). For the avoidance of doubt, this Section 2.13(c) is applicable to any prepayment made with the Net Proceeds of Credit Agreement Refinancing Indebtedness.</w:t>
      </w:r>
    </w:p>
    <w:p>
      <w:pPr>
        <w:spacing w:after="0" w:line="183" w:lineRule="exact"/>
        <w:rPr>
          <w:rFonts w:ascii="Arial" w:cs="Arial" w:eastAsia="Arial" w:hAnsi="Arial"/>
          <w:sz w:val="18"/>
          <w:szCs w:val="18"/>
          <w:color w:val="FF0000"/>
          <w:strike w:val="1"/>
        </w:rPr>
      </w:pPr>
    </w:p>
    <w:p>
      <w:pPr>
        <w:ind w:left="704" w:hanging="264"/>
        <w:spacing w:after="0"/>
        <w:tabs>
          <w:tab w:leader="none" w:pos="704" w:val="left"/>
        </w:tabs>
        <w:numPr>
          <w:ilvl w:val="0"/>
          <w:numId w:val="139"/>
        </w:numPr>
        <w:rPr>
          <w:rFonts w:ascii="Arial" w:cs="Arial" w:eastAsia="Arial" w:hAnsi="Arial"/>
          <w:sz w:val="16"/>
          <w:szCs w:val="16"/>
          <w:color w:val="FF0000"/>
          <w:strike w:val="1"/>
        </w:rPr>
      </w:pPr>
      <w:r>
        <w:rPr>
          <w:rFonts w:ascii="Arial" w:cs="Arial" w:eastAsia="Arial" w:hAnsi="Arial"/>
          <w:sz w:val="16"/>
          <w:szCs w:val="16"/>
          <w:color w:val="FF0000"/>
          <w:strike w:val="1"/>
        </w:rPr>
        <w:t>The Borrower shall notify the Administrative Agent in writing of any mandatory prepayment of Term Loans required to be made pursuant to</w:t>
      </w:r>
    </w:p>
    <w:p>
      <w:pPr>
        <w:spacing w:after="0" w:line="46" w:lineRule="exact"/>
        <w:rPr>
          <w:sz w:val="20"/>
          <w:szCs w:val="20"/>
          <w:color w:val="auto"/>
        </w:rPr>
      </w:pPr>
    </w:p>
    <w:p>
      <w:pPr>
        <w:ind w:left="4" w:right="100"/>
        <w:spacing w:after="0" w:line="267" w:lineRule="auto"/>
        <w:rPr>
          <w:sz w:val="20"/>
          <w:szCs w:val="20"/>
          <w:color w:val="auto"/>
        </w:rPr>
      </w:pPr>
      <w:r>
        <w:rPr>
          <w:rFonts w:ascii="Arial" w:cs="Arial" w:eastAsia="Arial" w:hAnsi="Arial"/>
          <w:sz w:val="17"/>
          <w:szCs w:val="17"/>
          <w:color w:val="FF0000"/>
          <w:strike w:val="1"/>
        </w:rPr>
        <w:t>Section 2.13(a) by 1:00 p.m., New York City time, least three (3) Business Days prior to the date of such prepayment. Each such notice shall specify the date of such prepayment and provide a reasonably detailed calculation of the amount of such estimated prepayment. The Administrative Agent will promptly notify each applicable Lender of the contents of the Borrower’s prepayment notice and of such Lender’s Pro Rata Share or other applicable share of the prepayment. Each Term Lender may reject all of its Pro Rata Share or other applicable share of any mandatory prepayment (such declined amounts, the “</w:t>
      </w:r>
      <w:r>
        <w:rPr>
          <w:rFonts w:ascii="Arial" w:cs="Arial" w:eastAsia="Arial" w:hAnsi="Arial"/>
          <w:sz w:val="17"/>
          <w:szCs w:val="17"/>
          <w:b w:val="1"/>
          <w:bCs w:val="1"/>
          <w:color w:val="FF0000"/>
          <w:strike w:val="1"/>
        </w:rPr>
        <w:t>Declined Proceeds</w:t>
      </w:r>
      <w:r>
        <w:rPr>
          <w:rFonts w:ascii="Arial" w:cs="Arial" w:eastAsia="Arial" w:hAnsi="Arial"/>
          <w:sz w:val="17"/>
          <w:szCs w:val="17"/>
          <w:color w:val="FF0000"/>
          <w:strike w:val="1"/>
        </w:rPr>
        <w:t>”) of Term Loans required to be made pursuant to Section 2.13(a) by providing written notice (each, a “</w:t>
      </w:r>
      <w:r>
        <w:rPr>
          <w:rFonts w:ascii="Arial" w:cs="Arial" w:eastAsia="Arial" w:hAnsi="Arial"/>
          <w:sz w:val="17"/>
          <w:szCs w:val="17"/>
          <w:b w:val="1"/>
          <w:bCs w:val="1"/>
          <w:color w:val="FF0000"/>
          <w:strike w:val="1"/>
        </w:rPr>
        <w:t>Rejection</w:t>
      </w:r>
      <w:r>
        <w:rPr>
          <w:rFonts w:ascii="Arial" w:cs="Arial" w:eastAsia="Arial" w:hAnsi="Arial"/>
          <w:sz w:val="17"/>
          <w:szCs w:val="17"/>
          <w:color w:val="FF0000"/>
          <w:strike w:val="1"/>
        </w:rPr>
        <w:t xml:space="preserve"> </w:t>
      </w:r>
      <w:r>
        <w:rPr>
          <w:rFonts w:ascii="Arial" w:cs="Arial" w:eastAsia="Arial" w:hAnsi="Arial"/>
          <w:sz w:val="17"/>
          <w:szCs w:val="17"/>
          <w:b w:val="1"/>
          <w:bCs w:val="1"/>
          <w:color w:val="FF0000"/>
          <w:strike w:val="1"/>
        </w:rPr>
        <w:t>Notice</w:t>
      </w:r>
      <w:r>
        <w:rPr>
          <w:rFonts w:ascii="Arial" w:cs="Arial" w:eastAsia="Arial" w:hAnsi="Arial"/>
          <w:sz w:val="17"/>
          <w:szCs w:val="17"/>
          <w:color w:val="FF0000"/>
          <w:strike w:val="1"/>
        </w:rPr>
        <w:t>”) to the Administrative Agent and the Borrower no later than 5:00 p.m., New York City time, one Business Day prior to after the date of such</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 xml:space="preserve">prepayment;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for the avoidance of doubt, no Lender may reject any prepayment made with proceeds of Credit Agreement Refinancing Indebtedness. If a Term Lender fails to deliver a Rejection Notice to the Administrative Agent within the time frame specified above, any such failure will be deemed an acceptance of the total amount of such mandatory prepayment of Term Loans unless the Borrower and the Administrative Agent, with the consent of the Required Lenders, agree to an extension of time for such failure to be corrected. Any Declined Proceeds shall be retained by the Borrower.</w:t>
      </w:r>
    </w:p>
    <w:p>
      <w:pPr>
        <w:spacing w:after="0" w:line="186"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FF0000"/>
          <w:strike w:val="1"/>
        </w:rPr>
        <w:t xml:space="preserve">(e) </w:t>
      </w:r>
      <w:r>
        <w:rPr>
          <w:rFonts w:ascii="Arial" w:cs="Arial" w:eastAsia="Arial" w:hAnsi="Arial"/>
          <w:sz w:val="17"/>
          <w:szCs w:val="17"/>
          <w:i w:val="1"/>
          <w:iCs w:val="1"/>
          <w:color w:val="FF0000"/>
          <w:strike w:val="1"/>
        </w:rPr>
        <w:t>Funding Losses, Etc</w:t>
      </w:r>
      <w:r>
        <w:rPr>
          <w:rFonts w:ascii="Arial" w:cs="Arial" w:eastAsia="Arial" w:hAnsi="Arial"/>
          <w:sz w:val="17"/>
          <w:szCs w:val="17"/>
          <w:color w:val="FF0000"/>
          <w:strike w:val="1"/>
        </w:rPr>
        <w:t>. All prepayments under this Section 2.13 shall be accompanied by accrued and unpaid interest on the principal amount to be prepaid to but excluding the date of payment. All prepayments under Section 2.13(a)(iii) shall be subject to Section 2.12(d) (to the extent applicable) and Section 2.05(c). Notwithstanding any of the other provisions of Section 2.13(a), so long as no Event of Default shall have occurred and be continuing, if any prepayment of SOFR Loans is required to be made under Section 2.13(a) prior to the last day of the Interest Period therefor, the Borrower may, in its sole discretion, deposit the amount of any such prepayment otherwise required to be made thereunder (including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Section 2.13.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Section 2.13(a).</w:t>
      </w:r>
    </w:p>
    <w:p>
      <w:pPr>
        <w:spacing w:after="0" w:line="185" w:lineRule="exact"/>
        <w:rPr>
          <w:sz w:val="20"/>
          <w:szCs w:val="20"/>
          <w:color w:val="auto"/>
        </w:rPr>
      </w:pPr>
    </w:p>
    <w:p>
      <w:pPr>
        <w:ind w:left="4" w:right="20" w:firstLine="436"/>
        <w:spacing w:after="0" w:line="291" w:lineRule="auto"/>
        <w:tabs>
          <w:tab w:leader="none" w:pos="669" w:val="left"/>
        </w:tabs>
        <w:numPr>
          <w:ilvl w:val="1"/>
          <w:numId w:val="140"/>
        </w:numPr>
        <w:rPr>
          <w:rFonts w:ascii="Arial" w:cs="Arial" w:eastAsia="Arial" w:hAnsi="Arial"/>
          <w:sz w:val="16"/>
          <w:szCs w:val="16"/>
          <w:color w:val="FF0000"/>
          <w:strike w:val="1"/>
        </w:rPr>
      </w:pPr>
      <w:r>
        <w:rPr>
          <w:rFonts w:ascii="Arial" w:cs="Arial" w:eastAsia="Arial" w:hAnsi="Arial"/>
          <w:sz w:val="16"/>
          <w:szCs w:val="16"/>
          <w:i w:val="1"/>
          <w:iCs w:val="1"/>
          <w:color w:val="FF0000"/>
          <w:strike w:val="1"/>
        </w:rPr>
        <w:t>Foreign Dispositions; Foreign Excess Cash Flow</w:t>
      </w:r>
      <w:r>
        <w:rPr>
          <w:rFonts w:ascii="Arial" w:cs="Arial" w:eastAsia="Arial" w:hAnsi="Arial"/>
          <w:sz w:val="16"/>
          <w:szCs w:val="16"/>
          <w:color w:val="FF0000"/>
          <w:strike w:val="1"/>
        </w:rPr>
        <w:t>. Notwithstanding any other provisions of this Section 2.13, (A) to the extent that any or all of</w:t>
      </w:r>
      <w:r>
        <w:rPr>
          <w:rFonts w:ascii="Arial" w:cs="Arial" w:eastAsia="Arial" w:hAnsi="Arial"/>
          <w:sz w:val="16"/>
          <w:szCs w:val="16"/>
          <w:i w:val="1"/>
          <w:iCs w:val="1"/>
          <w:color w:val="FF0000"/>
          <w:strike w:val="1"/>
        </w:rPr>
        <w:t xml:space="preserve"> </w:t>
      </w:r>
      <w:r>
        <w:rPr>
          <w:rFonts w:ascii="Arial" w:cs="Arial" w:eastAsia="Arial" w:hAnsi="Arial"/>
          <w:sz w:val="16"/>
          <w:szCs w:val="16"/>
          <w:color w:val="FF0000"/>
          <w:strike w:val="1"/>
        </w:rPr>
        <w:t>the Net Proceeds of any Disposition by a Foreign Subsidiary (“</w:t>
      </w:r>
      <w:r>
        <w:rPr>
          <w:rFonts w:ascii="Arial" w:cs="Arial" w:eastAsia="Arial" w:hAnsi="Arial"/>
          <w:sz w:val="16"/>
          <w:szCs w:val="16"/>
          <w:b w:val="1"/>
          <w:bCs w:val="1"/>
          <w:color w:val="FF0000"/>
          <w:strike w:val="1"/>
        </w:rPr>
        <w:t>Foreign Disposition</w:t>
      </w:r>
      <w:r>
        <w:rPr>
          <w:rFonts w:ascii="Arial" w:cs="Arial" w:eastAsia="Arial" w:hAnsi="Arial"/>
          <w:sz w:val="16"/>
          <w:szCs w:val="16"/>
          <w:color w:val="FF0000"/>
          <w:strike w:val="1"/>
        </w:rPr>
        <w:t>”) or Excess Cash Flow attributable to Foreign Subsidiaries are</w:t>
      </w:r>
    </w:p>
    <w:p>
      <w:pPr>
        <w:ind w:left="4" w:right="180" w:hanging="4"/>
        <w:spacing w:after="0" w:line="277" w:lineRule="auto"/>
        <w:tabs>
          <w:tab w:leader="none" w:pos="259" w:val="left"/>
        </w:tabs>
        <w:numPr>
          <w:ilvl w:val="0"/>
          <w:numId w:val="141"/>
        </w:numPr>
        <w:rPr>
          <w:rFonts w:ascii="Arial" w:cs="Arial" w:eastAsia="Arial" w:hAnsi="Arial"/>
          <w:sz w:val="17"/>
          <w:szCs w:val="17"/>
          <w:color w:val="FF0000"/>
          <w:strike w:val="1"/>
        </w:rPr>
      </w:pPr>
      <w:r>
        <w:rPr>
          <w:rFonts w:ascii="Arial" w:cs="Arial" w:eastAsia="Arial" w:hAnsi="Arial"/>
          <w:sz w:val="17"/>
          <w:szCs w:val="17"/>
          <w:color w:val="FF0000"/>
          <w:strike w:val="1"/>
        </w:rPr>
        <w:t>prohibited or delayed by applicable local law or (y) restricted by applicable organizational or constitutive documents or any agreement, from being repatriated to the United States, in each case the portion of such Net Proceeds or Excess Cash Flow so affected will not be required to be applied to repay Term Loans at the times provided in this Section 2.13 but may be retained by the applicable Foreign Subsidiary (the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218" w:name="page219"/>
    <w:bookmarkEnd w:id="218"/>
    <w:p>
      <w:pPr>
        <w:spacing w:after="0" w:line="26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hereby agreeing to use reasonable efforts (as determined in the Borrower’s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or constitutive document impediment to permit such repatriation), and if within one year following the date on which the respective payment would otherwise have been required, such repatriation of any of such affected Net Proceeds or Excess Cash Flow is permitted under the applicable local law, applicable organizational or constitutive document impediment, such repatriation will be promptly effected and such repatriated Net Proceeds or Excess Cash Flow will be promptly (and in any event not later than 5 Business Days after such repatriation could be made) applied (net of additional taxes, costs and expenses payable or reserved against as a result thereof) (whether or not repatriation actually occurs) to the repayment of the Term Loans pursuant to this Section 2.13 and (B) to the extent that the Borrower has determined in good faith that repatriation of any of or all the Net Proceeds of any Foreign Disposition or Foreign Subsidiary Excess Cash Flow could cause adverse tax consequences to the Borrower, such Net Proceeds or Excess Cash Flow so affected may be retained by the applicable Foreign Subsidiary. The non-application of any prepayment amounts as a consequence of the foregoing provisions will not, for the avoidance of doubt, constitute a Default or an Event of Default.</w:t>
      </w:r>
    </w:p>
    <w:p>
      <w:pPr>
        <w:spacing w:after="0" w:line="179"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FF0000"/>
          <w:strike w:val="1"/>
        </w:rPr>
        <w:t>Section 2.14</w:t>
      </w:r>
      <w:r>
        <w:rPr>
          <w:rFonts w:ascii="Arial" w:cs="Arial" w:eastAsia="Arial" w:hAnsi="Arial"/>
          <w:sz w:val="16"/>
          <w:szCs w:val="16"/>
          <w:color w:val="000000"/>
        </w:rPr>
        <w:t xml:space="preserve">  </w:t>
      </w:r>
      <w:r>
        <w:rPr>
          <w:rFonts w:ascii="Arial" w:cs="Arial" w:eastAsia="Arial" w:hAnsi="Arial"/>
          <w:sz w:val="16"/>
          <w:szCs w:val="16"/>
          <w:color w:val="0000FF"/>
        </w:rPr>
        <w:t>Section 2.14 </w:t>
      </w:r>
      <w:r>
        <w:rPr>
          <w:rFonts w:ascii="Arial" w:cs="Arial" w:eastAsia="Arial" w:hAnsi="Arial"/>
          <w:sz w:val="16"/>
          <w:szCs w:val="16"/>
          <w:i w:val="1"/>
          <w:iCs w:val="1"/>
          <w:color w:val="000000"/>
        </w:rPr>
        <w:t>Pro Rata Treatment.</w:t>
      </w:r>
      <w:r>
        <w:rPr>
          <w:rFonts w:ascii="Arial" w:cs="Arial" w:eastAsia="Arial" w:hAnsi="Arial"/>
          <w:sz w:val="16"/>
          <w:szCs w:val="16"/>
          <w:color w:val="FF0000"/>
        </w:rPr>
        <w:t xml:space="preserve"> </w:t>
      </w:r>
      <w:r>
        <w:rPr>
          <w:rFonts w:ascii="Arial" w:cs="Arial" w:eastAsia="Arial" w:hAnsi="Arial"/>
          <w:sz w:val="16"/>
          <w:szCs w:val="16"/>
          <w:color w:val="FF0000"/>
          <w:strike w:val="1"/>
        </w:rPr>
        <w:t>Except as required under Section 3.02, e</w:t>
      </w:r>
      <w:r>
        <w:rPr>
          <w:rFonts w:ascii="Arial" w:cs="Arial" w:eastAsia="Arial" w:hAnsi="Arial"/>
          <w:sz w:val="16"/>
          <w:szCs w:val="16"/>
          <w:u w:val="single" w:color="auto"/>
          <w:color w:val="0000FF"/>
        </w:rPr>
        <w:t>E</w:t>
      </w:r>
      <w:r>
        <w:rPr>
          <w:rFonts w:ascii="Arial" w:cs="Arial" w:eastAsia="Arial" w:hAnsi="Arial"/>
          <w:sz w:val="16"/>
          <w:szCs w:val="16"/>
          <w:color w:val="000000"/>
        </w:rPr>
        <w:t>ach Borrowing, each payment or prepayment of</w:t>
      </w:r>
      <w:r>
        <w:rPr>
          <w:rFonts w:ascii="Arial" w:cs="Arial" w:eastAsia="Arial" w:hAnsi="Arial"/>
          <w:sz w:val="16"/>
          <w:szCs w:val="16"/>
          <w:color w:val="FF0000"/>
        </w:rPr>
        <w:t xml:space="preserve"> </w:t>
      </w:r>
      <w:r>
        <w:rPr>
          <w:rFonts w:ascii="Arial" w:cs="Arial" w:eastAsia="Arial" w:hAnsi="Arial"/>
          <w:sz w:val="16"/>
          <w:szCs w:val="16"/>
          <w:color w:val="000000"/>
        </w:rPr>
        <w:t xml:space="preserve">principal of any Borrowing, each payment of interest on the Loans, each reduction of the Term Loan Commitments </w:t>
      </w:r>
      <w:r>
        <w:rPr>
          <w:rFonts w:ascii="Arial" w:cs="Arial" w:eastAsia="Arial" w:hAnsi="Arial"/>
          <w:sz w:val="16"/>
          <w:szCs w:val="16"/>
          <w:color w:val="FF0000"/>
          <w:strike w:val="1"/>
        </w:rPr>
        <w:t>and each conversion of any</w:t>
      </w:r>
      <w:r>
        <w:rPr>
          <w:rFonts w:ascii="Arial" w:cs="Arial" w:eastAsia="Arial" w:hAnsi="Arial"/>
          <w:sz w:val="16"/>
          <w:szCs w:val="16"/>
          <w:color w:val="000000"/>
        </w:rPr>
        <w:t xml:space="preserve"> </w:t>
      </w:r>
      <w:r>
        <w:rPr>
          <w:rFonts w:ascii="Arial" w:cs="Arial" w:eastAsia="Arial" w:hAnsi="Arial"/>
          <w:sz w:val="16"/>
          <w:szCs w:val="16"/>
          <w:color w:val="FF0000"/>
          <w:strike w:val="1"/>
        </w:rPr>
        <w:t>Borrowing to or continuation of any Borrowing as a Borrowing of any Type</w:t>
      </w:r>
      <w:r>
        <w:rPr>
          <w:rFonts w:ascii="Arial" w:cs="Arial" w:eastAsia="Arial" w:hAnsi="Arial"/>
          <w:sz w:val="16"/>
          <w:szCs w:val="16"/>
          <w:color w:val="FF0000"/>
        </w:rPr>
        <w:t xml:space="preserve"> </w:t>
      </w:r>
      <w:r>
        <w:rPr>
          <w:rFonts w:ascii="Arial" w:cs="Arial" w:eastAsia="Arial" w:hAnsi="Arial"/>
          <w:sz w:val="16"/>
          <w:szCs w:val="16"/>
          <w:color w:val="000000"/>
        </w:rPr>
        <w:t>shall be allocated pro rata among the Lenders of the applicable Class in</w:t>
      </w:r>
      <w:r>
        <w:rPr>
          <w:rFonts w:ascii="Arial" w:cs="Arial" w:eastAsia="Arial" w:hAnsi="Arial"/>
          <w:sz w:val="16"/>
          <w:szCs w:val="16"/>
          <w:color w:val="FF0000"/>
        </w:rPr>
        <w:t xml:space="preserve"> </w:t>
      </w:r>
      <w:r>
        <w:rPr>
          <w:rFonts w:ascii="Arial" w:cs="Arial" w:eastAsia="Arial" w:hAnsi="Arial"/>
          <w:sz w:val="16"/>
          <w:szCs w:val="16"/>
          <w:color w:val="000000"/>
        </w:rPr>
        <w:t xml:space="preserve">accordance with their respective applicable Commitments (or, if such Commitments shall have expired or been terminated, in accordance with the respective principal amounts of their outstanding Loans);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provisions of this </w:t>
      </w:r>
      <w:r>
        <w:rPr>
          <w:rFonts w:ascii="Arial" w:cs="Arial" w:eastAsia="Arial" w:hAnsi="Arial"/>
          <w:sz w:val="16"/>
          <w:szCs w:val="16"/>
          <w:u w:val="single" w:color="auto"/>
          <w:color w:val="000000"/>
        </w:rPr>
        <w:t>Section 2.14</w:t>
      </w:r>
      <w:r>
        <w:rPr>
          <w:rFonts w:ascii="Arial" w:cs="Arial" w:eastAsia="Arial" w:hAnsi="Arial"/>
          <w:sz w:val="16"/>
          <w:szCs w:val="16"/>
          <w:color w:val="000000"/>
        </w:rPr>
        <w:t xml:space="preserve"> shall not be construed to apply to any payment made by the Borrower </w:t>
      </w:r>
      <w:r>
        <w:rPr>
          <w:rFonts w:ascii="Arial" w:cs="Arial" w:eastAsia="Arial" w:hAnsi="Arial"/>
          <w:sz w:val="16"/>
          <w:szCs w:val="16"/>
          <w:u w:val="single" w:color="auto"/>
          <w:color w:val="0000FF"/>
        </w:rPr>
        <w:t>required to be made on a non pro rata basis</w:t>
      </w:r>
      <w:r>
        <w:rPr>
          <w:rFonts w:ascii="Arial" w:cs="Arial" w:eastAsia="Arial" w:hAnsi="Arial"/>
          <w:sz w:val="16"/>
          <w:szCs w:val="16"/>
          <w:color w:val="000000"/>
        </w:rPr>
        <w:t xml:space="preserve"> pursuant to and in accordance with the express terms </w:t>
      </w:r>
      <w:r>
        <w:rPr>
          <w:rFonts w:ascii="Arial" w:cs="Arial" w:eastAsia="Arial" w:hAnsi="Arial"/>
          <w:sz w:val="16"/>
          <w:szCs w:val="16"/>
          <w:u w:val="single" w:color="auto"/>
          <w:color w:val="0000FF"/>
        </w:rPr>
        <w:t>of this Agreement as in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effect as of the date</w:t>
      </w:r>
      <w:r>
        <w:rPr>
          <w:rFonts w:ascii="Arial" w:cs="Arial" w:eastAsia="Arial" w:hAnsi="Arial"/>
          <w:sz w:val="16"/>
          <w:szCs w:val="16"/>
          <w:color w:val="0000FF"/>
        </w:rPr>
        <w:t xml:space="preserve"> </w:t>
      </w:r>
      <w:r>
        <w:rPr>
          <w:rFonts w:ascii="Arial" w:cs="Arial" w:eastAsia="Arial" w:hAnsi="Arial"/>
          <w:sz w:val="16"/>
          <w:szCs w:val="16"/>
          <w:color w:val="000000"/>
        </w:rPr>
        <w:t>of this Agreement. Each Lender agrees that in computing such Lender’s portion of any Borrowing to be made hereunder, the</w:t>
      </w:r>
      <w:r>
        <w:rPr>
          <w:rFonts w:ascii="Arial" w:cs="Arial" w:eastAsia="Arial" w:hAnsi="Arial"/>
          <w:sz w:val="16"/>
          <w:szCs w:val="16"/>
          <w:color w:val="0000FF"/>
        </w:rPr>
        <w:t xml:space="preserve"> </w:t>
      </w:r>
      <w:r>
        <w:rPr>
          <w:rFonts w:ascii="Arial" w:cs="Arial" w:eastAsia="Arial" w:hAnsi="Arial"/>
          <w:sz w:val="16"/>
          <w:szCs w:val="16"/>
          <w:color w:val="000000"/>
        </w:rPr>
        <w:t>Administrative Agent may, in its discretion, round each Lender’s percentage of such Borrowing to the next higher or lower whole Dollar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-974090</wp:posOffset>
            </wp:positionV>
            <wp:extent cx="68580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-1008380</wp:posOffset>
            </wp:positionV>
            <wp:extent cx="68516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-974090</wp:posOffset>
            </wp:positionV>
            <wp:extent cx="6858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-288290</wp:posOffset>
            </wp:positionV>
            <wp:extent cx="199707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-288290</wp:posOffset>
            </wp:positionV>
            <wp:extent cx="10629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91694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4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Section 2.15 </w:t>
      </w:r>
      <w:r>
        <w:rPr>
          <w:rFonts w:ascii="Arial" w:cs="Arial" w:eastAsia="Arial" w:hAnsi="Arial"/>
          <w:sz w:val="16"/>
          <w:szCs w:val="16"/>
          <w:i w:val="1"/>
          <w:iCs w:val="1"/>
          <w:color w:val="auto"/>
        </w:rPr>
        <w:t>Sharing of Setoffs.</w:t>
      </w:r>
      <w:r>
        <w:rPr>
          <w:rFonts w:ascii="Arial" w:cs="Arial" w:eastAsia="Arial" w:hAnsi="Arial"/>
          <w:sz w:val="16"/>
          <w:szCs w:val="16"/>
          <w:color w:val="auto"/>
        </w:rPr>
        <w:t xml:space="preserve"> Each Lender agrees that if it shall, through the exercise of a right of banker’s lien, setoff or counterclaim against the Borrower or any other Loan Party, or pursuant to a secured claim under Section 506 of Title 11 of the United States Code or other security or interest arising from, or in lieu of, such secured claim, received by such Lender under any applicable </w:t>
      </w:r>
      <w:r>
        <w:rPr>
          <w:rFonts w:ascii="Arial" w:cs="Arial" w:eastAsia="Arial" w:hAnsi="Arial"/>
          <w:sz w:val="16"/>
          <w:szCs w:val="16"/>
          <w:color w:val="FF0000"/>
          <w:strike w:val="1"/>
        </w:rPr>
        <w:t>bankruptcy, insolvency</w:t>
      </w:r>
      <w:r>
        <w:rPr>
          <w:rFonts w:ascii="Arial" w:cs="Arial" w:eastAsia="Arial" w:hAnsi="Arial"/>
          <w:sz w:val="16"/>
          <w:szCs w:val="16"/>
          <w:u w:val="single" w:color="auto"/>
          <w:color w:val="0000FF"/>
        </w:rPr>
        <w:t>Debtor Relief Laws</w:t>
      </w:r>
      <w:r>
        <w:rPr>
          <w:rFonts w:ascii="Arial" w:cs="Arial" w:eastAsia="Arial" w:hAnsi="Arial"/>
          <w:sz w:val="16"/>
          <w:szCs w:val="16"/>
          <w:color w:val="auto"/>
        </w:rPr>
        <w:t xml:space="preserve"> or other similar law or otherwise, or by any other means, obtain payment (voluntary or involuntary) in respect of any Loan or Loans as a result of which the unpaid principal portion of its Loans shall be proportionately less than the unpaid principal portion 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 event;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if any such purchase or purchases or adjustments shall be made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the payment giving rise thereto shall thereafter be recovered, such purchase or purchases or adjustments shall be rescinded to the extent of such recovery and the purchase price or prices or adjustment restored without interest, and (ii)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-1519555</wp:posOffset>
            </wp:positionV>
            <wp:extent cx="90043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219" w:name="page220"/>
    <w:bookmarkEnd w:id="219"/>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any assignee or participant, other than to the Borrower as to which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applicable payment, assignment, sale or participation to the Borrower is expressly permitted under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construed to apply).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directly to the Borrower in the amount of such participation. </w:t>
      </w:r>
      <w:r>
        <w:rPr>
          <w:rFonts w:ascii="Arial" w:cs="Arial" w:eastAsia="Arial" w:hAnsi="Arial"/>
          <w:sz w:val="16"/>
          <w:szCs w:val="16"/>
          <w:color w:val="FF0000"/>
          <w:strike w:val="1"/>
        </w:rPr>
        <w:t>For the avoidance of doubt, neither this Section nor Section 2.14 shall limit the ability of the Borrower to (i) purchase and retire Term Loans pursuant to an open market purchase or a Dutch Auction or (ii) pay principal, fees, premiums and interest with respect to Other Term Loans following the effectiveness of any Refinancing Amendment or any Extension Offer, as applicable, on a basis different from the Loans of such Class that will continue to be held by Lenders that were not Extending Lenders or Lenders pursuant to such Refinancing Amendment, as applicable.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2.16 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(a) The Borrower shall make each payment (including principal of or interest on any Borrowing or any Fees or other amounts due and payable) hereunder and under any other Loan Document not later than 2:00 p.m., New York City time, on the date when due in immediately available Dollars, without setoff, defense or counterclaim. Any amounts received after such time on any date may, in the discretion of the Administrative Agent, be deemed to have been received on the next succeeding Business Day for purposes of calculating interest thereon. Each such payment shall be made to the Administrative Agent at the Administrative Agent’s Office. The Administrative Agent shall promptly distribute to each Lender any payments received by the Administrative Agent on behalf of such Lender.</w:t>
      </w:r>
    </w:p>
    <w:p>
      <w:pPr>
        <w:spacing w:after="0" w:line="17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(b) Except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FF0000"/>
          <w:strike w:val="1"/>
        </w:rPr>
        <w:t>[Reserved]</w:t>
      </w:r>
      <w:r>
        <w:rPr>
          <w:rFonts w:ascii="Arial" w:cs="Arial" w:eastAsia="Arial" w:hAnsi="Arial"/>
          <w:sz w:val="18"/>
          <w:szCs w:val="18"/>
          <w:i w:val="1"/>
          <w:iCs w:val="1"/>
          <w:u w:val="single" w:color="auto"/>
          <w:color w:val="0000FF"/>
        </w:rPr>
        <w:t>Call Protection</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23495</wp:posOffset>
            </wp:positionV>
            <wp:extent cx="70294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97" w:lineRule="exact"/>
        <w:rPr>
          <w:sz w:val="20"/>
          <w:szCs w:val="20"/>
          <w:color w:val="auto"/>
        </w:rPr>
      </w:pPr>
    </w:p>
    <w:p>
      <w:pPr>
        <w:ind w:left="440" w:right="20" w:firstLine="423"/>
        <w:spacing w:after="0" w:line="257" w:lineRule="auto"/>
        <w:rPr>
          <w:sz w:val="20"/>
          <w:szCs w:val="20"/>
          <w:color w:val="auto"/>
        </w:rPr>
      </w:pPr>
      <w:r>
        <w:rPr>
          <w:rFonts w:ascii="Arial" w:cs="Arial" w:eastAsia="Arial" w:hAnsi="Arial"/>
          <w:sz w:val="18"/>
          <w:szCs w:val="18"/>
          <w:u w:val="single" w:color="auto"/>
          <w:color w:val="0000FF"/>
        </w:rPr>
        <w:t>(i)</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Upon (a) any prepayment of Loans pursuant to Sections 2.12 or any other prepayment or repayment of the Loans, or (b) the termination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of the Commitments (except for the automatic termination of Commitments upon the making of Loans as described in Section 2.01(b)) and/or acceleration of the Loans and other Obligations pursuant to Article 8 hereto, in each case, prior to December 19, 2023 (the “</w:t>
      </w:r>
      <w:r>
        <w:rPr>
          <w:rFonts w:ascii="Arial" w:cs="Arial" w:eastAsia="Arial" w:hAnsi="Arial"/>
          <w:sz w:val="18"/>
          <w:szCs w:val="18"/>
          <w:b w:val="1"/>
          <w:bCs w:val="1"/>
          <w:u w:val="single" w:color="auto"/>
          <w:color w:val="0000FF"/>
        </w:rPr>
        <w:t>Call Date</w:t>
      </w:r>
      <w:r>
        <w:rPr>
          <w:rFonts w:ascii="Arial" w:cs="Arial" w:eastAsia="Arial" w:hAnsi="Arial"/>
          <w:sz w:val="18"/>
          <w:szCs w:val="18"/>
          <w:u w:val="single" w:color="auto"/>
          <w:color w:val="0000FF"/>
        </w:rPr>
        <w:t>”), the Borrower shall owe the Administrative Agent, for the benefit of the Lenders in accordance with their respective Pro Rata Shares, the Make-Whole Amount.</w:t>
      </w:r>
    </w:p>
    <w:p>
      <w:pPr>
        <w:spacing w:after="0" w:line="80" w:lineRule="exact"/>
        <w:rPr>
          <w:sz w:val="20"/>
          <w:szCs w:val="20"/>
          <w:color w:val="auto"/>
        </w:rPr>
      </w:pPr>
    </w:p>
    <w:p>
      <w:pPr>
        <w:ind w:left="440" w:firstLine="423"/>
        <w:spacing w:after="0" w:line="254" w:lineRule="auto"/>
        <w:rPr>
          <w:sz w:val="20"/>
          <w:szCs w:val="20"/>
          <w:color w:val="auto"/>
        </w:rPr>
      </w:pPr>
      <w:r>
        <w:rPr>
          <w:rFonts w:ascii="Arial" w:cs="Arial" w:eastAsia="Arial" w:hAnsi="Arial"/>
          <w:sz w:val="18"/>
          <w:szCs w:val="18"/>
          <w:u w:val="single" w:color="auto"/>
          <w:color w:val="0000FF"/>
        </w:rPr>
        <w:t>(ii)</w:t>
      </w:r>
      <w:r>
        <w:rPr>
          <w:rFonts w:ascii="Arial" w:cs="Arial" w:eastAsia="Arial" w:hAnsi="Arial"/>
          <w:sz w:val="18"/>
          <w:szCs w:val="18"/>
          <w:color w:val="000000"/>
        </w:rPr>
        <w:t> </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 Borrower acknowledges, and the parties hereto agree, that the Make-Whole Amount payable pursuant to this Section 2.17 shall be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presumed to be the liquidated damages sustained by the Lenders as the result of the early repayment or prepayment of the Obligations or the termination of the Commitments (and not unmatured interest or a penalty) and the Borrower agrees that it is reasonable under the circumstances currently existing. The Borrower EXPRESSLY WAIVES (TO THE FULLEST EXTENT THEY MAY LAWFULLY DO SO) THE PROVISIONS OF ANY PRESENT OR FUTURE STATUTE OR LAW THAT PROHIBITS OR MAY PROHIBIT THE COLLECTION OF THE MAKE-WHOLE AMOUNT IN CONNECTION WITH ACCELERATION. Each of the Administrative Agent and Lenders and the other parties expressly agree (to the fullest extent they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220" w:name="page221"/>
    <w:bookmarkEnd w:id="220"/>
    <w:p>
      <w:pPr>
        <w:ind w:left="440"/>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lawfully do so) that (A) the Make-Whole Amount is reasonable and the product of an arm’s length transaction between sophisticated business people, ably represented by counsel, (B) the Make-Whole Amount shall be payable notwithstanding the then prevailing market rates at the time payment or repayment is made, (C) there has been a course of conduct between the Administrative Agent, the Lenders, and the Borrower giving specific consideration in this transaction for such agreement to pay the Make-Whole Amount, (D) the Borrower shall be estopped hereafter from claiming differently than as agreed to in this Section 2.17, (E) its agreement to pay the Make-Whole Amount is a material inducement to the Lenders to provide the Commitments and the Loans, and (F) the Make-Whole Amount represents a good faith, reasonable estimate and calculation of the lost profits or damages of the Lenders and that it would be impractical and extremely difficult to ascertain the actual amount of damages to the Lenders or profits lost by the Lenders as a result of any event giving rise to an obligation to pay the Make-Whole Amount. In the event of a direct conflict between the priority provisions of this Section 2.17 and other provisions contained in any other Loan Document, it is the 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Section 2.17 shall control and govern.</w:t>
      </w:r>
    </w:p>
    <w:p>
      <w:pPr>
        <w:spacing w:after="0" w:line="179"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Section 2.18 </w:t>
      </w:r>
      <w:r>
        <w:rPr>
          <w:rFonts w:ascii="Arial" w:cs="Arial" w:eastAsia="Arial" w:hAnsi="Arial"/>
          <w:sz w:val="16"/>
          <w:szCs w:val="16"/>
          <w:i w:val="1"/>
          <w:iCs w:val="1"/>
          <w:color w:val="FF0000"/>
          <w:strike w:val="1"/>
        </w:rPr>
        <w:t>Refinancing Amendments</w:t>
      </w:r>
      <w:r>
        <w:rPr>
          <w:rFonts w:ascii="Arial" w:cs="Arial" w:eastAsia="Arial" w:hAnsi="Arial"/>
          <w:sz w:val="16"/>
          <w:szCs w:val="16"/>
          <w:i w:val="1"/>
          <w:iCs w:val="1"/>
          <w:u w:val="single" w:color="auto"/>
          <w:color w:val="0000FF"/>
        </w:rPr>
        <w:t>Currency Indemnity</w:t>
      </w:r>
      <w:r>
        <w:rPr>
          <w:rFonts w:ascii="Arial" w:cs="Arial" w:eastAsia="Arial" w:hAnsi="Arial"/>
          <w:sz w:val="16"/>
          <w:szCs w:val="16"/>
          <w:u w:val="single" w:color="auto"/>
          <w:color w:val="0000FF"/>
        </w:rPr>
        <w:t>. If, for the purposes of obtaining judgment in any court in any jurisdiction with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respect to this Agreement or any other Loan Document, it becomes necessary to convert into a particular currency (the “</w:t>
      </w:r>
      <w:r>
        <w:rPr>
          <w:rFonts w:ascii="Arial" w:cs="Arial" w:eastAsia="Arial" w:hAnsi="Arial"/>
          <w:sz w:val="16"/>
          <w:szCs w:val="16"/>
          <w:b w:val="1"/>
          <w:bCs w:val="1"/>
          <w:u w:val="single" w:color="auto"/>
          <w:color w:val="0000FF"/>
        </w:rPr>
        <w:t>Judgment Currency”)</w:t>
      </w:r>
      <w:r>
        <w:rPr>
          <w:rFonts w:ascii="Arial" w:cs="Arial" w:eastAsia="Arial" w:hAnsi="Arial"/>
          <w:sz w:val="16"/>
          <w:szCs w:val="16"/>
          <w:u w:val="single" w:color="auto"/>
          <w:color w:val="0000FF"/>
        </w:rPr>
        <w:t xml:space="preserve"> any amount due under this Agreement or under any other Loan Document in any currency other than the Judgment Currency (the “</w:t>
      </w:r>
      <w:r>
        <w:rPr>
          <w:rFonts w:ascii="Arial" w:cs="Arial" w:eastAsia="Arial" w:hAnsi="Arial"/>
          <w:sz w:val="16"/>
          <w:szCs w:val="16"/>
          <w:b w:val="1"/>
          <w:bCs w:val="1"/>
          <w:u w:val="single" w:color="auto"/>
          <w:color w:val="0000FF"/>
        </w:rPr>
        <w:t>Currency Due”),</w:t>
      </w:r>
      <w:r>
        <w:rPr>
          <w:rFonts w:ascii="Arial" w:cs="Arial" w:eastAsia="Arial" w:hAnsi="Arial"/>
          <w:sz w:val="16"/>
          <w:szCs w:val="16"/>
          <w:u w:val="single" w:color="auto"/>
          <w:color w:val="0000FF"/>
        </w:rPr>
        <w:t xml:space="preserve"> then conversion shall be made at the rate of exchange prevailing on the Business Day before the day on which judgment is given. For this purpose “rate of exchange” means the rate at which the Lenders are able, on the relevant date, to purchase the Currency Due with the Judgment Currency. In the event that there is a change in the rate of exchange prevailing between the Business Day immediately preceding the day on which the judgment is given and the date of receipt by the Administrative Agent of the amount due, the Borrower shall, on the date of receipt by the Administrative Agent, pay such additional amounts, if any, or be entitled to receive reimbursement of such amount, if any, as may be necessary to ensure that the amount received by the Administrative Agent on such date is the amount in the Judgment Currency which when converted at the rate of exchange prevailing on the date of receipt by the Administrative Agent is the amount then due under this Agreement or such other Loan Document in the Currency Due. If the amount of the Currency Due which the Lenders are able to purchase is less than the amount of the Currency Due originally due to it, the Borrower shall indemnify and save the Administrative Agent and the Lenders harmless from and against all loss or damage arising as a result of such deficiency. This indemnity shall constitute an obligation separate and independent from the other obligations contained in this Agreement and the other Loan Documents, shall give rise to a separate and independent cause of action, shall apply irrespective of any indulgence granted by the Administrative Agent from time to time and shall continue in full force and effect notwithstanding any judgment or order for a liquidated sum in respect of an amount due under this Agreement or any other Loan Document or under any judgment or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-2064385</wp:posOffset>
            </wp:positionV>
            <wp:extent cx="455168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-1927225</wp:posOffset>
            </wp:positionV>
            <wp:extent cx="6763385"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-1790065</wp:posOffset>
            </wp:positionV>
            <wp:extent cx="68408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-1652905</wp:posOffset>
            </wp:positionV>
            <wp:extent cx="683196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-1515745</wp:posOffset>
            </wp:positionV>
            <wp:extent cx="683196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-1378585</wp:posOffset>
            </wp:positionV>
            <wp:extent cx="685800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672909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-1104265</wp:posOffset>
            </wp:positionV>
            <wp:extent cx="697801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-967105</wp:posOffset>
            </wp:positionV>
            <wp:extent cx="672084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-829945</wp:posOffset>
            </wp:positionV>
            <wp:extent cx="687514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693483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-555625</wp:posOffset>
            </wp:positionV>
            <wp:extent cx="6866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97801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5198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8340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267462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p>
    <w:p>
      <w:pPr>
        <w:spacing w:after="0" w:line="117" w:lineRule="exact"/>
        <w:rPr>
          <w:sz w:val="20"/>
          <w:szCs w:val="20"/>
          <w:color w:val="auto"/>
        </w:rPr>
      </w:pPr>
    </w:p>
    <w:p>
      <w:pPr>
        <w:ind w:left="440" w:right="140" w:firstLine="423"/>
        <w:spacing w:after="0" w:line="287"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color w:val="000000"/>
        </w:rPr>
        <w:t xml:space="preserve"> </w:t>
      </w:r>
      <w:r>
        <w:rPr>
          <w:rFonts w:ascii="Arial" w:cs="Arial" w:eastAsia="Arial" w:hAnsi="Arial"/>
          <w:sz w:val="16"/>
          <w:szCs w:val="16"/>
          <w:color w:val="FF0000"/>
          <w:strike w:val="1"/>
        </w:rPr>
        <w:t>At any time after the Restatement Effective Date, the Borrower may obtain, from any Lender or any Additional Lender, Credit</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Agreement Refinancing Indebtedness (other than Permitted Additional Debt) in respect of all or any portion of the Term Loans then outstanding under this Agreement, in the form of Other Term Loans or Other Term Loan Commitments pursuant to a Refinancing Amendment;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w:t>
      </w:r>
    </w:p>
    <w:p>
      <w:pPr>
        <w:spacing w:after="0" w:line="2" w:lineRule="exact"/>
        <w:rPr>
          <w:sz w:val="20"/>
          <w:szCs w:val="20"/>
          <w:color w:val="auto"/>
        </w:rPr>
      </w:pPr>
    </w:p>
    <w:p>
      <w:pPr>
        <w:ind w:left="740" w:hanging="304"/>
        <w:spacing w:after="0"/>
        <w:tabs>
          <w:tab w:leader="none" w:pos="740" w:val="left"/>
        </w:tabs>
        <w:numPr>
          <w:ilvl w:val="0"/>
          <w:numId w:val="142"/>
        </w:numPr>
        <w:rPr>
          <w:rFonts w:ascii="Arial" w:cs="Arial" w:eastAsia="Arial" w:hAnsi="Arial"/>
          <w:sz w:val="17"/>
          <w:szCs w:val="17"/>
          <w:color w:val="FF0000"/>
          <w:strike w:val="1"/>
        </w:rPr>
      </w:pPr>
      <w:r>
        <w:rPr>
          <w:rFonts w:ascii="Arial" w:cs="Arial" w:eastAsia="Arial" w:hAnsi="Arial"/>
          <w:sz w:val="17"/>
          <w:szCs w:val="17"/>
          <w:color w:val="FF0000"/>
          <w:strike w:val="1"/>
        </w:rPr>
        <w:t>such Credit Agreement Refinancing Indebtedness will rank pari passu in right of payment and of security with the other Loans and</w:t>
      </w:r>
    </w:p>
    <w:p>
      <w:pPr>
        <w:spacing w:after="0" w:line="154" w:lineRule="exact"/>
        <w:rPr>
          <w:rFonts w:ascii="Arial" w:cs="Arial" w:eastAsia="Arial" w:hAnsi="Arial"/>
          <w:sz w:val="17"/>
          <w:szCs w:val="17"/>
          <w:color w:val="FF0000"/>
          <w:strike w:val="1"/>
        </w:rPr>
      </w:pPr>
    </w:p>
    <w:p>
      <w:pPr>
        <w:ind w:left="5420"/>
        <w:spacing w:after="0"/>
        <w:rPr>
          <w:rFonts w:ascii="Arial" w:cs="Arial" w:eastAsia="Arial" w:hAnsi="Arial"/>
          <w:sz w:val="17"/>
          <w:szCs w:val="17"/>
          <w:color w:val="FF0000"/>
          <w:strike w:val="1"/>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221" w:name="page222"/>
    <w:bookmarkEnd w:id="221"/>
    <w:p>
      <w:pPr>
        <w:ind w:left="4" w:right="20"/>
        <w:spacing w:after="0" w:line="285"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Commitments hereunder, (B) such Credit Agreement Refinancing Indebtedness will have such pricing, fees, interest, premiums and optional prepayment terms as may be agreed by the Borrower and the Lenders thereof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that such Credit Agreement Refinancing Indebtedness may participate on a pro rata basis or on a less than pro rata basis (but not on a greater than pro rata basis) in any voluntary or mandatory prepayments hereunder, as specified in the applicable Refinancing Amendment), (C) such Credit Agreement Refinancing Indebtedness will have a maturity date later than the maturity date of, and will have a Weighted Average Life to Maturity that is not shorter than, the Refinanced Debt,</w:t>
      </w:r>
    </w:p>
    <w:p>
      <w:pPr>
        <w:spacing w:after="0" w:line="2" w:lineRule="exact"/>
        <w:rPr>
          <w:sz w:val="20"/>
          <w:szCs w:val="20"/>
          <w:color w:val="auto"/>
        </w:rPr>
      </w:pPr>
    </w:p>
    <w:p>
      <w:pPr>
        <w:ind w:left="4" w:hanging="4"/>
        <w:spacing w:after="0" w:line="284" w:lineRule="auto"/>
        <w:tabs>
          <w:tab w:leader="none" w:pos="298" w:val="left"/>
        </w:tabs>
        <w:numPr>
          <w:ilvl w:val="0"/>
          <w:numId w:val="143"/>
        </w:numPr>
        <w:rPr>
          <w:rFonts w:ascii="Arial" w:cs="Arial" w:eastAsia="Arial" w:hAnsi="Arial"/>
          <w:sz w:val="16"/>
          <w:szCs w:val="16"/>
          <w:color w:val="FF0000"/>
          <w:strike w:val="1"/>
        </w:rPr>
      </w:pPr>
      <w:r>
        <w:rPr>
          <w:rFonts w:ascii="Arial" w:cs="Arial" w:eastAsia="Arial" w:hAnsi="Arial"/>
          <w:sz w:val="16"/>
          <w:szCs w:val="16"/>
          <w:color w:val="FF0000"/>
          <w:strike w:val="1"/>
        </w:rPr>
        <w:t>the covenants, events of default and guarantees of such Credit Agreement Refinancing Indebtedness, if not consistent with the terms of the Tranche B-2 Term Loans, shall be on customary market terms for Indebtedness of such type (as determined by the Borrower in good faith)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that the financial maintenance covenant on the then outstanding Term Loans shall be amended to provide the Lenders the benefit of any financial maintenance covenant of such Credit Agreement Refinancing Indebtedness that is in addition to or more restrictive in any material manner than the financial maintenance covenant on the then outstanding Term Loans)), (E) the proceeds of such Credit Agreement Refinancing Indebtedness shall be applied, substantially concurrently with the incurrence thereof, to the prepayment of outstanding Term Loans being so refinanced and (F) other than in the case of Credit Agreement Refinancing Indebtedness the proceeds of which are applied to pay all outstanding Term Loans and other Obligations in full in cash, the Borrower shall have obtained the consent of the Required Lenders. The effectiveness of any Refinancing Amendment shall be subject to the satisfaction (or waiver) on the date thereof of each of the conditions set forth in Section 4.01 (and for purposes thereof the incurrence of the Credit Agreement Refinancing Indebtedness shall be deemed to be a Request for Credit Extension) and, to the extent reasonably requested by the Administrative Agent and the Required Lenders, receipt by the Administrative Agent of customary legal opinions, board resolutions, officers’ certificates and a solvency certification or representation, in each case materially consistent with those delivered on the Restatement Effective Date under Section 4.02 (other than changes to such legal opinions resulting from a change in law, change in fact or change to counsel’s form of opinion reasonably satisfactory to the Administrative Agent), and customary reaffirmation agreements. Each Class of Credit Agreement Refinancing Indebtedness incurred under this Section 2.18(a) shall be in an aggregate principal amount that is (x) not less than $40,000,000 and (y) an integral multiple of $1,000,000 in excess thereof. The Administrative Agent shall promptly notify each Lender as to the effectiveness of each Refinancing Amendment.</w:t>
      </w:r>
    </w:p>
    <w:p>
      <w:pPr>
        <w:spacing w:after="0" w:line="64" w:lineRule="exact"/>
        <w:rPr>
          <w:sz w:val="20"/>
          <w:szCs w:val="20"/>
          <w:color w:val="auto"/>
        </w:rPr>
      </w:pPr>
    </w:p>
    <w:p>
      <w:pPr>
        <w:ind w:left="4" w:right="40" w:firstLine="423"/>
        <w:spacing w:after="0" w:line="270"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0000"/>
        </w:rPr>
        <w:t xml:space="preserve"> </w:t>
      </w:r>
      <w:r>
        <w:rPr>
          <w:rFonts w:ascii="Arial" w:cs="Arial" w:eastAsia="Arial" w:hAnsi="Arial"/>
          <w:sz w:val="17"/>
          <w:szCs w:val="17"/>
          <w:color w:val="FF0000"/>
          <w:strike w:val="1"/>
        </w:rPr>
        <w:t>Each of the parties hereto hereby agrees that this Agreement and the other Loan Documents may be amended pursuant to a</w:t>
      </w:r>
      <w:r>
        <w:rPr>
          <w:rFonts w:ascii="Arial" w:cs="Arial" w:eastAsia="Arial" w:hAnsi="Arial"/>
          <w:sz w:val="17"/>
          <w:szCs w:val="17"/>
          <w:color w:val="FF0000"/>
        </w:rPr>
        <w:t xml:space="preserve"> </w:t>
      </w:r>
      <w:r>
        <w:rPr>
          <w:rFonts w:ascii="Arial" w:cs="Arial" w:eastAsia="Arial" w:hAnsi="Arial"/>
          <w:sz w:val="17"/>
          <w:szCs w:val="17"/>
          <w:color w:val="FF0000"/>
          <w:strike w:val="1"/>
        </w:rPr>
        <w:t>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Section 2.18, and the Required Lenders hereby expressly authorize the Administrative Agent to enter into any such Refinancing Amendment. Without limiting the foregoing, in connection with any Refinancing Amendment, the respective Loan Parties shall (at their expense) amend (and the Collateral Agent is hereby directed to amend) any Mortgage that has a maturity date prior to the Latest Maturity Date after giving effect to such Refinancing Amendment so that such maturity date is extended to the then Latest Maturity Date (or such later date as may be advised by local counsel to the Collateral Agent).</w:t>
      </w:r>
    </w:p>
    <w:p>
      <w:pPr>
        <w:spacing w:after="0" w:line="73" w:lineRule="exact"/>
        <w:rPr>
          <w:sz w:val="20"/>
          <w:szCs w:val="20"/>
          <w:color w:val="auto"/>
        </w:rPr>
      </w:pPr>
    </w:p>
    <w:p>
      <w:pPr>
        <w:ind w:left="424"/>
        <w:spacing w:after="0"/>
        <w:rPr>
          <w:sz w:val="20"/>
          <w:szCs w:val="20"/>
          <w:color w:val="auto"/>
        </w:rPr>
      </w:pPr>
      <w:r>
        <w:rPr>
          <w:rFonts w:ascii="Arial" w:cs="Arial" w:eastAsia="Arial" w:hAnsi="Arial"/>
          <w:sz w:val="18"/>
          <w:szCs w:val="18"/>
          <w:color w:val="FF0000"/>
          <w:strike w:val="1"/>
        </w:rPr>
        <w:t>(c)</w:t>
      </w:r>
      <w:r>
        <w:rPr>
          <w:rFonts w:ascii="Arial" w:cs="Arial" w:eastAsia="Arial" w:hAnsi="Arial"/>
          <w:sz w:val="18"/>
          <w:szCs w:val="18"/>
          <w:color w:val="000000"/>
        </w:rPr>
        <w:t xml:space="preserve"> </w:t>
      </w:r>
      <w:r>
        <w:rPr>
          <w:rFonts w:ascii="Arial" w:cs="Arial" w:eastAsia="Arial" w:hAnsi="Arial"/>
          <w:sz w:val="18"/>
          <w:szCs w:val="18"/>
          <w:color w:val="FF0000"/>
          <w:strike w:val="1"/>
        </w:rPr>
        <w:t>This Section 2.18 shall supersede any provisions in Section 2.14, 2.15 or 10.08 to the contrary.</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564"/>
          </w:cols>
          <w:pgMar w:left="876" w:top="274"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2.19</w:t>
      </w:r>
      <w:r>
        <w:rPr>
          <w:rFonts w:ascii="Arial" w:cs="Arial" w:eastAsia="Arial" w:hAnsi="Arial"/>
          <w:sz w:val="18"/>
          <w:szCs w:val="18"/>
          <w:i w:val="1"/>
          <w:iCs w:val="1"/>
          <w:color w:val="FF0000"/>
          <w:strike w:val="1"/>
        </w:rPr>
        <w:t>. Extensions of Term Loans</w:t>
      </w:r>
      <w:r>
        <w:rPr>
          <w:rFonts w:ascii="Arial" w:cs="Arial" w:eastAsia="Arial" w:hAnsi="Arial"/>
          <w:sz w:val="18"/>
          <w:szCs w:val="18"/>
          <w:color w:val="FF0000"/>
        </w:rPr>
        <w:t>.</w:t>
      </w:r>
    </w:p>
    <w:p>
      <w:pPr>
        <w:spacing w:after="0" w:line="113" w:lineRule="exact"/>
        <w:rPr>
          <w:sz w:val="20"/>
          <w:szCs w:val="20"/>
          <w:color w:val="auto"/>
        </w:rPr>
      </w:pPr>
    </w:p>
    <w:p>
      <w:pPr>
        <w:ind w:firstLine="423"/>
        <w:spacing w:after="0" w:line="284"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color w:val="000000"/>
        </w:rPr>
        <w:t xml:space="preserve"> </w:t>
      </w:r>
      <w:r>
        <w:rPr>
          <w:rFonts w:ascii="Arial" w:cs="Arial" w:eastAsia="Arial" w:hAnsi="Arial"/>
          <w:sz w:val="16"/>
          <w:szCs w:val="16"/>
          <w:color w:val="FF0000"/>
          <w:strike w:val="1"/>
        </w:rPr>
        <w:t>Notwithstanding anything to the contrary in this Agreement, pursuant to one or more offers (each, an “</w:t>
      </w:r>
      <w:r>
        <w:rPr>
          <w:rFonts w:ascii="Arial" w:cs="Arial" w:eastAsia="Arial" w:hAnsi="Arial"/>
          <w:sz w:val="16"/>
          <w:szCs w:val="16"/>
          <w:b w:val="1"/>
          <w:bCs w:val="1"/>
          <w:color w:val="FF0000"/>
          <w:strike w:val="1"/>
        </w:rPr>
        <w:t>Extension Offer</w:t>
      </w:r>
      <w:r>
        <w:rPr>
          <w:rFonts w:ascii="Arial" w:cs="Arial" w:eastAsia="Arial" w:hAnsi="Arial"/>
          <w:sz w:val="16"/>
          <w:szCs w:val="16"/>
          <w:color w:val="FF0000"/>
          <w:strike w:val="1"/>
        </w:rPr>
        <w:t>”) made from</w:t>
      </w:r>
      <w:r>
        <w:rPr>
          <w:rFonts w:ascii="Arial" w:cs="Arial" w:eastAsia="Arial" w:hAnsi="Arial"/>
          <w:sz w:val="16"/>
          <w:szCs w:val="16"/>
          <w:color w:val="FF0000"/>
        </w:rPr>
        <w:t xml:space="preserve"> </w:t>
      </w:r>
      <w:r>
        <w:rPr>
          <w:rFonts w:ascii="Arial" w:cs="Arial" w:eastAsia="Arial" w:hAnsi="Arial"/>
          <w:sz w:val="16"/>
          <w:szCs w:val="16"/>
          <w:color w:val="FF0000"/>
          <w:strike w:val="1"/>
        </w:rPr>
        <w:t>time to time by the Borrower to all Lenders of a Class of Term Loans with a like Maturity Date on a pro rata basis (based on the aggregate outstanding principal amount of the respective Term Loans of such Class with the same Maturity Date) and on the same terms to each such Lender, the Borrower may from time to time with the consent of any Lender that shall have accepted such offer extend the maturity date of any Term Loans and otherwise modify the terms of such Term Loans of such Lender pursuant to the terms of the relevant Extension Offer (including, without limitation, by increasing the interest rate or fees payable in respect of such Term Loans and/or modifying the amortization schedule in respect of such Term Loans) (each, an “</w:t>
      </w:r>
      <w:r>
        <w:rPr>
          <w:rFonts w:ascii="Arial" w:cs="Arial" w:eastAsia="Arial" w:hAnsi="Arial"/>
          <w:sz w:val="16"/>
          <w:szCs w:val="16"/>
          <w:b w:val="1"/>
          <w:bCs w:val="1"/>
          <w:color w:val="FF0000"/>
          <w:strike w:val="1"/>
        </w:rPr>
        <w:t>Extension</w:t>
      </w:r>
      <w:r>
        <w:rPr>
          <w:rFonts w:ascii="Arial" w:cs="Arial" w:eastAsia="Arial" w:hAnsi="Arial"/>
          <w:sz w:val="16"/>
          <w:szCs w:val="16"/>
          <w:color w:val="FF0000"/>
          <w:strike w:val="1"/>
        </w:rPr>
        <w:t xml:space="preserve"> ”, and each group of Term Loans as so extended, as well as the group of original Term Loans not so extended, being a “</w:t>
      </w:r>
      <w:r>
        <w:rPr>
          <w:rFonts w:ascii="Arial" w:cs="Arial" w:eastAsia="Arial" w:hAnsi="Arial"/>
          <w:sz w:val="16"/>
          <w:szCs w:val="16"/>
          <w:b w:val="1"/>
          <w:bCs w:val="1"/>
          <w:color w:val="FF0000"/>
          <w:strike w:val="1"/>
        </w:rPr>
        <w:t>tranche</w:t>
      </w:r>
      <w:r>
        <w:rPr>
          <w:rFonts w:ascii="Arial" w:cs="Arial" w:eastAsia="Arial" w:hAnsi="Arial"/>
          <w:sz w:val="16"/>
          <w:szCs w:val="16"/>
          <w:color w:val="FF0000"/>
          <w:strike w:val="1"/>
        </w:rPr>
        <w:t>”; any Extended Term Loans shall constitute a separate tranche of Term Loans from the tranche of Term Loans from which they were converted and a separate Class of Term Loans), so long as the following terms are satisfied (or waived): (i) no Event of Default shall exist at the time the notice in respect of an Extension Offer is delivered to the Lenders, and no Event of Default shall exist immediately prior to or after giving effect to the effectiveness of any Extended Term Loans, (ii) except as to interest rates, fees, amortization, final maturity date, premium, AHYDO “catch up” payments, required prepayment dates and participation in prepayments (which shall, subject to immediately succeeding clauses (iii), (iv) and (v), be determined by the Borrower and set forth in the relevant Extension Offer), the Term Loans of any Term Lender extended pursuant to any Extension (“</w:t>
      </w:r>
      <w:r>
        <w:rPr>
          <w:rFonts w:ascii="Arial" w:cs="Arial" w:eastAsia="Arial" w:hAnsi="Arial"/>
          <w:sz w:val="16"/>
          <w:szCs w:val="16"/>
          <w:b w:val="1"/>
          <w:bCs w:val="1"/>
          <w:color w:val="FF0000"/>
          <w:strike w:val="1"/>
        </w:rPr>
        <w:t>Extended Term Loans</w:t>
      </w:r>
      <w:r>
        <w:rPr>
          <w:rFonts w:ascii="Arial" w:cs="Arial" w:eastAsia="Arial" w:hAnsi="Arial"/>
          <w:sz w:val="16"/>
          <w:szCs w:val="16"/>
          <w:color w:val="FF0000"/>
          <w:strike w:val="1"/>
        </w:rPr>
        <w:t>”) shall have the same terms and conditions that are substantially identical to, or less favorable to the lenders or investors providing such Extended Term Loans as the tranche of Term Loans subject to such Extension Offer, (iii) the final maturity date of any Extended Term Loans shall be no earlier than the then Latest Maturity Date and the amortization schedule, if any, applicable to Term Loans for periods prior to the then applicable Latest Maturity Date may not be increased, (iv) the Weighted Average Life to Maturity of any Extended Term Loans shall be no shorter than the remaining Weighted Average Life to Maturity of the Term Loans extended thereby, (v) any Extended Term Loans may participate on a pro rata basis or on a less than pro rata basis (but not on a greater than pro rata basis) in any voluntary or mandatory prepayments hereunder, as specified in the applicable Extension Offer, (vi) if the aggregate principal amount of Term Loans (calculated on the face amount thereof) in respect of which Term Lenders shall have accepted the relevant Extension Offer shall exceed the maximum aggregate principal amount of Term Loans offered to be extended by the Borrower pursuant to such Extension Offer, then the Term Loans of such Term Lenders shall be extended ratably up to such maximum amount based on the respective principal amounts (but not to exceed actual holdings of record) with respect to which such Term Lenders have accepted such Extension Offer, (vii) all documentation in respect of such Extension shall be consistent with the foregoing, and (viii) any applicable Minimum Extension Condition shall be satisfied unless waived by the Borrower.</w:t>
      </w:r>
    </w:p>
    <w:p>
      <w:pPr>
        <w:spacing w:after="0" w:line="285" w:lineRule="exact"/>
        <w:rPr>
          <w:sz w:val="20"/>
          <w:szCs w:val="20"/>
          <w:color w:val="auto"/>
        </w:rPr>
      </w:pPr>
    </w:p>
    <w:p>
      <w:pPr>
        <w:ind w:right="20" w:firstLine="423"/>
        <w:spacing w:after="0" w:line="272"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0000"/>
        </w:rPr>
        <w:t xml:space="preserve"> </w:t>
      </w:r>
      <w:r>
        <w:rPr>
          <w:rFonts w:ascii="Arial" w:cs="Arial" w:eastAsia="Arial" w:hAnsi="Arial"/>
          <w:sz w:val="17"/>
          <w:szCs w:val="17"/>
          <w:color w:val="FF0000"/>
          <w:strike w:val="1"/>
        </w:rPr>
        <w:t>With respect to all Extensions consummated by the Borrower pursuant to this Section 2.19, (i) such Extensions shall not constitute</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voluntary or mandatory payments or prepayments for purposes of Section 2.12, 2.13 or 2.15 and (ii) no Extension Offer is required to be in any minimum amount or any minimum increment,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the Borrower may at its election specify as a condition (a “</w:t>
      </w:r>
      <w:r>
        <w:rPr>
          <w:rFonts w:ascii="Arial" w:cs="Arial" w:eastAsia="Arial" w:hAnsi="Arial"/>
          <w:sz w:val="17"/>
          <w:szCs w:val="17"/>
          <w:b w:val="1"/>
          <w:bCs w:val="1"/>
          <w:color w:val="FF0000"/>
          <w:strike w:val="1"/>
        </w:rPr>
        <w:t>Minimum Extension</w:t>
      </w:r>
      <w:r>
        <w:rPr>
          <w:rFonts w:ascii="Arial" w:cs="Arial" w:eastAsia="Arial" w:hAnsi="Arial"/>
          <w:sz w:val="17"/>
          <w:szCs w:val="17"/>
          <w:color w:val="FF0000"/>
          <w:strike w:val="1"/>
        </w:rPr>
        <w:t xml:space="preserve"> </w:t>
      </w:r>
      <w:r>
        <w:rPr>
          <w:rFonts w:ascii="Arial" w:cs="Arial" w:eastAsia="Arial" w:hAnsi="Arial"/>
          <w:sz w:val="17"/>
          <w:szCs w:val="17"/>
          <w:b w:val="1"/>
          <w:bCs w:val="1"/>
          <w:color w:val="FF0000"/>
          <w:strike w:val="1"/>
        </w:rPr>
        <w:t>Condition</w:t>
      </w:r>
      <w:r>
        <w:rPr>
          <w:rFonts w:ascii="Arial" w:cs="Arial" w:eastAsia="Arial" w:hAnsi="Arial"/>
          <w:sz w:val="17"/>
          <w:szCs w:val="17"/>
          <w:color w:val="FF0000"/>
          <w:strike w:val="1"/>
        </w:rPr>
        <w:t>”) to consummating any such Extension that a minimum amount (to be determined and specified in the relevant Extension Offer in the</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Borrower’s sole discretion and may be waived by the Borrower) of Term Loans of any or all applicable Classes be tendered. The Administrative Agent and the Lenders hereby consent to the Extensions and the other transactions contemplated by this Section 2.19 (including, for the avoidance of doubt, payment of any interest, fees or premium in respect of any Extended Term</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560"/>
          </w:cols>
          <w:pgMar w:left="880" w:top="274" w:right="459" w:bottom="1440" w:gutter="0" w:footer="0" w:header="0"/>
        </w:sectPr>
      </w:pPr>
    </w:p>
    <w:bookmarkStart w:id="223" w:name="page224"/>
    <w:bookmarkEnd w:id="223"/>
    <w:p>
      <w:pPr>
        <w:ind w:left="440" w:right="2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on such terms as may be set forth in the relevant Extension Offer) and hereby waive the requirements of any provision of this Agreement (including, without limitation, Sections 2.12, 2.13, 2.14 and 2.15) or any other Loan Document that may otherwise prohibit any such Extension or any other transaction contemplated by this Section 2.19.</w:t>
      </w:r>
    </w:p>
    <w:p>
      <w:pPr>
        <w:spacing w:after="0" w:line="76" w:lineRule="exact"/>
        <w:rPr>
          <w:sz w:val="20"/>
          <w:szCs w:val="20"/>
          <w:color w:val="auto"/>
        </w:rPr>
      </w:pPr>
    </w:p>
    <w:p>
      <w:pPr>
        <w:ind w:left="440" w:firstLine="423"/>
        <w:spacing w:after="0" w:line="284" w:lineRule="auto"/>
        <w:rPr>
          <w:sz w:val="20"/>
          <w:szCs w:val="20"/>
          <w:color w:val="auto"/>
        </w:rPr>
      </w:pPr>
      <w:r>
        <w:rPr>
          <w:rFonts w:ascii="Arial" w:cs="Arial" w:eastAsia="Arial" w:hAnsi="Arial"/>
          <w:sz w:val="16"/>
          <w:szCs w:val="16"/>
          <w:color w:val="FF0000"/>
          <w:strike w:val="1"/>
        </w:rPr>
        <w:t>(c)</w:t>
      </w:r>
      <w:r>
        <w:rPr>
          <w:rFonts w:ascii="Arial" w:cs="Arial" w:eastAsia="Arial" w:hAnsi="Arial"/>
          <w:sz w:val="16"/>
          <w:szCs w:val="16"/>
          <w:color w:val="000000"/>
        </w:rPr>
        <w:t xml:space="preserve"> </w:t>
      </w:r>
      <w:r>
        <w:rPr>
          <w:rFonts w:ascii="Arial" w:cs="Arial" w:eastAsia="Arial" w:hAnsi="Arial"/>
          <w:sz w:val="16"/>
          <w:szCs w:val="16"/>
          <w:color w:val="FF0000"/>
          <w:strike w:val="1"/>
        </w:rPr>
        <w:t>Each of the parties hereto hereby (A) agrees that this Agreement and the other Loan Documents may be amended to give effect to each</w:t>
      </w:r>
      <w:r>
        <w:rPr>
          <w:rFonts w:ascii="Arial" w:cs="Arial" w:eastAsia="Arial" w:hAnsi="Arial"/>
          <w:sz w:val="16"/>
          <w:szCs w:val="16"/>
          <w:color w:val="FF0000"/>
        </w:rPr>
        <w:t xml:space="preserve"> </w:t>
      </w:r>
      <w:r>
        <w:rPr>
          <w:rFonts w:ascii="Arial" w:cs="Arial" w:eastAsia="Arial" w:hAnsi="Arial"/>
          <w:sz w:val="16"/>
          <w:szCs w:val="16"/>
          <w:color w:val="FF0000"/>
          <w:strike w:val="1"/>
        </w:rPr>
        <w:t>Extension (an “</w:t>
      </w:r>
      <w:r>
        <w:rPr>
          <w:rFonts w:ascii="Arial" w:cs="Arial" w:eastAsia="Arial" w:hAnsi="Arial"/>
          <w:sz w:val="16"/>
          <w:szCs w:val="16"/>
          <w:b w:val="1"/>
          <w:bCs w:val="1"/>
          <w:color w:val="FF0000"/>
          <w:strike w:val="1"/>
        </w:rPr>
        <w:t>Extension Amendment</w:t>
      </w:r>
      <w:r>
        <w:rPr>
          <w:rFonts w:ascii="Arial" w:cs="Arial" w:eastAsia="Arial" w:hAnsi="Arial"/>
          <w:sz w:val="16"/>
          <w:szCs w:val="16"/>
          <w:color w:val="FF0000"/>
          <w:strike w:val="1"/>
        </w:rPr>
        <w:t>”), without the consent of any other Lenders, to the extent (but only to the extent) necessary to (i) reflect the existence and terms of the Extended Term Loans incurred pursuant thereto, (ii) modify the scheduled repayments set forth in Section 2.11 with respect to any Class of Term Loans subject to an Extension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Section 2.11), (iii) modify the prepayments set forth in Sections 2.12 and 2.13 to reflect the existence of the Extended Term Loans and the application of prepayments with respect thereto, and</w:t>
      </w:r>
    </w:p>
    <w:p>
      <w:pPr>
        <w:spacing w:after="0" w:line="2" w:lineRule="exact"/>
        <w:rPr>
          <w:sz w:val="20"/>
          <w:szCs w:val="20"/>
          <w:color w:val="auto"/>
        </w:rPr>
      </w:pPr>
    </w:p>
    <w:p>
      <w:pPr>
        <w:ind w:left="440" w:hanging="4"/>
        <w:spacing w:after="0" w:line="287" w:lineRule="auto"/>
        <w:tabs>
          <w:tab w:leader="none" w:pos="745" w:val="left"/>
        </w:tabs>
        <w:numPr>
          <w:ilvl w:val="0"/>
          <w:numId w:val="144"/>
        </w:numPr>
        <w:rPr>
          <w:rFonts w:ascii="Arial" w:cs="Arial" w:eastAsia="Arial" w:hAnsi="Arial"/>
          <w:sz w:val="16"/>
          <w:szCs w:val="16"/>
          <w:color w:val="FF0000"/>
          <w:strike w:val="1"/>
        </w:rPr>
      </w:pPr>
      <w:r>
        <w:rPr>
          <w:rFonts w:ascii="Arial" w:cs="Arial" w:eastAsia="Arial" w:hAnsi="Arial"/>
          <w:sz w:val="16"/>
          <w:szCs w:val="16"/>
          <w:color w:val="FF0000"/>
          <w:strike w:val="1"/>
        </w:rPr>
        <w:t>effect such other amendments to this Agreement and the other Loan Documents as may be necessary or appropriate, in the reasonable opinion of the Administrative Agent and the Borrower, to effect the provisions of this Section 2.19 , and the Required Lenders hereby expressly and irrevocably, for the benefit of all parties hereto, authorize the Administrative Agent to enter into any such Extension Amendment and (B) consent to the transactions contemplated by this Section 2.19 (including, for the avoidance of doubt, payment of interest, fees or premiums in respect of any Extended Term Loans on such terms as may be set forth in the relevant Extension Amendment). Without limiting the foregoing, in connection with any Extension, the respective Loan Parties shall (at their expense) amend (and the Collateral Agent is hereby directed to amend) any Mortgage that has a maturity date prior to the then Latest Maturity Date so that such maturity date is extended to the Latest Maturity Date after giving effect to such Extension (or such later date as may be advised by local counsel to the Collateral Agent).</w:t>
      </w:r>
    </w:p>
    <w:p>
      <w:pPr>
        <w:spacing w:after="0" w:line="62"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FF0000"/>
          <w:strike w:val="1"/>
        </w:rPr>
        <w:t>(d)</w:t>
      </w:r>
      <w:r>
        <w:rPr>
          <w:rFonts w:ascii="Arial" w:cs="Arial" w:eastAsia="Arial" w:hAnsi="Arial"/>
          <w:sz w:val="18"/>
          <w:szCs w:val="18"/>
          <w:color w:val="000000"/>
        </w:rPr>
        <w:t xml:space="preserve"> </w:t>
      </w:r>
      <w:r>
        <w:rPr>
          <w:rFonts w:ascii="Arial" w:cs="Arial" w:eastAsia="Arial" w:hAnsi="Arial"/>
          <w:sz w:val="18"/>
          <w:szCs w:val="18"/>
          <w:color w:val="FF0000"/>
          <w:strike w:val="1"/>
        </w:rPr>
        <w:t>In connection with any Extension, the Borrower shall provide the Administrative Agent at least five (5) Business Days’ (or such</w:t>
      </w:r>
      <w:r>
        <w:rPr>
          <w:rFonts w:ascii="Arial" w:cs="Arial" w:eastAsia="Arial" w:hAnsi="Arial"/>
          <w:sz w:val="18"/>
          <w:szCs w:val="18"/>
          <w:color w:val="FF0000"/>
        </w:rPr>
        <w:t xml:space="preserve"> </w:t>
      </w:r>
      <w:r>
        <w:rPr>
          <w:rFonts w:ascii="Arial" w:cs="Arial" w:eastAsia="Arial" w:hAnsi="Arial"/>
          <w:sz w:val="18"/>
          <w:szCs w:val="18"/>
          <w:color w:val="FF0000"/>
          <w:strike w:val="1"/>
        </w:rPr>
        <w:t>shorter period as may reasonably be agreed by the Administrative Agent at the direction of the Required Lenders) prior written notice thereof, and shall agree to such procedures, if any, as may be established by, or acceptable to, the Administrative Agent, in each case acting reasonably to accomplish the purposes of this Section 2.19.</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8"/>
          <w:szCs w:val="18"/>
          <w:color w:val="FF0000"/>
          <w:strike w:val="1"/>
        </w:rPr>
        <w:t>(e)</w:t>
      </w:r>
      <w:r>
        <w:rPr>
          <w:rFonts w:ascii="Arial" w:cs="Arial" w:eastAsia="Arial" w:hAnsi="Arial"/>
          <w:sz w:val="18"/>
          <w:szCs w:val="18"/>
          <w:color w:val="000000"/>
        </w:rPr>
        <w:t xml:space="preserve"> </w:t>
      </w:r>
      <w:r>
        <w:rPr>
          <w:rFonts w:ascii="Arial" w:cs="Arial" w:eastAsia="Arial" w:hAnsi="Arial"/>
          <w:sz w:val="18"/>
          <w:szCs w:val="18"/>
          <w:color w:val="FF0000"/>
          <w:strike w:val="1"/>
        </w:rPr>
        <w:t>This Section 2.19 shall supersede any provisions in Section 2.14, 2.15 or 10.08 to the contrary.</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AXES</w:t>
      </w:r>
      <w:r>
        <w:rPr>
          <w:rFonts w:ascii="Arial" w:cs="Arial" w:eastAsia="Arial" w:hAnsi="Arial"/>
          <w:sz w:val="18"/>
          <w:szCs w:val="18"/>
          <w:color w:val="auto"/>
        </w:rPr>
        <w:t>, I</w:t>
      </w:r>
      <w:r>
        <w:rPr>
          <w:rFonts w:ascii="Arial" w:cs="Arial" w:eastAsia="Arial" w:hAnsi="Arial"/>
          <w:sz w:val="14"/>
          <w:szCs w:val="14"/>
          <w:color w:val="auto"/>
        </w:rPr>
        <w:t>NCREASED</w:t>
      </w:r>
      <w:r>
        <w:rPr>
          <w:rFonts w:ascii="Arial" w:cs="Arial" w:eastAsia="Arial" w:hAnsi="Arial"/>
          <w:sz w:val="18"/>
          <w:szCs w:val="18"/>
          <w:color w:val="auto"/>
        </w:rPr>
        <w:t xml:space="preserve"> C</w:t>
      </w:r>
      <w:r>
        <w:rPr>
          <w:rFonts w:ascii="Arial" w:cs="Arial" w:eastAsia="Arial" w:hAnsi="Arial"/>
          <w:sz w:val="14"/>
          <w:szCs w:val="14"/>
          <w:color w:val="auto"/>
        </w:rPr>
        <w:t>OSTS</w:t>
      </w:r>
      <w:r>
        <w:rPr>
          <w:rFonts w:ascii="Arial" w:cs="Arial" w:eastAsia="Arial" w:hAnsi="Arial"/>
          <w:sz w:val="18"/>
          <w:szCs w:val="18"/>
          <w:color w:val="auto"/>
        </w:rPr>
        <w:t xml:space="preserve"> P</w:t>
      </w:r>
      <w:r>
        <w:rPr>
          <w:rFonts w:ascii="Arial" w:cs="Arial" w:eastAsia="Arial" w:hAnsi="Arial"/>
          <w:sz w:val="14"/>
          <w:szCs w:val="14"/>
          <w:color w:val="auto"/>
        </w:rPr>
        <w:t>ROTECTION AND</w:t>
      </w:r>
      <w:r>
        <w:rPr>
          <w:rFonts w:ascii="Arial" w:cs="Arial" w:eastAsia="Arial" w:hAnsi="Arial"/>
          <w:sz w:val="18"/>
          <w:szCs w:val="18"/>
          <w:color w:val="auto"/>
        </w:rPr>
        <w:t xml:space="preserve"> I</w:t>
      </w:r>
      <w:r>
        <w:rPr>
          <w:rFonts w:ascii="Arial" w:cs="Arial" w:eastAsia="Arial" w:hAnsi="Arial"/>
          <w:sz w:val="14"/>
          <w:szCs w:val="14"/>
          <w:color w:val="auto"/>
        </w:rPr>
        <w:t>LLEGALITY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3.01 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(a) Except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any and all payments made by or on account of the Borrower or any Guarantor under any Loan Document to any Lender or Agent shall be made free and clear of and without deduction for any and all present or future taxes, duties, levies, imposts, assessments, withholdings (including backup withholding), fees or similar charges imposed by any Governmental Authority including interest, penalties and additions to tax (collectively “</w:t>
      </w:r>
      <w:r>
        <w:rPr>
          <w:rFonts w:ascii="Arial" w:cs="Arial" w:eastAsia="Arial" w:hAnsi="Arial"/>
          <w:sz w:val="17"/>
          <w:szCs w:val="17"/>
          <w:b w:val="1"/>
          <w:bCs w:val="1"/>
          <w:color w:val="auto"/>
        </w:rPr>
        <w:t>Taxes</w:t>
      </w:r>
      <w:r>
        <w:rPr>
          <w:rFonts w:ascii="Arial" w:cs="Arial" w:eastAsia="Arial" w:hAnsi="Arial"/>
          <w:sz w:val="17"/>
          <w:szCs w:val="17"/>
          <w:color w:val="auto"/>
        </w:rPr>
        <w:t xml:space="preserve">”), excluding (i) Taxes imposed on or measured by net income, however denominated, and franchise (and similar) Taxes imposed on </w:t>
      </w:r>
      <w:r>
        <w:rPr>
          <w:rFonts w:ascii="Arial" w:cs="Arial" w:eastAsia="Arial" w:hAnsi="Arial"/>
          <w:sz w:val="17"/>
          <w:szCs w:val="17"/>
          <w:color w:val="FF0000"/>
          <w:strike w:val="1"/>
        </w:rPr>
        <w:t>it</w:t>
      </w:r>
      <w:r>
        <w:rPr>
          <w:rFonts w:ascii="Arial" w:cs="Arial" w:eastAsia="Arial" w:hAnsi="Arial"/>
          <w:sz w:val="17"/>
          <w:szCs w:val="17"/>
          <w:u w:val="single" w:color="auto"/>
          <w:color w:val="0000FF"/>
        </w:rPr>
        <w:t>such Lender or Agent</w:t>
      </w:r>
      <w:r>
        <w:rPr>
          <w:rFonts w:ascii="Arial" w:cs="Arial" w:eastAsia="Arial" w:hAnsi="Arial"/>
          <w:sz w:val="17"/>
          <w:szCs w:val="17"/>
          <w:color w:val="auto"/>
        </w:rPr>
        <w:t xml:space="preserve"> in lieu of net income Taxes, (ii) Taxes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-6985</wp:posOffset>
            </wp:positionV>
            <wp:extent cx="98552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40" w:top="274" w:right="499" w:bottom="1440" w:gutter="0" w:footer="0" w:header="0"/>
        </w:sectPr>
      </w:pPr>
    </w:p>
    <w:bookmarkStart w:id="224" w:name="page225"/>
    <w:bookmarkEnd w:id="224"/>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failure by the relevant Lender or Agent to deliver the documentation required to be delivered pursuant to clause (d) of this </w:t>
      </w:r>
      <w:r>
        <w:rPr>
          <w:rFonts w:ascii="Arial" w:cs="Arial" w:eastAsia="Arial" w:hAnsi="Arial"/>
          <w:sz w:val="16"/>
          <w:szCs w:val="16"/>
          <w:u w:val="single" w:color="auto"/>
          <w:color w:val="auto"/>
        </w:rPr>
        <w:t>Section 3.01</w:t>
      </w:r>
      <w:r>
        <w:rPr>
          <w:rFonts w:ascii="Arial" w:cs="Arial" w:eastAsia="Arial" w:hAnsi="Arial"/>
          <w:sz w:val="16"/>
          <w:szCs w:val="16"/>
          <w:color w:val="auto"/>
        </w:rPr>
        <w:t>, (iii) Taxes imposed by a jurisdiction as a result of any connection between such Lender or Agent and such jurisdiction other than any connection arising from executing, delivering, being a party to, engaging in any transactions pursuant to, performing its obligations under, or enforcing any Loan Document,</w:t>
      </w:r>
    </w:p>
    <w:p>
      <w:pPr>
        <w:spacing w:after="0" w:line="2" w:lineRule="exact"/>
        <w:rPr>
          <w:sz w:val="20"/>
          <w:szCs w:val="20"/>
          <w:color w:val="auto"/>
        </w:rPr>
      </w:pPr>
    </w:p>
    <w:p>
      <w:pPr>
        <w:ind w:left="4" w:hanging="4"/>
        <w:spacing w:after="0" w:line="266" w:lineRule="auto"/>
        <w:tabs>
          <w:tab w:leader="none" w:pos="30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any branch profits Taxes imposed by the United States or any similar Tax imposed by any other jurisdiction in which the Borrower or any Guarantor (as appropriate) is located, (v) any U.S. federal withholding tax imposed on amounts payable hereunder pursuant to a law in effect at such time the Lender or Agent becomes a party to this Agreement (other than pursuant to an assignment request by the Borrower under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or designates a new lending office, except in each case to the extent such Lender (or its assignor, if any) was entitled at the time of designation of a new lending office (or assignment) to receive additional amounts with respect to such withholding tax pursuant to this </w:t>
      </w:r>
      <w:r>
        <w:rPr>
          <w:rFonts w:ascii="Arial" w:cs="Arial" w:eastAsia="Arial" w:hAnsi="Arial"/>
          <w:sz w:val="17"/>
          <w:szCs w:val="17"/>
          <w:u w:val="single" w:color="auto"/>
          <w:color w:val="auto"/>
        </w:rPr>
        <w:t>Section 3.01</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and (vi) any </w:t>
      </w:r>
      <w:r>
        <w:rPr>
          <w:rFonts w:ascii="Arial" w:cs="Arial" w:eastAsia="Arial" w:hAnsi="Arial"/>
          <w:sz w:val="17"/>
          <w:szCs w:val="17"/>
          <w:u w:val="single" w:color="auto"/>
          <w:color w:val="0000FF"/>
        </w:rPr>
        <w:t>withholding</w:t>
      </w:r>
      <w:r>
        <w:rPr>
          <w:rFonts w:ascii="Arial" w:cs="Arial" w:eastAsia="Arial" w:hAnsi="Arial"/>
          <w:sz w:val="17"/>
          <w:szCs w:val="17"/>
          <w:color w:val="auto"/>
        </w:rPr>
        <w:t xml:space="preserve"> Tax imposed under FATCA (all such non-excluded Taxes imposed on such payments, being hereinafter referred to as “</w:t>
      </w:r>
      <w:r>
        <w:rPr>
          <w:rFonts w:ascii="Arial" w:cs="Arial" w:eastAsia="Arial" w:hAnsi="Arial"/>
          <w:sz w:val="17"/>
          <w:szCs w:val="17"/>
          <w:b w:val="1"/>
          <w:bCs w:val="1"/>
          <w:color w:val="auto"/>
        </w:rPr>
        <w:t>Indemnified Taxes</w:t>
      </w:r>
      <w:r>
        <w:rPr>
          <w:rFonts w:ascii="Arial" w:cs="Arial" w:eastAsia="Arial" w:hAnsi="Arial"/>
          <w:sz w:val="17"/>
          <w:szCs w:val="17"/>
          <w:color w:val="auto"/>
        </w:rPr>
        <w:t xml:space="preserve">”). If the Borrower, any Guarantor or other applicable withholding agent shall be required by any Laws to deduct </w:t>
      </w:r>
      <w:r>
        <w:rPr>
          <w:rFonts w:ascii="Arial" w:cs="Arial" w:eastAsia="Arial" w:hAnsi="Arial"/>
          <w:sz w:val="17"/>
          <w:szCs w:val="17"/>
          <w:u w:val="single" w:color="auto"/>
          <w:color w:val="0000FF"/>
        </w:rPr>
        <w:t>or withhold</w:t>
      </w:r>
      <w:r>
        <w:rPr>
          <w:rFonts w:ascii="Arial" w:cs="Arial" w:eastAsia="Arial" w:hAnsi="Arial"/>
          <w:sz w:val="17"/>
          <w:szCs w:val="17"/>
          <w:color w:val="auto"/>
        </w:rPr>
        <w:t xml:space="preserve"> any Indemnified Taxes or Other Taxes (as defined below) from or in respect of any sum payable under any Loan Document to any Agent or any Lender, (i) the sum payable by the Borrower or Guarantor shall be increased as necessary so that after making all required deductions </w:t>
      </w:r>
      <w:r>
        <w:rPr>
          <w:rFonts w:ascii="Arial" w:cs="Arial" w:eastAsia="Arial" w:hAnsi="Arial"/>
          <w:sz w:val="17"/>
          <w:szCs w:val="17"/>
          <w:u w:val="single" w:color="auto"/>
          <w:color w:val="0000FF"/>
        </w:rPr>
        <w:t>or withholding</w:t>
      </w:r>
      <w:r>
        <w:rPr>
          <w:rFonts w:ascii="Arial" w:cs="Arial" w:eastAsia="Arial" w:hAnsi="Arial"/>
          <w:sz w:val="17"/>
          <w:szCs w:val="17"/>
          <w:color w:val="auto"/>
        </w:rPr>
        <w:t xml:space="preserve"> (including deductions </w:t>
      </w:r>
      <w:r>
        <w:rPr>
          <w:rFonts w:ascii="Arial" w:cs="Arial" w:eastAsia="Arial" w:hAnsi="Arial"/>
          <w:sz w:val="17"/>
          <w:szCs w:val="17"/>
          <w:u w:val="single" w:color="auto"/>
          <w:color w:val="0000FF"/>
        </w:rPr>
        <w:t>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withholdings</w:t>
      </w:r>
      <w:r>
        <w:rPr>
          <w:rFonts w:ascii="Arial" w:cs="Arial" w:eastAsia="Arial" w:hAnsi="Arial"/>
          <w:sz w:val="17"/>
          <w:szCs w:val="17"/>
          <w:color w:val="0000FF"/>
        </w:rPr>
        <w:t xml:space="preserve"> </w:t>
      </w:r>
      <w:r>
        <w:rPr>
          <w:rFonts w:ascii="Arial" w:cs="Arial" w:eastAsia="Arial" w:hAnsi="Arial"/>
          <w:sz w:val="17"/>
          <w:szCs w:val="17"/>
          <w:color w:val="000000"/>
        </w:rPr>
        <w:t>applicable to additional sums payable under this</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3.01</w:t>
      </w:r>
      <w:r>
        <w:rPr>
          <w:rFonts w:ascii="Arial" w:cs="Arial" w:eastAsia="Arial" w:hAnsi="Arial"/>
          <w:sz w:val="17"/>
          <w:szCs w:val="17"/>
          <w:color w:val="000000"/>
        </w:rPr>
        <w:t>), such Agent or Lender (as the case may be) receives an amount equal to the</w:t>
      </w:r>
      <w:r>
        <w:rPr>
          <w:rFonts w:ascii="Arial" w:cs="Arial" w:eastAsia="Arial" w:hAnsi="Arial"/>
          <w:sz w:val="17"/>
          <w:szCs w:val="17"/>
          <w:color w:val="0000FF"/>
        </w:rPr>
        <w:t xml:space="preserve"> </w:t>
      </w:r>
      <w:r>
        <w:rPr>
          <w:rFonts w:ascii="Arial" w:cs="Arial" w:eastAsia="Arial" w:hAnsi="Arial"/>
          <w:sz w:val="17"/>
          <w:szCs w:val="17"/>
          <w:color w:val="000000"/>
        </w:rPr>
        <w:t xml:space="preserve">sum it would have received had no such deductions </w:t>
      </w:r>
      <w:r>
        <w:rPr>
          <w:rFonts w:ascii="Arial" w:cs="Arial" w:eastAsia="Arial" w:hAnsi="Arial"/>
          <w:sz w:val="17"/>
          <w:szCs w:val="17"/>
          <w:u w:val="single" w:color="auto"/>
          <w:color w:val="0000FF"/>
        </w:rPr>
        <w:t>or withholdings</w:t>
      </w:r>
      <w:r>
        <w:rPr>
          <w:rFonts w:ascii="Arial" w:cs="Arial" w:eastAsia="Arial" w:hAnsi="Arial"/>
          <w:sz w:val="17"/>
          <w:szCs w:val="17"/>
          <w:color w:val="000000"/>
        </w:rPr>
        <w:t xml:space="preserve"> been made, (ii) the applicable withholding agent shall make such deductions </w:t>
      </w:r>
      <w:r>
        <w:rPr>
          <w:rFonts w:ascii="Arial" w:cs="Arial" w:eastAsia="Arial" w:hAnsi="Arial"/>
          <w:sz w:val="17"/>
          <w:szCs w:val="17"/>
          <w:color w:val="0000FF"/>
        </w:rPr>
        <w:t>or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withholdings</w:t>
      </w:r>
      <w:r>
        <w:rPr>
          <w:rFonts w:ascii="Arial" w:cs="Arial" w:eastAsia="Arial" w:hAnsi="Arial"/>
          <w:sz w:val="17"/>
          <w:szCs w:val="17"/>
          <w:color w:val="000000"/>
        </w:rPr>
        <w:t>, (iii) the applicable withholding agent shall pay the full amount deducted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withheld</w:t>
      </w:r>
      <w:r>
        <w:rPr>
          <w:rFonts w:ascii="Arial" w:cs="Arial" w:eastAsia="Arial" w:hAnsi="Arial"/>
          <w:sz w:val="17"/>
          <w:szCs w:val="17"/>
          <w:color w:val="0000FF"/>
        </w:rPr>
        <w:t xml:space="preserve"> </w:t>
      </w:r>
      <w:r>
        <w:rPr>
          <w:rFonts w:ascii="Arial" w:cs="Arial" w:eastAsia="Arial" w:hAnsi="Arial"/>
          <w:sz w:val="17"/>
          <w:szCs w:val="17"/>
          <w:color w:val="000000"/>
        </w:rPr>
        <w:t>to the relevant Governmental Authority in</w:t>
      </w:r>
      <w:r>
        <w:rPr>
          <w:rFonts w:ascii="Arial" w:cs="Arial" w:eastAsia="Arial" w:hAnsi="Arial"/>
          <w:sz w:val="17"/>
          <w:szCs w:val="17"/>
          <w:color w:val="0000FF"/>
        </w:rPr>
        <w:t xml:space="preserve"> </w:t>
      </w:r>
      <w:r>
        <w:rPr>
          <w:rFonts w:ascii="Arial" w:cs="Arial" w:eastAsia="Arial" w:hAnsi="Arial"/>
          <w:sz w:val="17"/>
          <w:szCs w:val="17"/>
          <w:color w:val="000000"/>
        </w:rPr>
        <w:t>accordance with applicable Laws, and (iv) within thirty (30) days after the date of such payment (or, if receipts or evidence are not available within thirty (30) days, as soon as possible thereafter), if the Borrower or any Guarantor is the applicable withholding agent, the applicable withholding agent shall furnish to such Agent or Lender (as the case may be) the original or a copy of a receipt evidencing payment thereof or other evidence acceptable to such Agent or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-1506220</wp:posOffset>
            </wp:positionV>
            <wp:extent cx="58293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-1231900</wp:posOffset>
            </wp:positionV>
            <wp:extent cx="56578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-957580</wp:posOffset>
            </wp:positionV>
            <wp:extent cx="70294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6257925</wp:posOffset>
            </wp:positionH>
            <wp:positionV relativeFrom="paragraph">
              <wp:posOffset>-957580</wp:posOffset>
            </wp:positionV>
            <wp:extent cx="16319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-820420</wp:posOffset>
            </wp:positionV>
            <wp:extent cx="62547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-683260</wp:posOffset>
            </wp:positionV>
            <wp:extent cx="7454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-683260</wp:posOffset>
            </wp:positionV>
            <wp:extent cx="12001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6624955</wp:posOffset>
            </wp:positionH>
            <wp:positionV relativeFrom="paragraph">
              <wp:posOffset>-717550</wp:posOffset>
            </wp:positionV>
            <wp:extent cx="12382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0007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-546100</wp:posOffset>
            </wp:positionV>
            <wp:extent cx="54864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7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(b) In addition, the Borrower agrees to pay any and all present or future stamp, court or documentary taxes and any other </w:t>
      </w:r>
      <w:r>
        <w:rPr>
          <w:rFonts w:ascii="Arial" w:cs="Arial" w:eastAsia="Arial" w:hAnsi="Arial"/>
          <w:sz w:val="18"/>
          <w:szCs w:val="18"/>
          <w:color w:val="FF0000"/>
          <w:strike w:val="1"/>
        </w:rPr>
        <w:t>excise, property,</w:t>
      </w:r>
      <w:r>
        <w:rPr>
          <w:rFonts w:ascii="Arial" w:cs="Arial" w:eastAsia="Arial" w:hAnsi="Arial"/>
          <w:sz w:val="18"/>
          <w:szCs w:val="18"/>
          <w:color w:val="auto"/>
        </w:rPr>
        <w:t xml:space="preserve"> intangible </w:t>
      </w:r>
      <w:r>
        <w:rPr>
          <w:rFonts w:ascii="Arial" w:cs="Arial" w:eastAsia="Arial" w:hAnsi="Arial"/>
          <w:sz w:val="18"/>
          <w:szCs w:val="18"/>
          <w:color w:val="FF0000"/>
          <w:strike w:val="1"/>
        </w:rPr>
        <w:t>or mortgage</w:t>
      </w:r>
      <w:r>
        <w:rPr>
          <w:rFonts w:ascii="Arial" w:cs="Arial" w:eastAsia="Arial" w:hAnsi="Arial"/>
          <w:sz w:val="18"/>
          <w:szCs w:val="18"/>
          <w:color w:val="auto"/>
        </w:rPr>
        <w:t xml:space="preserve"> recording taxes, or charges or levies of the same character, imposed by any Governmental Authority, which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result from an Agent or Lender’s Assignment and Acceptance, grant of a Participation, transfer or assignment to or designation of a new applicable lending office or other office for receiving payments under any Loan Document (collectively, “</w:t>
      </w:r>
      <w:r>
        <w:rPr>
          <w:rFonts w:ascii="Arial" w:cs="Arial" w:eastAsia="Arial" w:hAnsi="Arial"/>
          <w:sz w:val="18"/>
          <w:szCs w:val="18"/>
          <w:b w:val="1"/>
          <w:bCs w:val="1"/>
          <w:color w:val="auto"/>
        </w:rPr>
        <w:t>Assignment Taxes</w:t>
      </w:r>
      <w:r>
        <w:rPr>
          <w:rFonts w:ascii="Arial" w:cs="Arial" w:eastAsia="Arial" w:hAnsi="Arial"/>
          <w:sz w:val="18"/>
          <w:szCs w:val="18"/>
          <w:color w:val="auto"/>
        </w:rPr>
        <w:t xml:space="preserve">”) except for Assignment Taxes resulting from </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assignment or participation that is requested or required in writing by the Borrower (all such non-excluded taxes described in this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being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-271780</wp:posOffset>
            </wp:positionV>
            <wp:extent cx="18859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72"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(c) Without duplication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Borrower and each Guarantor agree to indemnify each Agent and each Lender for (i) the full amount of Indemnified Taxes and Other Taxes paid by such Agent or Lender (including Indemnified Taxes and Other Taxes imposed or asserted on or attributable to amounts payable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FF"/>
        </w:rPr>
        <w:t>3.01(c)</w:t>
      </w:r>
      <w:r>
        <w:rPr>
          <w:rFonts w:ascii="Arial" w:cs="Arial" w:eastAsia="Arial" w:hAnsi="Arial"/>
          <w:sz w:val="18"/>
          <w:szCs w:val="18"/>
          <w:color w:val="auto"/>
        </w:rPr>
        <w:t xml:space="preserve">) and (ii) any </w:t>
      </w:r>
      <w:r>
        <w:rPr>
          <w:rFonts w:ascii="Arial" w:cs="Arial" w:eastAsia="Arial" w:hAnsi="Arial"/>
          <w:sz w:val="18"/>
          <w:szCs w:val="18"/>
          <w:u w:val="single" w:color="auto"/>
          <w:color w:val="0000FF"/>
        </w:rPr>
        <w:t>reasonable</w:t>
      </w:r>
      <w:r>
        <w:rPr>
          <w:rFonts w:ascii="Arial" w:cs="Arial" w:eastAsia="Arial" w:hAnsi="Arial"/>
          <w:sz w:val="18"/>
          <w:szCs w:val="18"/>
          <w:color w:val="auto"/>
        </w:rPr>
        <w:t xml:space="preserve"> expenses arising therefrom or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Agent or Lender, as the case may be, provides Borrower or Guarantor with a written statement thereof setting forth in reasonable detail the basis and calculation of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-307975</wp:posOffset>
            </wp:positionV>
            <wp:extent cx="35496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354965" cy="8890"/>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-273685</wp:posOffset>
            </wp:positionV>
            <wp:extent cx="51435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8"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(d) Each Lender and Agent shall, at such times as are reasonably requested by the Borrower or the Administrative Agent, provide the Borrower and the Administrative Agent with any documentation prescribed by Law </w:t>
      </w:r>
      <w:r>
        <w:rPr>
          <w:rFonts w:ascii="Arial" w:cs="Arial" w:eastAsia="Arial" w:hAnsi="Arial"/>
          <w:sz w:val="18"/>
          <w:szCs w:val="18"/>
          <w:u w:val="single" w:color="auto"/>
          <w:color w:val="0000FF"/>
        </w:rPr>
        <w:t>or reasonably requested by the Borrower or the Administrative Agent</w:t>
      </w:r>
      <w:r>
        <w:rPr>
          <w:rFonts w:ascii="Arial" w:cs="Arial" w:eastAsia="Arial" w:hAnsi="Arial"/>
          <w:sz w:val="18"/>
          <w:szCs w:val="18"/>
          <w:color w:val="auto"/>
        </w:rPr>
        <w:t xml:space="preserve"> certifying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-139700</wp:posOffset>
            </wp:positionV>
            <wp:extent cx="318008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4"/>
          </w:cols>
          <w:pgMar w:left="436" w:top="274" w:right="479" w:bottom="1440" w:gutter="0" w:footer="0" w:header="0"/>
        </w:sectPr>
      </w:pPr>
    </w:p>
    <w:bookmarkStart w:id="225" w:name="page226"/>
    <w:bookmarkEnd w:id="225"/>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entitlement of such Lender or Agent to an exemption from, or reduction in, withholding tax with respect to any payments to be made to such Lender under the Loan Documents. Each such Lender and Agent shall, whenever a lapse in time or change in circumstances renders such documentation obsolete or inaccurate in any material respect, deliver promptly to the Borrower and the Administrative Agent updated or other appropriate documentation (including any new documentation reasonably requested by the applicable withholding agent) or promptly notify the Borrower and the Administrative Agent of its inability to do so. Unless the applicable withholding agent has received forms or other documents </w:t>
      </w:r>
      <w:r>
        <w:rPr>
          <w:rFonts w:ascii="Arial" w:cs="Arial" w:eastAsia="Arial" w:hAnsi="Arial"/>
          <w:sz w:val="17"/>
          <w:szCs w:val="17"/>
          <w:u w:val="single" w:color="auto"/>
          <w:color w:val="0000FF"/>
        </w:rPr>
        <w:t>reasonably</w:t>
      </w:r>
      <w:r>
        <w:rPr>
          <w:rFonts w:ascii="Arial" w:cs="Arial" w:eastAsia="Arial" w:hAnsi="Arial"/>
          <w:sz w:val="17"/>
          <w:szCs w:val="17"/>
          <w:color w:val="auto"/>
        </w:rPr>
        <w:t xml:space="preserve"> satisfactory to it indicating that payments under any Loan Document to or for a Lender are not subject to withholding tax or are subject to such Tax at a rate reduced by an applicable tax treaty, the Borrower, the Administrative Agent or other applicable withholding agent shall withhold amounts required to be withheld by applicable Law from such payments at the applicable statutory rate. Notwithstanding the foregoing, a Lender shall not be required to deliver any form pursuant to this clause (d) </w:t>
      </w:r>
      <w:r>
        <w:rPr>
          <w:rFonts w:ascii="Arial" w:cs="Arial" w:eastAsia="Arial" w:hAnsi="Arial"/>
          <w:sz w:val="17"/>
          <w:szCs w:val="17"/>
          <w:u w:val="single" w:color="auto"/>
          <w:color w:val="0000FF"/>
        </w:rPr>
        <w:t>(other than such documentation set forth in Sections 3.01(d)(i), 3.01(d)(ii) and 3.01(g))</w:t>
      </w:r>
      <w:r>
        <w:rPr>
          <w:rFonts w:ascii="Arial" w:cs="Arial" w:eastAsia="Arial" w:hAnsi="Arial"/>
          <w:sz w:val="17"/>
          <w:szCs w:val="17"/>
          <w:color w:val="auto"/>
        </w:rPr>
        <w:t xml:space="preserve"> that such Lender is not legally able to deliver. In addition, each Lender and Agent shall deliver to the Borrower and the Administrative Agent such other tax forms or other documents as shall be prescribed by applicable Law or reasonably requested by the Borrower or the Administrative Agent as will enable the Borrower or the Administrative Agent to determine whether or not such Lender or Agent is subject to backup withholding or information reporting requirements. Without limiting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5777865</wp:posOffset>
            </wp:positionH>
            <wp:positionV relativeFrom="paragraph">
              <wp:posOffset>-1097915</wp:posOffset>
            </wp:positionV>
            <wp:extent cx="52260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-549275</wp:posOffset>
            </wp:positionV>
            <wp:extent cx="400304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58" w:lineRule="exact"/>
        <w:rPr>
          <w:sz w:val="20"/>
          <w:szCs w:val="20"/>
          <w:color w:val="auto"/>
        </w:rPr>
      </w:pPr>
    </w:p>
    <w:p>
      <w:pPr>
        <w:ind w:left="444" w:right="80" w:firstLine="423"/>
        <w:spacing w:after="0" w:line="301" w:lineRule="auto"/>
        <w:rPr>
          <w:sz w:val="20"/>
          <w:szCs w:val="20"/>
          <w:color w:val="auto"/>
        </w:rPr>
      </w:pPr>
      <w:r>
        <w:rPr>
          <w:rFonts w:ascii="Arial" w:cs="Arial" w:eastAsia="Arial" w:hAnsi="Arial"/>
          <w:sz w:val="16"/>
          <w:szCs w:val="16"/>
          <w:color w:val="auto"/>
        </w:rPr>
        <w:t xml:space="preserve">(i) Each Lender and Agent that is a United States person (as defined in Section 7701(a)(30) of the Code) shall deliver to the Borrower and the Administrative Agent on or before the date on which it becomes a party to this Agreement </w:t>
      </w:r>
      <w:r>
        <w:rPr>
          <w:rFonts w:ascii="Arial" w:cs="Arial" w:eastAsia="Arial" w:hAnsi="Arial"/>
          <w:sz w:val="16"/>
          <w:szCs w:val="16"/>
          <w:u w:val="single" w:color="auto"/>
          <w:color w:val="0000FF"/>
        </w:rPr>
        <w:t>(and from time to time thereafter upon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reasonable request of the Borrower or the Administrative Agent)</w:t>
      </w:r>
      <w:r>
        <w:rPr>
          <w:rFonts w:ascii="Arial" w:cs="Arial" w:eastAsia="Arial" w:hAnsi="Arial"/>
          <w:sz w:val="16"/>
          <w:szCs w:val="16"/>
          <w:color w:val="0000FF"/>
        </w:rPr>
        <w:t xml:space="preserve"> </w:t>
      </w:r>
      <w:r>
        <w:rPr>
          <w:rFonts w:ascii="Arial" w:cs="Arial" w:eastAsia="Arial" w:hAnsi="Arial"/>
          <w:sz w:val="16"/>
          <w:szCs w:val="16"/>
          <w:color w:val="000000"/>
        </w:rPr>
        <w:t>two properly completed and duly signed executed copies of Internal Revenue</w:t>
      </w:r>
      <w:r>
        <w:rPr>
          <w:rFonts w:ascii="Arial" w:cs="Arial" w:eastAsia="Arial" w:hAnsi="Arial"/>
          <w:sz w:val="16"/>
          <w:szCs w:val="16"/>
          <w:color w:val="0000FF"/>
        </w:rPr>
        <w:t xml:space="preserve"> </w:t>
      </w:r>
      <w:r>
        <w:rPr>
          <w:rFonts w:ascii="Arial" w:cs="Arial" w:eastAsia="Arial" w:hAnsi="Arial"/>
          <w:sz w:val="16"/>
          <w:szCs w:val="16"/>
          <w:color w:val="000000"/>
        </w:rPr>
        <w:t>Service Form W-9 certifying that such Lender or Agent (as the case may be) is exempt from federal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-293370</wp:posOffset>
            </wp:positionV>
            <wp:extent cx="192913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-156210</wp:posOffset>
            </wp:positionV>
            <wp:extent cx="297434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9" w:lineRule="exact"/>
        <w:rPr>
          <w:sz w:val="20"/>
          <w:szCs w:val="20"/>
          <w:color w:val="auto"/>
        </w:rPr>
      </w:pPr>
    </w:p>
    <w:p>
      <w:pPr>
        <w:ind w:left="444" w:right="60" w:firstLine="423"/>
        <w:spacing w:after="0" w:line="263" w:lineRule="auto"/>
        <w:rPr>
          <w:sz w:val="20"/>
          <w:szCs w:val="20"/>
          <w:color w:val="auto"/>
        </w:rPr>
      </w:pPr>
      <w:r>
        <w:rPr>
          <w:rFonts w:ascii="Arial" w:cs="Arial" w:eastAsia="Arial" w:hAnsi="Arial"/>
          <w:sz w:val="18"/>
          <w:szCs w:val="18"/>
          <w:color w:val="auto"/>
        </w:rPr>
        <w:t xml:space="preserve">(ii) Each Lender and Agent that is not a United States person (as defined in Section 7701(a)(30) of the Code) shall deliver to the Borrower and the Administrative Agent on or before the date on which it becomes a party to this Agreement </w:t>
      </w:r>
      <w:r>
        <w:rPr>
          <w:rFonts w:ascii="Arial" w:cs="Arial" w:eastAsia="Arial" w:hAnsi="Arial"/>
          <w:sz w:val="18"/>
          <w:szCs w:val="18"/>
          <w:u w:val="single" w:color="auto"/>
          <w:color w:val="0000FF"/>
        </w:rPr>
        <w:t>(and from time to time thereafter upon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reasonable request of the Borrower or the Administrative Agent)</w:t>
      </w:r>
      <w:r>
        <w:rPr>
          <w:rFonts w:ascii="Arial" w:cs="Arial" w:eastAsia="Arial" w:hAnsi="Arial"/>
          <w:sz w:val="18"/>
          <w:szCs w:val="18"/>
          <w:color w:val="0000FF"/>
        </w:rPr>
        <w:t xml:space="preserve"> </w:t>
      </w:r>
      <w:r>
        <w:rPr>
          <w:rFonts w:ascii="Arial" w:cs="Arial" w:eastAsia="Arial" w:hAnsi="Arial"/>
          <w:sz w:val="18"/>
          <w:szCs w:val="18"/>
          <w:color w:val="000000"/>
        </w:rPr>
        <w:t>whichever of the following is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-139700</wp:posOffset>
            </wp:positionV>
            <wp:extent cx="192024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-2540</wp:posOffset>
            </wp:positionV>
            <wp:extent cx="298323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64"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(A) two properly completed and duly signed executed copies of Internal Revenue Service Form W-8BEN or Internal Revenue Service Form W-8BEN-E (or any successor forms) claiming eligibility for the benefits of an income tax treaty to which the United States is a party, and such other documentation as required under the Code,</w:t>
      </w:r>
    </w:p>
    <w:p>
      <w:pPr>
        <w:spacing w:after="0" w:line="184" w:lineRule="exact"/>
        <w:rPr>
          <w:sz w:val="20"/>
          <w:szCs w:val="20"/>
          <w:color w:val="auto"/>
        </w:rPr>
      </w:pPr>
    </w:p>
    <w:p>
      <w:pPr>
        <w:jc w:val="both"/>
        <w:ind w:left="4" w:right="220" w:firstLine="440"/>
        <w:spacing w:after="0" w:line="286" w:lineRule="auto"/>
        <w:rPr>
          <w:sz w:val="20"/>
          <w:szCs w:val="20"/>
          <w:color w:val="auto"/>
        </w:rPr>
      </w:pPr>
      <w:r>
        <w:rPr>
          <w:rFonts w:ascii="Arial" w:cs="Arial" w:eastAsia="Arial" w:hAnsi="Arial"/>
          <w:sz w:val="17"/>
          <w:szCs w:val="17"/>
          <w:color w:val="auto"/>
        </w:rPr>
        <w:t>(B) two properly completed and duly signed executed copies of Internal Revenue Service Form W-8ECI (or any successor forms) and, in the case of an Agent, a withholding certificate that satisfies the requirements of Treasury Regulation Sections 1.1441-1(b)(2)(iv) and 1.1441-1(e)(3)(v) as applicable to a U.S. branch that has agreed to be treated as a U.S. person for withholding tax purposes</w:t>
      </w:r>
      <w:r>
        <w:rPr>
          <w:rFonts w:ascii="Arial" w:cs="Arial" w:eastAsia="Arial" w:hAnsi="Arial"/>
          <w:sz w:val="17"/>
          <w:szCs w:val="17"/>
          <w:color w:val="FF0000"/>
          <w:strike w:val="1"/>
        </w:rPr>
        <w:t>,</w:t>
      </w:r>
    </w:p>
    <w:p>
      <w:pPr>
        <w:spacing w:after="0" w:line="165" w:lineRule="exact"/>
        <w:rPr>
          <w:sz w:val="20"/>
          <w:szCs w:val="20"/>
          <w:color w:val="auto"/>
        </w:rPr>
      </w:pPr>
    </w:p>
    <w:p>
      <w:pPr>
        <w:ind w:left="4" w:right="500" w:firstLine="440"/>
        <w:spacing w:after="0" w:line="291" w:lineRule="auto"/>
        <w:rPr>
          <w:sz w:val="20"/>
          <w:szCs w:val="20"/>
          <w:color w:val="auto"/>
        </w:rPr>
      </w:pPr>
      <w:r>
        <w:rPr>
          <w:rFonts w:ascii="Arial" w:cs="Arial" w:eastAsia="Arial" w:hAnsi="Arial"/>
          <w:sz w:val="16"/>
          <w:szCs w:val="16"/>
          <w:color w:val="auto"/>
        </w:rPr>
        <w:t xml:space="preserve">(C) in the case of a Lender claiming the benefits of the exemption for portfolio interest under Section 881(c) of the Code, (A) a certificate substantially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w:t>
      </w:r>
      <w:r>
        <w:rPr>
          <w:rFonts w:ascii="Arial" w:cs="Arial" w:eastAsia="Arial" w:hAnsi="Arial"/>
          <w:sz w:val="16"/>
          <w:szCs w:val="16"/>
          <w:u w:val="single" w:color="auto"/>
          <w:color w:val="auto"/>
        </w:rPr>
        <w:t>G-2</w:t>
      </w:r>
      <w:r>
        <w:rPr>
          <w:rFonts w:ascii="Arial" w:cs="Arial" w:eastAsia="Arial" w:hAnsi="Arial"/>
          <w:sz w:val="16"/>
          <w:szCs w:val="16"/>
          <w:color w:val="auto"/>
        </w:rPr>
        <w:t xml:space="preserve">, </w:t>
      </w:r>
      <w:r>
        <w:rPr>
          <w:rFonts w:ascii="Arial" w:cs="Arial" w:eastAsia="Arial" w:hAnsi="Arial"/>
          <w:sz w:val="16"/>
          <w:szCs w:val="16"/>
          <w:u w:val="single" w:color="auto"/>
          <w:color w:val="auto"/>
        </w:rPr>
        <w:t>G-3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G-4</w:t>
      </w:r>
      <w:r>
        <w:rPr>
          <w:rFonts w:ascii="Arial" w:cs="Arial" w:eastAsia="Arial" w:hAnsi="Arial"/>
          <w:sz w:val="16"/>
          <w:szCs w:val="16"/>
          <w:color w:val="auto"/>
        </w:rPr>
        <w:t>, as applicable (any such certificate a “</w:t>
      </w:r>
      <w:r>
        <w:rPr>
          <w:rFonts w:ascii="Arial" w:cs="Arial" w:eastAsia="Arial" w:hAnsi="Arial"/>
          <w:sz w:val="16"/>
          <w:szCs w:val="16"/>
          <w:b w:val="1"/>
          <w:bCs w:val="1"/>
          <w:color w:val="auto"/>
        </w:rPr>
        <w:t>United States Tax Compliance Certificate</w:t>
      </w:r>
      <w:r>
        <w:rPr>
          <w:rFonts w:ascii="Arial" w:cs="Arial" w:eastAsia="Arial" w:hAnsi="Arial"/>
          <w:sz w:val="16"/>
          <w:szCs w:val="16"/>
          <w:color w:val="auto"/>
        </w:rPr>
        <w:t>”) and</w:t>
      </w:r>
    </w:p>
    <w:p>
      <w:pPr>
        <w:ind w:left="284" w:hanging="284"/>
        <w:spacing w:after="0"/>
        <w:tabs>
          <w:tab w:leader="none" w:pos="2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two properly completed and duly signed executed copies of Internal Revenue Service Form W-8BEN or Internal Revenue Service Form W-8BEN-E,</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xml:space="preserve">) to the extent a Lender is not the beneficial owner (for example, where the Lender is a partnership, or is a participant holding a participation granted by a participating Lender), Internal Revenue Service Form W-8IMY (or any successor forms) of the Lender, accompanied by </w:t>
      </w:r>
      <w:r>
        <w:rPr>
          <w:rFonts w:ascii="Arial" w:cs="Arial" w:eastAsia="Arial" w:hAnsi="Arial"/>
          <w:sz w:val="18"/>
          <w:szCs w:val="18"/>
          <w:color w:val="FF0000"/>
          <w:strike w:val="1"/>
        </w:rPr>
        <w:t>a</w:t>
      </w:r>
      <w:r>
        <w:rPr>
          <w:rFonts w:ascii="Arial" w:cs="Arial" w:eastAsia="Arial" w:hAnsi="Arial"/>
          <w:sz w:val="18"/>
          <w:szCs w:val="18"/>
          <w:u w:val="single" w:color="auto"/>
          <w:color w:val="0000FF"/>
        </w:rPr>
        <w:t>an Internal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-276860</wp:posOffset>
            </wp:positionV>
            <wp:extent cx="7747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-139700</wp:posOffset>
            </wp:positionV>
            <wp:extent cx="48895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025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226" w:name="page227"/>
    <w:bookmarkEnd w:id="226"/>
    <w:p>
      <w:pPr>
        <w:jc w:val="both"/>
        <w:spacing w:after="0" w:line="287"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w:t>
      </w:r>
      <w:r>
        <w:rPr>
          <w:rFonts w:ascii="Arial" w:cs="Arial" w:eastAsia="Arial" w:hAnsi="Arial"/>
          <w:sz w:val="16"/>
          <w:szCs w:val="16"/>
          <w:color w:val="0000FF"/>
        </w:rPr>
        <w:t xml:space="preserve"> </w:t>
      </w:r>
      <w:r>
        <w:rPr>
          <w:rFonts w:ascii="Arial" w:cs="Arial" w:eastAsia="Arial" w:hAnsi="Arial"/>
          <w:sz w:val="16"/>
          <w:szCs w:val="16"/>
          <w:color w:val="000000"/>
        </w:rPr>
        <w:t>Form W-8ECI, W-8BEN, W-8BEN-E, United States Tax Compliance Certificate,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Internal Revenue Service</w:t>
      </w:r>
      <w:r>
        <w:rPr>
          <w:rFonts w:ascii="Arial" w:cs="Arial" w:eastAsia="Arial" w:hAnsi="Arial"/>
          <w:sz w:val="16"/>
          <w:szCs w:val="16"/>
          <w:color w:val="0000FF"/>
        </w:rPr>
        <w:t xml:space="preserve"> </w:t>
      </w:r>
      <w:r>
        <w:rPr>
          <w:rFonts w:ascii="Arial" w:cs="Arial" w:eastAsia="Arial" w:hAnsi="Arial"/>
          <w:sz w:val="16"/>
          <w:szCs w:val="16"/>
          <w:color w:val="000000"/>
        </w:rPr>
        <w:t>Form W-9,</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Internal Revenue Service</w:t>
      </w:r>
      <w:r>
        <w:rPr>
          <w:rFonts w:ascii="Arial" w:cs="Arial" w:eastAsia="Arial" w:hAnsi="Arial"/>
          <w:sz w:val="16"/>
          <w:szCs w:val="16"/>
          <w:color w:val="0000FF"/>
        </w:rPr>
        <w:t xml:space="preserve"> </w:t>
      </w:r>
      <w:r>
        <w:rPr>
          <w:rFonts w:ascii="Arial" w:cs="Arial" w:eastAsia="Arial" w:hAnsi="Arial"/>
          <w:sz w:val="16"/>
          <w:szCs w:val="16"/>
          <w:color w:val="000000"/>
        </w:rPr>
        <w:t>Form W-8IMY or any other required information from each beneficial owner, as applicable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if one or more beneficial owners are claiming the portfolio interest exemption, the United States Tax Compliance Certificate may be provided by such Lender on behalf of such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34290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-263525</wp:posOffset>
            </wp:positionV>
            <wp:extent cx="287147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ind w:right="40"/>
        <w:spacing w:after="0" w:line="252" w:lineRule="auto"/>
        <w:rPr>
          <w:sz w:val="20"/>
          <w:szCs w:val="20"/>
          <w:color w:val="auto"/>
        </w:rPr>
      </w:pPr>
      <w:r>
        <w:rPr>
          <w:rFonts w:ascii="Arial" w:cs="Arial" w:eastAsia="Arial" w:hAnsi="Arial"/>
          <w:sz w:val="18"/>
          <w:szCs w:val="18"/>
          <w:color w:val="auto"/>
        </w:rPr>
        <w:t>Each Lender and Agent shall deliver to the Borrower and the Administrative Agent two further executed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that it is unable to do so. Each Lender and Agent shall promptly notify the Administrative Agent at any time it determines that it is no longer in a position to provide any previously delivered form or certification to the Borrower or the Administrative Agent.</w:t>
      </w:r>
    </w:p>
    <w:p>
      <w:pPr>
        <w:spacing w:after="0" w:line="19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(e) Any Lender or Agent claiming any additional amounts payable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shall use its reasonable efforts to change the jurisdiction of its lending office (or take any other measures reasonably requested by the Borrower) if such a change or other measures would reduce any such additional amounts (or any similar amount that may thereafter accrue) and would not, in the reasonable, good faith determination of such Lender, result in any unreimbursed cost or expense or be otherwise materially disadvantageous to such Lender.</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(f) If any Lender or Agent determines, in its reasonable, good faith discretion, that it has received a refund in respect of any Taxes as to which indemnification or additional amounts have been paid to it by the Borrower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(including by payment of additional amounts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color w:val="0000FF"/>
        </w:rPr>
        <w:t>3.01</w:t>
      </w:r>
      <w:r>
        <w:rPr>
          <w:rFonts w:ascii="Arial" w:cs="Arial" w:eastAsia="Arial" w:hAnsi="Arial"/>
          <w:sz w:val="17"/>
          <w:szCs w:val="17"/>
          <w:color w:val="auto"/>
        </w:rPr>
        <w:t xml:space="preserve">) it shall promptly remit such refund to the Borrower or Guarantor, net of all out-of-pocket expenses of the Lender or Agent, as the case may be and without interest (other than any interest paid by the relevant Governmental Authority with respect to such refund net of any Taxes payable by any Agent or Lender on such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and Guarantors,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This section shall not be construed to require the Administrative Agent or any Lender to make available its tax returns (or any other information relating to Taxes that it deems confidential) to the Borrower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-861060</wp:posOffset>
            </wp:positionV>
            <wp:extent cx="22860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(g) If a payment made to a Lender or Agent under any Loan Document would be subject to withholding Tax imposed by FATCA if such Lender or Agent were to fail to comply with the applicable reporting requirements of FATCA (including those contained in Section 1471(b) or 1472(b) of the Code, as applicable), such Lender or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Agent has complied with such Lender’s or Agent’s obligations under FATCA or to determine the amount, if any, to deduct and withhold from such payment. Solely for purposes of this </w:t>
      </w:r>
      <w:r>
        <w:rPr>
          <w:rFonts w:ascii="Arial" w:cs="Arial" w:eastAsia="Arial" w:hAnsi="Arial"/>
          <w:sz w:val="16"/>
          <w:szCs w:val="16"/>
          <w:u w:val="single" w:color="auto"/>
          <w:color w:val="auto"/>
        </w:rPr>
        <w:t>Section 3.01(</w:t>
      </w:r>
      <w:r>
        <w:rPr>
          <w:rFonts w:ascii="Arial" w:cs="Arial" w:eastAsia="Arial" w:hAnsi="Arial"/>
          <w:sz w:val="16"/>
          <w:szCs w:val="16"/>
          <w:color w:val="FF0000"/>
          <w:strike w:val="1"/>
        </w:rPr>
        <w:t>h</w:t>
      </w:r>
      <w:r>
        <w:rPr>
          <w:rFonts w:ascii="Arial" w:cs="Arial" w:eastAsia="Arial" w:hAnsi="Arial"/>
          <w:sz w:val="16"/>
          <w:szCs w:val="16"/>
          <w:u w:val="single" w:color="auto"/>
          <w:color w:val="0000FF"/>
        </w:rPr>
        <w:t>g</w:t>
      </w:r>
      <w:r>
        <w:rPr>
          <w:rFonts w:ascii="Arial" w:cs="Arial" w:eastAsia="Arial" w:hAnsi="Arial"/>
          <w:sz w:val="16"/>
          <w:szCs w:val="16"/>
          <w:u w:val="single" w:color="auto"/>
          <w:color w:val="auto"/>
        </w:rPr>
        <w:t>)</w:t>
      </w:r>
      <w:r>
        <w:rPr>
          <w:rFonts w:ascii="Arial" w:cs="Arial" w:eastAsia="Arial" w:hAnsi="Arial"/>
          <w:sz w:val="16"/>
          <w:szCs w:val="16"/>
          <w:color w:val="auto"/>
        </w:rPr>
        <w:t>, “FATCA” shall include any amendments made to FATCA after the date of this Agreement.</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(h) Each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any assignment of rights by, or the replacement of, a Lender, the termination of the Commitments and the repayment, satisfaction or discharge of all obligations under any Loan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227" w:name="page228"/>
    <w:bookmarkEnd w:id="227"/>
    <w:p>
      <w:pPr>
        <w:ind w:left="4"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Lender shall indemnify each Agent, within 10 days following written demand therefor, for (i) the full amount of any Indemnified Taxes and Other Taxes attributable to such Lender (but only to the extent that such Agent has not already been indemnified by the Borrower and each Guarantor for such Indemnified Taxes and Other Taxes and without limiting the obligation of the Borrower and each Guarantor to do so), and</w:t>
      </w:r>
    </w:p>
    <w:p>
      <w:pPr>
        <w:spacing w:after="0" w:line="2" w:lineRule="exact"/>
        <w:rPr>
          <w:sz w:val="20"/>
          <w:szCs w:val="20"/>
          <w:color w:val="auto"/>
        </w:rPr>
      </w:pPr>
    </w:p>
    <w:p>
      <w:pPr>
        <w:ind w:left="4" w:right="40" w:hanging="4"/>
        <w:spacing w:after="0" w:line="253" w:lineRule="auto"/>
        <w:tabs>
          <w:tab w:leader="none" w:pos="2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any Taxes attributable to such Lender’s failure to comply with the provision of </w:t>
      </w:r>
      <w:r>
        <w:rPr>
          <w:rFonts w:ascii="Arial" w:cs="Arial" w:eastAsia="Arial" w:hAnsi="Arial"/>
          <w:sz w:val="18"/>
          <w:szCs w:val="18"/>
          <w:u w:val="single" w:color="auto"/>
          <w:color w:val="auto"/>
        </w:rPr>
        <w:t>Section 10.04(f)</w:t>
      </w:r>
      <w:r>
        <w:rPr>
          <w:rFonts w:ascii="Arial" w:cs="Arial" w:eastAsia="Arial" w:hAnsi="Arial"/>
          <w:sz w:val="18"/>
          <w:szCs w:val="18"/>
          <w:color w:val="auto"/>
        </w:rPr>
        <w:t xml:space="preserve"> relating to the maintenance of a Participant Register, in each case, that are payable or paid by such Agent in connection with any Loan Documents, and any expenses arising therefrom or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Agent provides such </w:t>
      </w:r>
      <w:r>
        <w:rPr>
          <w:rFonts w:ascii="Arial" w:cs="Arial" w:eastAsia="Arial" w:hAnsi="Arial"/>
          <w:sz w:val="18"/>
          <w:szCs w:val="18"/>
          <w:color w:val="FF0000"/>
          <w:strike w:val="1"/>
        </w:rPr>
        <w:t>l</w:t>
      </w:r>
      <w:r>
        <w:rPr>
          <w:rFonts w:ascii="Arial" w:cs="Arial" w:eastAsia="Arial" w:hAnsi="Arial"/>
          <w:sz w:val="18"/>
          <w:szCs w:val="18"/>
          <w:u w:val="single" w:color="auto"/>
          <w:color w:val="0000FF"/>
        </w:rPr>
        <w:t>L</w:t>
      </w:r>
      <w:r>
        <w:rPr>
          <w:rFonts w:ascii="Arial" w:cs="Arial" w:eastAsia="Arial" w:hAnsi="Arial"/>
          <w:sz w:val="18"/>
          <w:szCs w:val="18"/>
          <w:color w:val="auto"/>
        </w:rPr>
        <w:t>ender with a written statement thereof setting forth in reasonable detail the basis and calculation of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-133350</wp:posOffset>
            </wp:positionV>
            <wp:extent cx="6858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Section 3.02 </w:t>
      </w:r>
      <w:r>
        <w:rPr>
          <w:rFonts w:ascii="Arial" w:cs="Arial" w:eastAsia="Arial" w:hAnsi="Arial"/>
          <w:sz w:val="16"/>
          <w:szCs w:val="16"/>
          <w:i w:val="1"/>
          <w:iCs w:val="1"/>
          <w:color w:val="FF0000"/>
          <w:strike w:val="1"/>
        </w:rPr>
        <w:t>Illegality</w:t>
      </w:r>
      <w:r>
        <w:rPr>
          <w:rFonts w:ascii="Arial" w:cs="Arial" w:eastAsia="Arial" w:hAnsi="Arial"/>
          <w:sz w:val="16"/>
          <w:szCs w:val="16"/>
          <w:i w:val="1"/>
          <w:iCs w:val="1"/>
          <w:u w:val="single" w:color="auto"/>
          <w:color w:val="0000FF"/>
        </w:rPr>
        <w:t>[Reserved]</w:t>
      </w:r>
      <w:r>
        <w:rPr>
          <w:rFonts w:ascii="Arial" w:cs="Arial" w:eastAsia="Arial" w:hAnsi="Arial"/>
          <w:sz w:val="16"/>
          <w:szCs w:val="16"/>
          <w:i w:val="1"/>
          <w:iCs w:val="1"/>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FF0000"/>
          <w:strike w:val="1"/>
        </w:rPr>
        <w:t>If any Law has made it unlawful, or that any Governmental Authority has asserted that it is unlawful, for any</w:t>
      </w:r>
      <w:r>
        <w:rPr>
          <w:rFonts w:ascii="Arial" w:cs="Arial" w:eastAsia="Arial" w:hAnsi="Arial"/>
          <w:sz w:val="16"/>
          <w:szCs w:val="16"/>
          <w:color w:val="auto"/>
        </w:rPr>
        <w:t xml:space="preserve"> </w:t>
      </w:r>
      <w:r>
        <w:rPr>
          <w:rFonts w:ascii="Arial" w:cs="Arial" w:eastAsia="Arial" w:hAnsi="Arial"/>
          <w:sz w:val="16"/>
          <w:szCs w:val="16"/>
          <w:color w:val="FF0000"/>
          <w:strike w:val="1"/>
        </w:rPr>
        <w:t>Lender or its applicable lending office to make, maintain or fund SOFR Loans, or to determine or charge interest rates based upon SOFR, then, on notice thereof by such Lender to the Borrower through the Administrative Agent, any obligation of such Lender to make or continue SOFR Loans or to convert ABR Loans to SOFR Loans shall be suspended until such Lender notifies the Administrative Agent and the Borrower that the circumstances giving rise to such determination no longer exist. Upon receipt of such notice, the Borrower shall promptly following written demand from such Lender (with a copy to the Administrative Agent), prepay or, if applicable, convert all applicable SOFR Loans of such Lender to ABR Loans, either on the last day of the Interest Period therefor, if such Lender may lawfully continue to maintain such SOFR Loans to such day, or promptly, if such Lender may not lawfully continue to maintain such SOFR Loans. Upon any such prepayment or conversion, the Borrower shall also pay accrued interest on the amount so prepaid or converted and all amounts due. Each Lender agrees to designate a different lending office if such designation will avoid the need for such notice and will not, in the good faith judgment of such Lender, otherwise be materially disadvantageous to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-1246505</wp:posOffset>
            </wp:positionV>
            <wp:extent cx="50546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540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3.03 </w:t>
      </w:r>
      <w:r>
        <w:rPr>
          <w:rFonts w:ascii="Arial" w:cs="Arial" w:eastAsia="Arial" w:hAnsi="Arial"/>
          <w:sz w:val="18"/>
          <w:szCs w:val="18"/>
          <w:i w:val="1"/>
          <w:iCs w:val="1"/>
          <w:color w:val="auto"/>
        </w:rPr>
        <w:t>Increased Cost and Reduced Return; Capital Adequacy</w:t>
      </w:r>
      <w:r>
        <w:rPr>
          <w:rFonts w:ascii="Arial" w:cs="Arial" w:eastAsia="Arial" w:hAnsi="Arial"/>
          <w:sz w:val="18"/>
          <w:szCs w:val="18"/>
          <w:i w:val="1"/>
          <w:iCs w:val="1"/>
          <w:color w:val="FF0000"/>
          <w:strike w:val="1"/>
        </w:rPr>
        <w:t>; Reserves on SOFR Loans</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 xml:space="preserve">(a) If any Lender reasonably determines that as a result of the introduction of or any change in or in the interpretation of any Law, in each case after the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auto"/>
        </w:rPr>
        <w:t xml:space="preserve"> Date, or such Lender’s compliance therewith, there shall be any material increase in the cost to such Lender of agreeing to make or making, funding or maintaining any </w:t>
      </w:r>
      <w:r>
        <w:rPr>
          <w:rFonts w:ascii="Arial" w:cs="Arial" w:eastAsia="Arial" w:hAnsi="Arial"/>
          <w:sz w:val="17"/>
          <w:szCs w:val="17"/>
          <w:color w:val="FF0000"/>
          <w:strike w:val="1"/>
        </w:rPr>
        <w:t>SOFR</w:t>
      </w:r>
      <w:r>
        <w:rPr>
          <w:rFonts w:ascii="Arial" w:cs="Arial" w:eastAsia="Arial" w:hAnsi="Arial"/>
          <w:sz w:val="17"/>
          <w:szCs w:val="17"/>
          <w:color w:val="auto"/>
        </w:rPr>
        <w:t xml:space="preserve"> Loans, or a material reduction in the amount received or receivable by such Lender in connection with any of the foregoing (excluding for purposes of this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any such increased costs or reduction in amount resulting from (i) Indemnified Taxes or Other Taxes for which additional amounts are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any Taxes excluded from the definition of Indemnified Taxes under exception (iii) thereof to the extent such Taxes are imposed on or measured by net income or profits or are franchise taxes (imposed in lieu of the foregoing taxes) and any Taxes excluded from the definition of Indemnified Taxes under exceptions (i), (ii), (iv), (v) and (vi) thereof or (ii) reserve requirements contemplated by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w:t>
      </w:r>
      <w:r>
        <w:rPr>
          <w:rFonts w:ascii="Arial" w:cs="Arial" w:eastAsia="Arial" w:hAnsi="Arial"/>
          <w:sz w:val="17"/>
          <w:szCs w:val="17"/>
          <w:color w:val="FF0000"/>
        </w:rPr>
        <w:t>or reflected in Adjusted Term SOFR</w:t>
      </w:r>
      <w:r>
        <w:rPr>
          <w:rFonts w:ascii="Arial" w:cs="Arial" w:eastAsia="Arial" w:hAnsi="Arial"/>
          <w:sz w:val="17"/>
          <w:szCs w:val="17"/>
          <w:color w:val="auto"/>
        </w:rPr>
        <w:t xml:space="preserve">) and the result of any of the foregoing shall be to increase the cost to such Lender of making or maintaining </w:t>
      </w:r>
      <w:r>
        <w:rPr>
          <w:rFonts w:ascii="Arial" w:cs="Arial" w:eastAsia="Arial" w:hAnsi="Arial"/>
          <w:sz w:val="17"/>
          <w:szCs w:val="17"/>
          <w:color w:val="FF0000"/>
          <w:strike w:val="1"/>
        </w:rPr>
        <w:t>any SOFR Loan (or of maintaining</w:t>
      </w:r>
      <w:r>
        <w:rPr>
          <w:rFonts w:ascii="Arial" w:cs="Arial" w:eastAsia="Arial" w:hAnsi="Arial"/>
          <w:sz w:val="17"/>
          <w:szCs w:val="17"/>
          <w:color w:val="auto"/>
        </w:rPr>
        <w:t xml:space="preserve"> its obligations to make any Loan</w:t>
      </w:r>
      <w:r>
        <w:rPr>
          <w:rFonts w:ascii="Arial" w:cs="Arial" w:eastAsia="Arial" w:hAnsi="Arial"/>
          <w:sz w:val="17"/>
          <w:szCs w:val="17"/>
          <w:color w:val="FF0000"/>
          <w:strike w:val="1"/>
        </w:rPr>
        <w:t>)</w:t>
      </w:r>
      <w:r>
        <w:rPr>
          <w:rFonts w:ascii="Arial" w:cs="Arial" w:eastAsia="Arial" w:hAnsi="Arial"/>
          <w:sz w:val="17"/>
          <w:szCs w:val="17"/>
          <w:color w:val="auto"/>
        </w:rPr>
        <w:t xml:space="preserve">, or to reduce the amount of any sum received or receivable by such Lender, then from time to time within fifteen (15) days after written demand by such Lender setting forth in reasonable detail such increased costs (with a copy of such written demand to the Administrative Agent given in accordance with </w:t>
      </w:r>
      <w:r>
        <w:rPr>
          <w:rFonts w:ascii="Arial" w:cs="Arial" w:eastAsia="Arial" w:hAnsi="Arial"/>
          <w:sz w:val="17"/>
          <w:szCs w:val="17"/>
          <w:u w:val="single" w:color="auto"/>
          <w:color w:val="auto"/>
        </w:rPr>
        <w:t>Section 3.05</w:t>
      </w:r>
      <w:r>
        <w:rPr>
          <w:rFonts w:ascii="Arial" w:cs="Arial" w:eastAsia="Arial" w:hAnsi="Arial"/>
          <w:sz w:val="17"/>
          <w:szCs w:val="17"/>
          <w:color w:val="auto"/>
        </w:rPr>
        <w:t>), the Borrower shall pay to such Lender such additional amounts as will compensate such Lender for such increased cost or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-1509395</wp:posOffset>
            </wp:positionV>
            <wp:extent cx="150876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508760" cy="889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-772160</wp:posOffset>
            </wp:positionV>
            <wp:extent cx="169291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228" w:name="page229"/>
    <w:bookmarkEnd w:id="228"/>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(b) If any Lender determines that the introduction of any Law regarding capital adequacy or liquidity or any change therein or in the interpretation thereof, in each case after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auto"/>
        </w:rPr>
        <w:t xml:space="preserve"> Date, or compliance by such Lender (or its lending office) therewith, has the effect of reducing the rate of return on the capital of such Lender or any entity controlling such Lender as a consequence of such Lender’s obligations hereunder (taking into consideration its policies with respect to capital adequacy and liquidity and such Lender’s desired return on capital), then from time to time upon written demand of such Lender setting forth in reasonable detail the charge and the calculation of such reduced rate of return (with a copy of such written demand to the Administrative Agent given in accordance with </w:t>
      </w:r>
      <w:r>
        <w:rPr>
          <w:rFonts w:ascii="Arial" w:cs="Arial" w:eastAsia="Arial" w:hAnsi="Arial"/>
          <w:sz w:val="18"/>
          <w:szCs w:val="18"/>
          <w:u w:val="single" w:color="auto"/>
          <w:color w:val="auto"/>
        </w:rPr>
        <w:t>Section 3.05</w:t>
      </w:r>
      <w:r>
        <w:rPr>
          <w:rFonts w:ascii="Arial" w:cs="Arial" w:eastAsia="Arial" w:hAnsi="Arial"/>
          <w:sz w:val="18"/>
          <w:szCs w:val="18"/>
          <w:color w:val="auto"/>
        </w:rPr>
        <w:t>), the Borrower shall pay to such Lender such additional amounts as will compensate such Lender or controlling entity for such reduction within fifteen (15) days after receipt of such written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-820420</wp:posOffset>
            </wp:positionV>
            <wp:extent cx="150876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72"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color w:val="FF0000"/>
          <w:strike w:val="1"/>
        </w:rPr>
        <w:t>Except to the extent already reflected in Adjusted Term SOFR, the</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Borrower shall pay to each Lender, as long as such Lender shall be required to comply with any reserve ratio requirement or analogous requirement of any other central banking or financial regulatory authority imposed in respect of the maintenance of the Commitments </w:t>
      </w:r>
      <w:r>
        <w:rPr>
          <w:rFonts w:ascii="Arial" w:cs="Arial" w:eastAsia="Arial" w:hAnsi="Arial"/>
          <w:sz w:val="17"/>
          <w:szCs w:val="17"/>
          <w:color w:val="FF0000"/>
        </w:rPr>
        <w:t>or the funding of any SOFR Loans of the Borrower</w:t>
      </w:r>
      <w:r>
        <w:rPr>
          <w:rFonts w:ascii="Arial" w:cs="Arial" w:eastAsia="Arial" w:hAnsi="Arial"/>
          <w:sz w:val="17"/>
          <w:szCs w:val="17"/>
          <w:color w:val="auto"/>
        </w:rPr>
        <w:t xml:space="preserve">,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Borrower shall have received at least fifteen (15) days’ prior written notice (with a copy to the Administrative Agent) of such additional interest or cost from such Lender. If a Lender fails to give written notice fifteen (15) days prior to the relevant Interest Payment Date, such additional interest or cost shall be due and payable fifteen (15) days from receipt of such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-1101090</wp:posOffset>
            </wp:positionV>
            <wp:extent cx="18034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-912495</wp:posOffset>
            </wp:positionV>
            <wp:extent cx="237363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16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(d) Failure or delay on the part of any Lender to demand compensation pursuant to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not constitute a waiver of such Lender’s right to demand such compensation.</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(e) If any Lender requests compensation under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then such Lender will, if requested by the Borrower, use commercially reasonable efforts to designate another lending office for any Loan affected by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3.03(e)</w:t>
      </w:r>
      <w:r>
        <w:rPr>
          <w:rFonts w:ascii="Arial" w:cs="Arial" w:eastAsia="Arial" w:hAnsi="Arial"/>
          <w:sz w:val="18"/>
          <w:szCs w:val="18"/>
          <w:i w:val="1"/>
          <w:iCs w:val="1"/>
          <w:color w:val="auto"/>
        </w:rPr>
        <w:t xml:space="preserve"> </w:t>
      </w:r>
      <w:r>
        <w:rPr>
          <w:rFonts w:ascii="Arial" w:cs="Arial" w:eastAsia="Arial" w:hAnsi="Arial"/>
          <w:sz w:val="18"/>
          <w:szCs w:val="18"/>
          <w:color w:val="auto"/>
        </w:rPr>
        <w:t>shall affect or postpone any of the Obligations of the Borrower or the rights of such Lender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3.04 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3.05 </w:t>
      </w:r>
      <w:r>
        <w:rPr>
          <w:rFonts w:ascii="Arial" w:cs="Arial" w:eastAsia="Arial" w:hAnsi="Arial"/>
          <w:sz w:val="18"/>
          <w:szCs w:val="18"/>
          <w:i w:val="1"/>
          <w:iCs w:val="1"/>
          <w:color w:val="auto"/>
        </w:rPr>
        <w:t>Matters Applicable to all Requests for Compensation</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(a) Any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and customary averaging and attribution methods.</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(b) With respect to any Lender’s claim for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3.02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-497840</wp:posOffset>
            </wp:positionV>
            <wp:extent cx="3810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229" w:name="page230"/>
    <w:bookmarkEnd w:id="22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thereof. </w:t>
      </w:r>
      <w:r>
        <w:rPr>
          <w:rFonts w:ascii="Arial" w:cs="Arial" w:eastAsia="Arial" w:hAnsi="Arial"/>
          <w:sz w:val="18"/>
          <w:szCs w:val="18"/>
          <w:color w:val="FF0000"/>
          <w:strike w:val="1"/>
        </w:rPr>
        <w:t>If any Lender requests compensation by the Borrower under Section 3.03, the Borrower may, by notice to such Lender (with a copy to the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Administrative Agent), suspend the obligation of such Lender to make or continue from one Interest Period to another any applicable SOFR Loan, or, if applicable, to convert ABR Loans into SOFR Loans, until the event or condition giving rise to such request ceases to be in effect (in which case the provisions of Section 3.05(c) shall be applicable);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such suspension shall not affect the right of such Lender to receive the compensation so requested.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(c)</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77152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80581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right="20" w:firstLine="436"/>
        <w:spacing w:after="0" w:line="275" w:lineRule="auto"/>
        <w:tabs>
          <w:tab w:leader="none" w:pos="685" w:val="left"/>
        </w:tabs>
        <w:numPr>
          <w:ilvl w:val="0"/>
          <w:numId w:val="148"/>
        </w:numPr>
        <w:rPr>
          <w:rFonts w:ascii="Arial" w:cs="Arial" w:eastAsia="Arial" w:hAnsi="Arial"/>
          <w:sz w:val="17"/>
          <w:szCs w:val="17"/>
          <w:color w:val="FF0000"/>
          <w:strike w:val="1"/>
        </w:rPr>
      </w:pPr>
      <w:r>
        <w:rPr>
          <w:rFonts w:ascii="Arial" w:cs="Arial" w:eastAsia="Arial" w:hAnsi="Arial"/>
          <w:sz w:val="17"/>
          <w:szCs w:val="17"/>
          <w:color w:val="FF0000"/>
          <w:strike w:val="1"/>
        </w:rPr>
        <w:t>If the obligation of any Lender to make or continue any SOFR Loan, or to convert ABR Loans into SOFR Loans shall be suspended pursuant to Section 3.05(b) hereof, such Lender’s applicable SOFR Loans shall be automatically converted into ABR Loans (or, if such conversion is not possible, repaid) on the last day(s) of the then current Interest Period(s) for such SOFR Loans (or, in the case of an immediate conversion required by Section 3.02 , on such earlier date as required by Law) and, unless and until such Lender gives notice as provided below that the circumstances specified in Section 3.02 or 3.03 hereof that gave rise to such conversion no longer exist:</w:t>
      </w:r>
    </w:p>
    <w:p>
      <w:pPr>
        <w:spacing w:after="0" w:line="68" w:lineRule="exact"/>
        <w:rPr>
          <w:rFonts w:ascii="Arial" w:cs="Arial" w:eastAsia="Arial" w:hAnsi="Arial"/>
          <w:sz w:val="17"/>
          <w:szCs w:val="17"/>
          <w:color w:val="FF0000"/>
          <w:strike w:val="1"/>
        </w:rPr>
      </w:pPr>
    </w:p>
    <w:p>
      <w:pPr>
        <w:ind w:left="440" w:right="40" w:firstLine="419"/>
        <w:spacing w:after="0" w:line="277" w:lineRule="auto"/>
        <w:tabs>
          <w:tab w:leader="none" w:pos="1078" w:val="left"/>
        </w:tabs>
        <w:numPr>
          <w:ilvl w:val="1"/>
          <w:numId w:val="148"/>
        </w:numPr>
        <w:rPr>
          <w:rFonts w:ascii="Arial" w:cs="Arial" w:eastAsia="Arial" w:hAnsi="Arial"/>
          <w:sz w:val="18"/>
          <w:szCs w:val="18"/>
          <w:color w:val="FF0000"/>
          <w:strike w:val="1"/>
        </w:rPr>
      </w:pPr>
      <w:r>
        <w:rPr>
          <w:rFonts w:ascii="Arial" w:cs="Arial" w:eastAsia="Arial" w:hAnsi="Arial"/>
          <w:sz w:val="18"/>
          <w:szCs w:val="18"/>
          <w:color w:val="FF0000"/>
          <w:strike w:val="1"/>
        </w:rPr>
        <w:t>to the extent that such Lender’s SOFR Loans have been so converted, all payments and prepayments of principal that would otherwise be applied to such Lender’s applicable SOFR Loans shall be applied instead to its ABR Loans; and</w:t>
      </w:r>
    </w:p>
    <w:p>
      <w:pPr>
        <w:spacing w:after="0" w:line="62" w:lineRule="exact"/>
        <w:rPr>
          <w:rFonts w:ascii="Arial" w:cs="Arial" w:eastAsia="Arial" w:hAnsi="Arial"/>
          <w:sz w:val="18"/>
          <w:szCs w:val="18"/>
          <w:color w:val="FF0000"/>
          <w:strike w:val="1"/>
        </w:rPr>
      </w:pPr>
    </w:p>
    <w:p>
      <w:pPr>
        <w:ind w:left="440" w:right="120" w:firstLine="419"/>
        <w:spacing w:after="0" w:line="263" w:lineRule="auto"/>
        <w:tabs>
          <w:tab w:leader="none" w:pos="1128" w:val="left"/>
        </w:tabs>
        <w:numPr>
          <w:ilvl w:val="1"/>
          <w:numId w:val="148"/>
        </w:numPr>
        <w:rPr>
          <w:rFonts w:ascii="Arial" w:cs="Arial" w:eastAsia="Arial" w:hAnsi="Arial"/>
          <w:sz w:val="18"/>
          <w:szCs w:val="18"/>
          <w:color w:val="FF0000"/>
          <w:strike w:val="1"/>
        </w:rPr>
      </w:pPr>
      <w:r>
        <w:rPr>
          <w:rFonts w:ascii="Arial" w:cs="Arial" w:eastAsia="Arial" w:hAnsi="Arial"/>
          <w:sz w:val="18"/>
          <w:szCs w:val="18"/>
          <w:color w:val="FF0000"/>
          <w:strike w:val="1"/>
        </w:rPr>
        <w:t>all Loans that would otherwise be made or continued from one Interest Period to another by such Lender as SOFR Loans shall be made or continued instead as ABR Loans (if possible), and all ABR Loans of such Lender that would otherwise be converted into SOFR Loans shall remain as ABR Loans.</w:t>
      </w:r>
    </w:p>
    <w:p>
      <w:pPr>
        <w:spacing w:after="0" w:line="183" w:lineRule="exact"/>
        <w:rPr>
          <w:rFonts w:ascii="Arial" w:cs="Arial" w:eastAsia="Arial" w:hAnsi="Arial"/>
          <w:sz w:val="18"/>
          <w:szCs w:val="18"/>
          <w:color w:val="FF0000"/>
          <w:strike w:val="1"/>
        </w:rPr>
      </w:pPr>
    </w:p>
    <w:p>
      <w:pPr>
        <w:ind w:left="700" w:hanging="264"/>
        <w:spacing w:after="0"/>
        <w:tabs>
          <w:tab w:leader="none" w:pos="700" w:val="left"/>
        </w:tabs>
        <w:numPr>
          <w:ilvl w:val="0"/>
          <w:numId w:val="148"/>
        </w:numPr>
        <w:rPr>
          <w:rFonts w:ascii="Arial" w:cs="Arial" w:eastAsia="Arial" w:hAnsi="Arial"/>
          <w:sz w:val="16"/>
          <w:szCs w:val="16"/>
          <w:color w:val="FF0000"/>
          <w:strike w:val="1"/>
        </w:rPr>
      </w:pPr>
      <w:r>
        <w:rPr>
          <w:rFonts w:ascii="Arial" w:cs="Arial" w:eastAsia="Arial" w:hAnsi="Arial"/>
          <w:sz w:val="16"/>
          <w:szCs w:val="16"/>
          <w:color w:val="FF0000"/>
          <w:strike w:val="1"/>
        </w:rPr>
        <w:t>If any Lender gives notice to the Borrower (with a copy to the Administrative Agent) that the circumstances specified in Section 3.02 or 3.03</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FF0000"/>
          <w:strike w:val="1"/>
        </w:rPr>
        <w:t>hereof that gave rise to the conversion of any of such Lender’s SOFR Loans pursuant to this Section 3.05 no longer exist (which such Lender agrees to do promptly upon such circumstances ceasing to exist) at a time when SOFR Loans made by other Lenders under the applicable Facility are outstanding, if applicable, such Lender’s ABR Loans shall be automatically converted, on the first day(s) of the next succeeding Interest Period(s) for such outstanding SOFR Loans, to the extent necessary so that, after giving effect thereto, all Loans held by the Lenders holding SOFR Loans under such Facility and by such Lender are held pro rata (as to principal amounts, interest rate basis, and Interest Periods) in accordance with their respective Commitments for the applicable Facility.</w:t>
      </w:r>
    </w:p>
    <w:p>
      <w:pPr>
        <w:spacing w:after="0" w:line="19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adopted or made after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Facility Closing</w:t>
      </w:r>
      <w:r>
        <w:rPr>
          <w:rFonts w:ascii="Arial" w:cs="Arial" w:eastAsia="Arial" w:hAnsi="Arial"/>
          <w:sz w:val="18"/>
          <w:szCs w:val="18"/>
          <w:color w:val="0000FF"/>
        </w:rPr>
        <w:t xml:space="preserve"> </w:t>
      </w:r>
      <w:r>
        <w:rPr>
          <w:rFonts w:ascii="Arial" w:cs="Arial" w:eastAsia="Arial" w:hAnsi="Arial"/>
          <w:sz w:val="18"/>
          <w:szCs w:val="18"/>
          <w:color w:val="000000"/>
        </w:rPr>
        <w:t>Date, regardless of the date enacted or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-136525</wp:posOffset>
            </wp:positionV>
            <wp:extent cx="746125"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3723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230" w:name="page231"/>
    <w:bookmarkEnd w:id="230"/>
    <w:p>
      <w:pPr>
        <w:ind w:left="4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3.06.</w:t>
      </w:r>
      <w:r>
        <w:rPr>
          <w:rFonts w:ascii="Arial" w:cs="Arial" w:eastAsia="Arial" w:hAnsi="Arial"/>
          <w:sz w:val="18"/>
          <w:szCs w:val="18"/>
          <w:color w:val="FF0000"/>
        </w:rPr>
        <w:t xml:space="preserve"> </w:t>
      </w:r>
      <w:r>
        <w:rPr>
          <w:rFonts w:ascii="Arial" w:cs="Arial" w:eastAsia="Arial" w:hAnsi="Arial"/>
          <w:sz w:val="18"/>
          <w:szCs w:val="18"/>
          <w:color w:val="0000FF"/>
        </w:rPr>
        <w:t>Section 3.06 </w:t>
      </w:r>
      <w:r>
        <w:rPr>
          <w:rFonts w:ascii="Arial" w:cs="Arial" w:eastAsia="Arial" w:hAnsi="Arial"/>
          <w:sz w:val="18"/>
          <w:szCs w:val="18"/>
          <w:i w:val="1"/>
          <w:iCs w:val="1"/>
          <w:color w:val="000000"/>
        </w:rPr>
        <w:t>Replacement of Lenders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23495</wp:posOffset>
            </wp:positionV>
            <wp:extent cx="68580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-10160</wp:posOffset>
            </wp:positionV>
            <wp:extent cx="68516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p>
    <w:p>
      <w:pPr>
        <w:spacing w:after="0" w:line="225"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FF0000"/>
          <w:strike w:val="1"/>
        </w:rPr>
        <w:t>(b)</w:t>
      </w:r>
      <w:r>
        <w:rPr>
          <w:rFonts w:ascii="Arial" w:cs="Arial" w:eastAsia="Arial" w:hAnsi="Arial"/>
          <w:sz w:val="16"/>
          <w:szCs w:val="16"/>
          <w:color w:val="0000FF"/>
        </w:rPr>
        <w:t xml:space="preserve">(a) </w:t>
      </w:r>
      <w:r>
        <w:rPr>
          <w:rFonts w:ascii="Arial" w:cs="Arial" w:eastAsia="Arial" w:hAnsi="Arial"/>
          <w:sz w:val="16"/>
          <w:szCs w:val="16"/>
          <w:color w:val="000000"/>
        </w:rPr>
        <w:t>If at any time (i) the Borrower becomes obligated to pay additional amounts or indemnity payments described in</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3.01</w:t>
      </w:r>
      <w:r>
        <w:rPr>
          <w:rFonts w:ascii="Arial" w:cs="Arial" w:eastAsia="Arial" w:hAnsi="Arial"/>
          <w:sz w:val="16"/>
          <w:szCs w:val="16"/>
          <w:color w:val="FF0000"/>
        </w:rPr>
        <w:t xml:space="preserve"> </w:t>
      </w:r>
      <w:r>
        <w:rPr>
          <w:rFonts w:ascii="Arial" w:cs="Arial" w:eastAsia="Arial" w:hAnsi="Arial"/>
          <w:sz w:val="16"/>
          <w:szCs w:val="16"/>
          <w:color w:val="000000"/>
        </w:rPr>
        <w:t>or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3.03</w:t>
      </w:r>
      <w:r>
        <w:rPr>
          <w:rFonts w:ascii="Arial" w:cs="Arial" w:eastAsia="Arial" w:hAnsi="Arial"/>
          <w:sz w:val="16"/>
          <w:szCs w:val="16"/>
          <w:color w:val="FF0000"/>
        </w:rPr>
        <w:t xml:space="preserve"> </w:t>
      </w:r>
      <w:r>
        <w:rPr>
          <w:rFonts w:ascii="Arial" w:cs="Arial" w:eastAsia="Arial" w:hAnsi="Arial"/>
          <w:sz w:val="16"/>
          <w:szCs w:val="16"/>
          <w:color w:val="000000"/>
        </w:rPr>
        <w:t>as a</w:t>
      </w:r>
      <w:r>
        <w:rPr>
          <w:rFonts w:ascii="Arial" w:cs="Arial" w:eastAsia="Arial" w:hAnsi="Arial"/>
          <w:sz w:val="16"/>
          <w:szCs w:val="16"/>
          <w:color w:val="FF0000"/>
        </w:rPr>
        <w:t xml:space="preserve"> </w:t>
      </w:r>
      <w:r>
        <w:rPr>
          <w:rFonts w:ascii="Arial" w:cs="Arial" w:eastAsia="Arial" w:hAnsi="Arial"/>
          <w:sz w:val="16"/>
          <w:szCs w:val="16"/>
          <w:color w:val="000000"/>
        </w:rPr>
        <w:t xml:space="preserve">result of any condition described in such Sections or </w:t>
      </w:r>
      <w:r>
        <w:rPr>
          <w:rFonts w:ascii="Arial" w:cs="Arial" w:eastAsia="Arial" w:hAnsi="Arial"/>
          <w:sz w:val="16"/>
          <w:szCs w:val="16"/>
          <w:color w:val="FF0000"/>
          <w:strike w:val="1"/>
        </w:rPr>
        <w:t>any Lender ceases to make any SOFR Loans as a result of any condition described in Section 3.02</w:t>
      </w:r>
      <w:r>
        <w:rPr>
          <w:rFonts w:ascii="Arial" w:cs="Arial" w:eastAsia="Arial" w:hAnsi="Arial"/>
          <w:sz w:val="16"/>
          <w:szCs w:val="16"/>
          <w:color w:val="000000"/>
        </w:rPr>
        <w:t xml:space="preserve"> </w:t>
      </w:r>
      <w:r>
        <w:rPr>
          <w:rFonts w:ascii="Arial" w:cs="Arial" w:eastAsia="Arial" w:hAnsi="Arial"/>
          <w:sz w:val="16"/>
          <w:szCs w:val="16"/>
          <w:color w:val="FF0000"/>
          <w:strike w:val="1"/>
        </w:rPr>
        <w:t>or Section 3.03 or (ii) any Lender becomes a Non-Consenting Lender,</w:t>
      </w:r>
      <w:r>
        <w:rPr>
          <w:rFonts w:ascii="Arial" w:cs="Arial" w:eastAsia="Arial" w:hAnsi="Arial"/>
          <w:sz w:val="16"/>
          <w:szCs w:val="16"/>
          <w:u w:val="single" w:color="auto"/>
          <w:color w:val="0000FF"/>
        </w:rPr>
        <w:t>(ii) [reserved],</w:t>
      </w:r>
      <w:r>
        <w:rPr>
          <w:rFonts w:ascii="Arial" w:cs="Arial" w:eastAsia="Arial" w:hAnsi="Arial"/>
          <w:sz w:val="16"/>
          <w:szCs w:val="16"/>
          <w:color w:val="FF0000"/>
        </w:rPr>
        <w:t xml:space="preserve"> </w:t>
      </w:r>
      <w:r>
        <w:rPr>
          <w:rFonts w:ascii="Arial" w:cs="Arial" w:eastAsia="Arial" w:hAnsi="Arial"/>
          <w:sz w:val="16"/>
          <w:szCs w:val="16"/>
          <w:color w:val="000000"/>
        </w:rPr>
        <w:t>then the Borrower may, on prior written notice to the</w:t>
      </w:r>
      <w:r>
        <w:rPr>
          <w:rFonts w:ascii="Arial" w:cs="Arial" w:eastAsia="Arial" w:hAnsi="Arial"/>
          <w:sz w:val="16"/>
          <w:szCs w:val="16"/>
          <w:color w:val="FF0000"/>
        </w:rPr>
        <w:t xml:space="preserve"> </w:t>
      </w:r>
      <w:r>
        <w:rPr>
          <w:rFonts w:ascii="Arial" w:cs="Arial" w:eastAsia="Arial" w:hAnsi="Arial"/>
          <w:sz w:val="16"/>
          <w:szCs w:val="16"/>
          <w:color w:val="000000"/>
        </w:rPr>
        <w:t xml:space="preserve">Administrative Agent and such Lender, (x) replace such Lender by causing such Lender to (and such Lender shall be obligated to) assign pursuant to </w:t>
      </w:r>
      <w:r>
        <w:rPr>
          <w:rFonts w:ascii="Arial" w:cs="Arial" w:eastAsia="Arial" w:hAnsi="Arial"/>
          <w:sz w:val="16"/>
          <w:szCs w:val="16"/>
          <w:u w:val="single" w:color="auto"/>
          <w:color w:val="000000"/>
        </w:rPr>
        <w:t>Section 10.04(b)</w:t>
      </w:r>
      <w:r>
        <w:rPr>
          <w:rFonts w:ascii="Arial" w:cs="Arial" w:eastAsia="Arial" w:hAnsi="Arial"/>
          <w:sz w:val="16"/>
          <w:szCs w:val="16"/>
          <w:color w:val="000000"/>
        </w:rPr>
        <w:t xml:space="preserve"> (unless otherwise agreed, with the assignment fee to be paid by the Borrower in such instance) (it being understood that any such assignment shall become effective only in accordance with </w:t>
      </w:r>
      <w:r>
        <w:rPr>
          <w:rFonts w:ascii="Arial" w:cs="Arial" w:eastAsia="Arial" w:hAnsi="Arial"/>
          <w:sz w:val="16"/>
          <w:szCs w:val="16"/>
          <w:u w:val="single" w:color="auto"/>
          <w:color w:val="000000"/>
        </w:rPr>
        <w:t>Section 10.04(e)</w:t>
      </w:r>
      <w:r>
        <w:rPr>
          <w:rFonts w:ascii="Arial" w:cs="Arial" w:eastAsia="Arial" w:hAnsi="Arial"/>
          <w:sz w:val="16"/>
          <w:szCs w:val="16"/>
          <w:color w:val="000000"/>
        </w:rPr>
        <w:t xml:space="preserve">), all of its rights and obligations under this Agreement </w:t>
      </w:r>
      <w:r>
        <w:rPr>
          <w:rFonts w:ascii="Arial" w:cs="Arial" w:eastAsia="Arial" w:hAnsi="Arial"/>
          <w:sz w:val="16"/>
          <w:szCs w:val="16"/>
          <w:color w:val="FF0000"/>
          <w:strike w:val="1"/>
        </w:rPr>
        <w:t>(in respect of any</w:t>
      </w:r>
      <w:r>
        <w:rPr>
          <w:rFonts w:ascii="Arial" w:cs="Arial" w:eastAsia="Arial" w:hAnsi="Arial"/>
          <w:sz w:val="16"/>
          <w:szCs w:val="16"/>
          <w:color w:val="000000"/>
        </w:rPr>
        <w:t xml:space="preserve"> </w:t>
      </w:r>
      <w:r>
        <w:rPr>
          <w:rFonts w:ascii="Arial" w:cs="Arial" w:eastAsia="Arial" w:hAnsi="Arial"/>
          <w:sz w:val="16"/>
          <w:szCs w:val="16"/>
          <w:color w:val="FF0000"/>
          <w:strike w:val="1"/>
        </w:rPr>
        <w:t>applicable Facility only in the case of clause (i) or, with respect to a Class vote, clause (ii))</w:t>
      </w:r>
      <w:r>
        <w:rPr>
          <w:rFonts w:ascii="Arial" w:cs="Arial" w:eastAsia="Arial" w:hAnsi="Arial"/>
          <w:sz w:val="16"/>
          <w:szCs w:val="16"/>
          <w:color w:val="FF0000"/>
        </w:rPr>
        <w:t xml:space="preserve"> </w:t>
      </w:r>
      <w:r>
        <w:rPr>
          <w:rFonts w:ascii="Arial" w:cs="Arial" w:eastAsia="Arial" w:hAnsi="Arial"/>
          <w:sz w:val="16"/>
          <w:szCs w:val="16"/>
          <w:color w:val="000000"/>
        </w:rPr>
        <w:t>to one or more Eligible Assignees;</w:t>
      </w:r>
      <w:r>
        <w:rPr>
          <w:rFonts w:ascii="Arial" w:cs="Arial" w:eastAsia="Arial" w:hAnsi="Arial"/>
          <w:sz w:val="16"/>
          <w:szCs w:val="16"/>
          <w:color w:val="FF0000"/>
        </w:rPr>
        <w:t xml:space="preserve"> </w:t>
      </w:r>
      <w:r>
        <w:rPr>
          <w:rFonts w:ascii="Arial" w:cs="Arial" w:eastAsia="Arial" w:hAnsi="Arial"/>
          <w:sz w:val="16"/>
          <w:szCs w:val="16"/>
          <w:i w:val="1"/>
          <w:iCs w:val="1"/>
          <w:color w:val="000000"/>
        </w:rPr>
        <w:t>provided</w:t>
      </w:r>
      <w:r>
        <w:rPr>
          <w:rFonts w:ascii="Arial" w:cs="Arial" w:eastAsia="Arial" w:hAnsi="Arial"/>
          <w:sz w:val="16"/>
          <w:szCs w:val="16"/>
          <w:color w:val="FF0000"/>
        </w:rPr>
        <w:t xml:space="preserve"> </w:t>
      </w:r>
      <w:r>
        <w:rPr>
          <w:rFonts w:ascii="Arial" w:cs="Arial" w:eastAsia="Arial" w:hAnsi="Arial"/>
          <w:sz w:val="16"/>
          <w:szCs w:val="16"/>
          <w:color w:val="000000"/>
        </w:rPr>
        <w:t>that neither the</w:t>
      </w:r>
      <w:r>
        <w:rPr>
          <w:rFonts w:ascii="Arial" w:cs="Arial" w:eastAsia="Arial" w:hAnsi="Arial"/>
          <w:sz w:val="16"/>
          <w:szCs w:val="16"/>
          <w:color w:val="FF0000"/>
        </w:rPr>
        <w:t xml:space="preserve"> </w:t>
      </w:r>
      <w:r>
        <w:rPr>
          <w:rFonts w:ascii="Arial" w:cs="Arial" w:eastAsia="Arial" w:hAnsi="Arial"/>
          <w:sz w:val="16"/>
          <w:szCs w:val="16"/>
          <w:color w:val="000000"/>
        </w:rPr>
        <w:t xml:space="preserve">Administrative Agent nor any Lender shall have any obligation to the Borrower to find a replacement Lender or other such Person; and </w:t>
      </w:r>
      <w:r>
        <w:rPr>
          <w:rFonts w:ascii="Arial" w:cs="Arial" w:eastAsia="Arial" w:hAnsi="Arial"/>
          <w:sz w:val="16"/>
          <w:szCs w:val="16"/>
          <w:i w:val="1"/>
          <w:iCs w:val="1"/>
          <w:color w:val="000000"/>
        </w:rPr>
        <w:t>provided further</w:t>
      </w:r>
      <w:r>
        <w:rPr>
          <w:rFonts w:ascii="Arial" w:cs="Arial" w:eastAsia="Arial" w:hAnsi="Arial"/>
          <w:sz w:val="16"/>
          <w:szCs w:val="16"/>
          <w:color w:val="000000"/>
        </w:rPr>
        <w:t xml:space="preserve"> that (A) in the case of any such assignment resulting from a claim for compensation under </w:t>
      </w:r>
      <w:r>
        <w:rPr>
          <w:rFonts w:ascii="Arial" w:cs="Arial" w:eastAsia="Arial" w:hAnsi="Arial"/>
          <w:sz w:val="16"/>
          <w:szCs w:val="16"/>
          <w:u w:val="single" w:color="auto"/>
          <w:color w:val="000000"/>
        </w:rPr>
        <w:t>Section 3.03</w:t>
      </w:r>
      <w:r>
        <w:rPr>
          <w:rFonts w:ascii="Arial" w:cs="Arial" w:eastAsia="Arial" w:hAnsi="Arial"/>
          <w:sz w:val="16"/>
          <w:szCs w:val="16"/>
          <w:color w:val="000000"/>
        </w:rPr>
        <w:t xml:space="preserve"> or payments required to be made pursuant to </w:t>
      </w:r>
      <w:r>
        <w:rPr>
          <w:rFonts w:ascii="Arial" w:cs="Arial" w:eastAsia="Arial" w:hAnsi="Arial"/>
          <w:sz w:val="16"/>
          <w:szCs w:val="16"/>
          <w:u w:val="single" w:color="auto"/>
          <w:color w:val="000000"/>
        </w:rPr>
        <w:t>Section 3.01</w:t>
      </w:r>
      <w:r>
        <w:rPr>
          <w:rFonts w:ascii="Arial" w:cs="Arial" w:eastAsia="Arial" w:hAnsi="Arial"/>
          <w:sz w:val="16"/>
          <w:szCs w:val="16"/>
          <w:color w:val="000000"/>
        </w:rPr>
        <w:t xml:space="preserve">, such assignment will result in a reduction in such compensation or payments and (B) </w:t>
      </w:r>
      <w:r>
        <w:rPr>
          <w:rFonts w:ascii="Arial" w:cs="Arial" w:eastAsia="Arial" w:hAnsi="Arial"/>
          <w:sz w:val="16"/>
          <w:szCs w:val="16"/>
          <w:color w:val="FF0000"/>
        </w:rPr>
        <w:t>in the case of any such assignment resulting from a</w:t>
      </w:r>
      <w:r>
        <w:rPr>
          <w:rFonts w:ascii="Arial" w:cs="Arial" w:eastAsia="Arial" w:hAnsi="Arial"/>
          <w:sz w:val="16"/>
          <w:szCs w:val="16"/>
          <w:color w:val="000000"/>
        </w:rPr>
        <w:t xml:space="preserve"> </w:t>
      </w:r>
      <w:r>
        <w:rPr>
          <w:rFonts w:ascii="Arial" w:cs="Arial" w:eastAsia="Arial" w:hAnsi="Arial"/>
          <w:sz w:val="16"/>
          <w:szCs w:val="16"/>
          <w:color w:val="FF0000"/>
          <w:strike w:val="1"/>
        </w:rPr>
        <w:t>Lender becoming a Non-Consenting Lender, the applicable Eligible Assignees shall have agreed to, and shall be sufficient (together with all other consenting Lenders) to cause the adoption of, the applicable departure, waiver or amendment of the Loan Documents</w:t>
      </w:r>
      <w:r>
        <w:rPr>
          <w:rFonts w:ascii="Arial" w:cs="Arial" w:eastAsia="Arial" w:hAnsi="Arial"/>
          <w:sz w:val="16"/>
          <w:szCs w:val="16"/>
          <w:u w:val="single" w:color="auto"/>
          <w:color w:val="0000FF"/>
          <w:strike w:val="1"/>
        </w:rPr>
        <w:t>[reserved]</w:t>
      </w:r>
      <w:r>
        <w:rPr>
          <w:rFonts w:ascii="Arial" w:cs="Arial" w:eastAsia="Arial" w:hAnsi="Arial"/>
          <w:sz w:val="16"/>
          <w:szCs w:val="16"/>
          <w:color w:val="000000"/>
          <w:strike w:val="1"/>
        </w:rPr>
        <w:t>; or (y) terminate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Commitment of such Lender and repay all Obligations of the Borrower owing to such Lender relating to the Loans and participations held by such Lender as of such termination date</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that in the case of any such termination of a Non-Consenting Lender, such termination shall be sufficient</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(together with all other consenting Lenders) to cause the adoption of the applicable departure, waiver or amendment </w:t>
      </w:r>
      <w:r>
        <w:rPr>
          <w:rFonts w:ascii="Arial" w:cs="Arial" w:eastAsia="Arial" w:hAnsi="Arial"/>
          <w:sz w:val="16"/>
          <w:szCs w:val="16"/>
          <w:color w:val="000000"/>
          <w:strike w:val="1"/>
        </w:rPr>
        <w:t>of the Loan Documents and</w:t>
      </w:r>
      <w:r>
        <w:rPr>
          <w:rFonts w:ascii="Arial" w:cs="Arial" w:eastAsia="Arial" w:hAnsi="Arial"/>
          <w:sz w:val="16"/>
          <w:szCs w:val="16"/>
          <w:color w:val="FF0000"/>
          <w:strike w:val="1"/>
        </w:rPr>
        <w:t xml:space="preserve"> such termination shall be in respect of any applicable Facility only in the case of clause (i) or, with respect to a Class vote, clause (ii).</w:t>
      </w:r>
      <w:r>
        <w:rPr>
          <w:rFonts w:ascii="Arial" w:cs="Arial" w:eastAsia="Arial" w:hAnsi="Arial"/>
          <w:sz w:val="16"/>
          <w:szCs w:val="16"/>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-2064385</wp:posOffset>
            </wp:positionV>
            <wp:extent cx="24003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-2098675</wp:posOffset>
            </wp:positionV>
            <wp:extent cx="24066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-1790065</wp:posOffset>
            </wp:positionV>
            <wp:extent cx="66040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-915670</wp:posOffset>
            </wp:positionV>
            <wp:extent cx="236664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-555625</wp:posOffset>
            </wp:positionV>
            <wp:extent cx="46291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-6985</wp:posOffset>
            </wp:positionV>
            <wp:extent cx="2540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6" w:lineRule="exact"/>
        <w:rPr>
          <w:sz w:val="20"/>
          <w:szCs w:val="20"/>
          <w:color w:val="auto"/>
        </w:rPr>
      </w:pPr>
    </w:p>
    <w:p>
      <w:pPr>
        <w:ind w:right="40" w:firstLine="436"/>
        <w:spacing w:after="0" w:line="254" w:lineRule="auto"/>
        <w:tabs>
          <w:tab w:leader="none" w:pos="695" w:val="left"/>
        </w:tabs>
        <w:numPr>
          <w:ilvl w:val="0"/>
          <w:numId w:val="149"/>
        </w:numPr>
        <w:rPr>
          <w:rFonts w:ascii="Arial" w:cs="Arial" w:eastAsia="Arial" w:hAnsi="Arial"/>
          <w:sz w:val="18"/>
          <w:szCs w:val="18"/>
          <w:color w:val="FF0000"/>
          <w:strike w:val="1"/>
        </w:rPr>
      </w:pPr>
      <w:r>
        <w:rPr>
          <w:rFonts w:ascii="Arial" w:cs="Arial" w:eastAsia="Arial" w:hAnsi="Arial"/>
          <w:sz w:val="18"/>
          <w:szCs w:val="18"/>
          <w:color w:val="FF0000"/>
          <w:strike w:val="1"/>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directly and adversely affected Lender, each Lender with respect to a certain Class of Loans or each directly and adversely affected Lender with respect to a certain Class of Loans, in each case in accordance with Section 10.08, and (iii) the Required Lenders (or, in the case of a consent, waiver or amendment involving all Lenders or all directly and adversely affected Lenders of a certain Class, the Required Class Lenders) have agreed to such consent, waiver or amendment, then any Lender who does not agree to such consent, waiver or amendment shall be deemed a “</w:t>
      </w:r>
      <w:r>
        <w:rPr>
          <w:rFonts w:ascii="Arial" w:cs="Arial" w:eastAsia="Arial" w:hAnsi="Arial"/>
          <w:sz w:val="18"/>
          <w:szCs w:val="18"/>
          <w:b w:val="1"/>
          <w:bCs w:val="1"/>
          <w:color w:val="FF0000"/>
          <w:strike w:val="1"/>
        </w:rPr>
        <w:t>Non-Consenting</w:t>
      </w:r>
      <w:r>
        <w:rPr>
          <w:rFonts w:ascii="Arial" w:cs="Arial" w:eastAsia="Arial" w:hAnsi="Arial"/>
          <w:sz w:val="18"/>
          <w:szCs w:val="18"/>
          <w:color w:val="FF0000"/>
          <w:strike w:val="1"/>
        </w:rPr>
        <w:t xml:space="preserve"> </w:t>
      </w:r>
      <w:r>
        <w:rPr>
          <w:rFonts w:ascii="Arial" w:cs="Arial" w:eastAsia="Arial" w:hAnsi="Arial"/>
          <w:sz w:val="18"/>
          <w:szCs w:val="18"/>
          <w:b w:val="1"/>
          <w:bCs w:val="1"/>
          <w:color w:val="FF0000"/>
          <w:strike w:val="1"/>
        </w:rPr>
        <w:t>Lender</w:t>
      </w:r>
      <w:r>
        <w:rPr>
          <w:rFonts w:ascii="Arial" w:cs="Arial" w:eastAsia="Arial" w:hAnsi="Arial"/>
          <w:sz w:val="18"/>
          <w:szCs w:val="18"/>
          <w:color w:val="FF0000"/>
          <w:strike w:val="1"/>
        </w:rPr>
        <w: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(b)</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80581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(c) Any Lender being replaced pursuant to </w:t>
      </w:r>
      <w:r>
        <w:rPr>
          <w:rFonts w:ascii="Arial" w:cs="Arial" w:eastAsia="Arial" w:hAnsi="Arial"/>
          <w:sz w:val="17"/>
          <w:szCs w:val="17"/>
          <w:u w:val="single" w:color="auto"/>
          <w:color w:val="auto"/>
        </w:rPr>
        <w:t>Section 3.06(a)</w:t>
      </w:r>
      <w:r>
        <w:rPr>
          <w:rFonts w:ascii="Arial" w:cs="Arial" w:eastAsia="Arial" w:hAnsi="Arial"/>
          <w:sz w:val="17"/>
          <w:szCs w:val="17"/>
          <w:color w:val="auto"/>
        </w:rPr>
        <w:t xml:space="preserve"> above shall (i) execute and deliver an Assignment and Acceptance with respect to such Lender’s applicable Commitment and outstanding Loans, and (ii) deliver any Term Notes evidencing such Loans to the Borrower or Administrative Agent. Pursuant to such Assignment and Acceptance, (A) the assignee Lender shall acquire all or a portion, as the case may be, of the assigning Lender’s outstanding Loans, (B) all obligations of the Borrower owing to the assigning Lender relating to the Loans and participations so assigned shall be paid in full by the assignee Lender to such assigning Lender concurrently with such Assignment and Acceptance and (C) upon such payment and, if so requested by the assignee Lender, delivery to the assignee Lender of the appropriate Term Note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w:t>
      </w:r>
      <w:r>
        <w:rPr>
          <w:rFonts w:ascii="Arial" w:cs="Arial" w:eastAsia="Arial" w:hAnsi="Arial"/>
          <w:sz w:val="17"/>
          <w:szCs w:val="17"/>
          <w:color w:val="FF0000"/>
          <w:strike w:val="1"/>
        </w:rPr>
        <w:t>In</w:t>
      </w:r>
      <w:r>
        <w:rPr>
          <w:rFonts w:ascii="Arial" w:cs="Arial" w:eastAsia="Arial" w:hAnsi="Arial"/>
          <w:sz w:val="17"/>
          <w:szCs w:val="17"/>
          <w:color w:val="auto"/>
        </w:rPr>
        <w:t xml:space="preserve"> </w:t>
      </w:r>
      <w:r>
        <w:rPr>
          <w:rFonts w:ascii="Arial" w:cs="Arial" w:eastAsia="Arial" w:hAnsi="Arial"/>
          <w:sz w:val="17"/>
          <w:szCs w:val="17"/>
          <w:color w:val="FF0000"/>
          <w:strike w:val="1"/>
        </w:rPr>
        <w:t>connection with any such replacement, if any such Non-Consenting Lender does not execute and deliver to the Administrative Agent a duly executed Assignment and Acceptance reflecting such replacement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231" w:name="page232"/>
    <w:bookmarkEnd w:id="231"/>
    <w:p>
      <w:pPr>
        <w:jc w:val="both"/>
        <w:ind w:left="4" w:right="2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five (5) Business Days of the date on which the assignee Lender executes and delivers such Assignment and Acceptance to such Non-Consenting Lender, then such Non-Consenting Lender shall be deemed to have executed and delivered such Assignment and Acceptance without any action on the part of the Non-Consenting Lender.</w:t>
      </w:r>
    </w:p>
    <w:p>
      <w:pPr>
        <w:spacing w:after="0" w:line="184"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(d) Notwithstanding anything to the contrary contained above, the Lender that acts as the Administrative Agent may not be replaced hereunder except in accordance with Article 9.</w:t>
      </w:r>
    </w:p>
    <w:p>
      <w:pPr>
        <w:spacing w:after="0" w:line="62"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FF0000"/>
          <w:strike w:val="1"/>
        </w:rPr>
        <w:t>Section 3.07.</w:t>
      </w:r>
      <w:r>
        <w:rPr>
          <w:rFonts w:ascii="Arial" w:cs="Arial" w:eastAsia="Arial" w:hAnsi="Arial"/>
          <w:sz w:val="18"/>
          <w:szCs w:val="18"/>
          <w:color w:val="FF0000"/>
        </w:rPr>
        <w:t xml:space="preserve"> </w:t>
      </w:r>
      <w:r>
        <w:rPr>
          <w:rFonts w:ascii="Arial" w:cs="Arial" w:eastAsia="Arial" w:hAnsi="Arial"/>
          <w:sz w:val="18"/>
          <w:szCs w:val="18"/>
          <w:color w:val="0000FF"/>
        </w:rPr>
        <w:t>Section 3.07 </w:t>
      </w:r>
      <w:r>
        <w:rPr>
          <w:rFonts w:ascii="Arial" w:cs="Arial" w:eastAsia="Arial" w:hAnsi="Arial"/>
          <w:sz w:val="18"/>
          <w:szCs w:val="18"/>
          <w:i w:val="1"/>
          <w:iCs w:val="1"/>
          <w:color w:val="000000"/>
        </w:rPr>
        <w:t>Survival</w:t>
      </w:r>
      <w:r>
        <w:rPr>
          <w:rFonts w:ascii="Arial" w:cs="Arial" w:eastAsia="Arial" w:hAnsi="Arial"/>
          <w:sz w:val="18"/>
          <w:szCs w:val="18"/>
          <w:color w:val="000000"/>
        </w:rPr>
        <w:t>. All of the Borrower’s obligations under this Article 3 shall survive termination of the Commitments and</w:t>
      </w:r>
      <w:r>
        <w:rPr>
          <w:rFonts w:ascii="Arial" w:cs="Arial" w:eastAsia="Arial" w:hAnsi="Arial"/>
          <w:sz w:val="18"/>
          <w:szCs w:val="18"/>
          <w:color w:val="FF0000"/>
        </w:rPr>
        <w:t xml:space="preserve"> </w:t>
      </w:r>
      <w:r>
        <w:rPr>
          <w:rFonts w:ascii="Arial" w:cs="Arial" w:eastAsia="Arial" w:hAnsi="Arial"/>
          <w:sz w:val="18"/>
          <w:szCs w:val="18"/>
          <w:color w:val="000000"/>
        </w:rPr>
        <w:t>repayment of all other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-147955</wp:posOffset>
            </wp:positionV>
            <wp:extent cx="68580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-182245</wp:posOffset>
            </wp:positionV>
            <wp:extent cx="68516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36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w:t>
      </w:r>
      <w:r>
        <w:rPr>
          <w:rFonts w:ascii="Arial" w:cs="Arial" w:eastAsia="Arial" w:hAnsi="Arial"/>
          <w:sz w:val="14"/>
          <w:szCs w:val="14"/>
          <w:u w:val="single" w:color="auto"/>
          <w:color w:val="0000FF"/>
        </w:rPr>
        <w:t>EACH</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E</w:t>
      </w:r>
      <w:r>
        <w:rPr>
          <w:rFonts w:ascii="Arial" w:cs="Arial" w:eastAsia="Arial" w:hAnsi="Arial"/>
          <w:sz w:val="14"/>
          <w:szCs w:val="14"/>
          <w:color w:val="auto"/>
        </w:rPr>
        <w:t>XTENSION</w:t>
      </w:r>
      <w:r>
        <w:rPr>
          <w:rFonts w:ascii="Arial" w:cs="Arial" w:eastAsia="Arial" w:hAnsi="Arial"/>
          <w:sz w:val="14"/>
          <w:szCs w:val="14"/>
          <w:color w:val="FF0000"/>
          <w:strike w:val="1"/>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14605</wp:posOffset>
            </wp:positionV>
            <wp:extent cx="28257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91"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Section 4.01 </w:t>
      </w:r>
      <w:r>
        <w:rPr>
          <w:rFonts w:ascii="Arial" w:cs="Arial" w:eastAsia="Arial" w:hAnsi="Arial"/>
          <w:sz w:val="18"/>
          <w:szCs w:val="18"/>
          <w:i w:val="1"/>
          <w:iCs w:val="1"/>
          <w:color w:val="auto"/>
        </w:rPr>
        <w:t>All Credit Extensions.</w:t>
      </w:r>
      <w:r>
        <w:rPr>
          <w:rFonts w:ascii="Arial" w:cs="Arial" w:eastAsia="Arial" w:hAnsi="Arial"/>
          <w:sz w:val="18"/>
          <w:szCs w:val="18"/>
          <w:color w:val="auto"/>
        </w:rPr>
        <w:t xml:space="preserve"> The obligation of each Lender to honor any Request for Credit Extension </w:t>
      </w:r>
      <w:r>
        <w:rPr>
          <w:rFonts w:ascii="Arial" w:cs="Arial" w:eastAsia="Arial" w:hAnsi="Arial"/>
          <w:sz w:val="18"/>
          <w:szCs w:val="18"/>
          <w:color w:val="FF0000"/>
          <w:strike w:val="1"/>
        </w:rPr>
        <w:t>(other than a Request for Credit</w:t>
      </w:r>
      <w:r>
        <w:rPr>
          <w:rFonts w:ascii="Arial" w:cs="Arial" w:eastAsia="Arial" w:hAnsi="Arial"/>
          <w:sz w:val="18"/>
          <w:szCs w:val="18"/>
          <w:color w:val="auto"/>
        </w:rPr>
        <w:t xml:space="preserve"> </w:t>
      </w:r>
      <w:r>
        <w:rPr>
          <w:rFonts w:ascii="Arial" w:cs="Arial" w:eastAsia="Arial" w:hAnsi="Arial"/>
          <w:sz w:val="18"/>
          <w:szCs w:val="18"/>
          <w:color w:val="FF0000"/>
          <w:strike w:val="1"/>
        </w:rPr>
        <w:t>Extension requesting only a conversion of Loans to the other Type, or a continuation of SOFR Loans)</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is subject to satisfaction (or waiver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by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Lenders</w:t>
      </w:r>
      <w:r>
        <w:rPr>
          <w:rFonts w:ascii="Arial" w:cs="Arial" w:eastAsia="Arial" w:hAnsi="Arial"/>
          <w:sz w:val="18"/>
          <w:szCs w:val="18"/>
          <w:color w:val="000000"/>
        </w:rPr>
        <w:t>)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-139700</wp:posOffset>
            </wp:positionV>
            <wp:extent cx="254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-139700</wp:posOffset>
            </wp:positionV>
            <wp:extent cx="28321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683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6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(a) The representations and warranties set forth in Article 5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of such Credit Extension</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with the same effect as though made on and as of such date or such earlier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4732020</wp:posOffset>
            </wp:positionH>
            <wp:positionV relativeFrom="paragraph">
              <wp:posOffset>-133985</wp:posOffset>
            </wp:positionV>
            <wp:extent cx="2540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72"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 xml:space="preserve">(b) No Default </w:t>
      </w:r>
      <w:r>
        <w:rPr>
          <w:rFonts w:ascii="Arial" w:cs="Arial" w:eastAsia="Arial" w:hAnsi="Arial"/>
          <w:sz w:val="18"/>
          <w:szCs w:val="18"/>
          <w:u w:val="single" w:color="auto"/>
          <w:color w:val="0000FF"/>
        </w:rPr>
        <w:t>or Event of Default (other than the Existing Defaults)</w:t>
      </w:r>
      <w:r>
        <w:rPr>
          <w:rFonts w:ascii="Arial" w:cs="Arial" w:eastAsia="Arial" w:hAnsi="Arial"/>
          <w:sz w:val="18"/>
          <w:szCs w:val="18"/>
          <w:color w:val="auto"/>
        </w:rPr>
        <w:t xml:space="preserve"> shall exist or would result from such proposed Credit Extension or from the application of the proceeds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-147955</wp:posOffset>
            </wp:positionV>
            <wp:extent cx="247713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(c) The Administrative Agent shall have received a Request for Credit Extension in accordance with the requirements hereof.</w:t>
      </w:r>
    </w:p>
    <w:p>
      <w:pPr>
        <w:spacing w:after="0" w:line="225" w:lineRule="exact"/>
        <w:rPr>
          <w:sz w:val="20"/>
          <w:szCs w:val="20"/>
          <w:color w:val="auto"/>
        </w:rPr>
      </w:pPr>
    </w:p>
    <w:p>
      <w:pPr>
        <w:ind w:left="4" w:right="200" w:firstLine="436"/>
        <w:spacing w:after="0" w:line="277" w:lineRule="auto"/>
        <w:tabs>
          <w:tab w:leader="none" w:pos="699" w:val="left"/>
        </w:tabs>
        <w:numPr>
          <w:ilvl w:val="0"/>
          <w:numId w:val="150"/>
        </w:numPr>
        <w:rPr>
          <w:rFonts w:ascii="Arial" w:cs="Arial" w:eastAsia="Arial" w:hAnsi="Arial"/>
          <w:sz w:val="18"/>
          <w:szCs w:val="18"/>
          <w:color w:val="FF0000"/>
          <w:strike w:val="1"/>
        </w:rPr>
      </w:pPr>
      <w:r>
        <w:rPr>
          <w:rFonts w:ascii="Arial" w:cs="Arial" w:eastAsia="Arial" w:hAnsi="Arial"/>
          <w:sz w:val="18"/>
          <w:szCs w:val="18"/>
          <w:color w:val="FF0000"/>
          <w:strike w:val="1"/>
        </w:rPr>
        <w:t>The Collateral and Guarantee Requirement shall have been satisfied in all material respects with respect to each Material Real Property and, without duplication, each Pension Real Property.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FF"/>
        </w:rPr>
        <w:t>(d)</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With respect to the Final Postpetition Loans, the Final Order (i) shall be in form and substance satisfactory to the Agents and the Lenders,</w:t>
      </w:r>
    </w:p>
    <w:p>
      <w:pPr>
        <w:spacing w:after="0" w:line="46" w:lineRule="exact"/>
        <w:rPr>
          <w:sz w:val="20"/>
          <w:szCs w:val="20"/>
          <w:color w:val="auto"/>
        </w:rPr>
      </w:pPr>
    </w:p>
    <w:p>
      <w:pPr>
        <w:ind w:left="4" w:right="20" w:hanging="4"/>
        <w:spacing w:after="0" w:line="295" w:lineRule="auto"/>
        <w:tabs>
          <w:tab w:leader="none" w:pos="269" w:val="left"/>
        </w:tabs>
        <w:numPr>
          <w:ilvl w:val="0"/>
          <w:numId w:val="15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shall have been entered by the Bankruptcy Court within a date which is 45 days following the Petition Date, and the Borrower shall have delivered to the Administrative Agent and the Lenders a true and complete copy of such order and (iii) shall be in full force and effect and shall not have been modified or amended absent prior written consent of the Agents and the Lenders or reversed, modified, amended, stayed, vacated, appealed or subject to a stay pending appeal or otherwise challenged or subject to any challenge in any respect absent the prior written consent of the Agents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-565150</wp:posOffset>
            </wp:positionV>
            <wp:extent cx="6566535"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6875145"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677227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96087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692658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41" w:lineRule="exact"/>
        <w:rPr>
          <w:sz w:val="20"/>
          <w:szCs w:val="20"/>
          <w:color w:val="auto"/>
        </w:rPr>
      </w:pPr>
    </w:p>
    <w:p>
      <w:pPr>
        <w:jc w:val="both"/>
        <w:ind w:left="4" w:right="500" w:firstLine="440"/>
        <w:spacing w:after="0" w:line="311" w:lineRule="auto"/>
        <w:rPr>
          <w:sz w:val="20"/>
          <w:szCs w:val="20"/>
          <w:color w:val="auto"/>
        </w:rPr>
      </w:pPr>
      <w:r>
        <w:rPr>
          <w:rFonts w:ascii="Arial" w:cs="Arial" w:eastAsia="Arial" w:hAnsi="Arial"/>
          <w:sz w:val="16"/>
          <w:szCs w:val="16"/>
          <w:color w:val="auto"/>
        </w:rPr>
        <w:t xml:space="preserve">Each Request for Credit Extension </w:t>
      </w:r>
      <w:r>
        <w:rPr>
          <w:rFonts w:ascii="Arial" w:cs="Arial" w:eastAsia="Arial" w:hAnsi="Arial"/>
          <w:sz w:val="16"/>
          <w:szCs w:val="16"/>
          <w:color w:val="FF0000"/>
          <w:strike w:val="1"/>
        </w:rPr>
        <w:t>(other than a Request for Credit Extension requesting only a conversion of Loans to the other Type, or a</w:t>
      </w:r>
      <w:r>
        <w:rPr>
          <w:rFonts w:ascii="Arial" w:cs="Arial" w:eastAsia="Arial" w:hAnsi="Arial"/>
          <w:sz w:val="16"/>
          <w:szCs w:val="16"/>
          <w:color w:val="auto"/>
        </w:rPr>
        <w:t xml:space="preserve"> </w:t>
      </w:r>
      <w:r>
        <w:rPr>
          <w:rFonts w:ascii="Arial" w:cs="Arial" w:eastAsia="Arial" w:hAnsi="Arial"/>
          <w:sz w:val="16"/>
          <w:szCs w:val="16"/>
          <w:color w:val="FF0000"/>
          <w:strike w:val="1"/>
        </w:rPr>
        <w:t>continuation of SOFR Loans)</w:t>
      </w:r>
      <w:r>
        <w:rPr>
          <w:rFonts w:ascii="Arial" w:cs="Arial" w:eastAsia="Arial" w:hAnsi="Arial"/>
          <w:sz w:val="16"/>
          <w:szCs w:val="16"/>
          <w:color w:val="FF0000"/>
        </w:rPr>
        <w:t xml:space="preserve"> </w:t>
      </w:r>
      <w:r>
        <w:rPr>
          <w:rFonts w:ascii="Arial" w:cs="Arial" w:eastAsia="Arial" w:hAnsi="Arial"/>
          <w:sz w:val="16"/>
          <w:szCs w:val="16"/>
          <w:color w:val="000000"/>
        </w:rPr>
        <w:t>submitted by the Borrower shall be deemed to be a representation and warranty by the Borrower that the conditions</w:t>
      </w:r>
      <w:r>
        <w:rPr>
          <w:rFonts w:ascii="Arial" w:cs="Arial" w:eastAsia="Arial" w:hAnsi="Arial"/>
          <w:sz w:val="16"/>
          <w:szCs w:val="16"/>
          <w:color w:val="FF0000"/>
        </w:rPr>
        <w:t xml:space="preserve"> </w:t>
      </w:r>
      <w:r>
        <w:rPr>
          <w:rFonts w:ascii="Arial" w:cs="Arial" w:eastAsia="Arial" w:hAnsi="Arial"/>
          <w:sz w:val="16"/>
          <w:szCs w:val="16"/>
          <w:color w:val="000000"/>
        </w:rPr>
        <w:t>specified in Sections 4.01 (a) and (b) have been satisfied or waived on and as of the date of the applicable Credit Extension.</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4"/>
          </w:cols>
          <w:pgMar w:left="436" w:top="274" w:right="479" w:bottom="1440" w:gutter="0" w:footer="0" w:header="0"/>
        </w:sectPr>
      </w:pPr>
    </w:p>
    <w:bookmarkStart w:id="232" w:name="page233"/>
    <w:bookmarkEnd w:id="232"/>
    <w:p>
      <w:pPr>
        <w:jc w:val="both"/>
        <w:ind w:left="4" w:right="160" w:firstLine="440"/>
        <w:spacing w:after="0" w:line="342"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4.02.</w:t>
      </w:r>
      <w:r>
        <w:rPr>
          <w:rFonts w:ascii="Arial" w:cs="Arial" w:eastAsia="Arial" w:hAnsi="Arial"/>
          <w:sz w:val="16"/>
          <w:szCs w:val="16"/>
          <w:i w:val="1"/>
          <w:iCs w:val="1"/>
          <w:color w:val="FF0000"/>
          <w:strike w:val="1"/>
        </w:rPr>
        <w:t> First Credit Extension</w:t>
      </w:r>
      <w:r>
        <w:rPr>
          <w:rFonts w:ascii="Arial" w:cs="Arial" w:eastAsia="Arial" w:hAnsi="Arial"/>
          <w:sz w:val="16"/>
          <w:szCs w:val="16"/>
          <w:i w:val="1"/>
          <w:iCs w:val="1"/>
          <w:color w:val="FF0000"/>
        </w:rPr>
        <w:t>.</w:t>
      </w:r>
      <w:r>
        <w:rPr>
          <w:rFonts w:ascii="Arial" w:cs="Arial" w:eastAsia="Arial" w:hAnsi="Arial"/>
          <w:sz w:val="16"/>
          <w:szCs w:val="16"/>
          <w:color w:val="FF0000"/>
        </w:rPr>
        <w:t xml:space="preserve"> The amendment and restatement of the Existing Credit Agreement provided for hereby and the obligation of each Tranche B-2 Term Lender to make Tranche B-2 Term Loans, shall be subject to satisfaction (or waiver) of the following conditions precedent:</w:t>
      </w:r>
    </w:p>
    <w:p>
      <w:pPr>
        <w:spacing w:after="0" w:line="12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FF0000"/>
          <w:strike w:val="1"/>
        </w:rPr>
        <w:t>(a) The Administrative Agent and the Required Lenders shall have received the following, each properly executed by a Responsible Officer of the signing Loan Party, each dated as of the Restatement Effective Date:</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FF0000"/>
          <w:strike w:val="1"/>
        </w:rPr>
        <w:t>(i) executed counterparts of this Agreement duly executed by the Borrower and each Guarantor;</w:t>
      </w:r>
    </w:p>
    <w:p>
      <w:pPr>
        <w:spacing w:after="0" w:line="117" w:lineRule="exact"/>
        <w:rPr>
          <w:sz w:val="20"/>
          <w:szCs w:val="20"/>
          <w:color w:val="auto"/>
        </w:rPr>
      </w:pPr>
    </w:p>
    <w:p>
      <w:pPr>
        <w:ind w:left="444" w:right="160" w:firstLine="423"/>
        <w:spacing w:after="0" w:line="277" w:lineRule="auto"/>
        <w:rPr>
          <w:sz w:val="20"/>
          <w:szCs w:val="20"/>
          <w:color w:val="auto"/>
        </w:rPr>
      </w:pPr>
      <w:r>
        <w:rPr>
          <w:rFonts w:ascii="Arial" w:cs="Arial" w:eastAsia="Arial" w:hAnsi="Arial"/>
          <w:sz w:val="18"/>
          <w:szCs w:val="18"/>
          <w:color w:val="FF0000"/>
          <w:strike w:val="1"/>
        </w:rPr>
        <w:t>(ii) a Term Note executed by the Borrower in favor of each Lender that has requested a Term Note at least two Business Days in advance of the Restatement Effective Date;</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FF0000"/>
          <w:strike w:val="1"/>
        </w:rPr>
        <w:t>(iii) the Security Agreement duly executed by the parties thereto; and</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FF0000"/>
          <w:strike w:val="1"/>
        </w:rPr>
        <w:t>(iv) the Fee Letter and the Administrative Fee Letter duly executed by the respective parties thereto.</w:t>
      </w:r>
    </w:p>
    <w:p>
      <w:pPr>
        <w:spacing w:after="0" w:line="22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FF0000"/>
          <w:strike w:val="1"/>
        </w:rPr>
        <w:t>(b) The Administrative Agent and the Required Lenders shall have received, on behalf of themselves, the Collateral Agent and the Lenders, an opinion of (i) Kirkland &amp; Ellis LLP, counsel for the Loan Parties, and (ii) from each local counsel for the Loan Parties listed on Schedule 4.02(b), in each case, dated the Restatement Effective Date and addressed to the Administrative Agent, the Collateral Agent and the Lenders and in customary form and substance, and the Borrower hereby requests such counsel to deliver such opinions.</w:t>
      </w:r>
    </w:p>
    <w:p>
      <w:pPr>
        <w:spacing w:after="0" w:line="18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FF0000"/>
          <w:strike w:val="1"/>
        </w:rPr>
        <w:t>(c) The Administrative Agent and the Required Lenders shall have received (i) a copy of the certificate or articles of incorporation or organization or certificate of formation, including all amendments thereto, of each Loan Party, certified, if applicable, as of a recent date by the Secretary of State of the state of its organization, and a certificate as to the good standing (to the extent applicable) of each Loan Party as of a recent date, from such Secretary of State or similar Governmental Authority; (ii) a certificate of the Secretary or Assistant Secretary of each Loan Party dated the Restatement Effective Date and certifying (A) that attached thereto is a true and complete copy of the by-laws or operating (or limited liability company) agreement of such Loan Party as in effect on the Restatement Effective Date and at all times since a date prior to the date of the resolutions described in clause (B) below, (B) that attached thereto is a true and complete copy of resolutions duly adopted by the board of directors (or equivalent governing body) of such Loan Party authorizing the execution, delivery and performance of the Loan Documents to which such Loan Party is a party and, in the case of the Borrower, the borrowings hereunder, and that such resolutions have not been modified, rescinded or amended and are in full force and effect,</w:t>
      </w:r>
    </w:p>
    <w:p>
      <w:pPr>
        <w:spacing w:after="0" w:line="6" w:lineRule="exact"/>
        <w:rPr>
          <w:sz w:val="20"/>
          <w:szCs w:val="20"/>
          <w:color w:val="auto"/>
        </w:rPr>
      </w:pPr>
    </w:p>
    <w:p>
      <w:pPr>
        <w:ind w:left="4" w:right="60" w:hanging="4"/>
        <w:spacing w:after="0" w:line="281" w:lineRule="auto"/>
        <w:tabs>
          <w:tab w:leader="none" w:pos="289" w:val="left"/>
        </w:tabs>
        <w:numPr>
          <w:ilvl w:val="0"/>
          <w:numId w:val="152"/>
        </w:numPr>
        <w:rPr>
          <w:rFonts w:ascii="Arial" w:cs="Arial" w:eastAsia="Arial" w:hAnsi="Arial"/>
          <w:sz w:val="16"/>
          <w:szCs w:val="16"/>
          <w:color w:val="FF0000"/>
          <w:strike w:val="1"/>
        </w:rPr>
      </w:pPr>
      <w:r>
        <w:rPr>
          <w:rFonts w:ascii="Arial" w:cs="Arial" w:eastAsia="Arial" w:hAnsi="Arial"/>
          <w:sz w:val="16"/>
          <w:szCs w:val="16"/>
          <w:color w:val="FF0000"/>
          <w:strike w:val="1"/>
        </w:rPr>
        <w:t>that the certificate or articles of incorporation or organization or certificate of formation of such Loan Party have not been amended since the date of the last amendment thereto shown on the certificate of good standing furnished pursuant to clause (i) above, (D) as to the incumbency and specimen signature of each officer executing any Loan Document or any other document delivered in connection herewith on behalf of such Loan Party on the Restatement Effective Date, and (E) as to the absence of any proceeding for the dissolution or liquidation of such Loan Party; and (iii) a certificate of another officer as to the incumbency and specimen signature of the Secretary or Assistant Secretary executing the certificate pursuant to clause</w:t>
      </w:r>
    </w:p>
    <w:p>
      <w:pPr>
        <w:spacing w:after="0" w:line="2" w:lineRule="exact"/>
        <w:rPr>
          <w:rFonts w:ascii="Arial" w:cs="Arial" w:eastAsia="Arial" w:hAnsi="Arial"/>
          <w:sz w:val="16"/>
          <w:szCs w:val="16"/>
          <w:color w:val="FF0000"/>
          <w:strike w:val="1"/>
        </w:rPr>
      </w:pPr>
    </w:p>
    <w:p>
      <w:pPr>
        <w:ind w:left="4"/>
        <w:spacing w:after="0"/>
        <w:rPr>
          <w:rFonts w:ascii="Arial" w:cs="Arial" w:eastAsia="Arial" w:hAnsi="Arial"/>
          <w:sz w:val="16"/>
          <w:szCs w:val="16"/>
          <w:color w:val="FF0000"/>
          <w:strike w:val="1"/>
        </w:rPr>
      </w:pPr>
      <w:r>
        <w:rPr>
          <w:rFonts w:ascii="Arial" w:cs="Arial" w:eastAsia="Arial" w:hAnsi="Arial"/>
          <w:sz w:val="18"/>
          <w:szCs w:val="18"/>
          <w:color w:val="FF0000"/>
          <w:strike w:val="1"/>
        </w:rPr>
        <w:t>(ii) above.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4"/>
          </w:cols>
          <w:pgMar w:left="436" w:top="274" w:right="439" w:bottom="1440" w:gutter="0" w:footer="0" w:header="0"/>
        </w:sectPr>
      </w:pPr>
    </w:p>
    <w:bookmarkStart w:id="233" w:name="page234"/>
    <w:bookmarkEnd w:id="233"/>
    <w:p>
      <w:pPr>
        <w:ind w:right="100" w:firstLine="440"/>
        <w:spacing w:after="0" w:line="271"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(d) (i) The Administrative Agent and the Required Lenders shall have received the results of (x) searches of the Uniform Commercial Code filings (or equivalent filings) and (y) judgment and tax lien searches, made with respect to each Loan Party in the states or other jurisdictions of formation of such Loan Party and with respect to such other locations and names listed on the Perfection Certificate, together with copies of the financing statements (or similar documents) disclosed by such search and (ii) each of the Security Agreement, the Custodial Administration Agreement and the Intellectual Property Security Agreement shall have been duly executed and delivered by each Loan Party that is to be a party thereto, together with (x) certificates, if any, representing the Equity Interests pledged by the Borrower and the Guarantors accompanied by undated stock powers executed in blank and (y) documents and instruments to be recorded or filed that the Administrative Agent may deem, subject to Section 6.13 reasonably necessary to satisfy the Collateral and Guarantee Requirement.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(e) The Collateral and Guarantee Requirement shall have been satisfied in all material respects with respect to each Material Real Property.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(f) [Reserved].</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FF0000"/>
          <w:strike w:val="1"/>
        </w:rPr>
        <w:t>(g) The Succession Agreement shall have been duly executed and delivered by the parties thereto and actions required to assign the Collateral to the Collateral Agent shall have been consummated.</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FF0000"/>
          <w:strike w:val="1"/>
        </w:rPr>
        <w:t xml:space="preserve">(h) Prior to or substantially concurrently with the funding of the Loans on the Restatement Effective Date, (i) the IBT Agreement shall be in full force and effect, and (ii) the Refinancing Transaction shall have been consummated and the Administrative Agent shall have received evidence thereof reasonably satisfactory to the Administrative Agent. Immediately after giving effect to the Refinancing Transaction and the other transactions contemplated hereby, the Borrower and the Subsidiaries shall have outstanding no Indebtedness for borrowed money other than (i) Indebtedness outstanding under this Agreement, (ii) the ABL Facility Indebtedness, and (iii) Indebtedness permitted pursuant to </w:t>
      </w:r>
      <w:r>
        <w:rPr>
          <w:rFonts w:ascii="Arial" w:cs="Arial" w:eastAsia="Arial" w:hAnsi="Arial"/>
          <w:sz w:val="17"/>
          <w:szCs w:val="17"/>
          <w:u w:val="single" w:color="auto"/>
          <w:color w:val="000000"/>
          <w:strike w:val="1"/>
        </w:rPr>
        <w:t>Section</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5598160</wp:posOffset>
            </wp:positionH>
            <wp:positionV relativeFrom="paragraph">
              <wp:posOffset>-92710</wp:posOffset>
            </wp:positionV>
            <wp:extent cx="25717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FF0000"/>
          <w:strike w:val="1"/>
        </w:rPr>
        <w:t>(i) The Administrative Agent and the Required Lenders shall have received a solvency certificate, substantially in the form set forth in Exhibit H, from the chief financial officer or chief accounting officer or other officer with equivalent duties of the Borrower, or in lieu thereof at the option of the Borrower, an opinion of a nationally recognized valuation firm as to the solvency (on a consolidated basis) of the Borrower and its Subsidiaries as of the Restatement Effective Date.</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FF0000"/>
          <w:strike w:val="1"/>
        </w:rPr>
        <w:t>(j) The ABL Credit Agreement shall have been amended pursuant to an amendment agreement, in form and substance reasonably satisfactory to the Required Lenders, to permit the Transactions.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FF0000"/>
          <w:strike w:val="1"/>
        </w:rPr>
        <w:t>(k) The Administrative Agent and the Required Lenders shall have received all documentation and other information about the Borrower and the Guarantors required under applicable “know your customer” and anti-money laundering rules and regulations, including the USA PATRIOT Act, including without limitation, a duly executed W-9 tax form (or such other applicable IRS tax form) of the Borrower, that has been reasonably requested in writing at least five Business Days prior to the Restatement Effective Date.</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FF0000"/>
          <w:strike w:val="1"/>
        </w:rPr>
        <w:t>(l) The Administrative Agent and the Required Lenders shall have received a certificate from an officer of the Borrower certifying that since December 31, 2018, there has not occurred any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234" w:name="page235"/>
    <w:bookmarkEnd w:id="234"/>
    <w:p>
      <w:pPr>
        <w:ind w:left="4" w:right="160" w:firstLine="440"/>
        <w:spacing w:after="0" w:line="27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(m) The Administrative Agent and the Required Lenders shall have received all applicable fees and other amounts due and payable on or prior to the Restatement Effective Date, including, to the extent invoiced at least three Business Days prior to the Restatement Effective Date (except as otherwise reasonably agreed by the Borrower), reimbursement or payment of all out-of-pocket expenses required to be reimbursed or paid by the Borrower hereunder or under any other Loan Document on or prior to the Restatement Effective Date.</w:t>
      </w:r>
    </w:p>
    <w:p>
      <w:pPr>
        <w:spacing w:after="0" w:line="17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FF0000"/>
          <w:strike w:val="1"/>
        </w:rPr>
        <w:t>(n) To the extent required by Section 6.07, the Administrative Agent shall have received evidence that the insurance required by Section 6.07 is in effect, together with endorsements naming the Administrative Agent, for the benefit of the Secured Parties, as additional insured and loss payee thereunder.</w:t>
      </w:r>
    </w:p>
    <w:p>
      <w:pPr>
        <w:spacing w:after="0" w:line="184" w:lineRule="exact"/>
        <w:rPr>
          <w:sz w:val="20"/>
          <w:szCs w:val="20"/>
          <w:color w:val="auto"/>
        </w:rPr>
      </w:pPr>
    </w:p>
    <w:p>
      <w:pPr>
        <w:ind w:left="4" w:right="140"/>
        <w:spacing w:after="0" w:line="301" w:lineRule="auto"/>
        <w:rPr>
          <w:sz w:val="20"/>
          <w:szCs w:val="20"/>
          <w:color w:val="auto"/>
        </w:rPr>
      </w:pPr>
      <w:r>
        <w:rPr>
          <w:rFonts w:ascii="Arial" w:cs="Arial" w:eastAsia="Arial" w:hAnsi="Arial"/>
          <w:sz w:val="16"/>
          <w:szCs w:val="16"/>
          <w:color w:val="FF0000"/>
          <w:strike w:val="1"/>
        </w:rPr>
        <w:t>Solely for purposes of determining whether the conditions set forth in Section 4.01 or 4.02 have been satisfied in respect of any Credit Extension, the Agents and each Lender party hereto shall be deemed to have consented to, approved, accepted or be reasonably satisfied with any document delivered prior to such Credit Extension or other matter (in each case, for which such consent, approval, acceptance or satisfaction is expressly required by Section 4.01 or 4.02, as applicable) by releasing its signature page to this Agreement or to an Assignment and Acceptance, as the case may be.</w:t>
      </w:r>
    </w:p>
    <w:p>
      <w:pPr>
        <w:spacing w:after="0" w:line="2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Each of the Borrower and each of the Guarantors party hereto represents and warrants to the Administrative Agent, the Collateral Agent and each of the Lenders that:</w:t>
      </w:r>
    </w:p>
    <w:p>
      <w:pPr>
        <w:spacing w:after="0" w:line="170"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Section 5.01 </w:t>
      </w:r>
      <w:r>
        <w:rPr>
          <w:rFonts w:ascii="Arial" w:cs="Arial" w:eastAsia="Arial" w:hAnsi="Arial"/>
          <w:sz w:val="16"/>
          <w:szCs w:val="16"/>
          <w:i w:val="1"/>
          <w:iCs w:val="1"/>
          <w:color w:val="auto"/>
        </w:rPr>
        <w:t>Existence, Qualification and Power; Compliance with Laws.</w:t>
      </w:r>
      <w:r>
        <w:rPr>
          <w:rFonts w:ascii="Arial" w:cs="Arial" w:eastAsia="Arial" w:hAnsi="Arial"/>
          <w:sz w:val="16"/>
          <w:szCs w:val="16"/>
          <w:color w:val="auto"/>
        </w:rPr>
        <w:t xml:space="preserve"> Each Loan Party and each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(a) is a Person duly organized or formed, validly existing and in good standing (where relevant) under the Laws of the jurisdiction of its incorporation or organization,</w:t>
      </w:r>
    </w:p>
    <w:p>
      <w:pPr>
        <w:ind w:left="4" w:hanging="4"/>
        <w:spacing w:after="0" w:line="270" w:lineRule="auto"/>
        <w:tabs>
          <w:tab w:leader="none" w:pos="25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has all requisite organizational power and authority to execute, deliver and perform its obligations under the Loan Documents to which it is a party and, in the case of the Borrower, to borrow hereunder,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franchises, licenses, authorizations, qualifications, consents and approvals to operate its business as currently conducted; except in each case, referred to in clause (a) (other than with respect to any Loan Party), (c), (d) or (e), to the extent that failure to do so, individually or in the aggregate, would not reasonably be expected to have a Material Adverse Effect.</w:t>
      </w:r>
    </w:p>
    <w:p>
      <w:pPr>
        <w:spacing w:after="0" w:line="178" w:lineRule="exact"/>
        <w:rPr>
          <w:sz w:val="20"/>
          <w:szCs w:val="20"/>
          <w:color w:val="auto"/>
        </w:rPr>
      </w:pPr>
    </w:p>
    <w:p>
      <w:pPr>
        <w:ind w:left="4" w:right="240" w:firstLine="440"/>
        <w:spacing w:after="0" w:line="284" w:lineRule="auto"/>
        <w:rPr>
          <w:sz w:val="20"/>
          <w:szCs w:val="20"/>
          <w:color w:val="auto"/>
        </w:rPr>
      </w:pPr>
      <w:r>
        <w:rPr>
          <w:rFonts w:ascii="Arial" w:cs="Arial" w:eastAsia="Arial" w:hAnsi="Arial"/>
          <w:sz w:val="16"/>
          <w:szCs w:val="16"/>
          <w:color w:val="auto"/>
        </w:rPr>
        <w:t>Section 5.02 </w:t>
      </w:r>
      <w:r>
        <w:rPr>
          <w:rFonts w:ascii="Arial" w:cs="Arial" w:eastAsia="Arial" w:hAnsi="Arial"/>
          <w:sz w:val="16"/>
          <w:szCs w:val="16"/>
          <w:i w:val="1"/>
          <w:iCs w:val="1"/>
          <w:color w:val="auto"/>
        </w:rPr>
        <w:t>Authorization; No Contravention.</w:t>
      </w:r>
      <w:r>
        <w:rPr>
          <w:rFonts w:ascii="Arial" w:cs="Arial" w:eastAsia="Arial" w:hAnsi="Arial"/>
          <w:sz w:val="16"/>
          <w:szCs w:val="16"/>
          <w:color w:val="auto"/>
        </w:rPr>
        <w:t xml:space="preserve">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Subject to the entry by (and terms of) the Bankruptcy Court of the DIP Order and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Canadian Orders, as applicable, the</w:t>
      </w:r>
      <w:r>
        <w:rPr>
          <w:rFonts w:ascii="Arial" w:cs="Arial" w:eastAsia="Arial" w:hAnsi="Arial"/>
          <w:sz w:val="16"/>
          <w:szCs w:val="16"/>
          <w:color w:val="0000FF"/>
        </w:rPr>
        <w:t xml:space="preserve"> </w:t>
      </w:r>
      <w:r>
        <w:rPr>
          <w:rFonts w:ascii="Arial" w:cs="Arial" w:eastAsia="Arial" w:hAnsi="Arial"/>
          <w:sz w:val="16"/>
          <w:szCs w:val="16"/>
          <w:color w:val="000000"/>
        </w:rPr>
        <w:t>execution, delivery and performance by each Loan Party of each Loan Document to which such Person is a party,</w:t>
      </w:r>
      <w:r>
        <w:rPr>
          <w:rFonts w:ascii="Arial" w:cs="Arial" w:eastAsia="Arial" w:hAnsi="Arial"/>
          <w:sz w:val="16"/>
          <w:szCs w:val="16"/>
          <w:color w:val="0000FF"/>
        </w:rPr>
        <w:t xml:space="preserve"> </w:t>
      </w:r>
      <w:r>
        <w:rPr>
          <w:rFonts w:ascii="Arial" w:cs="Arial" w:eastAsia="Arial" w:hAnsi="Arial"/>
          <w:sz w:val="16"/>
          <w:szCs w:val="16"/>
          <w:color w:val="000000"/>
        </w:rPr>
        <w:t xml:space="preserve">and the consummation of the Transactions, (a) are within such Loan Party’s organizational powers, (b) have been duly authorized by all necessary corporate or other organizational action, and (c) do not (i) contravene the terms of any of such Person’s Organization Documents, (ii) conflict with or result in any breach or contravention of, or the creation of (or the requirement to create) any Lien under (other than as permitted by </w:t>
      </w:r>
      <w:r>
        <w:rPr>
          <w:rFonts w:ascii="Arial" w:cs="Arial" w:eastAsia="Arial" w:hAnsi="Arial"/>
          <w:sz w:val="16"/>
          <w:szCs w:val="16"/>
          <w:u w:val="single" w:color="auto"/>
          <w:color w:val="000000"/>
        </w:rPr>
        <w:t>Section 7.01</w:t>
      </w:r>
      <w:r>
        <w:rPr>
          <w:rFonts w:ascii="Arial" w:cs="Arial" w:eastAsia="Arial" w:hAnsi="Arial"/>
          <w:sz w:val="16"/>
          <w:szCs w:val="16"/>
          <w:color w:val="000000"/>
        </w:rPr>
        <w:t xml:space="preserve">), or require any payment to be made under (x) any </w:t>
      </w:r>
      <w:r>
        <w:rPr>
          <w:rFonts w:ascii="Arial" w:cs="Arial" w:eastAsia="Arial" w:hAnsi="Arial"/>
          <w:sz w:val="16"/>
          <w:szCs w:val="16"/>
          <w:u w:val="single" w:color="auto"/>
          <w:color w:val="0000FF"/>
        </w:rPr>
        <w:t>post-petition</w:t>
      </w:r>
      <w:r>
        <w:rPr>
          <w:rFonts w:ascii="Arial" w:cs="Arial" w:eastAsia="Arial" w:hAnsi="Arial"/>
          <w:sz w:val="16"/>
          <w:szCs w:val="16"/>
          <w:color w:val="000000"/>
        </w:rPr>
        <w:t xml:space="preserve"> Indebtedness of such Person </w:t>
      </w:r>
      <w:r>
        <w:rPr>
          <w:rFonts w:ascii="Arial" w:cs="Arial" w:eastAsia="Arial" w:hAnsi="Arial"/>
          <w:sz w:val="16"/>
          <w:szCs w:val="16"/>
          <w:color w:val="FF0000"/>
          <w:strike w:val="1"/>
        </w:rPr>
        <w:t>in excess of the Threshold Amount or</w:t>
      </w:r>
      <w:r>
        <w:rPr>
          <w:rFonts w:ascii="Arial" w:cs="Arial" w:eastAsia="Arial" w:hAnsi="Arial"/>
          <w:sz w:val="16"/>
          <w:szCs w:val="16"/>
          <w:color w:val="000000"/>
        </w:rPr>
        <w:t xml:space="preserve"> (y) any </w:t>
      </w:r>
      <w:r>
        <w:rPr>
          <w:rFonts w:ascii="Arial" w:cs="Arial" w:eastAsia="Arial" w:hAnsi="Arial"/>
          <w:sz w:val="16"/>
          <w:szCs w:val="16"/>
          <w:u w:val="single" w:color="auto"/>
          <w:color w:val="0000FF"/>
        </w:rPr>
        <w:t>post-petition</w:t>
      </w:r>
      <w:r>
        <w:rPr>
          <w:rFonts w:ascii="Arial" w:cs="Arial" w:eastAsia="Arial" w:hAnsi="Arial"/>
          <w:sz w:val="16"/>
          <w:szCs w:val="16"/>
          <w:color w:val="000000"/>
        </w:rPr>
        <w:t xml:space="preserve"> material order, injunction, writ or decree of any Governmental Authority or any arbitral award to which such Person or its property is subject;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-812165</wp:posOffset>
            </wp:positionV>
            <wp:extent cx="389191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38919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-675005</wp:posOffset>
            </wp:positionV>
            <wp:extent cx="161988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-126365</wp:posOffset>
            </wp:positionV>
            <wp:extent cx="574675"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-126365</wp:posOffset>
            </wp:positionV>
            <wp:extent cx="58293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both"/>
        <w:ind w:left="4" w:right="20" w:hanging="4"/>
        <w:spacing w:after="0" w:line="255" w:lineRule="auto"/>
        <w:tabs>
          <w:tab w:leader="none" w:pos="31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violate any material Law; except with respect to any conflict, breach or contravention or payment (but not creation of Liens) referred to in clause (c) (ii)(x), to the extent that such violation, conflict, breach, contravention or payment, individually or in the aggregate, could not reasonably be expected to have a Material Adverse Effect.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235" w:name="page236"/>
    <w:bookmarkEnd w:id="235"/>
    <w:p>
      <w:pPr>
        <w:ind w:left="4"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5.03 </w:t>
      </w:r>
      <w:r>
        <w:rPr>
          <w:rFonts w:ascii="Arial" w:cs="Arial" w:eastAsia="Arial" w:hAnsi="Arial"/>
          <w:sz w:val="16"/>
          <w:szCs w:val="16"/>
          <w:i w:val="1"/>
          <w:iCs w:val="1"/>
          <w:color w:val="auto"/>
        </w:rPr>
        <w:t>Governmental Authorization; Other Consents.</w:t>
      </w:r>
      <w:r>
        <w:rPr>
          <w:rFonts w:ascii="Arial" w:cs="Arial" w:eastAsia="Arial" w:hAnsi="Arial"/>
          <w:sz w:val="16"/>
          <w:szCs w:val="16"/>
          <w:color w:val="auto"/>
        </w:rPr>
        <w:t xml:space="preserve"> </w:t>
      </w:r>
      <w:r>
        <w:rPr>
          <w:rFonts w:ascii="Arial" w:cs="Arial" w:eastAsia="Arial" w:hAnsi="Arial"/>
          <w:sz w:val="16"/>
          <w:szCs w:val="16"/>
          <w:color w:val="FF0000"/>
          <w:strike w:val="1"/>
        </w:rPr>
        <w:t>No</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Subject to the entry by the Bankruptcy Court of (and terms of) the DIP Order,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in the case of the Canadian Collateral, the DIP Order and the Canadian Orders, no</w:t>
      </w:r>
      <w:r>
        <w:rPr>
          <w:rFonts w:ascii="Arial" w:cs="Arial" w:eastAsia="Arial" w:hAnsi="Arial"/>
          <w:sz w:val="16"/>
          <w:szCs w:val="16"/>
          <w:color w:val="0000FF"/>
        </w:rPr>
        <w:t xml:space="preserve"> </w:t>
      </w:r>
      <w:r>
        <w:rPr>
          <w:rFonts w:ascii="Arial" w:cs="Arial" w:eastAsia="Arial" w:hAnsi="Arial"/>
          <w:sz w:val="16"/>
          <w:szCs w:val="16"/>
          <w:color w:val="000000"/>
        </w:rPr>
        <w:t>approval, consent, exemption, authorization, or other action by,</w:t>
      </w:r>
      <w:r>
        <w:rPr>
          <w:rFonts w:ascii="Arial" w:cs="Arial" w:eastAsia="Arial" w:hAnsi="Arial"/>
          <w:sz w:val="16"/>
          <w:szCs w:val="16"/>
          <w:color w:val="0000FF"/>
        </w:rPr>
        <w:t xml:space="preserve"> </w:t>
      </w:r>
      <w:r>
        <w:rPr>
          <w:rFonts w:ascii="Arial" w:cs="Arial" w:eastAsia="Arial" w:hAnsi="Arial"/>
          <w:sz w:val="16"/>
          <w:szCs w:val="16"/>
          <w:color w:val="000000"/>
        </w:rPr>
        <w:t>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to the extent required thereunder or (d) the exercise by the Administrative Agent, the Collateral Agent or any Lender of its rights under the Loan Documents or the remedies in respect of the Collateral pursuant to the Collateral Documents,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-812165</wp:posOffset>
            </wp:positionV>
            <wp:extent cx="354901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-675005</wp:posOffset>
            </wp:positionV>
            <wp:extent cx="396875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ind w:left="4" w:right="20" w:hanging="4"/>
        <w:spacing w:after="0" w:line="252" w:lineRule="auto"/>
        <w:tabs>
          <w:tab w:leader="none" w:pos="21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approvals, consents, exemptions, authorizations or other actions by, or notices to, or filings necessary to perfect the Liens on the Collateral granted by the Loan Parties in favor of the Secured Parties (or release existing Liens), (ii) 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and Guarantee Requirement) and (iii) those approvals, consents, exemptions, authorizations or other actions, notices or filings, the failure of which to obtain or make, individually or in the aggregate, could not reasonably be expected to have a Material Adverse Effect.</w:t>
      </w:r>
    </w:p>
    <w:p>
      <w:pPr>
        <w:spacing w:after="0" w:line="194"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Section 5.04 </w:t>
      </w:r>
      <w:r>
        <w:rPr>
          <w:rFonts w:ascii="Arial" w:cs="Arial" w:eastAsia="Arial" w:hAnsi="Arial"/>
          <w:sz w:val="16"/>
          <w:szCs w:val="16"/>
          <w:i w:val="1"/>
          <w:iCs w:val="1"/>
          <w:color w:val="auto"/>
        </w:rPr>
        <w:t>Binding Effect.</w:t>
      </w:r>
      <w:r>
        <w:rPr>
          <w:rFonts w:ascii="Arial" w:cs="Arial" w:eastAsia="Arial" w:hAnsi="Arial"/>
          <w:sz w:val="16"/>
          <w:szCs w:val="16"/>
          <w:color w:val="auto"/>
        </w:rPr>
        <w:t xml:space="preserve"> This Agreement and each other Loan Document has been duly executed and delivered by each Loan Party that is a party thereto. </w:t>
      </w:r>
      <w:r>
        <w:rPr>
          <w:rFonts w:ascii="Arial" w:cs="Arial" w:eastAsia="Arial" w:hAnsi="Arial"/>
          <w:sz w:val="16"/>
          <w:szCs w:val="16"/>
          <w:color w:val="FF0000"/>
          <w:strike w:val="1"/>
        </w:rPr>
        <w:t>This</w:t>
      </w:r>
      <w:r>
        <w:rPr>
          <w:rFonts w:ascii="Arial" w:cs="Arial" w:eastAsia="Arial" w:hAnsi="Arial"/>
          <w:sz w:val="16"/>
          <w:szCs w:val="16"/>
          <w:u w:val="single" w:color="auto"/>
          <w:color w:val="0000FF"/>
        </w:rPr>
        <w:t>Upon entry of the DIP Order (and in the case of the Canadian Collateral, the DIP Order and the Canadian Orders), this</w:t>
      </w:r>
      <w:r>
        <w:rPr>
          <w:rFonts w:ascii="Arial" w:cs="Arial" w:eastAsia="Arial" w:hAnsi="Arial"/>
          <w:sz w:val="16"/>
          <w:szCs w:val="16"/>
          <w:color w:val="auto"/>
        </w:rPr>
        <w:t xml:space="preserve"> Agreement and each other Loan Document constitutes a legal, valid and binding obligation of each such Loan Party, enforceable against each Loan Party that is a party thereto in accordance with its terms, except as such enforceability may be limited by Debtor Relief Laws and by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-293370</wp:posOffset>
            </wp:positionV>
            <wp:extent cx="541782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1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5.05 </w:t>
      </w:r>
      <w:r>
        <w:rPr>
          <w:rFonts w:ascii="Arial" w:cs="Arial" w:eastAsia="Arial" w:hAnsi="Arial"/>
          <w:sz w:val="18"/>
          <w:szCs w:val="18"/>
          <w:i w:val="1"/>
          <w:iCs w:val="1"/>
          <w:color w:val="auto"/>
        </w:rPr>
        <w:t>Financial Statements</w:t>
      </w:r>
      <w:r>
        <w:rPr>
          <w:rFonts w:ascii="Arial" w:cs="Arial" w:eastAsia="Arial" w:hAnsi="Arial"/>
          <w:sz w:val="18"/>
          <w:szCs w:val="18"/>
          <w:i w:val="1"/>
          <w:iCs w:val="1"/>
          <w:color w:val="FF0000"/>
          <w:strike w:val="1"/>
        </w:rPr>
        <w:t>; No Material Adverse Effect</w:t>
      </w:r>
      <w:r>
        <w:rPr>
          <w:rFonts w:ascii="Arial" w:cs="Arial" w:eastAsia="Arial" w:hAnsi="Arial"/>
          <w:sz w:val="18"/>
          <w:szCs w:val="18"/>
          <w:color w:val="auto"/>
        </w:rPr>
        <w:t>.</w:t>
      </w:r>
    </w:p>
    <w:p>
      <w:pPr>
        <w:spacing w:after="0" w:line="225" w:lineRule="exact"/>
        <w:rPr>
          <w:sz w:val="20"/>
          <w:szCs w:val="20"/>
          <w:color w:val="auto"/>
        </w:rPr>
      </w:pPr>
    </w:p>
    <w:p>
      <w:pPr>
        <w:ind w:left="4" w:right="520" w:firstLine="440"/>
        <w:spacing w:after="0" w:line="263" w:lineRule="auto"/>
        <w:rPr>
          <w:sz w:val="20"/>
          <w:szCs w:val="20"/>
          <w:color w:val="auto"/>
        </w:rPr>
      </w:pPr>
      <w:r>
        <w:rPr>
          <w:rFonts w:ascii="Arial" w:cs="Arial" w:eastAsia="Arial" w:hAnsi="Arial"/>
          <w:sz w:val="18"/>
          <w:szCs w:val="18"/>
          <w:color w:val="auto"/>
        </w:rPr>
        <w:t>(a) (i) The 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w:t>
      </w:r>
    </w:p>
    <w:p>
      <w:pPr>
        <w:spacing w:after="0" w:line="76" w:lineRule="exact"/>
        <w:rPr>
          <w:sz w:val="20"/>
          <w:szCs w:val="20"/>
          <w:color w:val="auto"/>
        </w:rPr>
      </w:pPr>
    </w:p>
    <w:p>
      <w:pPr>
        <w:ind w:left="444" w:right="120" w:firstLine="423"/>
        <w:spacing w:after="0" w:line="286" w:lineRule="auto"/>
        <w:rPr>
          <w:sz w:val="20"/>
          <w:szCs w:val="20"/>
          <w:color w:val="auto"/>
        </w:rPr>
      </w:pPr>
      <w:r>
        <w:rPr>
          <w:rFonts w:ascii="Arial" w:cs="Arial" w:eastAsia="Arial" w:hAnsi="Arial"/>
          <w:sz w:val="17"/>
          <w:szCs w:val="17"/>
          <w:color w:val="auto"/>
        </w:rPr>
        <w:t>(ii) The Unaudited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 and the absence of footnotes.</w:t>
      </w:r>
    </w:p>
    <w:p>
      <w:pPr>
        <w:spacing w:after="0" w:line="165" w:lineRule="exact"/>
        <w:rPr>
          <w:sz w:val="20"/>
          <w:szCs w:val="20"/>
          <w:color w:val="auto"/>
        </w:rPr>
      </w:pPr>
    </w:p>
    <w:p>
      <w:pPr>
        <w:ind w:left="4" w:right="340" w:firstLine="440"/>
        <w:spacing w:after="0" w:line="273" w:lineRule="auto"/>
        <w:rPr>
          <w:sz w:val="20"/>
          <w:szCs w:val="20"/>
          <w:color w:val="auto"/>
        </w:rPr>
      </w:pPr>
      <w:r>
        <w:rPr>
          <w:rFonts w:ascii="Arial" w:cs="Arial" w:eastAsia="Arial" w:hAnsi="Arial"/>
          <w:sz w:val="17"/>
          <w:szCs w:val="17"/>
          <w:color w:val="auto"/>
        </w:rPr>
        <w:t xml:space="preserve">(b) The forecasts of income statements of the Borrower and its Subsidiaries which have been furnished to the Administrative Agent and the </w:t>
      </w:r>
      <w:r>
        <w:rPr>
          <w:rFonts w:ascii="Arial" w:cs="Arial" w:eastAsia="Arial" w:hAnsi="Arial"/>
          <w:sz w:val="17"/>
          <w:szCs w:val="17"/>
          <w:color w:val="FF0000"/>
          <w:strike w:val="1"/>
        </w:rPr>
        <w:t>Required</w:t>
      </w:r>
      <w:r>
        <w:rPr>
          <w:rFonts w:ascii="Arial" w:cs="Arial" w:eastAsia="Arial" w:hAnsi="Arial"/>
          <w:sz w:val="17"/>
          <w:szCs w:val="17"/>
          <w:color w:val="FF0000"/>
        </w:rPr>
        <w:t xml:space="preserve"> </w:t>
      </w:r>
      <w:r>
        <w:rPr>
          <w:rFonts w:ascii="Arial" w:cs="Arial" w:eastAsia="Arial" w:hAnsi="Arial"/>
          <w:sz w:val="17"/>
          <w:szCs w:val="17"/>
          <w:color w:val="000000"/>
        </w:rPr>
        <w:t>Lenders prior to the</w:t>
      </w:r>
      <w:r>
        <w:rPr>
          <w:rFonts w:ascii="Arial" w:cs="Arial" w:eastAsia="Arial" w:hAnsi="Arial"/>
          <w:sz w:val="17"/>
          <w:szCs w:val="17"/>
          <w:color w:val="FF0000"/>
        </w:rPr>
        <w:t xml:space="preserv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FF0000"/>
        </w:rPr>
        <w:t xml:space="preserve"> </w:t>
      </w:r>
      <w:r>
        <w:rPr>
          <w:rFonts w:ascii="Arial" w:cs="Arial" w:eastAsia="Arial" w:hAnsi="Arial"/>
          <w:sz w:val="17"/>
          <w:szCs w:val="17"/>
          <w:color w:val="000000"/>
        </w:rPr>
        <w:t>Date have been prepared in good faith on the basis of the</w:t>
      </w:r>
      <w:r>
        <w:rPr>
          <w:rFonts w:ascii="Arial" w:cs="Arial" w:eastAsia="Arial" w:hAnsi="Arial"/>
          <w:sz w:val="17"/>
          <w:szCs w:val="17"/>
          <w:color w:val="FF0000"/>
        </w:rPr>
        <w:t xml:space="preserve"> </w:t>
      </w:r>
      <w:r>
        <w:rPr>
          <w:rFonts w:ascii="Arial" w:cs="Arial" w:eastAsia="Arial" w:hAnsi="Arial"/>
          <w:sz w:val="17"/>
          <w:szCs w:val="17"/>
          <w:color w:val="000000"/>
        </w:rPr>
        <w:t xml:space="preserve">assumptions stated therein, which assumptions were believed to be reasonable at the time of preparation of such forecasts it being understood by the Agents and the Lenders that such projections as to future events (i) are not to be viewed as facts, (ii)(A) are subject to significant uncertainties and contingencies, which may be beyond the control of the Borrower and its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(B) no assurance is given by the Borrower and its </w:t>
      </w:r>
      <w:r>
        <w:rPr>
          <w:rFonts w:ascii="Arial" w:cs="Arial" w:eastAsia="Arial" w:hAnsi="Arial"/>
          <w:sz w:val="17"/>
          <w:szCs w:val="17"/>
          <w:color w:val="FF0000"/>
          <w:strike w:val="1"/>
        </w:rPr>
        <w:t>Restricted</w:t>
      </w:r>
      <w:r>
        <w:rPr>
          <w:rFonts w:ascii="Arial" w:cs="Arial" w:eastAsia="Arial" w:hAnsi="Arial"/>
          <w:sz w:val="17"/>
          <w:szCs w:val="17"/>
          <w:color w:val="FF0000"/>
        </w:rPr>
        <w:t xml:space="preserve"> </w:t>
      </w:r>
      <w:r>
        <w:rPr>
          <w:rFonts w:ascii="Arial" w:cs="Arial" w:eastAsia="Arial" w:hAnsi="Arial"/>
          <w:sz w:val="17"/>
          <w:szCs w:val="17"/>
          <w:color w:val="000000"/>
        </w:rPr>
        <w:t>Subsidiaries that the results or forecast in any such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-554355</wp:posOffset>
            </wp:positionV>
            <wp:extent cx="150876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74" w:right="459" w:bottom="1440" w:gutter="0" w:footer="0" w:header="0"/>
        </w:sectPr>
      </w:pPr>
    </w:p>
    <w:bookmarkStart w:id="236" w:name="page237"/>
    <w:bookmarkEnd w:id="23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be realized and (C) the actual results may differ from the forecast results set forth in such projections and such differences may be material and</w:t>
      </w:r>
    </w:p>
    <w:p>
      <w:pPr>
        <w:spacing w:after="0" w:line="46" w:lineRule="exact"/>
        <w:rPr>
          <w:sz w:val="20"/>
          <w:szCs w:val="20"/>
          <w:color w:val="auto"/>
        </w:rPr>
      </w:pPr>
    </w:p>
    <w:p>
      <w:pPr>
        <w:ind w:left="4" w:right="100" w:hanging="4"/>
        <w:spacing w:after="0" w:line="260" w:lineRule="auto"/>
        <w:tabs>
          <w:tab w:leader="none" w:pos="31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are not a guarantee of performance and that actual results during the period or periods covered by any such projections may vary significantly from the projected results and such differences may be material.</w:t>
      </w:r>
    </w:p>
    <w:p>
      <w:pPr>
        <w:spacing w:after="0" w:line="18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FF0000"/>
          <w:strike w:val="1"/>
        </w:rPr>
        <w:t>(c) Since December 31, 2018, there has been no event or circumstance, either individually or in the aggregate, that has had or would reasonably be expected to have a Material Adverse Effect.</w:t>
      </w:r>
    </w:p>
    <w:p>
      <w:pPr>
        <w:spacing w:after="0" w:line="170"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FF0000"/>
        </w:rPr>
        <w:t>Section 5.06. </w:t>
      </w:r>
      <w:r>
        <w:rPr>
          <w:rFonts w:ascii="Arial" w:cs="Arial" w:eastAsia="Arial" w:hAnsi="Arial"/>
          <w:sz w:val="17"/>
          <w:szCs w:val="17"/>
          <w:u w:val="single" w:color="auto"/>
          <w:color w:val="0000FF"/>
        </w:rPr>
        <w:t>Section 5.06</w:t>
      </w:r>
      <w:r>
        <w:rPr>
          <w:rFonts w:ascii="Arial" w:cs="Arial" w:eastAsia="Arial" w:hAnsi="Arial"/>
          <w:sz w:val="17"/>
          <w:szCs w:val="17"/>
          <w:color w:val="000000"/>
        </w:rPr>
        <w:t xml:space="preserve"> </w:t>
      </w:r>
      <w:r>
        <w:rPr>
          <w:rFonts w:ascii="Arial" w:cs="Arial" w:eastAsia="Arial" w:hAnsi="Arial"/>
          <w:sz w:val="17"/>
          <w:szCs w:val="17"/>
          <w:i w:val="1"/>
          <w:iCs w:val="1"/>
          <w:color w:val="000000"/>
        </w:rPr>
        <w:t>Compliance With Laws</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Subject to the entry by (and terms of) the Bankruptcy Court of the DIP Order,</w:t>
      </w:r>
      <w:r>
        <w:rPr>
          <w:rFonts w:ascii="Arial" w:cs="Arial" w:eastAsia="Arial" w:hAnsi="Arial"/>
          <w:sz w:val="17"/>
          <w:szCs w:val="17"/>
          <w:color w:val="FF0000"/>
        </w:rPr>
        <w:t xml:space="preserve"> </w:t>
      </w:r>
      <w:r>
        <w:rPr>
          <w:rFonts w:ascii="Arial" w:cs="Arial" w:eastAsia="Arial" w:hAnsi="Arial"/>
          <w:sz w:val="17"/>
          <w:szCs w:val="17"/>
          <w:color w:val="FF0000"/>
          <w:strike w:val="1"/>
        </w:rPr>
        <w:t>N</w:t>
      </w:r>
      <w:r>
        <w:rPr>
          <w:rFonts w:ascii="Arial" w:cs="Arial" w:eastAsia="Arial" w:hAnsi="Arial"/>
          <w:sz w:val="17"/>
          <w:szCs w:val="17"/>
          <w:u w:val="single" w:color="auto"/>
          <w:color w:val="0000FF"/>
        </w:rPr>
        <w:t>n</w:t>
      </w:r>
      <w:r>
        <w:rPr>
          <w:rFonts w:ascii="Arial" w:cs="Arial" w:eastAsia="Arial" w:hAnsi="Arial"/>
          <w:sz w:val="17"/>
          <w:szCs w:val="17"/>
          <w:color w:val="000000"/>
        </w:rPr>
        <w:t>either the</w:t>
      </w:r>
      <w:r>
        <w:rPr>
          <w:rFonts w:ascii="Arial" w:cs="Arial" w:eastAsia="Arial" w:hAnsi="Arial"/>
          <w:sz w:val="17"/>
          <w:szCs w:val="17"/>
          <w:color w:val="FF0000"/>
        </w:rPr>
        <w:t xml:space="preserve"> </w:t>
      </w:r>
      <w:r>
        <w:rPr>
          <w:rFonts w:ascii="Arial" w:cs="Arial" w:eastAsia="Arial" w:hAnsi="Arial"/>
          <w:sz w:val="17"/>
          <w:szCs w:val="17"/>
          <w:color w:val="000000"/>
        </w:rPr>
        <w:t xml:space="preserve">Borrower nor any of the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or any of their respective properties or assets is in violation of, nor will the continued operation of their properties and assets as currently conducted violate, any law, rule or regulation (including any zoning, building, ordinance, code or approval or any building permits) or any restrictions of record or agreements affecting </w:t>
      </w:r>
      <w:r>
        <w:rPr>
          <w:rFonts w:ascii="Arial" w:cs="Arial" w:eastAsia="Arial" w:hAnsi="Arial"/>
          <w:sz w:val="17"/>
          <w:szCs w:val="17"/>
          <w:color w:val="FF0000"/>
          <w:strike w:val="1"/>
        </w:rPr>
        <w:t>the Mortgaged Property</w:t>
      </w:r>
      <w:r>
        <w:rPr>
          <w:rFonts w:ascii="Arial" w:cs="Arial" w:eastAsia="Arial" w:hAnsi="Arial"/>
          <w:sz w:val="17"/>
          <w:szCs w:val="17"/>
          <w:u w:val="single" w:color="auto"/>
          <w:color w:val="0000FF"/>
        </w:rPr>
        <w:t>any real property interest of the Borrower or any of its</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Subsidiaries</w:t>
      </w:r>
      <w:r>
        <w:rPr>
          <w:rFonts w:ascii="Arial" w:cs="Arial" w:eastAsia="Arial" w:hAnsi="Arial"/>
          <w:sz w:val="17"/>
          <w:szCs w:val="17"/>
          <w:color w:val="000000"/>
        </w:rPr>
        <w:t>, or is in default with respect to any judgment, writ, injunction, decree or order of any Governmental Authority, where in each case such</w:t>
      </w:r>
      <w:r>
        <w:rPr>
          <w:rFonts w:ascii="Arial" w:cs="Arial" w:eastAsia="Arial" w:hAnsi="Arial"/>
          <w:sz w:val="17"/>
          <w:szCs w:val="17"/>
          <w:color w:val="0000FF"/>
        </w:rPr>
        <w:t xml:space="preserve"> </w:t>
      </w:r>
      <w:r>
        <w:rPr>
          <w:rFonts w:ascii="Arial" w:cs="Arial" w:eastAsia="Arial" w:hAnsi="Arial"/>
          <w:sz w:val="17"/>
          <w:szCs w:val="17"/>
          <w:color w:val="000000"/>
        </w:rPr>
        <w:t>violation or default, individually or in the aggregate, would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-777240</wp:posOffset>
            </wp:positionV>
            <wp:extent cx="71374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374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-691515</wp:posOffset>
            </wp:positionV>
            <wp:extent cx="55206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-280035</wp:posOffset>
            </wp:positionV>
            <wp:extent cx="247777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55753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5.07 </w:t>
      </w:r>
      <w:r>
        <w:rPr>
          <w:rFonts w:ascii="Arial" w:cs="Arial" w:eastAsia="Arial" w:hAnsi="Arial"/>
          <w:sz w:val="18"/>
          <w:szCs w:val="18"/>
          <w:i w:val="1"/>
          <w:iCs w:val="1"/>
          <w:color w:val="auto"/>
        </w:rPr>
        <w:t>Ownership of Property; Liens</w:t>
      </w:r>
      <w:r>
        <w:rPr>
          <w:rFonts w:ascii="Arial" w:cs="Arial" w:eastAsia="Arial" w:hAnsi="Arial"/>
          <w:sz w:val="18"/>
          <w:szCs w:val="18"/>
          <w:color w:val="auto"/>
        </w:rPr>
        <w:t>.</w:t>
      </w:r>
    </w:p>
    <w:p>
      <w:pPr>
        <w:spacing w:after="0" w:line="225"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 xml:space="preserve">(a) Schedule 1.01(c) sets forth a true, complete and correct list of all Real Property owned (whether in fee or through a leasehold estate under any ground lease) by Borrower and the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 as of the </w:t>
      </w:r>
      <w:r>
        <w:rPr>
          <w:rFonts w:ascii="Arial" w:cs="Arial" w:eastAsia="Arial" w:hAnsi="Arial"/>
          <w:sz w:val="17"/>
          <w:szCs w:val="17"/>
          <w:color w:val="FF0000"/>
          <w:strike w:val="1"/>
        </w:rPr>
        <w:t>Restatement</w:t>
      </w:r>
      <w:r>
        <w:rPr>
          <w:rFonts w:ascii="Arial" w:cs="Arial" w:eastAsia="Arial" w:hAnsi="Arial"/>
          <w:sz w:val="17"/>
          <w:szCs w:val="17"/>
          <w:u w:val="single" w:color="auto"/>
          <w:color w:val="0000FF"/>
        </w:rPr>
        <w:t>Amendment No. 4</w:t>
      </w:r>
      <w:r>
        <w:rPr>
          <w:rFonts w:ascii="Arial" w:cs="Arial" w:eastAsia="Arial" w:hAnsi="Arial"/>
          <w:sz w:val="17"/>
          <w:szCs w:val="17"/>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-26035</wp:posOffset>
            </wp:positionV>
            <wp:extent cx="874395"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26"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(b) Each of the Borrower and the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has good record title to, or valid leasehold interests in, or easements or other limited property interests in, all its properties and assets </w:t>
      </w:r>
      <w:r>
        <w:rPr>
          <w:rFonts w:ascii="Arial" w:cs="Arial" w:eastAsia="Arial" w:hAnsi="Arial"/>
          <w:sz w:val="16"/>
          <w:szCs w:val="16"/>
          <w:color w:val="FF0000"/>
          <w:strike w:val="1"/>
        </w:rPr>
        <w:t>(including all Mortgaged Property material to its business)</w:t>
      </w:r>
      <w:r>
        <w:rPr>
          <w:rFonts w:ascii="Arial" w:cs="Arial" w:eastAsia="Arial" w:hAnsi="Arial"/>
          <w:sz w:val="16"/>
          <w:szCs w:val="16"/>
          <w:color w:val="auto"/>
        </w:rPr>
        <w:t>, free and clear of all Liens except for minor defects in title that do not materially interfere with its ability to conduct its business or to utilize such assets for their intended purposes and except where the failure to have such title or interest would not reasonably be expected to have, individually or in the aggregate, a Material Adverse Effect.</w:t>
      </w:r>
    </w:p>
    <w:p>
      <w:pPr>
        <w:spacing w:after="0" w:line="157" w:lineRule="exact"/>
        <w:rPr>
          <w:sz w:val="20"/>
          <w:szCs w:val="20"/>
          <w:color w:val="auto"/>
        </w:rPr>
      </w:pPr>
    </w:p>
    <w:p>
      <w:pPr>
        <w:ind w:left="4" w:right="460" w:firstLine="440"/>
        <w:spacing w:after="0" w:line="308" w:lineRule="auto"/>
        <w:rPr>
          <w:sz w:val="20"/>
          <w:szCs w:val="20"/>
          <w:color w:val="auto"/>
        </w:rPr>
      </w:pPr>
      <w:r>
        <w:rPr>
          <w:rFonts w:ascii="Arial" w:cs="Arial" w:eastAsia="Arial" w:hAnsi="Arial"/>
          <w:sz w:val="17"/>
          <w:szCs w:val="17"/>
          <w:color w:val="FF0000"/>
          <w:strike w:val="1"/>
        </w:rPr>
        <w:t>(c) As of the Restatement Effective Date, Schedule 9 to the Perfection Certificate dated the Restatement Effective Date contains a true and complete list of each Material Real Property owned by the Borrower each other Loan Party and its Restricted Subsidiaries.</w:t>
      </w:r>
    </w:p>
    <w:p>
      <w:pPr>
        <w:spacing w:after="0" w:line="146"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FF0000"/>
          <w:strike w:val="1"/>
        </w:rPr>
        <w:t>(d) As of the Restatement Effective Date, except as otherwise disclosed in writing to the Collateral Agent and the Required Lenders, no Mortgage encumbers improved Mortgaged Property that is located in an area that has been identified by the Secretary of Housing and Urban Development as an area having special flood hazards within the meaning of the Flood Laws unless Evidence of Flood Insurance has been delivered to the Collateral Agent.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FF0000"/>
        </w:rPr>
        <w:t>Section 5.08. </w:t>
      </w:r>
      <w:r>
        <w:rPr>
          <w:rFonts w:ascii="Arial" w:cs="Arial" w:eastAsia="Arial" w:hAnsi="Arial"/>
          <w:sz w:val="16"/>
          <w:szCs w:val="16"/>
          <w:color w:val="0000FF"/>
        </w:rPr>
        <w:t>Section 5.08 </w:t>
      </w:r>
      <w:r>
        <w:rPr>
          <w:rFonts w:ascii="Arial" w:cs="Arial" w:eastAsia="Arial" w:hAnsi="Arial"/>
          <w:sz w:val="16"/>
          <w:szCs w:val="16"/>
          <w:i w:val="1"/>
          <w:iCs w:val="1"/>
          <w:color w:val="000000"/>
        </w:rPr>
        <w:t>Environmental Matters.</w:t>
      </w:r>
      <w:r>
        <w:rPr>
          <w:rFonts w:ascii="Arial" w:cs="Arial" w:eastAsia="Arial" w:hAnsi="Arial"/>
          <w:sz w:val="16"/>
          <w:szCs w:val="16"/>
          <w:color w:val="FF0000"/>
        </w:rPr>
        <w:t xml:space="preserve"> </w:t>
      </w:r>
      <w:r>
        <w:rPr>
          <w:rFonts w:ascii="Arial" w:cs="Arial" w:eastAsia="Arial" w:hAnsi="Arial"/>
          <w:sz w:val="16"/>
          <w:szCs w:val="16"/>
          <w:color w:val="000000"/>
        </w:rPr>
        <w:t>Except as would not reasonably be expected to have, individually or in the aggregate,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-46990</wp:posOffset>
            </wp:positionV>
            <wp:extent cx="71374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3740" cy="889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3810</wp:posOffset>
            </wp:positionV>
            <wp:extent cx="68516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-121920</wp:posOffset>
            </wp:positionV>
            <wp:extent cx="6858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1"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(a) Each Loan Party and each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is and has been in compliance with all Environmental Laws, which includes obtaining and maintaining all Environmental Permits required under such Environmental Laws to carry on the business of the Loan Parties and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w:t>
      </w:r>
    </w:p>
    <w:p>
      <w:pPr>
        <w:spacing w:after="0" w:line="18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(b) the Loan Parties and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have not received notice alleging any Environmental Liability or proposing or seeking to revoke, modify or deny the renewal of any Environmental Permit required to be held by the Loan Parties or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and neither the Loan Parties nor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have become subject to any Environmental Liability;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237" w:name="page238"/>
    <w:bookmarkEnd w:id="23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(c) there has been no Release, discharge or disposal of Hazardous Materials (i) on, to, at, under or from any Real Property or any vehicles or facilities owned or leased by any of the Loan Parties or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or, to the knowledge of the Borrower, formerly owned, operated or leased by any Loan Party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or (ii) arising out of the conduct of the Loan Parties or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that, in the case of (i) or (ii), could reasonably be expected to require investigation, remedial activity or corrective action or cleanup by or on behalf of any Loan Party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or for which any Loan Party or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reasonably could be expected to otherwise incur any Environmental Liability; and</w:t>
      </w:r>
    </w:p>
    <w:p>
      <w:pPr>
        <w:spacing w:after="0" w:line="192"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 xml:space="preserve">(d) there are no facts, circumstances or conditions arising out of or relating to, and there are no pending or reasonably anticipated requirements under Environmental Law associated with, the operations of the Loan Parties or the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or any Real Property, vehicles or facilities currently or, to the knowledge of the Borrower, previously owned or leased by the Loan Parties or any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that, in such case, are known to or would reasonably be likely to require investigation, remedial activity or corrective action or cleanup by or on behalf of any Loan Party or any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or that are known to or would reasonably be likely to result in the Borrower or any other Loan Party or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incurring any Environmental Liability or capital expenditures to achieve or maintain compliance with Environmental Laws.</w:t>
      </w:r>
    </w:p>
    <w:p>
      <w:pPr>
        <w:spacing w:after="0" w:line="16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Section 5.09 </w:t>
      </w:r>
      <w:r>
        <w:rPr>
          <w:rFonts w:ascii="Arial" w:cs="Arial" w:eastAsia="Arial" w:hAnsi="Arial"/>
          <w:sz w:val="18"/>
          <w:szCs w:val="18"/>
          <w:i w:val="1"/>
          <w:iCs w:val="1"/>
          <w:color w:val="auto"/>
        </w:rPr>
        <w:t>Taxes.</w:t>
      </w:r>
      <w:r>
        <w:rPr>
          <w:rFonts w:ascii="Arial" w:cs="Arial" w:eastAsia="Arial" w:hAnsi="Arial"/>
          <w:sz w:val="18"/>
          <w:szCs w:val="18"/>
          <w:color w:val="auto"/>
        </w:rPr>
        <w:t xml:space="preserve"> Except as would not, either individually or in the aggregate, reasonably be expected to result in a Material Adverse Effect: each of the Loan Parties and their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have timely filed all tax returns required to be filed (taking into account any extensions), and have paid all Taxes levied or imposed upon them or their properties, that are due and payable (including in their capacity as a withholding agent), except those which are being contested in good faith by appropriate proceedings diligently conducted if such contest shall have the effect of suspending enforcement or collection of such Taxes and for which adequate reserves have been provided in accordance with GAAP. There is no proposed Tax deficiency or assessment known to any Loan Party against any Loan Party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that would, if made, individually or in the aggregate, have a Material Adverse Effect.</w:t>
      </w:r>
    </w:p>
    <w:p>
      <w:pPr>
        <w:spacing w:after="0" w:line="19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Section 5.10 </w:t>
      </w:r>
      <w:r>
        <w:rPr>
          <w:rFonts w:ascii="Arial" w:cs="Arial" w:eastAsia="Arial" w:hAnsi="Arial"/>
          <w:sz w:val="17"/>
          <w:szCs w:val="17"/>
          <w:i w:val="1"/>
          <w:iCs w:val="1"/>
          <w:color w:val="FF0000"/>
          <w:strike w:val="1"/>
        </w:rPr>
        <w:t>ERISA Compliance</w:t>
      </w:r>
      <w:r>
        <w:rPr>
          <w:rFonts w:ascii="Arial" w:cs="Arial" w:eastAsia="Arial" w:hAnsi="Arial"/>
          <w:sz w:val="17"/>
          <w:szCs w:val="17"/>
          <w:i w:val="1"/>
          <w:iCs w:val="1"/>
          <w:u w:val="single" w:color="auto"/>
          <w:color w:val="0000FF"/>
        </w:rPr>
        <w:t>Litigation</w:t>
      </w:r>
      <w:r>
        <w:rPr>
          <w:rFonts w:ascii="Arial" w:cs="Arial" w:eastAsia="Arial" w:hAnsi="Arial"/>
          <w:sz w:val="17"/>
          <w:szCs w:val="17"/>
          <w:u w:val="single" w:color="auto"/>
          <w:color w:val="0000FF"/>
        </w:rPr>
        <w:t>. Except for claims, actions, suits, investigations, litigation or proceedings stayed by Section 362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Bankruptcy Code and as set forth on Schedule 5.10 and/or the Canadian Orders, as applicable, there does not exist any action, suit, investigation, litigation or proceeding, pending or to the knowledge of the Loan Parties, threatened in writing in any court or before any arbitrator or Governmental Authority that, (x) either individually or in the aggregate, has had or would reasonably be expected to have a Material Adverse Effect with respect to the assets or property of the Loans Parties or (y) is in respect of the Loans or the Loan Documents and either individually or in the aggregate, has had or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-691515</wp:posOffset>
            </wp:positionV>
            <wp:extent cx="498030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49803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78942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81482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6087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78053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298323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Except as would not, either individually or in the aggregate, reasonably be expected to result in a Material Adverse Effect: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FF0000"/>
          <w:strike w:val="1"/>
        </w:rPr>
        <w:t>(a) Each Plan is in compliance with the applicable provisions of ERISA, the Code and other Federal or state Laws (and the regulations and published interpretations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238" w:name="page239"/>
    <w:bookmarkEnd w:id="238"/>
    <w:p>
      <w:pPr>
        <w:ind w:right="80" w:firstLine="4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Loan Parties, their Restricted Subsidiaries and their respective ERISA Affiliates may incur liability for ordinary course contributions to (and make payments in satisfaction of such liabilities) plans listed on Schedule 5.10(b), which are Multiemployer Plans.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(c) No ERISA Event has occurred.</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FF0000"/>
        </w:rPr>
        <w:t>Section 5.11. </w:t>
      </w:r>
      <w:r>
        <w:rPr>
          <w:rFonts w:ascii="Arial" w:cs="Arial" w:eastAsia="Arial" w:hAnsi="Arial"/>
          <w:sz w:val="17"/>
          <w:szCs w:val="17"/>
          <w:color w:val="0000FF"/>
        </w:rPr>
        <w:t>Section 5.11 </w:t>
      </w:r>
      <w:r>
        <w:rPr>
          <w:rFonts w:ascii="Arial" w:cs="Arial" w:eastAsia="Arial" w:hAnsi="Arial"/>
          <w:sz w:val="17"/>
          <w:szCs w:val="17"/>
          <w:i w:val="1"/>
          <w:iCs w:val="1"/>
          <w:color w:val="000000"/>
        </w:rPr>
        <w:t>Subsidiaries.</w:t>
      </w:r>
      <w:r>
        <w:rPr>
          <w:rFonts w:ascii="Arial" w:cs="Arial" w:eastAsia="Arial" w:hAnsi="Arial"/>
          <w:sz w:val="17"/>
          <w:szCs w:val="17"/>
          <w:color w:val="FF0000"/>
        </w:rPr>
        <w:t xml:space="preserve"> </w:t>
      </w:r>
      <w:r>
        <w:rPr>
          <w:rFonts w:ascii="Arial" w:cs="Arial" w:eastAsia="Arial" w:hAnsi="Arial"/>
          <w:sz w:val="17"/>
          <w:szCs w:val="17"/>
          <w:color w:val="000000"/>
        </w:rPr>
        <w:t>As of the</w:t>
      </w:r>
      <w:r>
        <w:rPr>
          <w:rFonts w:ascii="Arial" w:cs="Arial" w:eastAsia="Arial" w:hAnsi="Arial"/>
          <w:sz w:val="17"/>
          <w:szCs w:val="17"/>
          <w:color w:val="FF0000"/>
        </w:rPr>
        <w:t xml:space="preserve"> </w:t>
      </w:r>
      <w:r>
        <w:rPr>
          <w:rFonts w:ascii="Arial" w:cs="Arial" w:eastAsia="Arial" w:hAnsi="Arial"/>
          <w:sz w:val="17"/>
          <w:szCs w:val="17"/>
          <w:color w:val="FF0000"/>
          <w:strike w:val="1"/>
        </w:rPr>
        <w:t>Restatement</w:t>
      </w:r>
      <w:r>
        <w:rPr>
          <w:rFonts w:ascii="Arial" w:cs="Arial" w:eastAsia="Arial" w:hAnsi="Arial"/>
          <w:sz w:val="17"/>
          <w:szCs w:val="17"/>
          <w:u w:val="single" w:color="auto"/>
          <w:color w:val="0000FF"/>
        </w:rPr>
        <w:t>Amendment No. 4</w:t>
      </w:r>
      <w:r>
        <w:rPr>
          <w:rFonts w:ascii="Arial" w:cs="Arial" w:eastAsia="Arial" w:hAnsi="Arial"/>
          <w:sz w:val="17"/>
          <w:szCs w:val="17"/>
          <w:color w:val="FF0000"/>
        </w:rPr>
        <w:t xml:space="preserve"> </w:t>
      </w:r>
      <w:r>
        <w:rPr>
          <w:rFonts w:ascii="Arial" w:cs="Arial" w:eastAsia="Arial" w:hAnsi="Arial"/>
          <w:sz w:val="17"/>
          <w:szCs w:val="17"/>
          <w:color w:val="000000"/>
        </w:rPr>
        <w:t>Effective Date (after giving effect to the Transactions), no</w:t>
      </w:r>
      <w:r>
        <w:rPr>
          <w:rFonts w:ascii="Arial" w:cs="Arial" w:eastAsia="Arial" w:hAnsi="Arial"/>
          <w:sz w:val="17"/>
          <w:szCs w:val="17"/>
          <w:color w:val="FF0000"/>
        </w:rPr>
        <w:t xml:space="preserve"> </w:t>
      </w:r>
      <w:r>
        <w:rPr>
          <w:rFonts w:ascii="Arial" w:cs="Arial" w:eastAsia="Arial" w:hAnsi="Arial"/>
          <w:sz w:val="17"/>
          <w:szCs w:val="17"/>
          <w:color w:val="000000"/>
        </w:rPr>
        <w:t xml:space="preserve">Loan Party has any direct or indirect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other than those specifically disclosed in Schedule 5.11, and all of the outstanding Equity Interests owned by the Loan Parties (or a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Subsidiary of any Loan Party) in such Subsidiaries have been validly issued and are fully paid and (if applicable) non-assessable and all Equity Interests owned by a Loan Party (or a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Subsidiary of any Loan Party) in such Subsidiaries are owned free and clear of all Liens except (a) those created under the Collateral Documents or under the </w:t>
      </w:r>
      <w:r>
        <w:rPr>
          <w:rFonts w:ascii="Arial" w:cs="Arial" w:eastAsia="Arial" w:hAnsi="Arial"/>
          <w:sz w:val="17"/>
          <w:szCs w:val="17"/>
          <w:u w:val="single" w:color="auto"/>
          <w:color w:val="0000FF"/>
        </w:rPr>
        <w:t>Prepetition</w:t>
      </w:r>
      <w:r>
        <w:rPr>
          <w:rFonts w:ascii="Arial" w:cs="Arial" w:eastAsia="Arial" w:hAnsi="Arial"/>
          <w:sz w:val="17"/>
          <w:szCs w:val="17"/>
          <w:color w:val="000000"/>
        </w:rPr>
        <w:t xml:space="preserve"> ABL Facility Documentation, the </w:t>
      </w:r>
      <w:r>
        <w:rPr>
          <w:rFonts w:ascii="Arial" w:cs="Arial" w:eastAsia="Arial" w:hAnsi="Arial"/>
          <w:sz w:val="17"/>
          <w:szCs w:val="17"/>
          <w:u w:val="single" w:color="auto"/>
          <w:color w:val="0000FF"/>
        </w:rPr>
        <w:t>Prepetition</w:t>
      </w:r>
      <w:r>
        <w:rPr>
          <w:rFonts w:ascii="Arial" w:cs="Arial" w:eastAsia="Arial" w:hAnsi="Arial"/>
          <w:sz w:val="17"/>
          <w:szCs w:val="17"/>
          <w:color w:val="0000FF"/>
        </w:rPr>
        <w:t xml:space="preserve"> </w:t>
      </w:r>
      <w:r>
        <w:rPr>
          <w:rFonts w:ascii="Arial" w:cs="Arial" w:eastAsia="Arial" w:hAnsi="Arial"/>
          <w:sz w:val="17"/>
          <w:szCs w:val="17"/>
          <w:color w:val="000000"/>
        </w:rPr>
        <w:t>UST Tranche A Facility Documentation</w:t>
      </w:r>
      <w:r>
        <w:rPr>
          <w:rFonts w:ascii="Arial" w:cs="Arial" w:eastAsia="Arial" w:hAnsi="Arial"/>
          <w:sz w:val="17"/>
          <w:szCs w:val="17"/>
          <w:color w:val="0000FF"/>
        </w:rPr>
        <w:t xml:space="preserve">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Prepetition</w:t>
      </w:r>
      <w:r>
        <w:rPr>
          <w:rFonts w:ascii="Arial" w:cs="Arial" w:eastAsia="Arial" w:hAnsi="Arial"/>
          <w:sz w:val="17"/>
          <w:szCs w:val="17"/>
          <w:color w:val="0000FF"/>
        </w:rPr>
        <w:t xml:space="preserve"> </w:t>
      </w:r>
      <w:r>
        <w:rPr>
          <w:rFonts w:ascii="Arial" w:cs="Arial" w:eastAsia="Arial" w:hAnsi="Arial"/>
          <w:sz w:val="17"/>
          <w:szCs w:val="17"/>
          <w:color w:val="000000"/>
        </w:rPr>
        <w:t>UST Tranche B Facility Documentation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 the Junior DIP Loan Documents</w:t>
      </w:r>
      <w:r>
        <w:rPr>
          <w:rFonts w:ascii="Arial" w:cs="Arial" w:eastAsia="Arial" w:hAnsi="Arial"/>
          <w:sz w:val="17"/>
          <w:szCs w:val="17"/>
          <w:color w:val="0000FF"/>
        </w:rPr>
        <w:t xml:space="preserve"> </w:t>
      </w:r>
      <w:r>
        <w:rPr>
          <w:rFonts w:ascii="Arial" w:cs="Arial" w:eastAsia="Arial" w:hAnsi="Arial"/>
          <w:sz w:val="17"/>
          <w:szCs w:val="17"/>
          <w:color w:val="000000"/>
        </w:rPr>
        <w:t xml:space="preserve">(which Liens shall be subject to the </w:t>
      </w:r>
      <w:r>
        <w:rPr>
          <w:rFonts w:ascii="Arial" w:cs="Arial" w:eastAsia="Arial" w:hAnsi="Arial"/>
          <w:sz w:val="17"/>
          <w:szCs w:val="17"/>
          <w:u w:val="single" w:color="auto"/>
          <w:color w:val="0000FF"/>
        </w:rPr>
        <w:t>Prepetition</w:t>
      </w:r>
      <w:r>
        <w:rPr>
          <w:rFonts w:ascii="Arial" w:cs="Arial" w:eastAsia="Arial" w:hAnsi="Arial"/>
          <w:sz w:val="17"/>
          <w:szCs w:val="17"/>
          <w:color w:val="000000"/>
        </w:rPr>
        <w:t xml:space="preserve"> ABL Intercreditor Agreement</w:t>
      </w:r>
      <w:r>
        <w:rPr>
          <w:rFonts w:ascii="Arial" w:cs="Arial" w:eastAsia="Arial" w:hAnsi="Arial"/>
          <w:sz w:val="17"/>
          <w:szCs w:val="17"/>
          <w:u w:val="single" w:color="auto"/>
          <w:color w:val="0000FF"/>
        </w:rPr>
        <w:t>, the terms and priorities set forth in the DIP Order and the Senior ICA</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Provisions</w:t>
      </w:r>
      <w:r>
        <w:rPr>
          <w:rFonts w:ascii="Arial" w:cs="Arial" w:eastAsia="Arial" w:hAnsi="Arial"/>
          <w:sz w:val="17"/>
          <w:szCs w:val="17"/>
          <w:color w:val="000000"/>
        </w:rPr>
        <w:t>) and (b) any other Lien that is permitted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granted under the DIP Order or permitted</w:t>
      </w:r>
      <w:r>
        <w:rPr>
          <w:rFonts w:ascii="Arial" w:cs="Arial" w:eastAsia="Arial" w:hAnsi="Arial"/>
          <w:sz w:val="17"/>
          <w:szCs w:val="17"/>
          <w:color w:val="0000FF"/>
        </w:rPr>
        <w:t xml:space="preserve"> </w:t>
      </w:r>
      <w:r>
        <w:rPr>
          <w:rFonts w:ascii="Arial" w:cs="Arial" w:eastAsia="Arial" w:hAnsi="Arial"/>
          <w:sz w:val="17"/>
          <w:szCs w:val="17"/>
          <w:color w:val="000000"/>
        </w:rPr>
        <w:t>under</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As of the</w:t>
      </w:r>
      <w:r>
        <w:rPr>
          <w:rFonts w:ascii="Arial" w:cs="Arial" w:eastAsia="Arial" w:hAnsi="Arial"/>
          <w:sz w:val="17"/>
          <w:szCs w:val="17"/>
          <w:color w:val="0000FF"/>
        </w:rPr>
        <w:t xml:space="preserve"> </w:t>
      </w:r>
      <w:r>
        <w:rPr>
          <w:rFonts w:ascii="Arial" w:cs="Arial" w:eastAsia="Arial" w:hAnsi="Arial"/>
          <w:sz w:val="17"/>
          <w:szCs w:val="17"/>
          <w:color w:val="FF0000"/>
          <w:strike w:val="1"/>
        </w:rPr>
        <w:t>Restatement</w:t>
      </w:r>
      <w:r>
        <w:rPr>
          <w:rFonts w:ascii="Arial" w:cs="Arial" w:eastAsia="Arial" w:hAnsi="Arial"/>
          <w:sz w:val="17"/>
          <w:szCs w:val="17"/>
          <w:u w:val="single" w:color="auto"/>
          <w:color w:val="0000FF"/>
        </w:rPr>
        <w:t>Amendment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No. 4</w:t>
      </w:r>
      <w:r>
        <w:rPr>
          <w:rFonts w:ascii="Arial" w:cs="Arial" w:eastAsia="Arial" w:hAnsi="Arial"/>
          <w:sz w:val="17"/>
          <w:szCs w:val="17"/>
          <w:color w:val="0000FF"/>
        </w:rPr>
        <w:t xml:space="preserve"> </w:t>
      </w:r>
      <w:r>
        <w:rPr>
          <w:rFonts w:ascii="Arial" w:cs="Arial" w:eastAsia="Arial" w:hAnsi="Arial"/>
          <w:sz w:val="17"/>
          <w:szCs w:val="17"/>
          <w:color w:val="000000"/>
        </w:rPr>
        <w:t>Effective Date,</w:t>
      </w:r>
      <w:r>
        <w:rPr>
          <w:rFonts w:ascii="Arial" w:cs="Arial" w:eastAsia="Arial" w:hAnsi="Arial"/>
          <w:sz w:val="17"/>
          <w:szCs w:val="17"/>
          <w:color w:val="0000FF"/>
        </w:rPr>
        <w:t xml:space="preserve"> </w:t>
      </w:r>
      <w:r>
        <w:rPr>
          <w:rFonts w:ascii="Arial" w:cs="Arial" w:eastAsia="Arial" w:hAnsi="Arial"/>
          <w:sz w:val="17"/>
          <w:szCs w:val="17"/>
          <w:color w:val="FF0000"/>
          <w:strike w:val="1"/>
        </w:rPr>
        <w:t>(i) Section 2(c) of the Perfection Certificate sets forth</w:t>
      </w:r>
      <w:r>
        <w:rPr>
          <w:rFonts w:ascii="Arial" w:cs="Arial" w:eastAsia="Arial" w:hAnsi="Arial"/>
          <w:sz w:val="17"/>
          <w:szCs w:val="17"/>
          <w:u w:val="single" w:color="auto"/>
          <w:color w:val="0000FF"/>
        </w:rPr>
        <w:t>Schedule 5.11 sets forth (i)</w:t>
      </w:r>
      <w:r>
        <w:rPr>
          <w:rFonts w:ascii="Arial" w:cs="Arial" w:eastAsia="Arial" w:hAnsi="Arial"/>
          <w:sz w:val="17"/>
          <w:szCs w:val="17"/>
          <w:color w:val="0000FF"/>
        </w:rPr>
        <w:t xml:space="preserve"> </w:t>
      </w:r>
      <w:r>
        <w:rPr>
          <w:rFonts w:ascii="Arial" w:cs="Arial" w:eastAsia="Arial" w:hAnsi="Arial"/>
          <w:sz w:val="17"/>
          <w:szCs w:val="17"/>
          <w:color w:val="000000"/>
        </w:rPr>
        <w:t>the name and jurisdiction of each Loan Party</w:t>
      </w:r>
      <w:r>
        <w:rPr>
          <w:rFonts w:ascii="Arial" w:cs="Arial" w:eastAsia="Arial" w:hAnsi="Arial"/>
          <w:sz w:val="17"/>
          <w:szCs w:val="17"/>
          <w:color w:val="0000FF"/>
        </w:rPr>
        <w:t xml:space="preserve"> </w:t>
      </w:r>
      <w:r>
        <w:rPr>
          <w:rFonts w:ascii="Arial" w:cs="Arial" w:eastAsia="Arial" w:hAnsi="Arial"/>
          <w:sz w:val="17"/>
          <w:szCs w:val="17"/>
          <w:color w:val="000000"/>
        </w:rPr>
        <w:t xml:space="preserve">and (ii) </w:t>
      </w:r>
      <w:r>
        <w:rPr>
          <w:rFonts w:ascii="Arial" w:cs="Arial" w:eastAsia="Arial" w:hAnsi="Arial"/>
          <w:sz w:val="17"/>
          <w:szCs w:val="17"/>
          <w:color w:val="FF0000"/>
          <w:strike w:val="1"/>
        </w:rPr>
        <w:t>Schedule 5 to the Perfection Certificate sets forth</w:t>
      </w:r>
      <w:r>
        <w:rPr>
          <w:rFonts w:ascii="Arial" w:cs="Arial" w:eastAsia="Arial" w:hAnsi="Arial"/>
          <w:sz w:val="17"/>
          <w:szCs w:val="17"/>
          <w:color w:val="000000"/>
        </w:rPr>
        <w:t xml:space="preserve"> the direct ownership interest of the Borrower and any Loan Party thereof in each such Subsidiary, including the percentage of such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-1460500</wp:posOffset>
            </wp:positionV>
            <wp:extent cx="73850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38505"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-1374775</wp:posOffset>
            </wp:positionV>
            <wp:extent cx="71120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-1409065</wp:posOffset>
            </wp:positionV>
            <wp:extent cx="70993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0993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-1374775</wp:posOffset>
            </wp:positionV>
            <wp:extent cx="84899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-826135</wp:posOffset>
            </wp:positionV>
            <wp:extent cx="50546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-688975</wp:posOffset>
            </wp:positionV>
            <wp:extent cx="49720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-688975</wp:posOffset>
            </wp:positionV>
            <wp:extent cx="2603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-688975</wp:posOffset>
            </wp:positionV>
            <wp:extent cx="49720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-688975</wp:posOffset>
            </wp:positionV>
            <wp:extent cx="168021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-551815</wp:posOffset>
            </wp:positionV>
            <wp:extent cx="50546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-551815</wp:posOffset>
            </wp:positionV>
            <wp:extent cx="322326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48006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-414655</wp:posOffset>
            </wp:positionV>
            <wp:extent cx="205740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-414655</wp:posOffset>
            </wp:positionV>
            <wp:extent cx="55753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-277495</wp:posOffset>
            </wp:positionV>
            <wp:extent cx="28257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-311785</wp:posOffset>
            </wp:positionV>
            <wp:extent cx="2857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-277495</wp:posOffset>
            </wp:positionV>
            <wp:extent cx="61722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5.12 </w:t>
      </w:r>
      <w:r>
        <w:rPr>
          <w:rFonts w:ascii="Arial" w:cs="Arial" w:eastAsia="Arial" w:hAnsi="Arial"/>
          <w:sz w:val="18"/>
          <w:szCs w:val="18"/>
          <w:i w:val="1"/>
          <w:iCs w:val="1"/>
          <w:color w:val="auto"/>
        </w:rPr>
        <w:t>Margin Regulations; Investment Company Act</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(a) No Loan Party or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is engaged nor will it engage, principally, or as one of its important activities in the business of purchasing or carrying Margin Stock, or extending credit for the purpose of purchasing or carrying Margin Stock, and no proceeds of any Borrowings will be used, whether directly or indirectly, and whether immediately, incidentally or ultimately, for any purpose that entails a violation of the provisions of the Regulations of the Board, including Regulation T, U or X.</w:t>
      </w:r>
    </w:p>
    <w:p>
      <w:pPr>
        <w:spacing w:after="0" w:line="18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 xml:space="preserve">(b) Neither the Borrower, nor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is or is required to be registered as an “investment company” under the Investment Company Act of 1940.</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Section 5.13 </w:t>
      </w:r>
      <w:r>
        <w:rPr>
          <w:rFonts w:ascii="Arial" w:cs="Arial" w:eastAsia="Arial" w:hAnsi="Arial"/>
          <w:sz w:val="16"/>
          <w:szCs w:val="16"/>
          <w:i w:val="1"/>
          <w:iCs w:val="1"/>
          <w:color w:val="auto"/>
        </w:rPr>
        <w:t>Disclosure.</w:t>
      </w:r>
      <w:r>
        <w:rPr>
          <w:rFonts w:ascii="Arial" w:cs="Arial" w:eastAsia="Arial" w:hAnsi="Arial"/>
          <w:sz w:val="16"/>
          <w:szCs w:val="16"/>
          <w:color w:val="auto"/>
        </w:rPr>
        <w:t xml:space="preserve"> No report, financial statement, certificate or other written information furnished by or on behalf of any Loan Party (other than projected financial information, pro forma financial information, budgets, estimates and information of a general economic or industry nature) to any Agent or any Lender about the Borrower and its Subsidiaries in connection with the transactions contemplated hereby and the negotiation of this Agreement or delivered hereunder or under any other Loan Document (as modified or supplemented by other information so furnished) when taken as a whole contains or will contain any material misstatement of fact or omits or will omit to state any material fact necessary to make the statements therein (when taken as a whole), in the light of the circumstances under which they were or will be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and agreed by the Agents and the Lenders that such projections as to future events (i) are not to be viewed as facts, (ii) are subject to significant uncertainties and contingencies, which may be beyond the control of the Borrower and its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and (iii) are not a guarantee of performance and that actual results during the period or periods covered by any such projections may vary significantly from the projected results and such differences may be material.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40" w:top="274" w:right="479" w:bottom="1440" w:gutter="0" w:footer="0" w:header="0"/>
        </w:sectPr>
      </w:pPr>
    </w:p>
    <w:bookmarkStart w:id="239" w:name="page240"/>
    <w:bookmarkEnd w:id="239"/>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5.14 </w:t>
      </w:r>
      <w:r>
        <w:rPr>
          <w:rFonts w:ascii="Arial" w:cs="Arial" w:eastAsia="Arial" w:hAnsi="Arial"/>
          <w:sz w:val="18"/>
          <w:szCs w:val="18"/>
          <w:i w:val="1"/>
          <w:iCs w:val="1"/>
          <w:color w:val="FF0000"/>
          <w:strike w:val="1"/>
        </w:rPr>
        <w:t>Labor Matters</w:t>
      </w:r>
      <w:r>
        <w:rPr>
          <w:rFonts w:ascii="Arial" w:cs="Arial" w:eastAsia="Arial" w:hAnsi="Arial"/>
          <w:sz w:val="18"/>
          <w:szCs w:val="18"/>
          <w:i w:val="1"/>
          <w:iCs w:val="1"/>
          <w:u w:val="single" w:color="auto"/>
          <w:color w:val="0000FF"/>
        </w:rPr>
        <w:t>ERISA Compliance.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Except as would not, either individually or in the aggregate, reasonably be expected to result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-147955</wp:posOffset>
            </wp:positionV>
            <wp:extent cx="528891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5288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20840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5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u w:val="single" w:color="auto"/>
          <w:color w:val="0000FF"/>
        </w:rPr>
        <w:t>(a)</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Each Plan is in compliance with the applicable provisions of ERISA, the Code and other Federal or state Laws (and the regulations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published interpretations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2048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71450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0000FF"/>
        </w:rPr>
        <w:t>(b)</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Loan Parties, their Subsidiaries and their respective ERISA Affiliates may incur liability for ordinary course contributions to (and make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payments in satisfaction of such liabilities) which are Multiemployer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5226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4544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color w:val="000000"/>
        </w:rPr>
        <w:t xml:space="preserve"> </w:t>
      </w:r>
      <w:r>
        <w:rPr>
          <w:rFonts w:ascii="Arial" w:cs="Arial" w:eastAsia="Arial" w:hAnsi="Arial"/>
          <w:sz w:val="16"/>
          <w:szCs w:val="16"/>
          <w:color w:val="FF0000"/>
          <w:strike w:val="1"/>
        </w:rPr>
        <w:t>Except as, in the aggregate, would not reasonably be expected to result in a Material Adverse Effect: (i) there are no strikes or other labor</w:t>
      </w:r>
      <w:r>
        <w:rPr>
          <w:rFonts w:ascii="Arial" w:cs="Arial" w:eastAsia="Arial" w:hAnsi="Arial"/>
          <w:sz w:val="16"/>
          <w:szCs w:val="16"/>
          <w:color w:val="FF0000"/>
        </w:rPr>
        <w:t xml:space="preserve"> </w:t>
      </w:r>
      <w:r>
        <w:rPr>
          <w:rFonts w:ascii="Arial" w:cs="Arial" w:eastAsia="Arial" w:hAnsi="Arial"/>
          <w:sz w:val="16"/>
          <w:szCs w:val="16"/>
          <w:color w:val="FF0000"/>
          <w:strike w:val="1"/>
        </w:rPr>
        <w:t>disputes against the Borrower or any of its Restricted Subsidiaries pending or, to the knowledge of the Borrower, threatened in writing; (ii) hours worked by and payment made to employees of the Borrower or any of its Restricted Subsidiaries have not been in violation of the Fair Labor Standards Act or any other applicable Law dealing with such matters; and (iii) all payments due from the Borrower or any of its Restricted Subsidiaries on account of employee health and welfare insurance have been paid or accrued as a liability on the books of the relevant party. Except as disclosed on Schedule 5.14, as of the Restatement Effective Date no Loan Party is a party to or bound by any collective bargaining agreement or, with respect to any Foreign Subsidiary, any similar agreement. To the knowledge of any Loan Party, the consummation of the transactions contemplated by the Loan Documents will not give rise to any right of termination or right of renegotiation on the part of any union under any collective bargaining agreement to which any Loan Party is bound to the extent that such would be reasonably expected to result in a Material Adverse Effect.</w:t>
      </w:r>
    </w:p>
    <w:p>
      <w:pPr>
        <w:spacing w:after="0" w:line="166"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0000"/>
        </w:rPr>
        <w:t xml:space="preserve"> </w:t>
      </w:r>
      <w:r>
        <w:rPr>
          <w:rFonts w:ascii="Arial" w:cs="Arial" w:eastAsia="Arial" w:hAnsi="Arial"/>
          <w:sz w:val="17"/>
          <w:szCs w:val="17"/>
          <w:color w:val="FF0000"/>
          <w:strike w:val="1"/>
        </w:rPr>
        <w:t>(i) The IBT Agreement is in full force and effect and (ii) other than as contemplated by the IBT Transactions, the IBT Agreement has not</w:t>
      </w:r>
      <w:r>
        <w:rPr>
          <w:rFonts w:ascii="Arial" w:cs="Arial" w:eastAsia="Arial" w:hAnsi="Arial"/>
          <w:sz w:val="17"/>
          <w:szCs w:val="17"/>
          <w:color w:val="FF0000"/>
        </w:rPr>
        <w:t xml:space="preserve"> </w:t>
      </w:r>
      <w:r>
        <w:rPr>
          <w:rFonts w:ascii="Arial" w:cs="Arial" w:eastAsia="Arial" w:hAnsi="Arial"/>
          <w:sz w:val="17"/>
          <w:szCs w:val="17"/>
          <w:color w:val="FF0000"/>
          <w:strike w:val="1"/>
        </w:rPr>
        <w:t>been amended, waived or otherwise modified in any respect materially adverse to the Borrower and its Subsidiaries (taken as a whole). For purposes of this Section 5.14(b), it is understood that the resolution in the ordinary course of business of an employee grievance seeking to enforce the IBT Agreement terms will not be deemed to constitute an amendment, waiver or other modification to the IBT Agreement.</w:t>
      </w:r>
    </w:p>
    <w:p>
      <w:pPr>
        <w:spacing w:after="0" w:line="17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Section 5.15 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Upon entry of the Chapter 11 Orders (and in the case of the Canadian Collateral, the DIP Order and the Canadian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Orders)</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w:t>
      </w:r>
      <w:r>
        <w:rPr>
          <w:rFonts w:ascii="Arial" w:cs="Arial" w:eastAsia="Arial" w:hAnsi="Arial"/>
          <w:sz w:val="16"/>
          <w:szCs w:val="16"/>
          <w:color w:val="FF0000"/>
          <w:strike w:val="1"/>
        </w:rPr>
        <w:t>e</w:t>
      </w:r>
      <w:r>
        <w:rPr>
          <w:rFonts w:ascii="Arial" w:cs="Arial" w:eastAsia="Arial" w:hAnsi="Arial"/>
          <w:sz w:val="16"/>
          <w:szCs w:val="16"/>
          <w:color w:val="000000"/>
        </w:rPr>
        <w:t>ach of the Borrower and its Subsidiaries maintains, with financially sound and reputable insurance companies, insurance in such amounts</w:t>
      </w:r>
      <w:r>
        <w:rPr>
          <w:rFonts w:ascii="Arial" w:cs="Arial" w:eastAsia="Arial" w:hAnsi="Arial"/>
          <w:sz w:val="16"/>
          <w:szCs w:val="16"/>
          <w:color w:val="0000FF"/>
        </w:rPr>
        <w:t xml:space="preserve"> </w:t>
      </w:r>
      <w:r>
        <w:rPr>
          <w:rFonts w:ascii="Arial" w:cs="Arial" w:eastAsia="Arial" w:hAnsi="Arial"/>
          <w:sz w:val="16"/>
          <w:szCs w:val="16"/>
          <w:color w:val="000000"/>
        </w:rPr>
        <w:t xml:space="preserve">and against such risks as are customarily maintained by companies engaged in the same or similar businesses operating in the same or similar locations; </w:t>
      </w:r>
      <w:r>
        <w:rPr>
          <w:rFonts w:ascii="Arial" w:cs="Arial" w:eastAsia="Arial" w:hAnsi="Arial"/>
          <w:sz w:val="16"/>
          <w:szCs w:val="16"/>
          <w:i w:val="1"/>
          <w:iCs w:val="1"/>
          <w:color w:val="000000"/>
        </w:rPr>
        <w:t>provided</w:t>
      </w:r>
      <w:r>
        <w:rPr>
          <w:rFonts w:ascii="Arial" w:cs="Arial" w:eastAsia="Arial" w:hAnsi="Arial"/>
          <w:sz w:val="16"/>
          <w:szCs w:val="16"/>
          <w:color w:val="000000"/>
        </w:rPr>
        <w:t>, that each of the Borrower and its Subsidiaries may self-insure to the same extent as other companies engaged in similar businesses and owning</w:t>
      </w:r>
      <w:r>
        <w:rPr>
          <w:rFonts w:ascii="Arial" w:cs="Arial" w:eastAsia="Arial" w:hAnsi="Arial"/>
          <w:sz w:val="16"/>
          <w:szCs w:val="16"/>
          <w:i w:val="1"/>
          <w:iCs w:val="1"/>
          <w:color w:val="000000"/>
        </w:rPr>
        <w:t xml:space="preserve"> </w:t>
      </w:r>
      <w:r>
        <w:rPr>
          <w:rFonts w:ascii="Arial" w:cs="Arial" w:eastAsia="Arial" w:hAnsi="Arial"/>
          <w:sz w:val="16"/>
          <w:szCs w:val="16"/>
          <w:color w:val="000000"/>
        </w:rPr>
        <w:t>similar properties in the same general areas in which the Borrower or each such Subsidiary, as applicable,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-565150</wp:posOffset>
            </wp:positionV>
            <wp:extent cx="516890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5168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48006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4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5.16 </w:t>
      </w:r>
      <w:r>
        <w:rPr>
          <w:rFonts w:ascii="Arial" w:cs="Arial" w:eastAsia="Arial" w:hAnsi="Arial"/>
          <w:sz w:val="18"/>
          <w:szCs w:val="18"/>
          <w:i w:val="1"/>
          <w:iCs w:val="1"/>
          <w:color w:val="FF0000"/>
          <w:strike w:val="1"/>
        </w:rPr>
        <w:t>Solvency</w:t>
      </w:r>
      <w:r>
        <w:rPr>
          <w:rFonts w:ascii="Arial" w:cs="Arial" w:eastAsia="Arial" w:hAnsi="Arial"/>
          <w:sz w:val="18"/>
          <w:szCs w:val="18"/>
          <w:i w:val="1"/>
          <w:iCs w:val="1"/>
          <w:u w:val="single" w:color="auto"/>
          <w:color w:val="0000FF"/>
        </w:rPr>
        <w:t>[Reserved]</w:t>
      </w:r>
      <w:r>
        <w:rPr>
          <w:rFonts w:ascii="Arial" w:cs="Arial" w:eastAsia="Arial" w:hAnsi="Arial"/>
          <w:sz w:val="18"/>
          <w:szCs w:val="18"/>
          <w:color w:val="FF0000"/>
          <w:strike w:val="1"/>
        </w:rPr>
        <w:t>. Immediately after giving effect to the consummation of the Transactions to occur on the Restatement Effective</w:t>
      </w:r>
      <w:r>
        <w:rPr>
          <w:rFonts w:ascii="Arial" w:cs="Arial" w:eastAsia="Arial" w:hAnsi="Arial"/>
          <w:sz w:val="18"/>
          <w:szCs w:val="18"/>
          <w:color w:val="auto"/>
        </w:rPr>
        <w:t xml:space="preserve"> </w:t>
      </w:r>
      <w:r>
        <w:rPr>
          <w:rFonts w:ascii="Arial" w:cs="Arial" w:eastAsia="Arial" w:hAnsi="Arial"/>
          <w:sz w:val="18"/>
          <w:szCs w:val="18"/>
          <w:color w:val="FF0000"/>
          <w:strike w:val="1"/>
        </w:rPr>
        <w:t>Date, including the making of the Loans under this Agreement, and immediately after giving effect to the application of the proceeds of such Loans, on the Restatement Effective Date (a) the fair value of the assets of the Borrower and its Subsidiaries, on a consolidated basis (on a going concern basis), exceeds, on a consolidated basis, their debts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-412115</wp:posOffset>
            </wp:positionV>
            <wp:extent cx="50546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440" w:top="274" w:right="439" w:bottom="1440" w:gutter="0" w:footer="0" w:header="0"/>
        </w:sectPr>
      </w:pPr>
    </w:p>
    <w:bookmarkStart w:id="240" w:name="page241"/>
    <w:bookmarkEnd w:id="240"/>
    <w:p>
      <w:pPr>
        <w:ind w:left="4" w:right="20"/>
        <w:spacing w:after="0" w:line="291"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 (c) the Borrower and its Subsidiaries, on a consolidated basis, are able to pay their debts and liabilities, subordinated, contingent or otherwise, as such liabilities become absolute and matured; and (d) the Borrower and its Subsidiaries, on a consolidated basis, are not engaged in, and are not about to engage in, business for which they have unreasonably small capital. For purposes of this Section 5.16, the amount of any contingent liability at any time shall be computed as the amount that would reasonably be expected to become an actual and matured liability in the ordinary course of business.</w:t>
      </w:r>
    </w:p>
    <w:p>
      <w:pPr>
        <w:spacing w:after="0" w:line="166" w:lineRule="exact"/>
        <w:rPr>
          <w:sz w:val="20"/>
          <w:szCs w:val="20"/>
          <w:color w:val="auto"/>
        </w:rPr>
      </w:pPr>
    </w:p>
    <w:p>
      <w:pPr>
        <w:jc w:val="both"/>
        <w:ind w:left="4" w:right="60" w:firstLine="991"/>
        <w:spacing w:after="0" w:line="287" w:lineRule="auto"/>
        <w:rPr>
          <w:sz w:val="20"/>
          <w:szCs w:val="20"/>
          <w:color w:val="auto"/>
        </w:rPr>
      </w:pPr>
      <w:r>
        <w:rPr>
          <w:rFonts w:ascii="Arial" w:cs="Arial" w:eastAsia="Arial" w:hAnsi="Arial"/>
          <w:sz w:val="16"/>
          <w:szCs w:val="16"/>
          <w:color w:val="auto"/>
        </w:rPr>
        <w:t>Section 5.17 </w:t>
      </w:r>
      <w:r>
        <w:rPr>
          <w:rFonts w:ascii="Arial" w:cs="Arial" w:eastAsia="Arial" w:hAnsi="Arial"/>
          <w:sz w:val="16"/>
          <w:szCs w:val="16"/>
          <w:i w:val="1"/>
          <w:iCs w:val="1"/>
          <w:color w:val="auto"/>
        </w:rPr>
        <w:t>No Other Borrowed Money Indebtedness.</w:t>
      </w:r>
      <w:r>
        <w:rPr>
          <w:rFonts w:ascii="Arial" w:cs="Arial" w:eastAsia="Arial" w:hAnsi="Arial"/>
          <w:sz w:val="16"/>
          <w:szCs w:val="16"/>
          <w:color w:val="auto"/>
        </w:rPr>
        <w:t xml:space="preserve"> Immediately after giving effect to the consummation of the Transactions to occur on the </w:t>
      </w:r>
      <w:r>
        <w:rPr>
          <w:rFonts w:ascii="Arial" w:cs="Arial" w:eastAsia="Arial" w:hAnsi="Arial"/>
          <w:sz w:val="16"/>
          <w:szCs w:val="16"/>
          <w:color w:val="FF0000"/>
          <w:strike w:val="1"/>
        </w:rPr>
        <w:t>Restatement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 No. 4</w:t>
      </w:r>
      <w:r>
        <w:rPr>
          <w:rFonts w:ascii="Arial" w:cs="Arial" w:eastAsia="Arial" w:hAnsi="Arial"/>
          <w:sz w:val="16"/>
          <w:szCs w:val="16"/>
          <w:color w:val="auto"/>
        </w:rPr>
        <w:t xml:space="preserve"> Effective Date the Borrower and its Subsidiaries shall have </w:t>
      </w:r>
      <w:r>
        <w:rPr>
          <w:rFonts w:ascii="Arial" w:cs="Arial" w:eastAsia="Arial" w:hAnsi="Arial"/>
          <w:sz w:val="16"/>
          <w:szCs w:val="16"/>
          <w:u w:val="single" w:color="auto"/>
          <w:color w:val="0000FF"/>
        </w:rPr>
        <w:t>no</w:t>
      </w:r>
      <w:r>
        <w:rPr>
          <w:rFonts w:ascii="Arial" w:cs="Arial" w:eastAsia="Arial" w:hAnsi="Arial"/>
          <w:sz w:val="16"/>
          <w:szCs w:val="16"/>
          <w:color w:val="auto"/>
        </w:rPr>
        <w:t xml:space="preserve"> outstanding </w:t>
      </w:r>
      <w:r>
        <w:rPr>
          <w:rFonts w:ascii="Arial" w:cs="Arial" w:eastAsia="Arial" w:hAnsi="Arial"/>
          <w:sz w:val="16"/>
          <w:szCs w:val="16"/>
          <w:color w:val="FF0000"/>
          <w:strike w:val="1"/>
        </w:rPr>
        <w:t>no</w:t>
      </w:r>
      <w:r>
        <w:rPr>
          <w:rFonts w:ascii="Arial" w:cs="Arial" w:eastAsia="Arial" w:hAnsi="Arial"/>
          <w:sz w:val="16"/>
          <w:szCs w:val="16"/>
          <w:color w:val="auto"/>
        </w:rPr>
        <w:t xml:space="preserve"> Indebtedness for borrowed money other than (a) Indebtedness outstanding under this Agreement</w:t>
      </w:r>
      <w:r>
        <w:rPr>
          <w:rFonts w:ascii="Arial" w:cs="Arial" w:eastAsia="Arial" w:hAnsi="Arial"/>
          <w:sz w:val="16"/>
          <w:szCs w:val="16"/>
          <w:color w:val="FF0000"/>
          <w:strike w:val="1"/>
        </w:rPr>
        <w:t>, (b) the ABL Facility Indebtedness, (c) Indebtedness set forth on Schedule 7.03(b)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-126365</wp:posOffset>
            </wp:positionV>
            <wp:extent cx="84836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-126365</wp:posOffset>
            </wp:positionV>
            <wp:extent cx="11176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264" w:hanging="264"/>
        <w:spacing w:after="0"/>
        <w:tabs>
          <w:tab w:leader="none" w:pos="264" w:val="left"/>
        </w:tabs>
        <w:numPr>
          <w:ilvl w:val="0"/>
          <w:numId w:val="157"/>
        </w:numPr>
        <w:rPr>
          <w:rFonts w:ascii="Arial" w:cs="Arial" w:eastAsia="Arial" w:hAnsi="Arial"/>
          <w:sz w:val="18"/>
          <w:szCs w:val="18"/>
          <w:color w:val="FF0000"/>
          <w:strike w:val="1"/>
        </w:rPr>
      </w:pPr>
      <w:r>
        <w:rPr>
          <w:rFonts w:ascii="Arial" w:cs="Arial" w:eastAsia="Arial" w:hAnsi="Arial"/>
          <w:sz w:val="18"/>
          <w:szCs w:val="18"/>
          <w:u w:val="single" w:color="auto"/>
          <w:color w:val="0000FF"/>
        </w:rPr>
        <w:t>and the Prepetition Indebtedness and (b)</w:t>
      </w:r>
      <w:r>
        <w:rPr>
          <w:rFonts w:ascii="Arial" w:cs="Arial" w:eastAsia="Arial" w:hAnsi="Arial"/>
          <w:sz w:val="18"/>
          <w:szCs w:val="18"/>
          <w:color w:val="0000FF"/>
        </w:rPr>
        <w:t xml:space="preserve"> </w:t>
      </w:r>
      <w:r>
        <w:rPr>
          <w:rFonts w:ascii="Arial" w:cs="Arial" w:eastAsia="Arial" w:hAnsi="Arial"/>
          <w:sz w:val="18"/>
          <w:szCs w:val="18"/>
          <w:color w:val="000000"/>
        </w:rPr>
        <w:t>Indebtedness permitted pursuant to Section 7.03</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of the Junior DIP Credit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14605</wp:posOffset>
            </wp:positionV>
            <wp:extent cx="184277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842770" cy="889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14605</wp:posOffset>
            </wp:positionV>
            <wp:extent cx="164592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Section 5.18 </w:t>
      </w:r>
      <w:r>
        <w:rPr>
          <w:rFonts w:ascii="Arial" w:cs="Arial" w:eastAsia="Arial" w:hAnsi="Arial"/>
          <w:sz w:val="18"/>
          <w:szCs w:val="18"/>
          <w:i w:val="1"/>
          <w:iCs w:val="1"/>
          <w:color w:val="auto"/>
        </w:rPr>
        <w:t>Collateral Documents</w:t>
      </w:r>
      <w:r>
        <w:rPr>
          <w:rFonts w:ascii="Arial" w:cs="Arial" w:eastAsia="Arial" w:hAnsi="Arial"/>
          <w:sz w:val="18"/>
          <w:szCs w:val="18"/>
          <w:color w:val="FF0000"/>
          <w:strike w:val="1"/>
        </w:rPr>
        <w:t>.</w:t>
      </w:r>
    </w:p>
    <w:p>
      <w:pPr>
        <w:spacing w:after="0" w:line="225"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FF0000"/>
          <w:strike w:val="1"/>
        </w:rPr>
        <w:t xml:space="preserve">(a) </w:t>
      </w:r>
      <w:r>
        <w:rPr>
          <w:rFonts w:ascii="Arial" w:cs="Arial" w:eastAsia="Arial" w:hAnsi="Arial"/>
          <w:sz w:val="16"/>
          <w:szCs w:val="16"/>
          <w:i w:val="1"/>
          <w:iCs w:val="1"/>
          <w:color w:val="FF0000"/>
          <w:strike w:val="1"/>
        </w:rPr>
        <w:t>Valid Liens</w:t>
      </w:r>
      <w:r>
        <w:rPr>
          <w:rFonts w:ascii="Arial" w:cs="Arial" w:eastAsia="Arial" w:hAnsi="Arial"/>
          <w:sz w:val="16"/>
          <w:szCs w:val="16"/>
          <w:color w:val="FF0000"/>
          <w:strike w:val="1"/>
        </w:rPr>
        <w:t>. The</w:t>
      </w:r>
      <w:r>
        <w:rPr>
          <w:rFonts w:ascii="Arial" w:cs="Arial" w:eastAsia="Arial" w:hAnsi="Arial"/>
          <w:sz w:val="16"/>
          <w:szCs w:val="16"/>
          <w:u w:val="single" w:color="auto"/>
          <w:color w:val="0000FF"/>
        </w:rPr>
        <w:t>. The DIP Order (and in the case of the Canadian Collateral, the DIP Order and the Canadian Orders) and the</w:t>
      </w:r>
      <w:r>
        <w:rPr>
          <w:rFonts w:ascii="Arial" w:cs="Arial" w:eastAsia="Arial" w:hAnsi="Arial"/>
          <w:sz w:val="16"/>
          <w:szCs w:val="16"/>
          <w:color w:val="FF0000"/>
        </w:rPr>
        <w:t xml:space="preserve"> </w:t>
      </w:r>
      <w:r>
        <w:rPr>
          <w:rFonts w:ascii="Arial" w:cs="Arial" w:eastAsia="Arial" w:hAnsi="Arial"/>
          <w:sz w:val="16"/>
          <w:szCs w:val="16"/>
          <w:color w:val="000000"/>
        </w:rPr>
        <w:t>Collateral Documents</w:t>
      </w:r>
      <w:r>
        <w:rPr>
          <w:rFonts w:ascii="Arial" w:cs="Arial" w:eastAsia="Arial" w:hAnsi="Arial"/>
          <w:sz w:val="16"/>
          <w:szCs w:val="16"/>
          <w:color w:val="FF0000"/>
        </w:rPr>
        <w:t xml:space="preserve"> </w:t>
      </w:r>
      <w:r>
        <w:rPr>
          <w:rFonts w:ascii="Arial" w:cs="Arial" w:eastAsia="Arial" w:hAnsi="Arial"/>
          <w:sz w:val="16"/>
          <w:szCs w:val="16"/>
          <w:color w:val="FF0000"/>
          <w:strike w:val="1"/>
        </w:rPr>
        <w:t>are</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FF0000"/>
          <w:strike w:val="1"/>
        </w:rPr>
        <w:t>or</w:t>
      </w:r>
      <w:r>
        <w:rPr>
          <w:rFonts w:ascii="Arial" w:cs="Arial" w:eastAsia="Arial" w:hAnsi="Arial"/>
          <w:sz w:val="16"/>
          <w:szCs w:val="16"/>
          <w:color w:val="FF0000"/>
        </w:rPr>
        <w:t xml:space="preserve"> </w:t>
      </w:r>
      <w:r>
        <w:rPr>
          <w:rFonts w:ascii="Arial" w:cs="Arial" w:eastAsia="Arial" w:hAnsi="Arial"/>
          <w:sz w:val="16"/>
          <w:szCs w:val="16"/>
          <w:color w:val="000000"/>
        </w:rPr>
        <w:t>on execution and delivery thereof by the parties thereto</w:t>
      </w:r>
      <w:r>
        <w:rPr>
          <w:rFonts w:ascii="Arial" w:cs="Arial" w:eastAsia="Arial" w:hAnsi="Arial"/>
          <w:sz w:val="16"/>
          <w:szCs w:val="16"/>
          <w:color w:val="FF0000"/>
        </w:rPr>
        <w:t xml:space="preserve"> will be,</w:t>
      </w:r>
      <w:r>
        <w:rPr>
          <w:rFonts w:ascii="Arial" w:cs="Arial" w:eastAsia="Arial" w:hAnsi="Arial"/>
          <w:sz w:val="16"/>
          <w:szCs w:val="16"/>
          <w:u w:val="single" w:color="auto"/>
          <w:color w:val="0000FF"/>
        </w:rPr>
        <w:t>, are</w:t>
      </w:r>
      <w:r>
        <w:rPr>
          <w:rFonts w:ascii="Arial" w:cs="Arial" w:eastAsia="Arial" w:hAnsi="Arial"/>
          <w:sz w:val="16"/>
          <w:szCs w:val="16"/>
          <w:color w:val="FF0000"/>
        </w:rPr>
        <w:t xml:space="preserve"> </w:t>
      </w:r>
      <w:r>
        <w:rPr>
          <w:rFonts w:ascii="Arial" w:cs="Arial" w:eastAsia="Arial" w:hAnsi="Arial"/>
          <w:sz w:val="16"/>
          <w:szCs w:val="16"/>
          <w:color w:val="000000"/>
        </w:rPr>
        <w:t>effective to create in favor of the Collateral Agent for the benefit of the</w:t>
      </w:r>
      <w:r>
        <w:rPr>
          <w:rFonts w:ascii="Arial" w:cs="Arial" w:eastAsia="Arial" w:hAnsi="Arial"/>
          <w:sz w:val="16"/>
          <w:szCs w:val="16"/>
          <w:color w:val="FF0000"/>
        </w:rPr>
        <w:t xml:space="preserve"> </w:t>
      </w:r>
      <w:r>
        <w:rPr>
          <w:rFonts w:ascii="Arial" w:cs="Arial" w:eastAsia="Arial" w:hAnsi="Arial"/>
          <w:sz w:val="16"/>
          <w:szCs w:val="16"/>
          <w:color w:val="000000"/>
        </w:rPr>
        <w:t>Secured Parties, legal, valid and enforceable Liens on, and security interests in, the Collateral described therein to the extent intended to be create</w:t>
      </w:r>
      <w:r>
        <w:rPr>
          <w:rFonts w:ascii="Arial" w:cs="Arial" w:eastAsia="Arial" w:hAnsi="Arial"/>
          <w:sz w:val="16"/>
          <w:szCs w:val="16"/>
          <w:color w:val="FF0000"/>
          <w:strike w:val="1"/>
        </w:rPr>
        <w:t>d</w:t>
      </w:r>
      <w:r>
        <w:rPr>
          <w:rFonts w:ascii="Arial" w:cs="Arial" w:eastAsia="Arial" w:hAnsi="Arial"/>
          <w:sz w:val="16"/>
          <w:szCs w:val="16"/>
          <w:color w:val="000000"/>
        </w:rPr>
        <w:t xml:space="preserve"> </w:t>
      </w:r>
      <w:r>
        <w:rPr>
          <w:rFonts w:ascii="Arial" w:cs="Arial" w:eastAsia="Arial" w:hAnsi="Arial"/>
          <w:sz w:val="16"/>
          <w:szCs w:val="16"/>
          <w:color w:val="FF0000"/>
          <w:strike w:val="1"/>
        </w:rPr>
        <w:t>thereby, except as the enforceability thereof may be limited by bankruptcy, insolvency or similar laws affecting creditors’ rights generally and subject to general principles of equity and (i) when financing statements and other filings in appropriate form are filed in the offices specified in Section 2 of the Perfection Certificate (and payments of all fees)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and (iii) upon the notating of the Lien of the Collateral Agent on all certificates of title in respect of any Collateral,</w:t>
      </w:r>
      <w:r>
        <w:rPr>
          <w:rFonts w:ascii="Arial" w:cs="Arial" w:eastAsia="Arial" w:hAnsi="Arial"/>
          <w:sz w:val="16"/>
          <w:szCs w:val="16"/>
          <w:u w:val="single" w:color="auto"/>
          <w:color w:val="0000FF"/>
          <w:strike w:val="1"/>
        </w:rPr>
        <w:t>and</w:t>
      </w:r>
      <w:r>
        <w:rPr>
          <w:rFonts w:ascii="Arial" w:cs="Arial" w:eastAsia="Arial" w:hAnsi="Arial"/>
          <w:sz w:val="16"/>
          <w:szCs w:val="16"/>
          <w:color w:val="FF0000"/>
          <w:strike w:val="1"/>
        </w:rPr>
        <w:t xml:space="preserve"> the Liens created by the </w:t>
      </w:r>
      <w:r>
        <w:rPr>
          <w:rFonts w:ascii="Arial" w:cs="Arial" w:eastAsia="Arial" w:hAnsi="Arial"/>
          <w:sz w:val="16"/>
          <w:szCs w:val="16"/>
          <w:u w:val="single" w:color="auto"/>
          <w:color w:val="0000FF"/>
          <w:strike w:val="1"/>
        </w:rPr>
        <w:t>DIP Order and the</w:t>
      </w:r>
      <w:r>
        <w:rPr>
          <w:rFonts w:ascii="Arial" w:cs="Arial" w:eastAsia="Arial" w:hAnsi="Arial"/>
          <w:sz w:val="16"/>
          <w:szCs w:val="16"/>
          <w:color w:val="FF0000"/>
          <w:strike w:val="1"/>
        </w:rPr>
        <w:t xml:space="preserve"> Collateral Documents (other than the Mortgages) shall constitute fully perfected Liens on, and security interests in, </w:t>
      </w:r>
      <w:r>
        <w:rPr>
          <w:rFonts w:ascii="Arial" w:cs="Arial" w:eastAsia="Arial" w:hAnsi="Arial"/>
          <w:sz w:val="16"/>
          <w:szCs w:val="16"/>
          <w:u w:val="single" w:color="auto"/>
          <w:color w:val="0000FF"/>
          <w:strike w:val="1"/>
        </w:rPr>
        <w:t>in each case, to the extent available under the Chapter 11 Cases,</w:t>
      </w:r>
      <w:r>
        <w:rPr>
          <w:rFonts w:ascii="Arial" w:cs="Arial" w:eastAsia="Arial" w:hAnsi="Arial"/>
          <w:sz w:val="16"/>
          <w:szCs w:val="16"/>
          <w:color w:val="FF0000"/>
          <w:strike w:val="1"/>
        </w:rPr>
        <w:t xml:space="preserve"> all right, title and interest of the grantors</w:t>
      </w:r>
      <w:r>
        <w:rPr>
          <w:rFonts w:ascii="Arial" w:cs="Arial" w:eastAsia="Arial" w:hAnsi="Arial"/>
          <w:sz w:val="16"/>
          <w:szCs w:val="16"/>
          <w:u w:val="single" w:color="auto"/>
          <w:color w:val="0000FF"/>
          <w:strike w:val="1"/>
        </w:rPr>
        <w:t>Loan Parties</w:t>
      </w:r>
      <w:r>
        <w:rPr>
          <w:rFonts w:ascii="Arial" w:cs="Arial" w:eastAsia="Arial" w:hAnsi="Arial"/>
          <w:sz w:val="16"/>
          <w:szCs w:val="16"/>
          <w:color w:val="FF0000"/>
          <w:strike w:val="1"/>
        </w:rPr>
        <w:t xml:space="preserve"> in such Collateral, in each case prior and superior in right to any other Person, other than Liens permitted by Section </w:t>
      </w:r>
      <w:r>
        <w:rPr>
          <w:rFonts w:ascii="Arial" w:cs="Arial" w:eastAsia="Arial" w:hAnsi="Arial"/>
          <w:sz w:val="16"/>
          <w:szCs w:val="16"/>
          <w:color w:val="0000FF"/>
          <w:strike w:val="1"/>
        </w:rPr>
        <w:t>7.01</w:t>
      </w:r>
      <w:r>
        <w:rPr>
          <w:rFonts w:ascii="Arial" w:cs="Arial" w:eastAsia="Arial" w:hAnsi="Arial"/>
          <w:sz w:val="16"/>
          <w:szCs w:val="16"/>
          <w:color w:val="FF0000"/>
          <w:strike w:val="1"/>
        </w:rPr>
        <w:t xml:space="preserve"> (other than Liens securing Permitted Junior Priority Additional Debt or any Permitted Refinancing thereof and Liens securing ABL Facility Indebtedness, UST Tranche A Facility Indebtedness and UST Tranche B Facility Indebtedness or, in each case, a Permitted Refinancing thereof, that are intended to be junior to the Liens of the Collateral Documents). </w:t>
      </w:r>
      <w:r>
        <w:rPr>
          <w:rFonts w:ascii="Arial" w:cs="Arial" w:eastAsia="Arial" w:hAnsi="Arial"/>
          <w:sz w:val="16"/>
          <w:szCs w:val="16"/>
          <w:u w:val="single" w:color="auto"/>
          <w:color w:val="0000FF"/>
          <w:strike w:val="1"/>
        </w:rPr>
        <w:t>with the priority set forth herein and otherwise subject in all respects to the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terms of the DIP Order and the Canadian Orders. Notwithstanding anything to the contrary herein, nothing in this Section 5.18 is intended to or does conflict with or override the UST Adequate Protection Order and in the event of any inconsistencies between this Section 5.18 and the UST Adequate Protection Order, the UST Adequate Protection Order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-2064385</wp:posOffset>
            </wp:positionV>
            <wp:extent cx="498030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-2012950</wp:posOffset>
            </wp:positionV>
            <wp:extent cx="371475"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71475" cy="8890"/>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-1927225</wp:posOffset>
            </wp:positionV>
            <wp:extent cx="19748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-967105</wp:posOffset>
            </wp:positionV>
            <wp:extent cx="16256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-1052830</wp:posOffset>
            </wp:positionV>
            <wp:extent cx="114808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1480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-967105</wp:posOffset>
            </wp:positionV>
            <wp:extent cx="87439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-829945</wp:posOffset>
            </wp:positionV>
            <wp:extent cx="294894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-692785</wp:posOffset>
            </wp:positionV>
            <wp:extent cx="57467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-778510</wp:posOffset>
            </wp:positionV>
            <wp:extent cx="497522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4975225" cy="825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-281305</wp:posOffset>
            </wp:positionV>
            <wp:extent cx="344614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678942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684911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307721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7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FF0000"/>
          <w:strike w:val="1"/>
        </w:rPr>
        <w:t xml:space="preserve">(b) </w:t>
      </w:r>
      <w:r>
        <w:rPr>
          <w:rFonts w:ascii="Arial" w:cs="Arial" w:eastAsia="Arial" w:hAnsi="Arial"/>
          <w:sz w:val="18"/>
          <w:szCs w:val="18"/>
          <w:i w:val="1"/>
          <w:iCs w:val="1"/>
          <w:color w:val="FF0000"/>
          <w:strike w:val="1"/>
        </w:rPr>
        <w:t>PTO Filing; Copyright Office Filing</w:t>
      </w:r>
      <w:r>
        <w:rPr>
          <w:rFonts w:ascii="Arial" w:cs="Arial" w:eastAsia="Arial" w:hAnsi="Arial"/>
          <w:sz w:val="18"/>
          <w:szCs w:val="18"/>
          <w:color w:val="FF0000"/>
          <w:strike w:val="1"/>
        </w:rPr>
        <w:t>. When the Security Agreement or a short form thereof is properly filed (and payments of all fees) in the United States Patent and Trademark Office and the United States Copyright Office, to the extent such filings may perfect such interests, the Liens created by such Security Agreement shall constitute fully perfected Liens on, and security interests in, all right, title and interest of the grantors thereunder in Patents and Trademarks (each as defined in the Security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241" w:name="page242"/>
    <w:bookmarkEnd w:id="241"/>
    <w:p>
      <w:pPr>
        <w:spacing w:after="0" w:line="272"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registered or applied for with the United States Patent and Trademark Office or Copyrights (as defined in such Security Agreement) registered or applied for with the United States Copyright Office, as the case may be, in each case prior and superior in right to any other Person, other than Liens permitted by Section 7.01 (other than Liens securing Permitted Junior Priority Additional Debt or any Permitted Refinancing thereof and Liens securing ABL Facility Indebtedness, UST Tranche A Facility Indebtedness and UST Tranche B Facility Indebtedness or, in each case, a Permitted Refinancing thereof, that are intended to be junior to the Liens of the Collateral Documents) (it being understood that subsequent recordings in the United States Patent and Trademark Office and the United States Copyright Office may be necessary to establish a Lien on registered Patents, Trademarks and Copyrights acquired by the grantors thereof after the Restatement Effective Date).</w:t>
      </w:r>
    </w:p>
    <w:p>
      <w:pPr>
        <w:spacing w:after="0" w:line="177" w:lineRule="exact"/>
        <w:rPr>
          <w:sz w:val="20"/>
          <w:szCs w:val="20"/>
          <w:color w:val="auto"/>
        </w:rPr>
      </w:pPr>
    </w:p>
    <w:p>
      <w:pPr>
        <w:ind w:right="40" w:firstLine="436"/>
        <w:spacing w:after="0" w:line="271" w:lineRule="auto"/>
        <w:tabs>
          <w:tab w:leader="none" w:pos="685" w:val="left"/>
        </w:tabs>
        <w:numPr>
          <w:ilvl w:val="0"/>
          <w:numId w:val="158"/>
        </w:numPr>
        <w:rPr>
          <w:rFonts w:ascii="Arial" w:cs="Arial" w:eastAsia="Arial" w:hAnsi="Arial"/>
          <w:sz w:val="17"/>
          <w:szCs w:val="17"/>
          <w:i w:val="1"/>
          <w:iCs w:val="1"/>
          <w:color w:val="FF0000"/>
          <w:strike w:val="1"/>
        </w:rPr>
      </w:pPr>
      <w:r>
        <w:rPr>
          <w:rFonts w:ascii="Arial" w:cs="Arial" w:eastAsia="Arial" w:hAnsi="Arial"/>
          <w:sz w:val="17"/>
          <w:szCs w:val="17"/>
          <w:i w:val="1"/>
          <w:iCs w:val="1"/>
          <w:color w:val="FF0000"/>
          <w:strike w:val="1"/>
        </w:rPr>
        <w:t>Mortgages</w:t>
      </w:r>
      <w:r>
        <w:rPr>
          <w:rFonts w:ascii="Arial" w:cs="Arial" w:eastAsia="Arial" w:hAnsi="Arial"/>
          <w:sz w:val="17"/>
          <w:szCs w:val="17"/>
          <w:color w:val="FF0000"/>
          <w:strike w:val="1"/>
        </w:rPr>
        <w:t>. Upon recording thereof in the appropriate recording office (and payments of all applicable fees), each Mortgage is effective to</w:t>
      </w:r>
      <w:r>
        <w:rPr>
          <w:rFonts w:ascii="Arial" w:cs="Arial" w:eastAsia="Arial" w:hAnsi="Arial"/>
          <w:sz w:val="17"/>
          <w:szCs w:val="17"/>
          <w:i w:val="1"/>
          <w:iCs w:val="1"/>
          <w:color w:val="FF0000"/>
          <w:strike w:val="1"/>
        </w:rPr>
        <w:t xml:space="preserve"> </w:t>
      </w:r>
      <w:r>
        <w:rPr>
          <w:rFonts w:ascii="Arial" w:cs="Arial" w:eastAsia="Arial" w:hAnsi="Arial"/>
          <w:sz w:val="17"/>
          <w:szCs w:val="17"/>
          <w:color w:val="FF0000"/>
          <w:strike w:val="1"/>
        </w:rPr>
        <w:t>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the Mortgaged Property thereunder and the proceeds thereof, subject only to Liens permitted hereunder, and when such Mortgage is filed in the offices specified in the local counsel opinion delivered with respect thereto in accordance with the provisions of Sections 6.11 and 6.13, such Mortgage shall constitute a fully perfected Lien on, and security interest in, all right, title and interest of the Loan Party to such Mortgage in the Mortgaged Property described therein and the proceeds thereof, in each case prior and superior in right to any other Person, other than Liens permitted by Section 7.01 .</w:t>
      </w:r>
    </w:p>
    <w:p>
      <w:pPr>
        <w:spacing w:after="0" w:line="178" w:lineRule="exact"/>
        <w:rPr>
          <w:sz w:val="20"/>
          <w:szCs w:val="20"/>
          <w:color w:val="auto"/>
        </w:rPr>
      </w:pPr>
    </w:p>
    <w:p>
      <w:pPr>
        <w:ind w:firstLine="436"/>
        <w:spacing w:after="0" w:line="254" w:lineRule="auto"/>
        <w:tabs>
          <w:tab w:leader="none" w:pos="695" w:val="left"/>
        </w:tabs>
        <w:numPr>
          <w:ilvl w:val="0"/>
          <w:numId w:val="159"/>
        </w:numPr>
        <w:rPr>
          <w:rFonts w:ascii="Arial" w:cs="Arial" w:eastAsia="Arial" w:hAnsi="Arial"/>
          <w:sz w:val="18"/>
          <w:szCs w:val="18"/>
          <w:i w:val="1"/>
          <w:iCs w:val="1"/>
          <w:color w:val="FF0000"/>
          <w:strike w:val="1"/>
        </w:rPr>
      </w:pPr>
      <w:r>
        <w:rPr>
          <w:rFonts w:ascii="Arial" w:cs="Arial" w:eastAsia="Arial" w:hAnsi="Arial"/>
          <w:sz w:val="18"/>
          <w:szCs w:val="18"/>
          <w:i w:val="1"/>
          <w:iCs w:val="1"/>
          <w:color w:val="FF0000"/>
          <w:strike w:val="1"/>
        </w:rPr>
        <w:t>Rolling Stock</w:t>
      </w:r>
      <w:r>
        <w:rPr>
          <w:rFonts w:ascii="Arial" w:cs="Arial" w:eastAsia="Arial" w:hAnsi="Arial"/>
          <w:sz w:val="18"/>
          <w:szCs w:val="18"/>
          <w:color w:val="FF0000"/>
          <w:strike w:val="1"/>
        </w:rPr>
        <w:t>. Upon the recording thereof on the applicable certificate of title (and filing of financing statements and payment of applicable</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fees, which shall be for the account of the Borrower), the notation of the Administrative Agent’s lien on any rolling stock or other goods subject to a certificate of title is 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such Collateral and the proceeds thereof, subject only to Liens permitted hereunder, in each case prior and superior in right to any other Person, other than Liens permitted by Section 7.01.</w:t>
      </w:r>
    </w:p>
    <w:p>
      <w:pPr>
        <w:spacing w:after="0" w:line="195"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FF0000"/>
          <w:strike w:val="1"/>
        </w:rPr>
        <w:t>Notwithstanding anything herein (including this Section 5.18 or Section 5.04 ) or in any other Loan Document to the contrary, neither the Borrower nor any other Loan Party makes any representation or warranty as to (A) [reserved],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 or (C) on the Restatement Effective Date and until required pursuant to Section 4.02(d) or Section 6.13 , the pledge or creation of any security interest, or the effects of perfection or non-perfection, the priority or enforceability of any pledge or security interest to the extent not required on the Restatement Effective Date pursuant to Section 4.02(d).</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FF0000"/>
          <w:strike w:val="1"/>
        </w:rPr>
        <w:t>Section 5.21.</w:t>
      </w:r>
      <w:r>
        <w:rPr>
          <w:rFonts w:ascii="Arial" w:cs="Arial" w:eastAsia="Arial" w:hAnsi="Arial"/>
          <w:sz w:val="18"/>
          <w:szCs w:val="18"/>
          <w:color w:val="FF0000"/>
        </w:rPr>
        <w:t xml:space="preserve"> </w:t>
      </w:r>
      <w:r>
        <w:rPr>
          <w:rFonts w:ascii="Arial" w:cs="Arial" w:eastAsia="Arial" w:hAnsi="Arial"/>
          <w:sz w:val="18"/>
          <w:szCs w:val="18"/>
          <w:color w:val="0000FF"/>
        </w:rPr>
        <w:t>Section 5.19 </w:t>
      </w:r>
      <w:r>
        <w:rPr>
          <w:rFonts w:ascii="Arial" w:cs="Arial" w:eastAsia="Arial" w:hAnsi="Arial"/>
          <w:sz w:val="18"/>
          <w:szCs w:val="18"/>
          <w:i w:val="1"/>
          <w:iCs w:val="1"/>
          <w:color w:val="000000"/>
        </w:rPr>
        <w:t>Compliance with Anti-Terrorism and Corruption Laws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23495</wp:posOffset>
            </wp:positionV>
            <wp:extent cx="68580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-10160</wp:posOffset>
            </wp:positionV>
            <wp:extent cx="68516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(a) To the extent applicable, the Borrower and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are in compliance, in all material respects, with (i) the Trading with the Enemy Act and each of the foreign assets control regulations of the United States Treasury Department (31 CFR, Subtitle B, Chapter V) and any other enabling legislation or executive order relating thereto, </w:t>
      </w:r>
      <w:r>
        <w:rPr>
          <w:rFonts w:ascii="Arial" w:cs="Arial" w:eastAsia="Arial" w:hAnsi="Arial"/>
          <w:sz w:val="18"/>
          <w:szCs w:val="18"/>
          <w:color w:val="FF0000"/>
          <w:strike w:val="1"/>
        </w:rPr>
        <w:t>and</w:t>
      </w:r>
      <w:r>
        <w:rPr>
          <w:rFonts w:ascii="Arial" w:cs="Arial" w:eastAsia="Arial" w:hAnsi="Arial"/>
          <w:sz w:val="18"/>
          <w:szCs w:val="18"/>
          <w:color w:val="auto"/>
        </w:rPr>
        <w:t xml:space="preserve"> (ii) the USA PATRIOT Act</w:t>
      </w:r>
      <w:r>
        <w:rPr>
          <w:rFonts w:ascii="Arial" w:cs="Arial" w:eastAsia="Arial" w:hAnsi="Arial"/>
          <w:sz w:val="18"/>
          <w:szCs w:val="18"/>
          <w:u w:val="single" w:color="auto"/>
          <w:color w:val="0000FF"/>
        </w:rPr>
        <w:t>, (iii)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-2540</wp:posOffset>
            </wp:positionV>
            <wp:extent cx="68580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60"/>
          </w:cols>
          <w:pgMar w:left="440" w:top="274" w:right="49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AML Legislation and (iv) any other similar anti-terrorism and anti-corruption legislation in other jurisdictions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03174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20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(b) None of the Borrower or any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nor, to the knowledge of the Borrower, any director, officer, agent, employee or controlled Affiliate of the Borrower or any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(i) is a Blocked Person or (ii) is currently subject to any U.S. sanctions administered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enforced</w:t>
      </w:r>
      <w:r>
        <w:rPr>
          <w:rFonts w:ascii="Arial" w:cs="Arial" w:eastAsia="Arial" w:hAnsi="Arial"/>
          <w:sz w:val="17"/>
          <w:szCs w:val="17"/>
          <w:color w:val="0000FF"/>
        </w:rPr>
        <w:t xml:space="preserve"> </w:t>
      </w:r>
      <w:r>
        <w:rPr>
          <w:rFonts w:ascii="Arial" w:cs="Arial" w:eastAsia="Arial" w:hAnsi="Arial"/>
          <w:sz w:val="17"/>
          <w:szCs w:val="17"/>
          <w:color w:val="000000"/>
        </w:rPr>
        <w:t>by OFAC</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by any Canadian Governmental Authority that is applicable to the Borrower or any Subsidiary at such time</w:t>
      </w:r>
      <w:r>
        <w:rPr>
          <w:rFonts w:ascii="Arial" w:cs="Arial" w:eastAsia="Arial" w:hAnsi="Arial"/>
          <w:sz w:val="17"/>
          <w:szCs w:val="17"/>
          <w:color w:val="0000FF"/>
        </w:rPr>
        <w:t xml:space="preserve"> </w:t>
      </w:r>
      <w:r>
        <w:rPr>
          <w:rFonts w:ascii="Arial" w:cs="Arial" w:eastAsia="Arial" w:hAnsi="Arial"/>
          <w:sz w:val="17"/>
          <w:szCs w:val="17"/>
          <w:color w:val="000000"/>
        </w:rPr>
        <w:t>that could,</w:t>
      </w:r>
      <w:r>
        <w:rPr>
          <w:rFonts w:ascii="Arial" w:cs="Arial" w:eastAsia="Arial" w:hAnsi="Arial"/>
          <w:sz w:val="17"/>
          <w:szCs w:val="17"/>
          <w:color w:val="0000FF"/>
        </w:rPr>
        <w:t xml:space="preserve"> </w:t>
      </w:r>
      <w:r>
        <w:rPr>
          <w:rFonts w:ascii="Arial" w:cs="Arial" w:eastAsia="Arial" w:hAnsi="Arial"/>
          <w:sz w:val="17"/>
          <w:szCs w:val="17"/>
          <w:color w:val="000000"/>
        </w:rPr>
        <w:t xml:space="preserve">individually or in the aggregate, reasonably be expected to have a Material Adverse Effect; and none of the Borrower or any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Subsidiary will use the proceeds of the Loans for the purpose of financing the activities of any Person currently subject to any U.S. sanctions administered </w:t>
      </w:r>
      <w:r>
        <w:rPr>
          <w:rFonts w:ascii="Arial" w:cs="Arial" w:eastAsia="Arial" w:hAnsi="Arial"/>
          <w:sz w:val="17"/>
          <w:szCs w:val="17"/>
          <w:u w:val="single" w:color="auto"/>
          <w:color w:val="0000FF"/>
        </w:rPr>
        <w:t>or enforced</w:t>
      </w:r>
      <w:r>
        <w:rPr>
          <w:rFonts w:ascii="Arial" w:cs="Arial" w:eastAsia="Arial" w:hAnsi="Arial"/>
          <w:sz w:val="17"/>
          <w:szCs w:val="17"/>
          <w:color w:val="000000"/>
        </w:rPr>
        <w:t xml:space="preserve"> by OFAC </w:t>
      </w:r>
      <w:r>
        <w:rPr>
          <w:rFonts w:ascii="Arial" w:cs="Arial" w:eastAsia="Arial" w:hAnsi="Arial"/>
          <w:sz w:val="17"/>
          <w:szCs w:val="17"/>
          <w:color w:val="0000FF"/>
        </w:rPr>
        <w:t>or any Canadian Governmental Authority that is applicable to the Borrower or any Subsidiary</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-554355</wp:posOffset>
            </wp:positionV>
            <wp:extent cx="9398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594042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-142875</wp:posOffset>
            </wp:positionV>
            <wp:extent cx="52260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-5715</wp:posOffset>
            </wp:positionV>
            <wp:extent cx="432054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432054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-40005</wp:posOffset>
            </wp:positionV>
            <wp:extent cx="432117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4321175" cy="8255"/>
                    </a:xfrm>
                    <a:prstGeom prst="rect">
                      <a:avLst/>
                    </a:prstGeom>
                    <a:noFill/>
                  </pic:spPr>
                </pic:pic>
              </a:graphicData>
            </a:graphic>
          </wp:anchor>
        </w:drawing>
      </w:r>
    </w:p>
    <w:p>
      <w:pPr>
        <w:spacing w:after="0" w:line="158"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No part of the proceeds of the Loans will be used by the Borrower 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Section 5.20 </w:t>
      </w:r>
      <w:r>
        <w:rPr>
          <w:rFonts w:ascii="Arial" w:cs="Arial" w:eastAsia="Arial" w:hAnsi="Arial"/>
          <w:sz w:val="16"/>
          <w:szCs w:val="16"/>
          <w:i w:val="1"/>
          <w:iCs w:val="1"/>
          <w:color w:val="FF0000"/>
          <w:strike w:val="1"/>
        </w:rPr>
        <w:t>Section 5.20.</w:t>
      </w:r>
      <w:r>
        <w:rPr>
          <w:rFonts w:ascii="Arial" w:cs="Arial" w:eastAsia="Arial" w:hAnsi="Arial"/>
          <w:sz w:val="16"/>
          <w:szCs w:val="16"/>
          <w:color w:val="auto"/>
        </w:rPr>
        <w:t xml:space="preserve"> </w:t>
      </w:r>
      <w:r>
        <w:rPr>
          <w:rFonts w:ascii="Arial" w:cs="Arial" w:eastAsia="Arial" w:hAnsi="Arial"/>
          <w:sz w:val="16"/>
          <w:szCs w:val="16"/>
          <w:i w:val="1"/>
          <w:iCs w:val="1"/>
          <w:color w:val="auto"/>
        </w:rPr>
        <w:t>Real Property Permits</w:t>
      </w:r>
      <w:r>
        <w:rPr>
          <w:rFonts w:ascii="Arial" w:cs="Arial" w:eastAsia="Arial" w:hAnsi="Arial"/>
          <w:sz w:val="16"/>
          <w:szCs w:val="16"/>
          <w:color w:val="auto"/>
        </w:rPr>
        <w:t>. Borrower has all Permits, all of which are in full force and effect as of the date hereof required by the applicable Governmental Authorities in connection with the ownership and operation of any Material Real Property, except to the extent that the failure to have any such Permits would not, individually or in the aggregate, reasonably be expected to have a Material Adverse Effect.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ARTICLE 6</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0000FF"/>
        </w:rPr>
        <w:t>Section 5.21 </w:t>
      </w:r>
      <w:r>
        <w:rPr>
          <w:rFonts w:ascii="Arial" w:cs="Arial" w:eastAsia="Arial" w:hAnsi="Arial"/>
          <w:sz w:val="18"/>
          <w:szCs w:val="18"/>
          <w:i w:val="1"/>
          <w:iCs w:val="1"/>
          <w:u w:val="single" w:color="auto"/>
          <w:color w:val="0000FF"/>
        </w:rPr>
        <w:t>Secured, Super-Priority Obligations.</w:t>
      </w:r>
      <w:r>
        <w:rPr>
          <w:rFonts w:ascii="Arial" w:cs="Arial" w:eastAsia="Arial" w:hAnsi="Arial"/>
          <w:sz w:val="18"/>
          <w:szCs w:val="18"/>
          <w:color w:val="0000FF"/>
        </w:rPr>
        <w:t xml:space="preserve"> On and after the Postpetition B-2 Facility Closing Date, solely with respect to the New Money </w:t>
      </w:r>
      <w:r>
        <w:rPr>
          <w:rFonts w:ascii="Arial" w:cs="Arial" w:eastAsia="Arial" w:hAnsi="Arial"/>
          <w:sz w:val="18"/>
          <w:szCs w:val="18"/>
          <w:u w:val="single" w:color="auto"/>
          <w:color w:val="0000FF"/>
        </w:rPr>
        <w:t>Postpetition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70369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-182245</wp:posOffset>
            </wp:positionV>
            <wp:extent cx="4344035"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4344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15697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5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u w:val="single" w:color="auto"/>
          <w:color w:val="0000FF"/>
        </w:rPr>
        <w:t>(a)</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The Chapter 11 Cases were commenced on the Petition Date in accordance with applicable law and proper notice thereof for (x) the motions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seeking approval of the Loan Documents, the DIP Order and the applicable Canadian Orders and (y) the hearings for the approval of the DIP Order and the applicable Canadian Orders were given in each case. The Borrower has given, on a timely basis as specified in the DIP Order and the applicable Canadian Orders, all notices required to be given to all parties specified in the DIP Order and the applicable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-421640</wp:posOffset>
            </wp:positionV>
            <wp:extent cx="668655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6934835"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763385"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575183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151"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u w:val="single" w:color="auto"/>
          <w:color w:val="0000FF"/>
        </w:rPr>
        <w:t>(b)</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The provisions of the Loan Documents and the DIP Order (and, in the case of the Canadian Collateral, the DIP Order and the applicable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Canadian Orders), are effective to create in favor of the Collateral Agent, for the benefit of the Secured Parties, legal, valid and perfected Liens on and security interests in all right, title and interest in the Collateral (the “</w:t>
      </w:r>
      <w:r>
        <w:rPr>
          <w:rFonts w:ascii="Arial" w:cs="Arial" w:eastAsia="Arial" w:hAnsi="Arial"/>
          <w:sz w:val="17"/>
          <w:szCs w:val="17"/>
          <w:b w:val="1"/>
          <w:bCs w:val="1"/>
          <w:u w:val="single" w:color="auto"/>
          <w:color w:val="0000FF"/>
        </w:rPr>
        <w:t>Postpetition B-2 Liens</w:t>
      </w:r>
      <w:r>
        <w:rPr>
          <w:rFonts w:ascii="Arial" w:cs="Arial" w:eastAsia="Arial" w:hAnsi="Arial"/>
          <w:sz w:val="17"/>
          <w:szCs w:val="17"/>
          <w:u w:val="single" w:color="auto"/>
          <w:color w:val="0000FF"/>
        </w:rPr>
        <w:t>”), having the priority provided for herein and in the DIP Order and the applicable Canadian Orders, and enforceable against the Loan Parties, in each case, subject to the terms and conditions of the DIP Order (and, in the case of the Canadian Collateral, the DIP Order and the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-555625</wp:posOffset>
            </wp:positionV>
            <wp:extent cx="64979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87514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79767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8340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390906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56"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u w:val="single" w:color="auto"/>
          <w:color w:val="0000FF"/>
        </w:rPr>
        <w:t>(c)</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Pursuant to Section 364(c)(1) of the Bankruptcy Code and the DIP Order (and, in the case of the Canadian Collateral, the DIP Order and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Canadian Orders), all Obligations relating to or arising under the New Money Postpetition Term Loans and all other obligations relating to or arising under the New Money Postpetition Term Loans of the Loan Parties under the Loan Documents at all times shall constitute allowed super-priority administrative expense claims in the Chapter 11 Cases having priority over all other costs and expenses of the kinds specified in, or ordered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-430530</wp:posOffset>
            </wp:positionV>
            <wp:extent cx="664337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797675"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626225"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695198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243" w:name="page244"/>
    <w:bookmarkEnd w:id="243"/>
    <w:p>
      <w:pPr>
        <w:ind w:right="20"/>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Sections 105, 326, 328, 330, 331, 503(b), 506(c), 507(a), 507(b), 546(c), 726, 1114 or any other provision of the Bankruptcy Code or otherwise, and shall at all times be senior in lien and payment priority to the rights of the Junior DIP Superpriority Claims (except with respect to Unencumbered Assets, with respect to which the Postpetition B-2 Superpriority Claims will be junior to the Junior DIP Superpriority Claims, and the DIP Proceeds Account, with respect to which the Postpetition B-2 Superpriority Claims shall be pari passu with the Junior DIP Superpriority Claims), the rights of the Loan Parties, the estates of Loan Parties, and any successor trustee or estate representative in the Chapter 11 Cases or any subsequent proceeding or case under the Bankruptcy Code, subject to the Carve-Out and the Canadian Priority Charges pursuant to the Canadian Orders to the extent set forth in the Canadian DIP Recognition Order and the other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78053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66940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75513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96087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978015"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83196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298323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5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u w:val="single" w:color="auto"/>
          <w:color w:val="0000FF"/>
        </w:rPr>
        <w:t>(d) Pursuant to Section 364(c)(2) of the Bankruptcy Code and DIP Order (and, in the case of the Canadian Collateral, the DIP Order and the Canadian Orders), all Obligations relating to or arising under the New Money Postpetition Term Loans are secured by a perfected Lien on (i) the DIP Proceeds Account and (ii) all unencumbered assets of the Loan Parties (other than Excluded Property) (now existing or hereafter acquired) and all proceeds thereof that were not subject to a perfected, non-avoidable Lien as of the Petition Date (the “</w:t>
      </w:r>
      <w:r>
        <w:rPr>
          <w:rFonts w:ascii="Arial" w:cs="Arial" w:eastAsia="Arial" w:hAnsi="Arial"/>
          <w:sz w:val="17"/>
          <w:szCs w:val="17"/>
          <w:b w:val="1"/>
          <w:bCs w:val="1"/>
          <w:u w:val="single" w:color="auto"/>
          <w:color w:val="0000FF"/>
        </w:rPr>
        <w:t>Unencumbered Assets</w:t>
      </w:r>
      <w:r>
        <w:rPr>
          <w:rFonts w:ascii="Arial" w:cs="Arial" w:eastAsia="Arial" w:hAnsi="Arial"/>
          <w:sz w:val="17"/>
          <w:szCs w:val="17"/>
          <w:u w:val="single" w:color="auto"/>
          <w:color w:val="0000FF"/>
        </w:rPr>
        <w:t>” ), which Lien is (i) pari passu with the Lien securing the Junior DIP Obligations on such DIP Proceeds Account (it being understood that the Prepetition Secured Parties have no Lien on the DIP Proceeds Account) and (ii) junior to the Liens securing the Junior DIP Obligations on such Unencumbered Assets, in each case, subject to the Carve-Out, the Canadian Priority Charges pursuant to the Canadian Orders to the extent set forth in the Canadian DIP Recognition Order and the other Canadian Orders and the Junior DIP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-965835</wp:posOffset>
            </wp:positionV>
            <wp:extent cx="648906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-828675</wp:posOffset>
            </wp:positionV>
            <wp:extent cx="682371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-691515</wp:posOffset>
            </wp:positionV>
            <wp:extent cx="667766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34835"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98627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5198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09435"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223710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58" w:lineRule="exact"/>
        <w:rPr>
          <w:sz w:val="20"/>
          <w:szCs w:val="20"/>
          <w:color w:val="auto"/>
        </w:rPr>
      </w:pPr>
    </w:p>
    <w:p>
      <w:pPr>
        <w:ind w:right="20" w:firstLine="436"/>
        <w:spacing w:after="0" w:line="254" w:lineRule="auto"/>
        <w:tabs>
          <w:tab w:leader="none" w:pos="685" w:val="left"/>
        </w:tabs>
        <w:numPr>
          <w:ilvl w:val="0"/>
          <w:numId w:val="160"/>
        </w:numPr>
        <w:rPr>
          <w:rFonts w:ascii="Arial" w:cs="Arial" w:eastAsia="Arial" w:hAnsi="Arial"/>
          <w:sz w:val="18"/>
          <w:szCs w:val="18"/>
          <w:u w:val="single" w:color="auto"/>
          <w:color w:val="0000FF"/>
        </w:rPr>
      </w:pPr>
      <w:r>
        <w:rPr>
          <w:rFonts w:ascii="Arial" w:cs="Arial" w:eastAsia="Arial" w:hAnsi="Arial"/>
          <w:sz w:val="18"/>
          <w:szCs w:val="18"/>
          <w:color w:val="0000FF"/>
        </w:rPr>
        <w:t xml:space="preserve"> Pursuant to Section 364(c)(3) and 364(d)(1) of the Bankruptcy Code and the DIP Order (and, in the case of the Canadian Collateral, the DIP </w:t>
      </w:r>
      <w:r>
        <w:rPr>
          <w:rFonts w:ascii="Arial" w:cs="Arial" w:eastAsia="Arial" w:hAnsi="Arial"/>
          <w:sz w:val="18"/>
          <w:szCs w:val="18"/>
          <w:u w:val="single" w:color="auto"/>
          <w:color w:val="0000FF"/>
        </w:rPr>
        <w:t>Order and the Canadian Orders), all Obligations relating to or arising under the New Money Postpetition Term Loans are secured by a first priority perfected Lien on all B-2 Priority Collateral of the Loan Parties (now existing or hereafter acquired) and all proceeds thereof, subject to the Carve-Out and the Canadian Priority Charges pursuant to the Canadian Orders to the extent set forth in the Canadian DIP Recognition Order and the other Canadian Orders and pari passu with the Prepetition B-2 Liens and the B-2 Adequate Protection Liens (as defined in the DIP Order). For the avoidance of doubt, the Postpetition B-2 Liens on the B-2 Priority Collateral share (but are senior in priority to) the Prepetition UST Liens and the Prepetition ABL Liens, in each case on the B-2 Priority Collateral.</w:t>
      </w:r>
    </w:p>
    <w:p>
      <w:pPr>
        <w:spacing w:after="0" w:line="194" w:lineRule="exact"/>
        <w:rPr>
          <w:rFonts w:ascii="Arial" w:cs="Arial" w:eastAsia="Arial" w:hAnsi="Arial"/>
          <w:sz w:val="18"/>
          <w:szCs w:val="18"/>
          <w:u w:val="single" w:color="auto"/>
          <w:color w:val="0000FF"/>
        </w:rPr>
      </w:pPr>
    </w:p>
    <w:p>
      <w:pPr>
        <w:ind w:right="20" w:firstLine="436"/>
        <w:spacing w:after="0" w:line="272" w:lineRule="auto"/>
        <w:tabs>
          <w:tab w:leader="none" w:pos="665" w:val="left"/>
        </w:tabs>
        <w:numPr>
          <w:ilvl w:val="0"/>
          <w:numId w:val="160"/>
        </w:numPr>
        <w:rPr>
          <w:rFonts w:ascii="Arial" w:cs="Arial" w:eastAsia="Arial" w:hAnsi="Arial"/>
          <w:sz w:val="17"/>
          <w:szCs w:val="17"/>
          <w:u w:val="single" w:color="auto"/>
          <w:color w:val="0000FF"/>
        </w:rPr>
      </w:pPr>
      <w:r>
        <w:rPr>
          <w:rFonts w:ascii="Arial" w:cs="Arial" w:eastAsia="Arial" w:hAnsi="Arial"/>
          <w:sz w:val="17"/>
          <w:szCs w:val="17"/>
          <w:color w:val="0000FF"/>
        </w:rPr>
        <w:t xml:space="preserve"> Pursuant to Section 364(c)(3) of the Bankruptcy Code and the DIP Order (and, in the case of the Canadian Collateral, the DIP Order and the </w:t>
      </w:r>
      <w:r>
        <w:rPr>
          <w:rFonts w:ascii="Arial" w:cs="Arial" w:eastAsia="Arial" w:hAnsi="Arial"/>
          <w:sz w:val="17"/>
          <w:szCs w:val="17"/>
          <w:u w:val="single" w:color="auto"/>
          <w:color w:val="0000FF"/>
        </w:rPr>
        <w:t>Canadian Orders), the Postpetition B-2 Liens shall be subject and junior to (i) the Prepetition ABL Facility Indebtedness (prior to the Discharge of ABL Obligations), in the case of Prepetition ABL Priority Collateral, (ii) the Prepetition UST Tranche B Facility Indebtedness (prior to the Discharge of UST Tranche B Obligations), in the case of Prepetition UST Tranche B Priority Collateral and Prepetition UST Tranche B Joint Collateral, (iii) the Carve-Out, (iv) the Canadian Priority Charges pursuant to the Canadian Orders to the extent set forth in the Canadian DIP Recognition Order and the other Canadian Orders, and (v) any valid, perfected and unavoidable Liens in existence on the Postpetition B-2 Facility Closing Date on such assets of the Loan Parties that pursuant to the terms of the DIP Order are senior in priority to the Postpetition B-2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-1926590</wp:posOffset>
            </wp:positionV>
            <wp:extent cx="667766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-1960880</wp:posOffset>
            </wp:positionV>
            <wp:extent cx="652653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6526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-1789430</wp:posOffset>
            </wp:positionV>
            <wp:extent cx="671195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-1652270</wp:posOffset>
            </wp:positionV>
            <wp:extent cx="687514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-1515110</wp:posOffset>
            </wp:positionV>
            <wp:extent cx="65405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-1377950</wp:posOffset>
            </wp:positionV>
            <wp:extent cx="6909435"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-1240790</wp:posOffset>
            </wp:positionV>
            <wp:extent cx="6978015"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-1103630</wp:posOffset>
            </wp:positionV>
            <wp:extent cx="226314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-829310</wp:posOffset>
            </wp:positionV>
            <wp:extent cx="666051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-863600</wp:posOffset>
            </wp:positionV>
            <wp:extent cx="6523355"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978015"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95198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47192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82371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87514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506603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15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0000FF"/>
        </w:rPr>
        <w:t>(g)  The DIP Order and the Canadian DIP Recognition Order are in full force and effect and have not been vacated, reversed, modified, amended or stayed without the prior written consent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703695"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65747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50"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u w:val="single" w:color="auto"/>
          <w:color w:val="0000FF"/>
        </w:rPr>
        <w:t>(h)  The Initial Budget and each Updated Budget were prepared in good faith by the management of the Borrower (and in consultation with the Borrower’s Operational Advisor), based on assumptions believed by the management of the Borrower to be reasonable at the time made and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-177800</wp:posOffset>
            </wp:positionV>
            <wp:extent cx="662622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67766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244" w:name="page245"/>
    <w:bookmarkEnd w:id="244"/>
    <w:p>
      <w:pPr>
        <w:ind w:left="4"/>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believed by the management of the Borrower to have been accurate based upon the information available to the management of Borrower at the time such Initial Budget or Updated Budget was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96912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286321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5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5.22  </w:t>
      </w:r>
      <w:r>
        <w:rPr>
          <w:rFonts w:ascii="Arial" w:cs="Arial" w:eastAsia="Arial" w:hAnsi="Arial"/>
          <w:sz w:val="18"/>
          <w:szCs w:val="18"/>
          <w:i w:val="1"/>
          <w:iCs w:val="1"/>
          <w:color w:val="0000FF"/>
        </w:rPr>
        <w:t>Prepetition UST Joint and Priority Collateral</w:t>
      </w:r>
      <w:r>
        <w:rPr>
          <w:rFonts w:ascii="Arial" w:cs="Arial" w:eastAsia="Arial" w:hAnsi="Arial"/>
          <w:sz w:val="18"/>
          <w:szCs w:val="18"/>
          <w:color w:val="0000FF"/>
        </w:rPr>
        <w:t xml:space="preserve">. As of the Amendment No. 4 Effective Date, Schedule 5.22(a) lists all Rolling </w:t>
      </w:r>
      <w:r>
        <w:rPr>
          <w:rFonts w:ascii="Arial" w:cs="Arial" w:eastAsia="Arial" w:hAnsi="Arial"/>
          <w:sz w:val="18"/>
          <w:szCs w:val="18"/>
          <w:u w:val="single" w:color="auto"/>
          <w:color w:val="0000FF"/>
        </w:rPr>
        <w:t>Stock that constitutes Prepetition UST Tranche B Joint Collateral and Schedule 5.22(b) lists all Rolling Stock that constitutes Prepetition UST Tranche B Priority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42937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-311150</wp:posOffset>
            </wp:positionV>
            <wp:extent cx="60579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0579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8922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96012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64"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5.23  </w:t>
      </w:r>
      <w:r>
        <w:rPr>
          <w:rFonts w:ascii="Arial" w:cs="Arial" w:eastAsia="Arial" w:hAnsi="Arial"/>
          <w:sz w:val="18"/>
          <w:szCs w:val="18"/>
          <w:i w:val="1"/>
          <w:iCs w:val="1"/>
          <w:color w:val="0000FF"/>
        </w:rPr>
        <w:t>No Canadian Pension Plans</w:t>
      </w:r>
      <w:r>
        <w:rPr>
          <w:rFonts w:ascii="Arial" w:cs="Arial" w:eastAsia="Arial" w:hAnsi="Arial"/>
          <w:sz w:val="18"/>
          <w:szCs w:val="18"/>
          <w:color w:val="0000FF"/>
        </w:rPr>
        <w:t xml:space="preserve">. No Loan Party maintains, sponsors, administrates, contributes to, participates in or has any </w:t>
      </w:r>
      <w:r>
        <w:rPr>
          <w:rFonts w:ascii="Arial" w:cs="Arial" w:eastAsia="Arial" w:hAnsi="Arial"/>
          <w:sz w:val="18"/>
          <w:szCs w:val="18"/>
          <w:u w:val="single" w:color="auto"/>
          <w:color w:val="0000FF"/>
        </w:rPr>
        <w:t>obligations or any actual or contingent liability in respect of a Canadian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24078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-182245</wp:posOffset>
            </wp:positionV>
            <wp:extent cx="587692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58769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468884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36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0000FF"/>
        </w:rPr>
        <w:t>ARTICLE 6</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-121920</wp:posOffset>
            </wp:positionV>
            <wp:extent cx="60007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So long as any Lender shall have any Commitment hereunder or any Loan or other Obligation (other than contingent indemnification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reimbursement obligations) hereunder which is accrued or payable shall remain unpaid or unsatisfied, then from and after the </w:t>
      </w:r>
      <w:r>
        <w:rPr>
          <w:rFonts w:ascii="Arial" w:cs="Arial" w:eastAsia="Arial" w:hAnsi="Arial"/>
          <w:sz w:val="17"/>
          <w:szCs w:val="17"/>
          <w:color w:val="FF0000"/>
          <w:strike w:val="1"/>
        </w:rPr>
        <w:t>Restatement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FF0000"/>
          <w:strike w:val="1"/>
        </w:rPr>
        <w:t>Effective</w:t>
      </w:r>
      <w:r>
        <w:rPr>
          <w:rFonts w:ascii="Arial" w:cs="Arial" w:eastAsia="Arial" w:hAnsi="Arial"/>
          <w:sz w:val="16"/>
          <w:szCs w:val="16"/>
          <w:u w:val="single" w:color="auto"/>
          <w:color w:val="0000FF"/>
        </w:rPr>
        <w:t>Postpetition B-2 Facility Closing</w:t>
      </w:r>
      <w:r>
        <w:rPr>
          <w:rFonts w:ascii="Arial" w:cs="Arial" w:eastAsia="Arial" w:hAnsi="Arial"/>
          <w:sz w:val="16"/>
          <w:szCs w:val="16"/>
          <w:color w:val="FF0000"/>
        </w:rPr>
        <w:t xml:space="preserve"> </w:t>
      </w:r>
      <w:r>
        <w:rPr>
          <w:rFonts w:ascii="Arial" w:cs="Arial" w:eastAsia="Arial" w:hAnsi="Arial"/>
          <w:sz w:val="16"/>
          <w:szCs w:val="16"/>
          <w:color w:val="000000"/>
        </w:rPr>
        <w:t>Date, the Borrower shall and shall (except in the case of the covenants set forth in</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Sections 6.01</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6.02</w:t>
      </w:r>
      <w:r>
        <w:rPr>
          <w:rFonts w:ascii="Arial" w:cs="Arial" w:eastAsia="Arial" w:hAnsi="Arial"/>
          <w:sz w:val="16"/>
          <w:szCs w:val="16"/>
          <w:color w:val="FF0000"/>
          <w:strike w:val="1"/>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6.03 and 6.15</w:t>
      </w:r>
      <w:r>
        <w:rPr>
          <w:rFonts w:ascii="Arial" w:cs="Arial" w:eastAsia="Arial" w:hAnsi="Arial"/>
          <w:sz w:val="18"/>
          <w:szCs w:val="18"/>
          <w:color w:val="000000"/>
        </w:rPr>
        <w:t>) cause each of the</w:t>
      </w:r>
      <w:r>
        <w:rPr>
          <w:rFonts w:ascii="Arial" w:cs="Arial" w:eastAsia="Arial" w:hAnsi="Arial"/>
          <w:sz w:val="18"/>
          <w:szCs w:val="18"/>
          <w:color w:val="FF0000"/>
        </w:rPr>
        <w:t xml:space="preserve"> </w:t>
      </w:r>
      <w:r>
        <w:rPr>
          <w:rFonts w:ascii="Arial" w:cs="Arial" w:eastAsia="Arial" w:hAnsi="Arial"/>
          <w:sz w:val="18"/>
          <w:szCs w:val="18"/>
          <w:color w:val="FF0000"/>
          <w:strike w:val="1"/>
        </w:rPr>
        <w:t>Restricted</w:t>
      </w:r>
      <w:r>
        <w:rPr>
          <w:rFonts w:ascii="Arial" w:cs="Arial" w:eastAsia="Arial" w:hAnsi="Arial"/>
          <w:sz w:val="18"/>
          <w:szCs w:val="18"/>
          <w:color w:val="FF0000"/>
        </w:rPr>
        <w:t xml:space="preserve"> </w:t>
      </w:r>
      <w:r>
        <w:rPr>
          <w:rFonts w:ascii="Arial" w:cs="Arial" w:eastAsia="Arial" w:hAnsi="Arial"/>
          <w:sz w:val="18"/>
          <w:szCs w:val="18"/>
          <w:color w:val="000000"/>
        </w:rPr>
        <w:t>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-121920</wp:posOffset>
            </wp:positionV>
            <wp:extent cx="149987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499870" cy="8890"/>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-121920</wp:posOffset>
            </wp:positionV>
            <wp:extent cx="16319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9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Section 6.01 </w:t>
      </w:r>
      <w:r>
        <w:rPr>
          <w:rFonts w:ascii="Arial" w:cs="Arial" w:eastAsia="Arial" w:hAnsi="Arial"/>
          <w:sz w:val="18"/>
          <w:szCs w:val="18"/>
          <w:i w:val="1"/>
          <w:iCs w:val="1"/>
          <w:color w:val="auto"/>
        </w:rPr>
        <w:t>Financial Statements, Reports, Etc.</w:t>
      </w:r>
      <w:r>
        <w:rPr>
          <w:rFonts w:ascii="Arial" w:cs="Arial" w:eastAsia="Arial" w:hAnsi="Arial"/>
          <w:sz w:val="18"/>
          <w:szCs w:val="18"/>
          <w:color w:val="auto"/>
        </w:rPr>
        <w:t xml:space="preserve"> In the case of the Borrower, deliver to the Administrative Agent for prompt further distribution to each Lender</w:t>
      </w:r>
      <w:r>
        <w:rPr>
          <w:rFonts w:ascii="Arial" w:cs="Arial" w:eastAsia="Arial" w:hAnsi="Arial"/>
          <w:sz w:val="18"/>
          <w:szCs w:val="18"/>
          <w:color w:val="FF0000"/>
          <w:strike w:val="1"/>
        </w:rPr>
        <w:t>:</w:t>
      </w:r>
    </w:p>
    <w:p>
      <w:pPr>
        <w:spacing w:after="0" w:line="170"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FF0000"/>
          <w:strike w:val="1"/>
        </w:rPr>
        <w:t xml:space="preserve">(a)  </w:t>
      </w:r>
      <w:r>
        <w:rPr>
          <w:rFonts w:ascii="Arial" w:cs="Arial" w:eastAsia="Arial" w:hAnsi="Arial"/>
          <w:sz w:val="16"/>
          <w:szCs w:val="16"/>
          <w:u w:val="single" w:color="auto"/>
          <w:color w:val="0000FF"/>
          <w:strike w:val="1"/>
        </w:rPr>
        <w:t>,</w:t>
      </w:r>
      <w:r>
        <w:rPr>
          <w:rFonts w:ascii="Arial" w:cs="Arial" w:eastAsia="Arial" w:hAnsi="Arial"/>
          <w:sz w:val="16"/>
          <w:szCs w:val="16"/>
          <w:color w:val="FF0000"/>
          <w:strike w:val="1"/>
        </w:rPr>
        <w:t xml:space="preserve"> within 90 days after the end of each fiscal year of the Borrower (beginning with the fiscal year ending December 31, 2019), a consolidated balance sheet of the Borrower and its Subsidiaries as at the end of such fiscal year, and the related consolidated statements of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-673735</wp:posOffset>
            </wp:positionV>
            <wp:extent cx="2603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ind w:left="4" w:hanging="4"/>
        <w:spacing w:after="0" w:line="253" w:lineRule="auto"/>
        <w:tabs>
          <w:tab w:leader="none" w:pos="219" w:val="left"/>
        </w:tabs>
        <w:numPr>
          <w:ilvl w:val="0"/>
          <w:numId w:val="161"/>
        </w:numPr>
        <w:rPr>
          <w:rFonts w:ascii="Arial" w:cs="Arial" w:eastAsia="Arial" w:hAnsi="Arial"/>
          <w:sz w:val="18"/>
          <w:szCs w:val="18"/>
          <w:color w:val="FF0000"/>
          <w:strike w:val="1"/>
        </w:rPr>
      </w:pPr>
      <w:r>
        <w:rPr>
          <w:rFonts w:ascii="Arial" w:cs="Arial" w:eastAsia="Arial" w:hAnsi="Arial"/>
          <w:sz w:val="18"/>
          <w:szCs w:val="18"/>
          <w:color w:val="FF0000"/>
          <w:strike w:val="1"/>
        </w:rPr>
        <w:t>shall be prepared in accordance with generally accepted auditing standards, (ii) shall not be subject to qualifications or exceptions as to the scope of such audit, (iii) shall be without a “going concern” disclosure or like qualification or exception (other than with respect to, or disclosure or an exception or qualification solely resulting from, (x) the impending maturity of any Indebtedness, (y) any prospective or actual default under any financial covenant or (z) the impact of COVID 19 on the business of the Borrower and its Subsidiaries) and (iv) shall be accompanied with customary management discussion and analysis;</w:t>
      </w:r>
    </w:p>
    <w:p>
      <w:pPr>
        <w:spacing w:after="0" w:line="191" w:lineRule="exact"/>
        <w:rPr>
          <w:sz w:val="20"/>
          <w:szCs w:val="20"/>
          <w:color w:val="auto"/>
        </w:rPr>
      </w:pPr>
    </w:p>
    <w:p>
      <w:pPr>
        <w:ind w:left="4" w:right="120"/>
        <w:spacing w:after="0" w:line="271"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0000"/>
        </w:rPr>
        <w:t> within 45 days after the end of each</w:t>
      </w:r>
      <w:r>
        <w:rPr>
          <w:rFonts w:ascii="Arial" w:cs="Arial" w:eastAsia="Arial" w:hAnsi="Arial"/>
          <w:sz w:val="17"/>
          <w:szCs w:val="17"/>
          <w:color w:val="FF0000"/>
        </w:rPr>
        <w:t xml:space="preserve"> </w:t>
      </w:r>
      <w:r>
        <w:rPr>
          <w:rFonts w:ascii="Arial" w:cs="Arial" w:eastAsia="Arial" w:hAnsi="Arial"/>
          <w:sz w:val="17"/>
          <w:szCs w:val="17"/>
          <w:color w:val="FF0000"/>
          <w:strike w:val="1"/>
        </w:rPr>
        <w:t>of the first three (3)</w:t>
      </w:r>
      <w:r>
        <w:rPr>
          <w:rFonts w:ascii="Arial" w:cs="Arial" w:eastAsia="Arial" w:hAnsi="Arial"/>
          <w:sz w:val="17"/>
          <w:szCs w:val="17"/>
          <w:color w:val="FF0000"/>
        </w:rPr>
        <w:t xml:space="preserve"> </w:t>
      </w:r>
      <w:r>
        <w:rPr>
          <w:rFonts w:ascii="Arial" w:cs="Arial" w:eastAsia="Arial" w:hAnsi="Arial"/>
          <w:sz w:val="17"/>
          <w:szCs w:val="17"/>
          <w:color w:val="000000"/>
        </w:rPr>
        <w:t>fiscal quarter</w:t>
      </w:r>
      <w:r>
        <w:rPr>
          <w:rFonts w:ascii="Arial" w:cs="Arial" w:eastAsia="Arial" w:hAnsi="Arial"/>
          <w:sz w:val="17"/>
          <w:szCs w:val="17"/>
          <w:color w:val="FF0000"/>
          <w:strike w:val="1"/>
        </w:rPr>
        <w:t>s</w:t>
      </w:r>
      <w:r>
        <w:rPr>
          <w:rFonts w:ascii="Arial" w:cs="Arial" w:eastAsia="Arial" w:hAnsi="Arial"/>
          <w:sz w:val="17"/>
          <w:szCs w:val="17"/>
          <w:color w:val="FF0000"/>
        </w:rPr>
        <w:t xml:space="preserve"> </w:t>
      </w:r>
      <w:r>
        <w:rPr>
          <w:rFonts w:ascii="Arial" w:cs="Arial" w:eastAsia="Arial" w:hAnsi="Arial"/>
          <w:sz w:val="17"/>
          <w:szCs w:val="17"/>
          <w:color w:val="000000"/>
        </w:rPr>
        <w:t>of each fiscal year of the Borrower (commencing with the fiscal quarter</w:t>
      </w:r>
      <w:r>
        <w:rPr>
          <w:rFonts w:ascii="Arial" w:cs="Arial" w:eastAsia="Arial" w:hAnsi="Arial"/>
          <w:sz w:val="17"/>
          <w:szCs w:val="17"/>
          <w:color w:val="FF0000"/>
        </w:rPr>
        <w:t xml:space="preserve"> </w:t>
      </w:r>
      <w:r>
        <w:rPr>
          <w:rFonts w:ascii="Arial" w:cs="Arial" w:eastAsia="Arial" w:hAnsi="Arial"/>
          <w:sz w:val="17"/>
          <w:szCs w:val="17"/>
          <w:color w:val="000000"/>
        </w:rPr>
        <w:t xml:space="preserve">ended </w:t>
      </w:r>
      <w:r>
        <w:rPr>
          <w:rFonts w:ascii="Arial" w:cs="Arial" w:eastAsia="Arial" w:hAnsi="Arial"/>
          <w:sz w:val="17"/>
          <w:szCs w:val="17"/>
          <w:color w:val="FF0000"/>
          <w:strike w:val="1"/>
        </w:rPr>
        <w:t>September</w:t>
      </w:r>
      <w:r>
        <w:rPr>
          <w:rFonts w:ascii="Arial" w:cs="Arial" w:eastAsia="Arial" w:hAnsi="Arial"/>
          <w:sz w:val="17"/>
          <w:szCs w:val="17"/>
          <w:u w:val="single" w:color="auto"/>
          <w:color w:val="0000FF"/>
        </w:rPr>
        <w:t>June</w:t>
      </w:r>
      <w:r>
        <w:rPr>
          <w:rFonts w:ascii="Arial" w:cs="Arial" w:eastAsia="Arial" w:hAnsi="Arial"/>
          <w:sz w:val="17"/>
          <w:szCs w:val="17"/>
          <w:color w:val="000000"/>
        </w:rPr>
        <w:t xml:space="preserve"> 30, 20</w:t>
      </w:r>
      <w:r>
        <w:rPr>
          <w:rFonts w:ascii="Arial" w:cs="Arial" w:eastAsia="Arial" w:hAnsi="Arial"/>
          <w:sz w:val="17"/>
          <w:szCs w:val="17"/>
          <w:color w:val="FF0000"/>
          <w:strike w:val="1"/>
        </w:rPr>
        <w:t>19</w:t>
      </w:r>
      <w:r>
        <w:rPr>
          <w:rFonts w:ascii="Arial" w:cs="Arial" w:eastAsia="Arial" w:hAnsi="Arial"/>
          <w:sz w:val="17"/>
          <w:szCs w:val="17"/>
          <w:u w:val="single" w:color="auto"/>
          <w:color w:val="0000FF"/>
        </w:rPr>
        <w:t>23</w:t>
      </w:r>
      <w:r>
        <w:rPr>
          <w:rFonts w:ascii="Arial" w:cs="Arial" w:eastAsia="Arial" w:hAnsi="Arial"/>
          <w:sz w:val="17"/>
          <w:szCs w:val="17"/>
          <w:color w:val="000000"/>
        </w:rPr>
        <w:t xml:space="preserve"> ), a consolidated balance sheet of the Borrower and its Subsidiaries as </w:t>
      </w:r>
      <w:r>
        <w:rPr>
          <w:rFonts w:ascii="Arial" w:cs="Arial" w:eastAsia="Arial" w:hAnsi="Arial"/>
          <w:sz w:val="17"/>
          <w:szCs w:val="17"/>
          <w:color w:val="FF0000"/>
          <w:strike w:val="1"/>
        </w:rPr>
        <w:t>at</w:t>
      </w:r>
      <w:r>
        <w:rPr>
          <w:rFonts w:ascii="Arial" w:cs="Arial" w:eastAsia="Arial" w:hAnsi="Arial"/>
          <w:sz w:val="17"/>
          <w:szCs w:val="17"/>
          <w:u w:val="single" w:color="auto"/>
          <w:color w:val="0000FF"/>
        </w:rPr>
        <w:t>of</w:t>
      </w:r>
      <w:r>
        <w:rPr>
          <w:rFonts w:ascii="Arial" w:cs="Arial" w:eastAsia="Arial" w:hAnsi="Arial"/>
          <w:sz w:val="17"/>
          <w:szCs w:val="17"/>
          <w:color w:val="000000"/>
        </w:rPr>
        <w:t xml:space="preserve"> the end of such fiscal quarter, and the related (x) consolidated statements of income or operations for such fiscal quarter and for the portion of the fiscal year then ended and (y) consolidated statements of cash flows for such fiscal quarter and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 and accompanied by customary management discussion and analysis</w:t>
      </w:r>
      <w:r>
        <w:rPr>
          <w:rFonts w:ascii="Arial" w:cs="Arial" w:eastAsia="Arial" w:hAnsi="Arial"/>
          <w:sz w:val="17"/>
          <w:szCs w:val="17"/>
          <w:color w:val="FF0000"/>
          <w:strike w:val="1"/>
        </w:rPr>
        <w:t>; and</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-828675</wp:posOffset>
            </wp:positionV>
            <wp:extent cx="21399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-828675</wp:posOffset>
            </wp:positionV>
            <wp:extent cx="11176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-828675</wp:posOffset>
            </wp:positionV>
            <wp:extent cx="10287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-5715</wp:posOffset>
            </wp:positionV>
            <wp:extent cx="2540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4"/>
          </w:cols>
          <w:pgMar w:left="436" w:top="274" w:right="479" w:bottom="1440" w:gutter="0" w:footer="0" w:header="0"/>
        </w:sectPr>
      </w:pPr>
    </w:p>
    <w:bookmarkStart w:id="245" w:name="page246"/>
    <w:bookmarkEnd w:id="245"/>
    <w:p>
      <w:pPr>
        <w:ind w:right="120" w:firstLine="440"/>
        <w:spacing w:after="0" w:line="287"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(c) within 90 days after the end of each fiscal year (commencing with the fiscal year ending December 31, 2019) of the Borrower, a reasonably detailed consolidated budget for the following fiscal year on a quarterly basis (including a projected consolidated balance sheet of the Borrower and its Subsidiaries as of the end of the following fiscal year, the related consolidated statements of projected cash flows and projected income and a summary of the material underlying assumptions applicable thereto) (collectively, the “Projections”), which Projections shall in each case be accompanied by a certificate of a Responsible Officer stating that such Projections have been prepared in good faith on the basis of the assumptions stated therein, which assumptions were believed to be reasonable at the time of preparation of such Projections, it being understood by the Agents and the Lenders that such projections as to future events (i) are not to be viewed as facts, (ii)(A) are subject to significant uncertainties and contingencies, which may be beyond the control of the Borrower and its Restricted Subsidiaries, (B) no assurance is given by the Borrower and its Restricted Subsidiaries that the results or forecast in any such projections will be realized and (C) the actual 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7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color w:val="FF0000"/>
          <w:strike w:val="1"/>
        </w:rPr>
        <w:t>paragraphs (a) and (b) of</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may be satisfied with respect to information of the Borrower and the Subsidiaries by furnishing within the time period specified in the applicable paragraph (A) the applicable financial statements of the Borrower or (B) the Borrower’s Form 10-K or 10-Q, as applicable, filed with the SEC</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with respect to clauses (A) and</w:t>
      </w:r>
      <w:r>
        <w:rPr>
          <w:rFonts w:ascii="Arial" w:cs="Arial" w:eastAsia="Arial" w:hAnsi="Arial"/>
          <w:sz w:val="16"/>
          <w:szCs w:val="16"/>
          <w:color w:val="auto"/>
        </w:rPr>
        <w:t xml:space="preserve"> </w:t>
      </w:r>
      <w:r>
        <w:rPr>
          <w:rFonts w:ascii="Arial" w:cs="Arial" w:eastAsia="Arial" w:hAnsi="Arial"/>
          <w:sz w:val="16"/>
          <w:szCs w:val="16"/>
          <w:color w:val="FF0000"/>
          <w:strike w:val="1"/>
        </w:rPr>
        <w:t>(B), to the extent such information is in lieu of information required to be provided under Section 6.01(a) , such materials are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and (iii) shall be without a “going concern” disclosure or like qualification or exception (other than with respect to, or disclosure or an exception or qualification solely resulting from, (A) the impending maturity of any Indebtedness, (B) any prospective or actual default under any financial covenant or (C) the impact of COVID 19 on the business of the Borrower and its Subsidiaries).</w:t>
      </w:r>
      <w:r>
        <w:rPr>
          <w:rFonts w:ascii="Arial" w:cs="Arial" w:eastAsia="Arial" w:hAnsi="Arial"/>
          <w:sz w:val="16"/>
          <w:szCs w:val="16"/>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6581140</wp:posOffset>
            </wp:positionH>
            <wp:positionV relativeFrom="paragraph">
              <wp:posOffset>-12065</wp:posOffset>
            </wp:positionV>
            <wp:extent cx="342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FF0000"/>
          <w:strike w:val="1"/>
        </w:rPr>
        <w:t>(a), (b), (c) and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FF0000"/>
          <w:strike w:val="1"/>
        </w:rPr>
        <w:t>) or (c</w:t>
      </w:r>
      <w:r>
        <w:rPr>
          <w:rFonts w:ascii="Arial" w:cs="Arial" w:eastAsia="Arial" w:hAnsi="Arial"/>
          <w:sz w:val="16"/>
          <w:szCs w:val="16"/>
          <w:u w:val="single" w:color="auto"/>
          <w:color w:val="auto"/>
        </w:rPr>
        <w:t>)</w:t>
      </w:r>
      <w:r>
        <w:rPr>
          <w:rFonts w:ascii="Arial" w:cs="Arial" w:eastAsia="Arial" w:hAnsi="Arial"/>
          <w:sz w:val="16"/>
          <w:szCs w:val="16"/>
          <w:color w:val="auto"/>
        </w:rPr>
        <w:t xml:space="preserve"> may be delivered electronically and if so delivered, shall be deemed to have been delivered on the earliest date on which (i) Borrower posts such documents, or provides a link thereto on Borrower’s website on the Internet and provides notice thereof to the Administrative Agent; (ii) such documents are posted on Borrower’s behalf on IntraLinks/IntraAgency or another website, if any, to which each Lender and the Administrative Agent have access (whether a commercial, third-party website or whether sponsored by the Administrative Agent), or (iii) such financial statements and/or other documents </w:t>
      </w:r>
      <w:r>
        <w:rPr>
          <w:rFonts w:ascii="Arial" w:cs="Arial" w:eastAsia="Arial" w:hAnsi="Arial"/>
          <w:sz w:val="16"/>
          <w:szCs w:val="16"/>
          <w:color w:val="FF0000"/>
          <w:strike w:val="1"/>
        </w:rPr>
        <w:t>are posted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are posted</w:t>
      </w:r>
      <w:r>
        <w:rPr>
          <w:rFonts w:ascii="Arial" w:cs="Arial" w:eastAsia="Arial" w:hAnsi="Arial"/>
          <w:sz w:val="16"/>
          <w:szCs w:val="16"/>
          <w:color w:val="auto"/>
        </w:rPr>
        <w:t xml:space="preserve"> on the SEC’s website on the internet at www.sec.gov;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promptly following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w:t>
      </w:r>
      <w:r>
        <w:rPr>
          <w:rFonts w:ascii="Arial" w:cs="Arial" w:eastAsia="Arial" w:hAnsi="Arial"/>
          <w:sz w:val="16"/>
          <w:szCs w:val="16"/>
          <w:color w:val="FF0000"/>
          <w:strike w:val="1"/>
        </w:rPr>
        <w:t>Notwithstanding anything contained herein, in every instance the</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Borrower shall be required to provide paper copies of the Compliance Certificates required by Section 6.02(a) to the Administrative Agent;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however, that if such Compliance Certificate is first delivered by electronic means, the date of such delivery by electronic means shall constitute the date of delivery for purposes of compliance with Section 6.02(a).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5886450</wp:posOffset>
            </wp:positionH>
            <wp:positionV relativeFrom="paragraph">
              <wp:posOffset>-1245235</wp:posOffset>
            </wp:positionV>
            <wp:extent cx="48895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246" w:name="page247"/>
    <w:bookmarkEnd w:id="246"/>
    <w:p>
      <w:pPr>
        <w:ind w:right="180" w:firstLine="4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6.02.</w:t>
      </w:r>
      <w:r>
        <w:rPr>
          <w:rFonts w:ascii="Arial" w:cs="Arial" w:eastAsia="Arial" w:hAnsi="Arial"/>
          <w:sz w:val="18"/>
          <w:szCs w:val="18"/>
          <w:color w:val="FF0000"/>
        </w:rPr>
        <w:t xml:space="preserve"> </w:t>
      </w:r>
      <w:r>
        <w:rPr>
          <w:rFonts w:ascii="Arial" w:cs="Arial" w:eastAsia="Arial" w:hAnsi="Arial"/>
          <w:sz w:val="18"/>
          <w:szCs w:val="18"/>
          <w:color w:val="0000FF"/>
        </w:rPr>
        <w:t>Section 6.02 </w:t>
      </w:r>
      <w:r>
        <w:rPr>
          <w:rFonts w:ascii="Arial" w:cs="Arial" w:eastAsia="Arial" w:hAnsi="Arial"/>
          <w:sz w:val="18"/>
          <w:szCs w:val="18"/>
          <w:i w:val="1"/>
          <w:iCs w:val="1"/>
          <w:color w:val="000000"/>
        </w:rPr>
        <w:t>Certificates; Other Information.</w:t>
      </w:r>
      <w:r>
        <w:rPr>
          <w:rFonts w:ascii="Arial" w:cs="Arial" w:eastAsia="Arial" w:hAnsi="Arial"/>
          <w:sz w:val="18"/>
          <w:szCs w:val="18"/>
          <w:color w:val="FF0000"/>
        </w:rPr>
        <w:t xml:space="preserve"> </w:t>
      </w:r>
      <w:r>
        <w:rPr>
          <w:rFonts w:ascii="Arial" w:cs="Arial" w:eastAsia="Arial" w:hAnsi="Arial"/>
          <w:sz w:val="18"/>
          <w:szCs w:val="18"/>
          <w:color w:val="000000"/>
        </w:rPr>
        <w:t>Deliver to the Administrative Agent for prompt further distribution to each Lender</w:t>
      </w:r>
      <w:r>
        <w:rPr>
          <w:rFonts w:ascii="Arial" w:cs="Arial" w:eastAsia="Arial" w:hAnsi="Arial"/>
          <w:sz w:val="18"/>
          <w:szCs w:val="18"/>
          <w:color w:val="FF0000"/>
        </w:rPr>
        <w:t xml:space="preserve"> </w:t>
      </w:r>
      <w:r>
        <w:rPr>
          <w:rFonts w:ascii="Arial" w:cs="Arial" w:eastAsia="Arial" w:hAnsi="Arial"/>
          <w:sz w:val="18"/>
          <w:szCs w:val="18"/>
          <w:color w:val="000000"/>
        </w:rPr>
        <w:t>(or, with respect to clauses (</w:t>
      </w:r>
      <w:r>
        <w:rPr>
          <w:rFonts w:ascii="Arial" w:cs="Arial" w:eastAsia="Arial" w:hAnsi="Arial"/>
          <w:sz w:val="18"/>
          <w:szCs w:val="18"/>
          <w:color w:val="FF0000"/>
          <w:strike w:val="1"/>
        </w:rPr>
        <w:t>l</w:t>
      </w:r>
      <w:r>
        <w:rPr>
          <w:rFonts w:ascii="Arial" w:cs="Arial" w:eastAsia="Arial" w:hAnsi="Arial"/>
          <w:sz w:val="18"/>
          <w:szCs w:val="18"/>
          <w:u w:val="single" w:color="auto"/>
          <w:color w:val="0000FF"/>
        </w:rPr>
        <w:t>k</w:t>
      </w:r>
      <w:r>
        <w:rPr>
          <w:rFonts w:ascii="Arial" w:cs="Arial" w:eastAsia="Arial" w:hAnsi="Arial"/>
          <w:sz w:val="18"/>
          <w:szCs w:val="18"/>
          <w:color w:val="000000"/>
        </w:rPr>
        <w:t xml:space="preserve">) through (o), deliver directly to the Lenders </w:t>
      </w:r>
      <w:r>
        <w:rPr>
          <w:rFonts w:ascii="Arial" w:cs="Arial" w:eastAsia="Arial" w:hAnsi="Arial"/>
          <w:sz w:val="18"/>
          <w:szCs w:val="18"/>
          <w:color w:val="0000FF"/>
        </w:rPr>
        <w:t>and their advisors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-147955</wp:posOffset>
            </wp:positionV>
            <wp:extent cx="68580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-182245</wp:posOffset>
            </wp:positionV>
            <wp:extent cx="68516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-10795</wp:posOffset>
            </wp:positionV>
            <wp:extent cx="596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-10795</wp:posOffset>
            </wp:positionV>
            <wp:extent cx="84899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-45085</wp:posOffset>
            </wp:positionV>
            <wp:extent cx="84074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15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FF0000"/>
          <w:strike w:val="1"/>
        </w:rPr>
        <w:t>(a) no later than five (5) Business Days after the delivery of the financial statements referred to in Sections 6.01(a) and 6.01(b) (or the date on which such delivery is required), commencing with the first full fiscal quarter completed after the Restatement Effective Date, a duly completed Compliance Certificate signed by a Responsible Officer of the Borrower; it being understood that , if applicable for such period of delivery, such Compliance Certificate shall include (i) information about Net Proceeds received in the period for individual amounts greater than $5,000,000 and set forth statements of the Borrower’s intention regarding the use of any portion of such Net Proceeds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division or line of business previously acquired) and (ii) calculations setting forth in reasonable detail the amount of any Cumulative Credit available at the beginning of the applicable period and at the end of such period and the amount and application of any Cumulative Credit during such period (it being understood that the Borrower has the right to reallocate usage of the Cumulative Credit in accordance with Section 1.02(i) from time to time);</w:t>
      </w:r>
    </w:p>
    <w:p>
      <w:pPr>
        <w:spacing w:after="0" w:line="168"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u w:val="single" w:color="auto"/>
          <w:color w:val="0000FF"/>
        </w:rPr>
        <w:t>(a)</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concurrently with the delivery of the financial statements referred to in Sections 6.01 (or the date on which such delivery is required),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commencing with the first fiscal quarter ended after the Postpetition B-2 Facility Closing Date, a duly completed Compliance Certificate signed by a Responsible Officer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36905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06565"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70561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4"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(b) promptly after the same are publicly available, copies of all annual, regular, periodic and special reports and registration statements which the Borrower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8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color w:val="FF0000"/>
          <w:strike w:val="1"/>
        </w:rPr>
        <w:t>(i)</w:t>
      </w:r>
      <w:r>
        <w:rPr>
          <w:rFonts w:ascii="Arial" w:cs="Arial" w:eastAsia="Arial" w:hAnsi="Arial"/>
          <w:sz w:val="17"/>
          <w:szCs w:val="17"/>
          <w:color w:val="auto"/>
        </w:rPr>
        <w:t xml:space="preserve"> promptly after the furnishing thereof, copies of any material notices </w:t>
      </w:r>
      <w:r>
        <w:rPr>
          <w:rFonts w:ascii="Arial" w:cs="Arial" w:eastAsia="Arial" w:hAnsi="Arial"/>
          <w:sz w:val="17"/>
          <w:szCs w:val="17"/>
          <w:color w:val="FF0000"/>
          <w:strike w:val="1"/>
        </w:rPr>
        <w:t>of default</w:t>
      </w:r>
      <w:r>
        <w:rPr>
          <w:rFonts w:ascii="Arial" w:cs="Arial" w:eastAsia="Arial" w:hAnsi="Arial"/>
          <w:sz w:val="17"/>
          <w:szCs w:val="17"/>
          <w:color w:val="auto"/>
        </w:rPr>
        <w:t xml:space="preserve"> received by any Loan Party or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(other than in the ordinary course of business) or furnished to any holder of Indebtedness or debt securities of any Loan Party or of any of its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 </w:t>
      </w:r>
      <w:r>
        <w:rPr>
          <w:rFonts w:ascii="Arial" w:cs="Arial" w:eastAsia="Arial" w:hAnsi="Arial"/>
          <w:sz w:val="17"/>
          <w:szCs w:val="17"/>
          <w:u w:val="single" w:color="auto"/>
          <w:color w:val="0000FF"/>
        </w:rPr>
        <w:t>(including</w:t>
      </w:r>
      <w:r>
        <w:rPr>
          <w:rFonts w:ascii="Arial" w:cs="Arial" w:eastAsia="Arial" w:hAnsi="Arial"/>
          <w:sz w:val="17"/>
          <w:szCs w:val="17"/>
          <w:color w:val="auto"/>
        </w:rPr>
        <w:t xml:space="preserve"> pursuant to the terms of </w:t>
      </w:r>
      <w:r>
        <w:rPr>
          <w:rFonts w:ascii="Arial" w:cs="Arial" w:eastAsia="Arial" w:hAnsi="Arial"/>
          <w:sz w:val="17"/>
          <w:szCs w:val="17"/>
          <w:color w:val="FF0000"/>
          <w:strike w:val="1"/>
        </w:rPr>
        <w:t>the ABL Facility Documentation, the UST Tranche A Facility Documentation, UST Tranche B Facility</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Documentation, any Junior Financing Documentation, any Permitted Additional Debt or any Permitted Refinancing of any thereof, in each case in a </w:t>
      </w:r>
      <w:r>
        <w:rPr>
          <w:rFonts w:ascii="Arial" w:cs="Arial" w:eastAsia="Arial" w:hAnsi="Arial"/>
          <w:sz w:val="17"/>
          <w:szCs w:val="17"/>
          <w:u w:val="single" w:color="auto"/>
          <w:color w:val="0000FF"/>
          <w:strike w:val="1"/>
        </w:rPr>
        <w:t>any</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 xml:space="preserve">Prepetition Indebtedness) (and solely in the case of Indebtedness or debt securities incurred or issued prior to the Petition Date, to the extent the </w:t>
      </w:r>
      <w:r>
        <w:rPr>
          <w:rFonts w:ascii="Arial" w:cs="Arial" w:eastAsia="Arial" w:hAnsi="Arial"/>
          <w:sz w:val="17"/>
          <w:szCs w:val="17"/>
          <w:color w:val="000000"/>
          <w:strike w:val="1"/>
        </w:rPr>
        <w:t xml:space="preserve">principal amount </w:t>
      </w:r>
      <w:r>
        <w:rPr>
          <w:rFonts w:ascii="Arial" w:cs="Arial" w:eastAsia="Arial" w:hAnsi="Arial"/>
          <w:sz w:val="17"/>
          <w:szCs w:val="17"/>
          <w:color w:val="FF0000"/>
          <w:strike w:val="1"/>
        </w:rPr>
        <w:t>in excess of</w:t>
      </w:r>
      <w:r>
        <w:rPr>
          <w:rFonts w:ascii="Arial" w:cs="Arial" w:eastAsia="Arial" w:hAnsi="Arial"/>
          <w:sz w:val="17"/>
          <w:szCs w:val="17"/>
          <w:u w:val="single" w:color="auto"/>
          <w:color w:val="0000FF"/>
          <w:strike w:val="1"/>
        </w:rPr>
        <w:t>thereof exceeds</w:t>
      </w:r>
      <w:r>
        <w:rPr>
          <w:rFonts w:ascii="Arial" w:cs="Arial" w:eastAsia="Arial" w:hAnsi="Arial"/>
          <w:sz w:val="17"/>
          <w:szCs w:val="17"/>
          <w:color w:val="000000"/>
          <w:strike w:val="1"/>
        </w:rPr>
        <w:t xml:space="preserve"> the Threshold Amount </w:t>
      </w:r>
      <w:r>
        <w:rPr>
          <w:rFonts w:ascii="Arial" w:cs="Arial" w:eastAsia="Arial" w:hAnsi="Arial"/>
          <w:sz w:val="17"/>
          <w:szCs w:val="17"/>
          <w:color w:val="FF0000"/>
          <w:strike w:val="1"/>
        </w:rPr>
        <w:t>and not otherwise required to be furnished to the Lenders pursuant to any clause of</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this Section 6.02, (ii) promptly after the execution thereof, copies of any amendments, modifications or waivers to the ABL Facility Documentation, the UST Tranche A Facility Documentation or UST Tranche B Facility Documentation, (iii) promptly after delivery thereof, copies of each “Approved CapEx Plan” and “CapEx Plan” under (and as defined in) the UST Tranche B Credit Agreement, and (iv) promptly after the execution thereof, copies of the Treasury Equity Documents;</w:t>
      </w:r>
      <w:r>
        <w:rPr>
          <w:rFonts w:ascii="Arial" w:cs="Arial" w:eastAsia="Arial" w:hAnsi="Arial"/>
          <w:sz w:val="17"/>
          <w:szCs w:val="17"/>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-961390</wp:posOffset>
            </wp:positionV>
            <wp:extent cx="50546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6804025</wp:posOffset>
            </wp:positionH>
            <wp:positionV relativeFrom="paragraph">
              <wp:posOffset>-824230</wp:posOffset>
            </wp:positionV>
            <wp:extent cx="16319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-687070</wp:posOffset>
            </wp:positionV>
            <wp:extent cx="656653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-549910</wp:posOffset>
            </wp:positionV>
            <wp:extent cx="71120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-635635</wp:posOffset>
            </wp:positionV>
            <wp:extent cx="381698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81698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-1270</wp:posOffset>
            </wp:positionV>
            <wp:extent cx="6858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247" w:name="page248"/>
    <w:bookmarkEnd w:id="247"/>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(d) together with the delivery of each Compliance Certificate pursuant to Section 6.02(a), (i) </w:t>
      </w:r>
      <w:r>
        <w:rPr>
          <w:rFonts w:ascii="Arial" w:cs="Arial" w:eastAsia="Arial" w:hAnsi="Arial"/>
          <w:sz w:val="18"/>
          <w:szCs w:val="18"/>
          <w:color w:val="FF0000"/>
          <w:strike w:val="1"/>
        </w:rPr>
        <w:t>in the case of annual Compliance Certificates only,</w:t>
      </w:r>
      <w:r>
        <w:rPr>
          <w:rFonts w:ascii="Arial" w:cs="Arial" w:eastAsia="Arial" w:hAnsi="Arial"/>
          <w:sz w:val="18"/>
          <w:szCs w:val="18"/>
          <w:color w:val="auto"/>
        </w:rPr>
        <w:t xml:space="preserve"> a report setting forth the information required by sections of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Perfection Certificate describing the legal name and the jurisdiction of organization or formation of each Loan Party and the location of the chief executive office of each Loan Party or confirming that there has been no change in such information since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auto"/>
        </w:rPr>
        <w:t xml:space="preserve"> Date or the date of the last such report, (ii) a description of each </w:t>
      </w:r>
      <w:r>
        <w:rPr>
          <w:rFonts w:ascii="Arial" w:cs="Arial" w:eastAsia="Arial" w:hAnsi="Arial"/>
          <w:sz w:val="18"/>
          <w:szCs w:val="18"/>
          <w:color w:val="FF0000"/>
          <w:strike w:val="1"/>
        </w:rPr>
        <w:t>(x) event, condition or circumstance during the last fiscal quarter covered by such Compliance Certificate requiring a mandatory prepayment under</w:t>
      </w:r>
      <w:r>
        <w:rPr>
          <w:rFonts w:ascii="Arial" w:cs="Arial" w:eastAsia="Arial" w:hAnsi="Arial"/>
          <w:sz w:val="18"/>
          <w:szCs w:val="18"/>
          <w:color w:val="auto"/>
        </w:rPr>
        <w:t xml:space="preserve"> </w:t>
      </w:r>
      <w:r>
        <w:rPr>
          <w:rFonts w:ascii="Arial" w:cs="Arial" w:eastAsia="Arial" w:hAnsi="Arial"/>
          <w:sz w:val="18"/>
          <w:szCs w:val="18"/>
          <w:color w:val="FF0000"/>
          <w:strike w:val="1"/>
        </w:rPr>
        <w:t>Section 2.13(a) and (y)</w:t>
      </w:r>
      <w:r>
        <w:rPr>
          <w:rFonts w:ascii="Arial" w:cs="Arial" w:eastAsia="Arial" w:hAnsi="Arial"/>
          <w:sz w:val="18"/>
          <w:szCs w:val="18"/>
          <w:color w:val="FF0000"/>
        </w:rPr>
        <w:t xml:space="preserve"> </w:t>
      </w:r>
      <w:r>
        <w:rPr>
          <w:rFonts w:ascii="Arial" w:cs="Arial" w:eastAsia="Arial" w:hAnsi="Arial"/>
          <w:sz w:val="18"/>
          <w:szCs w:val="18"/>
          <w:color w:val="000000"/>
        </w:rPr>
        <w:t>Disposition of owned Real Property</w:t>
      </w:r>
      <w:r>
        <w:rPr>
          <w:rFonts w:ascii="Arial" w:cs="Arial" w:eastAsia="Arial" w:hAnsi="Arial"/>
          <w:sz w:val="18"/>
          <w:szCs w:val="18"/>
          <w:color w:val="FF0000"/>
        </w:rPr>
        <w:t xml:space="preserve"> </w:t>
      </w:r>
      <w:r>
        <w:rPr>
          <w:rFonts w:ascii="Arial" w:cs="Arial" w:eastAsia="Arial" w:hAnsi="Arial"/>
          <w:sz w:val="18"/>
          <w:szCs w:val="18"/>
          <w:color w:val="FF0000"/>
          <w:strike w:val="1"/>
        </w:rPr>
        <w:t>on which sits a trucking terminal and adjacent/vacant land located nearby</w:t>
      </w:r>
      <w:r>
        <w:rPr>
          <w:rFonts w:ascii="Arial" w:cs="Arial" w:eastAsia="Arial" w:hAnsi="Arial"/>
          <w:sz w:val="18"/>
          <w:szCs w:val="18"/>
          <w:color w:val="FF0000"/>
        </w:rPr>
        <w:t xml:space="preserve"> </w:t>
      </w:r>
      <w:r>
        <w:rPr>
          <w:rFonts w:ascii="Arial" w:cs="Arial" w:eastAsia="Arial" w:hAnsi="Arial"/>
          <w:sz w:val="18"/>
          <w:szCs w:val="18"/>
          <w:color w:val="000000"/>
        </w:rPr>
        <w:t>and (iii) a list of</w:t>
      </w:r>
      <w:r>
        <w:rPr>
          <w:rFonts w:ascii="Arial" w:cs="Arial" w:eastAsia="Arial" w:hAnsi="Arial"/>
          <w:sz w:val="18"/>
          <w:szCs w:val="18"/>
          <w:color w:val="FF0000"/>
        </w:rPr>
        <w:t xml:space="preserve"> </w:t>
      </w:r>
      <w:r>
        <w:rPr>
          <w:rFonts w:ascii="Arial" w:cs="Arial" w:eastAsia="Arial" w:hAnsi="Arial"/>
          <w:sz w:val="18"/>
          <w:szCs w:val="18"/>
          <w:color w:val="000000"/>
        </w:rPr>
        <w:t xml:space="preserve">each Subsidiary of the Borrower </w:t>
      </w:r>
      <w:r>
        <w:rPr>
          <w:rFonts w:ascii="Arial" w:cs="Arial" w:eastAsia="Arial" w:hAnsi="Arial"/>
          <w:sz w:val="18"/>
          <w:szCs w:val="18"/>
          <w:color w:val="FF0000"/>
          <w:strike w:val="1"/>
        </w:rPr>
        <w:t>that identifies each Subsidiary as a Loan Party or a non-Loan Party</w:t>
      </w:r>
      <w:r>
        <w:rPr>
          <w:rFonts w:ascii="Arial" w:cs="Arial" w:eastAsia="Arial" w:hAnsi="Arial"/>
          <w:sz w:val="18"/>
          <w:szCs w:val="18"/>
          <w:color w:val="000000"/>
        </w:rPr>
        <w:t xml:space="preserve"> as of the date of delivery of such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-820420</wp:posOffset>
            </wp:positionV>
            <wp:extent cx="53149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-546100</wp:posOffset>
            </wp:positionV>
            <wp:extent cx="150876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72" w:lineRule="exact"/>
        <w:rPr>
          <w:sz w:val="20"/>
          <w:szCs w:val="20"/>
          <w:color w:val="auto"/>
        </w:rPr>
      </w:pPr>
    </w:p>
    <w:p>
      <w:pPr>
        <w:ind w:right="700" w:firstLine="440"/>
        <w:spacing w:after="0" w:line="311" w:lineRule="auto"/>
        <w:rPr>
          <w:sz w:val="20"/>
          <w:szCs w:val="20"/>
          <w:color w:val="auto"/>
        </w:rPr>
      </w:pPr>
      <w:r>
        <w:rPr>
          <w:rFonts w:ascii="Arial" w:cs="Arial" w:eastAsia="Arial" w:hAnsi="Arial"/>
          <w:sz w:val="16"/>
          <w:szCs w:val="16"/>
          <w:color w:val="FF0000"/>
          <w:strike w:val="1"/>
        </w:rPr>
        <w:t>(e) promptly, such additional information regarding the business, legal, financial or corporate affairs of the Loan Parties or any of their respective Restricted Subsidiaries, including the business performance and tax and collateral due diligence of the Borrower and its Restricted Subsidiaries, as the Administrative Agent or any Lender through the Administrative Agent may from time to time reasonably request;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76263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(f) promptly after the written request by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(g) promptly after the receipt thereof by the Borrower 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a copy of any final “management letter” received by any such Person from its certified public accountants and the management’s response thereto;</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FF0000"/>
          <w:strike w:val="1"/>
        </w:rPr>
        <w:t xml:space="preserve">(h) promptly following any request therefor by the Administrative Agent or any Lender, copies of (i) any material documents described in Section 101(k) of ERISA that any Loan Party may request with respect to any Multiemployer Plan and (ii) any material notices described in Section 101(l) of ERISA that any Loan Party may request with respect to any Plan or Multiemployer Plan,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if any Loan Party has not requested such material documents or material notices from the administrator or sponsor of the applicable Plan or Multiemployer Plan, such Loan Party shall make a request for such material documents or material notices from the such administrator or sponsor at the earliest date on which such Loan Party determines that it is commercially reasonable to so request in order to avoid the occurrence of an event that could reasonably be expected to result in a material liability, and shall provide copies of such material documents and material notices promptly after receipt thereof;</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(h)</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proposed service list in connection with any Order or relief sought by any Loan Party from the Canadian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55460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20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(i) promptly after the furnishing thereof (and in no event later than three Business Days after the delivery thereof), a copy of each borrowing base certificate delivered under the </w:t>
      </w:r>
      <w:r>
        <w:rPr>
          <w:rFonts w:ascii="Arial" w:cs="Arial" w:eastAsia="Arial" w:hAnsi="Arial"/>
          <w:sz w:val="18"/>
          <w:szCs w:val="18"/>
          <w:u w:val="single" w:color="auto"/>
          <w:color w:val="0000FF"/>
        </w:rPr>
        <w:t>Prepetition</w:t>
      </w:r>
      <w:r>
        <w:rPr>
          <w:rFonts w:ascii="Arial" w:cs="Arial" w:eastAsia="Arial" w:hAnsi="Arial"/>
          <w:sz w:val="18"/>
          <w:szCs w:val="18"/>
          <w:color w:val="auto"/>
        </w:rPr>
        <w:t xml:space="preserve"> ABL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-10795</wp:posOffset>
            </wp:positionV>
            <wp:extent cx="53149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440" w:top="274" w:right="499" w:bottom="1440" w:gutter="0" w:footer="0" w:header="0"/>
        </w:sectPr>
      </w:pPr>
    </w:p>
    <w:bookmarkStart w:id="248" w:name="page249"/>
    <w:bookmarkEnd w:id="248"/>
    <w:p>
      <w:pPr>
        <w:ind w:left="664" w:hanging="224"/>
        <w:spacing w:after="0"/>
        <w:tabs>
          <w:tab w:leader="none" w:pos="664" w:val="left"/>
        </w:tabs>
        <w:numPr>
          <w:ilvl w:val="1"/>
          <w:numId w:val="162"/>
        </w:numPr>
        <w:rPr>
          <w:rFonts w:ascii="Arial" w:cs="Arial" w:eastAsia="Arial" w:hAnsi="Arial"/>
          <w:sz w:val="17"/>
          <w:szCs w:val="17"/>
          <w:color w:val="FF0000"/>
          <w:strike w:val="1"/>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as of the Amendment No. 2 Effective Date and promptly after the written request by the Administrative Agent or any Lender,</w:t>
      </w:r>
    </w:p>
    <w:p>
      <w:pPr>
        <w:spacing w:after="0" w:line="34" w:lineRule="exact"/>
        <w:rPr>
          <w:rFonts w:ascii="Arial" w:cs="Arial" w:eastAsia="Arial" w:hAnsi="Arial"/>
          <w:sz w:val="17"/>
          <w:szCs w:val="17"/>
          <w:color w:val="FF0000"/>
          <w:strike w:val="1"/>
        </w:rPr>
      </w:pPr>
    </w:p>
    <w:p>
      <w:pPr>
        <w:ind w:left="4" w:hanging="4"/>
        <w:spacing w:after="0" w:line="271" w:lineRule="auto"/>
        <w:tabs>
          <w:tab w:leader="none" w:pos="219" w:val="left"/>
        </w:tabs>
        <w:numPr>
          <w:ilvl w:val="0"/>
          <w:numId w:val="163"/>
        </w:numPr>
        <w:rPr>
          <w:rFonts w:ascii="Arial" w:cs="Arial" w:eastAsia="Arial" w:hAnsi="Arial"/>
          <w:sz w:val="17"/>
          <w:szCs w:val="17"/>
          <w:color w:val="FF0000"/>
          <w:strike w:val="1"/>
        </w:rPr>
      </w:pPr>
      <w:r>
        <w:rPr>
          <w:rFonts w:ascii="Arial" w:cs="Arial" w:eastAsia="Arial" w:hAnsi="Arial"/>
          <w:sz w:val="17"/>
          <w:szCs w:val="17"/>
          <w:color w:val="FF0000"/>
          <w:strike w:val="1"/>
        </w:rPr>
        <w:t>such reasonably available information with respect to purchases of Rolling Stock exceeding $5,000,000 after the Amendment No. 2 Effective Date as the Administrative Agent or such Lender shall request, (ii) all invoices, receipts, agreements or other information detailing or otherwise relating to any Disposition by any Loan Party of Rolling Stock of such Loan Party, which Disposition or series of Dispositions, in each case, results in at least $250,000 of aggregate Net Proceeds during any 12-month period, and (iii) any “Request for Disbursement” or similar notice as defined in and delivered in connection with the UST Tranche A Facility and/or the UST Tranche B Facility;</w:t>
      </w:r>
    </w:p>
    <w:p>
      <w:pPr>
        <w:spacing w:after="0" w:line="178"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u w:val="single" w:color="auto"/>
          <w:color w:val="0000FF"/>
        </w:rPr>
        <w:t>(j)</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at least two (2) days in advance of such filing or as promptly as practicable, (i) drafts of all pleadings, motions, applications, judicial</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information, financial information, notices, reports, orders and other documents intended to be filed by or on behalf of the Borrower or any other Loan Party with the Bankruptcy Court in the Chapter 11 Cases, or distributed by or on behalf of the Borrower or any other Loan Party to any official committee appointed in the Chapter 11 Cases and (ii) drafts of all filings, motions, pleadings, other papers or material notices intended to be filed by or on behalf of the Borrower, in its capacity as “foreign representative” of the Debtors, or any other Loan Party with the Canadian Court in the Canadian Recognition Proceedings, including all motions for all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-691515</wp:posOffset>
            </wp:positionV>
            <wp:extent cx="6292215"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68834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wp:posOffset>
            </wp:positionV>
            <wp:extent cx="6532245"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-280035</wp:posOffset>
            </wp:positionV>
            <wp:extent cx="690943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84085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330898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58" w:lineRule="exact"/>
        <w:rPr>
          <w:sz w:val="20"/>
          <w:szCs w:val="20"/>
          <w:color w:val="auto"/>
        </w:rPr>
      </w:pPr>
    </w:p>
    <w:p>
      <w:pPr>
        <w:ind w:left="4" w:right="620" w:firstLine="440"/>
        <w:spacing w:after="0" w:line="291"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color w:val="FF0000"/>
          <w:strike w:val="1"/>
        </w:rPr>
        <w:t>together with the delivery of each Compliance Certificate pursuant to Section 6.02(a), the Borrower shall promptly deliver to the</w:t>
      </w:r>
      <w:r>
        <w:rPr>
          <w:rFonts w:ascii="Arial" w:cs="Arial" w:eastAsia="Arial" w:hAnsi="Arial"/>
          <w:sz w:val="16"/>
          <w:szCs w:val="16"/>
          <w:color w:val="auto"/>
        </w:rPr>
        <w:t xml:space="preserve"> </w:t>
      </w:r>
      <w:r>
        <w:rPr>
          <w:rFonts w:ascii="Arial" w:cs="Arial" w:eastAsia="Arial" w:hAnsi="Arial"/>
          <w:sz w:val="16"/>
          <w:szCs w:val="16"/>
          <w:color w:val="FF0000"/>
          <w:strike w:val="1"/>
        </w:rPr>
        <w:t>Administrative Agent or such Lender a list of its Rolling Stock specifying whether such Rolling Stock is (A) First Lien Term Priority Collateral,</w:t>
      </w:r>
    </w:p>
    <w:p>
      <w:pPr>
        <w:ind w:left="4" w:right="260" w:hanging="4"/>
        <w:spacing w:after="0" w:line="253" w:lineRule="auto"/>
        <w:tabs>
          <w:tab w:leader="none" w:pos="289" w:val="left"/>
        </w:tabs>
        <w:numPr>
          <w:ilvl w:val="0"/>
          <w:numId w:val="164"/>
        </w:numPr>
        <w:rPr>
          <w:rFonts w:ascii="Arial" w:cs="Arial" w:eastAsia="Arial" w:hAnsi="Arial"/>
          <w:sz w:val="18"/>
          <w:szCs w:val="18"/>
          <w:color w:val="FF0000"/>
          <w:strike w:val="1"/>
        </w:rPr>
      </w:pPr>
      <w:r>
        <w:rPr>
          <w:rFonts w:ascii="Arial" w:cs="Arial" w:eastAsia="Arial" w:hAnsi="Arial"/>
          <w:sz w:val="18"/>
          <w:szCs w:val="18"/>
          <w:color w:val="FF0000"/>
          <w:strike w:val="1"/>
        </w:rPr>
        <w:t>UST Tranche B Joint Collateral or (C) UST Tranche B Priority Collateral and shall provide such information as the Administrative Agent or any Lender may request to verify such designation of Rolling Stock;</w:t>
      </w:r>
      <w:r>
        <w:rPr>
          <w:rFonts w:ascii="Arial" w:cs="Arial" w:eastAsia="Arial" w:hAnsi="Arial"/>
          <w:sz w:val="18"/>
          <w:szCs w:val="18"/>
          <w:u w:val="single" w:color="auto"/>
          <w:color w:val="0000FF"/>
          <w:strike w:val="1"/>
        </w:rPr>
        <w:t>promptly after the occurrence thereof (and in no event later than one Business Day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thereafter (or such longer period as agreed by the Lenders)), notice of any Loan Party entering into any new material agreement or incurring any new material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-270510</wp:posOffset>
            </wp:positionV>
            <wp:extent cx="37801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81482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89979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(l) not later than 5:00 p.m. New York time on the third Business Day of the last full calendar week of each month (commencing with </w:t>
      </w:r>
      <w:r>
        <w:rPr>
          <w:rFonts w:ascii="Arial" w:cs="Arial" w:eastAsia="Arial" w:hAnsi="Arial"/>
          <w:sz w:val="17"/>
          <w:szCs w:val="17"/>
          <w:color w:val="FF0000"/>
          <w:strike w:val="1"/>
        </w:rPr>
        <w:t>July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FF0000"/>
          <w:strike w:val="1"/>
        </w:rPr>
        <w:t>26</w:t>
      </w:r>
      <w:r>
        <w:rPr>
          <w:rFonts w:ascii="Arial" w:cs="Arial" w:eastAsia="Arial" w:hAnsi="Arial"/>
          <w:sz w:val="16"/>
          <w:szCs w:val="16"/>
          <w:u w:val="single" w:color="auto"/>
          <w:color w:val="0000FF"/>
        </w:rPr>
        <w:t>August 30</w:t>
      </w:r>
      <w:r>
        <w:rPr>
          <w:rFonts w:ascii="Arial" w:cs="Arial" w:eastAsia="Arial" w:hAnsi="Arial"/>
          <w:sz w:val="16"/>
          <w:szCs w:val="16"/>
          <w:color w:val="000000"/>
        </w:rPr>
        <w:t>, 2023) occurring after the</w:t>
      </w:r>
      <w:r>
        <w:rPr>
          <w:rFonts w:ascii="Arial" w:cs="Arial" w:eastAsia="Arial" w:hAnsi="Arial"/>
          <w:sz w:val="16"/>
          <w:szCs w:val="16"/>
          <w:color w:val="FF0000"/>
        </w:rPr>
        <w:t xml:space="preserve"> </w:t>
      </w:r>
      <w:r>
        <w:rPr>
          <w:rFonts w:ascii="Arial" w:cs="Arial" w:eastAsia="Arial" w:hAnsi="Arial"/>
          <w:sz w:val="16"/>
          <w:szCs w:val="16"/>
          <w:color w:val="FF0000"/>
          <w:strike w:val="1"/>
        </w:rPr>
        <w:t>Amendment No. 3</w:t>
      </w:r>
      <w:r>
        <w:rPr>
          <w:rFonts w:ascii="Arial" w:cs="Arial" w:eastAsia="Arial" w:hAnsi="Arial"/>
          <w:sz w:val="16"/>
          <w:szCs w:val="16"/>
          <w:u w:val="single" w:color="auto"/>
          <w:color w:val="0000FF"/>
        </w:rPr>
        <w:t>Postpetition B-2 Facility</w:t>
      </w:r>
      <w:r>
        <w:rPr>
          <w:rFonts w:ascii="Arial" w:cs="Arial" w:eastAsia="Arial" w:hAnsi="Arial"/>
          <w:sz w:val="16"/>
          <w:szCs w:val="16"/>
          <w:color w:val="FF0000"/>
        </w:rPr>
        <w:t xml:space="preserve"> </w:t>
      </w:r>
      <w:r>
        <w:rPr>
          <w:rFonts w:ascii="Arial" w:cs="Arial" w:eastAsia="Arial" w:hAnsi="Arial"/>
          <w:sz w:val="16"/>
          <w:szCs w:val="16"/>
          <w:color w:val="000000"/>
        </w:rPr>
        <w:t>Closing Date (the “</w:t>
      </w:r>
      <w:r>
        <w:rPr>
          <w:rFonts w:ascii="Arial" w:cs="Arial" w:eastAsia="Arial" w:hAnsi="Arial"/>
          <w:sz w:val="16"/>
          <w:szCs w:val="16"/>
          <w:b w:val="1"/>
          <w:bCs w:val="1"/>
          <w:color w:val="000000"/>
        </w:rPr>
        <w:t>Updated Budget Deadline</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FF0000"/>
          <w:strike w:val="1"/>
        </w:rPr>
        <w:t>the Borrower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FF0000"/>
          <w:strike w:val="1"/>
        </w:rPr>
        <w:t>deliver to the Required Lenders</w:t>
      </w:r>
      <w:r>
        <w:rPr>
          <w:rFonts w:ascii="Arial" w:cs="Arial" w:eastAsia="Arial" w:hAnsi="Arial"/>
          <w:sz w:val="16"/>
          <w:szCs w:val="16"/>
          <w:color w:val="FF0000"/>
        </w:rPr>
        <w:t xml:space="preserve"> </w:t>
      </w:r>
      <w:r>
        <w:rPr>
          <w:rFonts w:ascii="Arial" w:cs="Arial" w:eastAsia="Arial" w:hAnsi="Arial"/>
          <w:sz w:val="16"/>
          <w:szCs w:val="16"/>
          <w:color w:val="000000"/>
        </w:rPr>
        <w:t>a supplement to, for the first such supplement, the Initial Budget, and for each supplement thereafter, the most-recently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-107315</wp:posOffset>
            </wp:positionV>
            <wp:extent cx="50546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-107315</wp:posOffset>
            </wp:positionV>
            <wp:extent cx="113157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delivered Updated Budget (each such supplement which is approved in accordance with the terms of this clause (l), an “</w:t>
      </w:r>
      <w:r>
        <w:rPr>
          <w:rFonts w:ascii="Arial" w:cs="Arial" w:eastAsia="Arial" w:hAnsi="Arial"/>
          <w:sz w:val="16"/>
          <w:szCs w:val="16"/>
          <w:b w:val="1"/>
          <w:bCs w:val="1"/>
          <w:color w:val="auto"/>
        </w:rPr>
        <w:t>Updated Budget</w:t>
      </w:r>
      <w:r>
        <w:rPr>
          <w:rFonts w:ascii="Arial" w:cs="Arial" w:eastAsia="Arial" w:hAnsi="Arial"/>
          <w:sz w:val="16"/>
          <w:szCs w:val="16"/>
          <w:color w:val="auto"/>
        </w:rPr>
        <w:t>”), prepared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management of the Borrower in consultation with the Borrower’s Operational Advisor covering the 13-week period that commences with the Saturday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calendar week that includes such Updated Budget Deadline, consistent with the form and level of details set forth in the Initial Budget. Each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Updated Budget shall be, in each case, subject to the written approval of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w:t>
      </w:r>
      <w:r>
        <w:rPr>
          <w:rFonts w:ascii="Arial" w:cs="Arial" w:eastAsia="Arial" w:hAnsi="Arial"/>
          <w:sz w:val="16"/>
          <w:szCs w:val="16"/>
          <w:color w:val="FF0000"/>
        </w:rPr>
        <w:t>(in their sole discretion)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w:t>
      </w:r>
      <w:r>
        <w:rPr>
          <w:rFonts w:ascii="Arial" w:cs="Arial" w:eastAsia="Arial" w:hAnsi="Arial"/>
          <w:sz w:val="16"/>
          <w:szCs w:val="16"/>
          <w:color w:val="FF0000"/>
          <w:strike w:val="1"/>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-55880</wp:posOffset>
            </wp:positionV>
            <wp:extent cx="112331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Lenders shall have not provided written approval of any proposed budget supplement prior to 5:00 (New York City time) on the third Business Day after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receipt thereof (the “</w:t>
      </w:r>
      <w:r>
        <w:rPr>
          <w:rFonts w:ascii="Arial" w:cs="Arial" w:eastAsia="Arial" w:hAnsi="Arial"/>
          <w:sz w:val="16"/>
          <w:szCs w:val="16"/>
          <w:b w:val="1"/>
          <w:bCs w:val="1"/>
          <w:color w:val="auto"/>
        </w:rPr>
        <w:t>Budget Review Time</w:t>
      </w:r>
      <w:r>
        <w:rPr>
          <w:rFonts w:ascii="Arial" w:cs="Arial" w:eastAsia="Arial" w:hAnsi="Arial"/>
          <w:sz w:val="16"/>
          <w:szCs w:val="16"/>
          <w:color w:val="auto"/>
        </w:rPr>
        <w:t xml:space="preserve">”),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shall be deemed to have accepted such proposed budget supplement; </w:t>
      </w:r>
      <w:r>
        <w:rPr>
          <w:rFonts w:ascii="Arial" w:cs="Arial" w:eastAsia="Arial" w:hAnsi="Arial"/>
          <w:sz w:val="16"/>
          <w:szCs w:val="16"/>
          <w:u w:val="single" w:color="auto"/>
          <w:color w:val="auto"/>
        </w:rPr>
        <w:t>provided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further that, (i) if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object in writing to any proposed budget supplement prior to the Budget Review Time, no proposed budget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supplement covering the 13-week period covered by such rejected budget supplement shall become an Updated Budget until and unless the </w:t>
      </w:r>
      <w:r>
        <w:rPr>
          <w:rFonts w:ascii="Arial" w:cs="Arial" w:eastAsia="Arial" w:hAnsi="Arial"/>
          <w:sz w:val="16"/>
          <w:szCs w:val="16"/>
          <w:color w:val="FF0000"/>
          <w:strike w:val="1"/>
        </w:rPr>
        <w:t>Required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Lenders approve thereof in writing (in their sole and absolute discretion), and (ii) the prior Approved Budget shall remain in effect until such time as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FF0000"/>
          <w:strike w:val="1"/>
        </w:rPr>
        <w:t>Required</w:t>
      </w:r>
      <w:r>
        <w:rPr>
          <w:rFonts w:ascii="Arial" w:cs="Arial" w:eastAsia="Arial" w:hAnsi="Arial"/>
          <w:sz w:val="16"/>
          <w:szCs w:val="16"/>
          <w:color w:val="FF0000"/>
        </w:rPr>
        <w:t xml:space="preserve"> </w:t>
      </w:r>
      <w:r>
        <w:rPr>
          <w:rFonts w:ascii="Arial" w:cs="Arial" w:eastAsia="Arial" w:hAnsi="Arial"/>
          <w:sz w:val="16"/>
          <w:szCs w:val="16"/>
          <w:color w:val="000000"/>
        </w:rPr>
        <w:t>Lenders so approve a revised budget supplement in accordance with the foregoing sub-clause (i).</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As used herein, the “</w:t>
      </w:r>
      <w:r>
        <w:rPr>
          <w:rFonts w:ascii="Arial" w:cs="Arial" w:eastAsia="Arial" w:hAnsi="Arial"/>
          <w:sz w:val="16"/>
          <w:szCs w:val="16"/>
          <w:b w:val="1"/>
          <w:bCs w:val="1"/>
          <w:u w:val="single" w:color="auto"/>
          <w:color w:val="0000FF"/>
        </w:rPr>
        <w:t>Approved Budget</w:t>
      </w:r>
      <w:r>
        <w:rPr>
          <w:rFonts w:ascii="Arial" w:cs="Arial" w:eastAsia="Arial" w:hAnsi="Arial"/>
          <w:sz w:val="16"/>
          <w:szCs w:val="16"/>
          <w:u w:val="single" w:color="auto"/>
          <w:color w:val="0000FF"/>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000FF"/>
        </w:rPr>
        <w:t>shall mean (i) initially, the Initial Budget and (ii) thereafter,</w:t>
      </w:r>
      <w:r>
        <w:rPr>
          <w:rFonts w:ascii="Arial" w:cs="Arial" w:eastAsia="Arial" w:hAnsi="Arial"/>
          <w:sz w:val="16"/>
          <w:szCs w:val="16"/>
          <w:color w:val="0000FF"/>
        </w:rPr>
        <w:t xml:space="preserve"> </w:t>
      </w:r>
      <w:r>
        <w:rPr>
          <w:rFonts w:ascii="Arial" w:cs="Arial" w:eastAsia="Arial" w:hAnsi="Arial"/>
          <w:sz w:val="16"/>
          <w:szCs w:val="16"/>
          <w:color w:val="FF0000"/>
          <w:strike w:val="1"/>
        </w:rPr>
        <w:t>U</w:t>
      </w:r>
      <w:r>
        <w:rPr>
          <w:rFonts w:ascii="Arial" w:cs="Arial" w:eastAsia="Arial" w:hAnsi="Arial"/>
          <w:sz w:val="16"/>
          <w:szCs w:val="16"/>
          <w:u w:val="single" w:color="auto"/>
          <w:color w:val="0000FF"/>
        </w:rPr>
        <w:t>u</w:t>
      </w:r>
      <w:r>
        <w:rPr>
          <w:rFonts w:ascii="Arial" w:cs="Arial" w:eastAsia="Arial" w:hAnsi="Arial"/>
          <w:sz w:val="16"/>
          <w:szCs w:val="16"/>
          <w:color w:val="0000FF"/>
        </w:rPr>
        <w:t xml:space="preserve"> </w:t>
      </w:r>
      <w:r>
        <w:rPr>
          <w:rFonts w:ascii="Arial" w:cs="Arial" w:eastAsia="Arial" w:hAnsi="Arial"/>
          <w:sz w:val="16"/>
          <w:szCs w:val="16"/>
          <w:color w:val="000000"/>
        </w:rPr>
        <w:t>pon (and subject to) the approval (or deemed approval) of any Updated Budget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4911725</wp:posOffset>
            </wp:positionH>
            <wp:positionV relativeFrom="paragraph">
              <wp:posOffset>-107315</wp:posOffset>
            </wp:positionV>
            <wp:extent cx="1868805"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FF0000"/>
          <w:strike w:val="1"/>
        </w:rPr>
        <w:t>Required</w:t>
      </w:r>
      <w:r>
        <w:rPr>
          <w:rFonts w:ascii="Arial" w:cs="Arial" w:eastAsia="Arial" w:hAnsi="Arial"/>
          <w:sz w:val="16"/>
          <w:szCs w:val="16"/>
          <w:color w:val="FF0000"/>
        </w:rPr>
        <w:t xml:space="preserve"> </w:t>
      </w:r>
      <w:r>
        <w:rPr>
          <w:rFonts w:ascii="Arial" w:cs="Arial" w:eastAsia="Arial" w:hAnsi="Arial"/>
          <w:sz w:val="16"/>
          <w:szCs w:val="16"/>
          <w:color w:val="000000"/>
        </w:rPr>
        <w:t>Lenders in</w:t>
      </w:r>
      <w:r>
        <w:rPr>
          <w:rFonts w:ascii="Arial" w:cs="Arial" w:eastAsia="Arial" w:hAnsi="Arial"/>
          <w:sz w:val="16"/>
          <w:szCs w:val="16"/>
          <w:color w:val="FF0000"/>
        </w:rPr>
        <w:t xml:space="preserve"> </w:t>
      </w:r>
      <w:r>
        <w:rPr>
          <w:rFonts w:ascii="Arial" w:cs="Arial" w:eastAsia="Arial" w:hAnsi="Arial"/>
          <w:sz w:val="16"/>
          <w:szCs w:val="16"/>
          <w:color w:val="FF0000"/>
          <w:strike w:val="1"/>
        </w:rPr>
        <w:t>their sole discretion in</w:t>
      </w:r>
      <w:r>
        <w:rPr>
          <w:rFonts w:ascii="Arial" w:cs="Arial" w:eastAsia="Arial" w:hAnsi="Arial"/>
          <w:sz w:val="16"/>
          <w:szCs w:val="16"/>
          <w:color w:val="FF0000"/>
        </w:rPr>
        <w:t xml:space="preserve"> </w:t>
      </w:r>
      <w:r>
        <w:rPr>
          <w:rFonts w:ascii="Arial" w:cs="Arial" w:eastAsia="Arial" w:hAnsi="Arial"/>
          <w:sz w:val="16"/>
          <w:szCs w:val="16"/>
          <w:color w:val="000000"/>
        </w:rPr>
        <w:t>accordance with the foregoing procedures, such Updated Budget</w:t>
      </w:r>
      <w:r>
        <w:rPr>
          <w:rFonts w:ascii="Arial" w:cs="Arial" w:eastAsia="Arial" w:hAnsi="Arial"/>
          <w:sz w:val="16"/>
          <w:szCs w:val="16"/>
          <w:color w:val="FF0000"/>
        </w:rPr>
        <w:t xml:space="preserve"> </w:t>
      </w:r>
      <w:r>
        <w:rPr>
          <w:rFonts w:ascii="Arial" w:cs="Arial" w:eastAsia="Arial" w:hAnsi="Arial"/>
          <w:sz w:val="16"/>
          <w:szCs w:val="16"/>
          <w:color w:val="FF0000"/>
          <w:strike w:val="1"/>
        </w:rPr>
        <w:t>shall constitute the “</w:t>
      </w:r>
      <w:r>
        <w:rPr>
          <w:rFonts w:ascii="Arial" w:cs="Arial" w:eastAsia="Arial" w:hAnsi="Arial"/>
          <w:sz w:val="16"/>
          <w:szCs w:val="16"/>
          <w:b w:val="1"/>
          <w:bCs w:val="1"/>
          <w:color w:val="FF0000"/>
          <w:strike w:val="1"/>
        </w:rPr>
        <w:t>Approved Budget</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290576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6875145</wp:posOffset>
            </wp:positionH>
            <wp:positionV relativeFrom="paragraph">
              <wp:posOffset>29210</wp:posOffset>
            </wp:positionV>
            <wp:extent cx="254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4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249" w:name="page250"/>
    <w:bookmarkEnd w:id="249"/>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 </w:t>
      </w:r>
      <w:r>
        <w:rPr>
          <w:rFonts w:ascii="Arial" w:cs="Arial" w:eastAsia="Arial" w:hAnsi="Arial"/>
          <w:sz w:val="18"/>
          <w:szCs w:val="18"/>
          <w:color w:val="FF0000"/>
          <w:strike w:val="1"/>
        </w:rPr>
        <w:t>prior to</w:t>
      </w:r>
      <w:r>
        <w:rPr>
          <w:rFonts w:ascii="Arial" w:cs="Arial" w:eastAsia="Arial" w:hAnsi="Arial"/>
          <w:sz w:val="18"/>
          <w:szCs w:val="18"/>
          <w:u w:val="single" w:color="auto"/>
          <w:color w:val="0000FF"/>
        </w:rPr>
        <w:t>not later than</w:t>
      </w:r>
      <w:r>
        <w:rPr>
          <w:rFonts w:ascii="Arial" w:cs="Arial" w:eastAsia="Arial" w:hAnsi="Arial"/>
          <w:sz w:val="18"/>
          <w:szCs w:val="18"/>
          <w:color w:val="auto"/>
        </w:rPr>
        <w:t xml:space="preserve"> 5:00 p.m. New York time, on </w:t>
      </w:r>
      <w:r>
        <w:rPr>
          <w:rFonts w:ascii="Arial" w:cs="Arial" w:eastAsia="Arial" w:hAnsi="Arial"/>
          <w:sz w:val="18"/>
          <w:szCs w:val="18"/>
          <w:color w:val="FF0000"/>
          <w:strike w:val="1"/>
        </w:rPr>
        <w:t>the Wednesday of every week (commencing with Wednesday, July 12, 2023) the</w:t>
      </w:r>
      <w:r>
        <w:rPr>
          <w:rFonts w:ascii="Arial" w:cs="Arial" w:eastAsia="Arial" w:hAnsi="Arial"/>
          <w:sz w:val="18"/>
          <w:szCs w:val="18"/>
          <w:color w:val="auto"/>
        </w:rPr>
        <w:t xml:space="preserve"> </w:t>
      </w:r>
      <w:r>
        <w:rPr>
          <w:rFonts w:ascii="Arial" w:cs="Arial" w:eastAsia="Arial" w:hAnsi="Arial"/>
          <w:sz w:val="18"/>
          <w:szCs w:val="18"/>
          <w:color w:val="FF0000"/>
          <w:strike w:val="1"/>
        </w:rPr>
        <w:t>Borrower shall deliver to the Lenders</w:t>
      </w:r>
      <w:r>
        <w:rPr>
          <w:rFonts w:ascii="Arial" w:cs="Arial" w:eastAsia="Arial" w:hAnsi="Arial"/>
          <w:sz w:val="18"/>
          <w:szCs w:val="18"/>
          <w:u w:val="single" w:color="auto"/>
          <w:color w:val="0000FF"/>
        </w:rPr>
        <w:t>each Business Day,</w:t>
      </w:r>
      <w:r>
        <w:rPr>
          <w:rFonts w:ascii="Arial" w:cs="Arial" w:eastAsia="Arial" w:hAnsi="Arial"/>
          <w:sz w:val="18"/>
          <w:szCs w:val="18"/>
          <w:color w:val="FF0000"/>
        </w:rPr>
        <w:t xml:space="preserve"> </w:t>
      </w:r>
      <w:r>
        <w:rPr>
          <w:rFonts w:ascii="Arial" w:cs="Arial" w:eastAsia="Arial" w:hAnsi="Arial"/>
          <w:sz w:val="18"/>
          <w:szCs w:val="18"/>
          <w:color w:val="000000"/>
        </w:rPr>
        <w:t>a liquidity</w:t>
      </w:r>
      <w:r>
        <w:rPr>
          <w:rFonts w:ascii="Arial" w:cs="Arial" w:eastAsia="Arial" w:hAnsi="Arial"/>
          <w:sz w:val="18"/>
          <w:szCs w:val="18"/>
          <w:color w:val="FF0000"/>
        </w:rPr>
        <w:t xml:space="preserve"> </w:t>
      </w:r>
      <w:r>
        <w:rPr>
          <w:rFonts w:ascii="Arial" w:cs="Arial" w:eastAsia="Arial" w:hAnsi="Arial"/>
          <w:sz w:val="18"/>
          <w:szCs w:val="18"/>
          <w:color w:val="FF0000"/>
          <w:strike w:val="1"/>
        </w:rPr>
        <w:t>report</w:t>
      </w:r>
      <w:r>
        <w:rPr>
          <w:rFonts w:ascii="Arial" w:cs="Arial" w:eastAsia="Arial" w:hAnsi="Arial"/>
          <w:sz w:val="18"/>
          <w:szCs w:val="18"/>
          <w:u w:val="single" w:color="auto"/>
          <w:color w:val="0000FF"/>
        </w:rPr>
        <w:t>update</w:t>
      </w:r>
      <w:r>
        <w:rPr>
          <w:rFonts w:ascii="Arial" w:cs="Arial" w:eastAsia="Arial" w:hAnsi="Arial"/>
          <w:sz w:val="18"/>
          <w:szCs w:val="18"/>
          <w:color w:val="FF0000"/>
        </w:rPr>
        <w:t xml:space="preserve"> </w:t>
      </w:r>
      <w:r>
        <w:rPr>
          <w:rFonts w:ascii="Arial" w:cs="Arial" w:eastAsia="Arial" w:hAnsi="Arial"/>
          <w:sz w:val="18"/>
          <w:szCs w:val="18"/>
          <w:color w:val="000000"/>
        </w:rPr>
        <w:t>(each, a “</w:t>
      </w:r>
      <w:r>
        <w:rPr>
          <w:rFonts w:ascii="Arial" w:cs="Arial" w:eastAsia="Arial" w:hAnsi="Arial"/>
          <w:sz w:val="18"/>
          <w:szCs w:val="18"/>
          <w:b w:val="1"/>
          <w:bCs w:val="1"/>
          <w:color w:val="000000"/>
        </w:rPr>
        <w:t>Liquidity Report</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FF0000"/>
          <w:strike w:val="1"/>
        </w:rPr>
        <w:t>certified by a Senior Financial Officer of</w:t>
      </w:r>
      <w:r>
        <w:rPr>
          <w:rFonts w:ascii="Arial" w:cs="Arial" w:eastAsia="Arial" w:hAnsi="Arial"/>
          <w:sz w:val="18"/>
          <w:szCs w:val="18"/>
          <w:color w:val="FF0000"/>
        </w:rPr>
        <w:t xml:space="preserve"> </w:t>
      </w:r>
      <w:r>
        <w:rPr>
          <w:rFonts w:ascii="Arial" w:cs="Arial" w:eastAsia="Arial" w:hAnsi="Arial"/>
          <w:sz w:val="18"/>
          <w:szCs w:val="18"/>
          <w:color w:val="FF0000"/>
          <w:strike w:val="1"/>
        </w:rPr>
        <w:t>the Borrower (A)</w:t>
      </w:r>
      <w:r>
        <w:rPr>
          <w:rFonts w:ascii="Arial" w:cs="Arial" w:eastAsia="Arial" w:hAnsi="Arial"/>
          <w:sz w:val="18"/>
          <w:szCs w:val="18"/>
          <w:u w:val="single" w:color="auto"/>
          <w:color w:val="0000FF"/>
        </w:rPr>
        <w:t>, which may be sent by email, spe</w:t>
      </w:r>
      <w:r>
        <w:rPr>
          <w:rFonts w:ascii="Arial" w:cs="Arial" w:eastAsia="Arial" w:hAnsi="Arial"/>
          <w:sz w:val="18"/>
          <w:szCs w:val="18"/>
          <w:color w:val="000000"/>
        </w:rPr>
        <w:t>c</w:t>
      </w:r>
      <w:r>
        <w:rPr>
          <w:rFonts w:ascii="Arial" w:cs="Arial" w:eastAsia="Arial" w:hAnsi="Arial"/>
          <w:sz w:val="18"/>
          <w:szCs w:val="18"/>
          <w:color w:val="FF0000"/>
          <w:strike w:val="1"/>
        </w:rPr>
        <w:t>ert</w:t>
      </w:r>
      <w:r>
        <w:rPr>
          <w:rFonts w:ascii="Arial" w:cs="Arial" w:eastAsia="Arial" w:hAnsi="Arial"/>
          <w:sz w:val="18"/>
          <w:szCs w:val="18"/>
          <w:color w:val="000000"/>
        </w:rPr>
        <w:t>ifying</w:t>
      </w:r>
      <w:r>
        <w:rPr>
          <w:rFonts w:ascii="Arial" w:cs="Arial" w:eastAsia="Arial" w:hAnsi="Arial"/>
          <w:sz w:val="18"/>
          <w:szCs w:val="18"/>
          <w:color w:val="FF0000"/>
        </w:rPr>
        <w:t xml:space="preserve"> </w:t>
      </w:r>
      <w:r>
        <w:rPr>
          <w:rFonts w:ascii="Arial" w:cs="Arial" w:eastAsia="Arial" w:hAnsi="Arial"/>
          <w:sz w:val="18"/>
          <w:szCs w:val="18"/>
          <w:color w:val="FF0000"/>
          <w:strike w:val="1"/>
        </w:rPr>
        <w:t>as to compliance with the covenant set forth in Section 7.11(a) at all times during the</w:t>
      </w:r>
      <w:r>
        <w:rPr>
          <w:rFonts w:ascii="Arial" w:cs="Arial" w:eastAsia="Arial" w:hAnsi="Arial"/>
          <w:sz w:val="18"/>
          <w:szCs w:val="18"/>
          <w:color w:val="FF0000"/>
        </w:rPr>
        <w:t xml:space="preserve"> </w:t>
      </w:r>
      <w:r>
        <w:rPr>
          <w:rFonts w:ascii="Arial" w:cs="Arial" w:eastAsia="Arial" w:hAnsi="Arial"/>
          <w:sz w:val="18"/>
          <w:szCs w:val="18"/>
          <w:color w:val="FF0000"/>
          <w:strike w:val="1"/>
        </w:rPr>
        <w:t>immediately preceding week and (B) setting forth</w:t>
      </w:r>
      <w:r>
        <w:rPr>
          <w:rFonts w:ascii="Arial" w:cs="Arial" w:eastAsia="Arial" w:hAnsi="Arial"/>
          <w:sz w:val="18"/>
          <w:szCs w:val="18"/>
          <w:color w:val="FF0000"/>
        </w:rPr>
        <w:t xml:space="preserve"> </w:t>
      </w:r>
      <w:r>
        <w:rPr>
          <w:rFonts w:ascii="Arial" w:cs="Arial" w:eastAsia="Arial" w:hAnsi="Arial"/>
          <w:sz w:val="18"/>
          <w:szCs w:val="18"/>
          <w:color w:val="000000"/>
        </w:rPr>
        <w:t>the aggregate amount of Liquidity</w:t>
      </w:r>
      <w:r>
        <w:rPr>
          <w:rFonts w:ascii="Arial" w:cs="Arial" w:eastAsia="Arial" w:hAnsi="Arial"/>
          <w:sz w:val="18"/>
          <w:szCs w:val="18"/>
          <w:color w:val="FF0000"/>
        </w:rPr>
        <w:t xml:space="preserve"> </w:t>
      </w:r>
      <w:r>
        <w:rPr>
          <w:rFonts w:ascii="Arial" w:cs="Arial" w:eastAsia="Arial" w:hAnsi="Arial"/>
          <w:sz w:val="18"/>
          <w:szCs w:val="18"/>
          <w:color w:val="FF0000"/>
          <w:strike w:val="1"/>
        </w:rPr>
        <w:t>(as defined below)</w:t>
      </w:r>
      <w:r>
        <w:rPr>
          <w:rFonts w:ascii="Arial" w:cs="Arial" w:eastAsia="Arial" w:hAnsi="Arial"/>
          <w:sz w:val="18"/>
          <w:szCs w:val="18"/>
          <w:color w:val="FF0000"/>
        </w:rPr>
        <w:t xml:space="preserve"> </w:t>
      </w:r>
      <w:r>
        <w:rPr>
          <w:rFonts w:ascii="Arial" w:cs="Arial" w:eastAsia="Arial" w:hAnsi="Arial"/>
          <w:sz w:val="18"/>
          <w:szCs w:val="18"/>
          <w:color w:val="000000"/>
        </w:rPr>
        <w:t>of the Loan Parties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their Subsidiaries</w:t>
      </w:r>
      <w:r>
        <w:rPr>
          <w:rFonts w:ascii="Arial" w:cs="Arial" w:eastAsia="Arial" w:hAnsi="Arial"/>
          <w:sz w:val="18"/>
          <w:szCs w:val="18"/>
          <w:color w:val="FF0000"/>
        </w:rPr>
        <w:t xml:space="preserve"> </w:t>
      </w:r>
      <w:r>
        <w:rPr>
          <w:rFonts w:ascii="Arial" w:cs="Arial" w:eastAsia="Arial" w:hAnsi="Arial"/>
          <w:sz w:val="18"/>
          <w:szCs w:val="18"/>
          <w:color w:val="000000"/>
        </w:rPr>
        <w:t>as of</w:t>
      </w:r>
      <w:r>
        <w:rPr>
          <w:rFonts w:ascii="Arial" w:cs="Arial" w:eastAsia="Arial" w:hAnsi="Arial"/>
          <w:sz w:val="18"/>
          <w:szCs w:val="18"/>
          <w:color w:val="FF0000"/>
        </w:rPr>
        <w:t xml:space="preserve"> </w:t>
      </w:r>
      <w:r>
        <w:rPr>
          <w:rFonts w:ascii="Arial" w:cs="Arial" w:eastAsia="Arial" w:hAnsi="Arial"/>
          <w:sz w:val="18"/>
          <w:szCs w:val="18"/>
          <w:color w:val="000000"/>
        </w:rPr>
        <w:t xml:space="preserve">the </w:t>
      </w:r>
      <w:r>
        <w:rPr>
          <w:rFonts w:ascii="Arial" w:cs="Arial" w:eastAsia="Arial" w:hAnsi="Arial"/>
          <w:sz w:val="18"/>
          <w:szCs w:val="18"/>
          <w:color w:val="FF0000"/>
          <w:strike w:val="1"/>
        </w:rPr>
        <w:t>last Business Day of</w:t>
      </w:r>
      <w:r>
        <w:rPr>
          <w:rFonts w:ascii="Arial" w:cs="Arial" w:eastAsia="Arial" w:hAnsi="Arial"/>
          <w:sz w:val="18"/>
          <w:szCs w:val="18"/>
          <w:u w:val="single" w:color="auto"/>
          <w:color w:val="0000FF"/>
        </w:rPr>
        <w:t>end of business of</w:t>
      </w:r>
      <w:r>
        <w:rPr>
          <w:rFonts w:ascii="Arial" w:cs="Arial" w:eastAsia="Arial" w:hAnsi="Arial"/>
          <w:sz w:val="18"/>
          <w:szCs w:val="18"/>
          <w:color w:val="000000"/>
        </w:rPr>
        <w:t xml:space="preserve"> the immediately preceding </w:t>
      </w:r>
      <w:r>
        <w:rPr>
          <w:rFonts w:ascii="Arial" w:cs="Arial" w:eastAsia="Arial" w:hAnsi="Arial"/>
          <w:sz w:val="18"/>
          <w:szCs w:val="18"/>
          <w:color w:val="FF0000"/>
          <w:strike w:val="1"/>
        </w:rPr>
        <w:t>week and a comparison of the amount set forth on the prior delivered Liquidity</w:t>
      </w:r>
      <w:r>
        <w:rPr>
          <w:rFonts w:ascii="Arial" w:cs="Arial" w:eastAsia="Arial" w:hAnsi="Arial"/>
          <w:sz w:val="18"/>
          <w:szCs w:val="18"/>
          <w:color w:val="000000"/>
        </w:rPr>
        <w:t xml:space="preserve"> </w:t>
      </w:r>
      <w:r>
        <w:rPr>
          <w:rFonts w:ascii="Arial" w:cs="Arial" w:eastAsia="Arial" w:hAnsi="Arial"/>
          <w:sz w:val="18"/>
          <w:szCs w:val="18"/>
          <w:color w:val="FF0000"/>
          <w:strike w:val="1"/>
        </w:rPr>
        <w:t>Report</w:t>
      </w:r>
      <w:r>
        <w:rPr>
          <w:rFonts w:ascii="Arial" w:cs="Arial" w:eastAsia="Arial" w:hAnsi="Arial"/>
          <w:sz w:val="18"/>
          <w:szCs w:val="18"/>
          <w:u w:val="single" w:color="auto"/>
          <w:color w:val="0000FF"/>
        </w:rPr>
        <w:t>Business Day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-682625</wp:posOffset>
            </wp:positionV>
            <wp:extent cx="60007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-545465</wp:posOffset>
            </wp:positionV>
            <wp:extent cx="89154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-545465</wp:posOffset>
            </wp:positionV>
            <wp:extent cx="3003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-408305</wp:posOffset>
            </wp:positionV>
            <wp:extent cx="154305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-271145</wp:posOffset>
            </wp:positionV>
            <wp:extent cx="101981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-133985</wp:posOffset>
            </wp:positionV>
            <wp:extent cx="82296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2540</wp:posOffset>
            </wp:positionV>
            <wp:extent cx="62547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7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(n) not later than 5</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00 </w:t>
      </w:r>
      <w:r>
        <w:rPr>
          <w:rFonts w:ascii="Arial" w:cs="Arial" w:eastAsia="Arial" w:hAnsi="Arial"/>
          <w:sz w:val="18"/>
          <w:szCs w:val="18"/>
          <w:color w:val="0000FF"/>
        </w:rPr>
        <w:t>p.m</w:t>
      </w:r>
      <w:r>
        <w:rPr>
          <w:rFonts w:ascii="Arial" w:cs="Arial" w:eastAsia="Arial" w:hAnsi="Arial"/>
          <w:sz w:val="18"/>
          <w:szCs w:val="18"/>
          <w:color w:val="auto"/>
        </w:rPr>
        <w:t xml:space="preserve"> </w:t>
      </w:r>
      <w:r>
        <w:rPr>
          <w:rFonts w:ascii="Arial" w:cs="Arial" w:eastAsia="Arial" w:hAnsi="Arial"/>
          <w:sz w:val="18"/>
          <w:szCs w:val="18"/>
          <w:color w:val="FF0000"/>
        </w:rPr>
        <w:t>p.m</w:t>
      </w:r>
      <w:r>
        <w:rPr>
          <w:rFonts w:ascii="Arial" w:cs="Arial" w:eastAsia="Arial" w:hAnsi="Arial"/>
          <w:sz w:val="18"/>
          <w:szCs w:val="18"/>
          <w:color w:val="auto"/>
        </w:rPr>
        <w:t xml:space="preserve">. New York time on </w:t>
      </w:r>
      <w:r>
        <w:rPr>
          <w:rFonts w:ascii="Arial" w:cs="Arial" w:eastAsia="Arial" w:hAnsi="Arial"/>
          <w:sz w:val="18"/>
          <w:szCs w:val="18"/>
          <w:color w:val="FF0000"/>
          <w:strike w:val="1"/>
        </w:rPr>
        <w:t>the Wednesday of every week (commencing with Wednesday, July 12, 2023), the Borrower</w:t>
      </w:r>
      <w:r>
        <w:rPr>
          <w:rFonts w:ascii="Arial" w:cs="Arial" w:eastAsia="Arial" w:hAnsi="Arial"/>
          <w:sz w:val="18"/>
          <w:szCs w:val="18"/>
          <w:color w:val="auto"/>
        </w:rPr>
        <w:t xml:space="preserve"> </w:t>
      </w:r>
      <w:r>
        <w:rPr>
          <w:rFonts w:ascii="Arial" w:cs="Arial" w:eastAsia="Arial" w:hAnsi="Arial"/>
          <w:sz w:val="18"/>
          <w:szCs w:val="18"/>
          <w:color w:val="FF0000"/>
          <w:strike w:val="1"/>
        </w:rPr>
        <w:t>shall deliver to the Lenders the</w:t>
      </w:r>
      <w:r>
        <w:rPr>
          <w:rFonts w:ascii="Arial" w:cs="Arial" w:eastAsia="Arial" w:hAnsi="Arial"/>
          <w:sz w:val="18"/>
          <w:szCs w:val="18"/>
          <w:u w:val="single" w:color="auto"/>
          <w:color w:val="0000FF"/>
        </w:rPr>
        <w:t>each Budget Variance Test Date, the</w:t>
      </w:r>
      <w:r>
        <w:rPr>
          <w:rFonts w:ascii="Arial" w:cs="Arial" w:eastAsia="Arial" w:hAnsi="Arial"/>
          <w:sz w:val="18"/>
          <w:szCs w:val="18"/>
          <w:color w:val="FF0000"/>
        </w:rPr>
        <w:t xml:space="preserve"> </w:t>
      </w:r>
      <w:r>
        <w:rPr>
          <w:rFonts w:ascii="Arial" w:cs="Arial" w:eastAsia="Arial" w:hAnsi="Arial"/>
          <w:sz w:val="18"/>
          <w:szCs w:val="18"/>
          <w:color w:val="000000"/>
        </w:rPr>
        <w:t>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-147955</wp:posOffset>
            </wp:positionV>
            <wp:extent cx="342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-147955</wp:posOffset>
            </wp:positionV>
            <wp:extent cx="20574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-182245</wp:posOffset>
            </wp:positionV>
            <wp:extent cx="20320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203200" cy="825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-233680</wp:posOffset>
            </wp:positionV>
            <wp:extent cx="20320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20320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-10795</wp:posOffset>
            </wp:positionV>
            <wp:extent cx="165417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(i) a Budget Variance Report for the most recently ended Budget Variance Test Period; and</w:t>
      </w:r>
    </w:p>
    <w:p>
      <w:pPr>
        <w:spacing w:after="0" w:line="117" w:lineRule="exact"/>
        <w:rPr>
          <w:sz w:val="20"/>
          <w:szCs w:val="20"/>
          <w:color w:val="auto"/>
        </w:rPr>
      </w:pPr>
    </w:p>
    <w:p>
      <w:pPr>
        <w:ind w:left="440" w:right="300" w:firstLine="423"/>
        <w:spacing w:after="0" w:line="259" w:lineRule="auto"/>
        <w:rPr>
          <w:sz w:val="20"/>
          <w:szCs w:val="20"/>
          <w:color w:val="auto"/>
        </w:rPr>
      </w:pPr>
      <w:r>
        <w:rPr>
          <w:rFonts w:ascii="Arial" w:cs="Arial" w:eastAsia="Arial" w:hAnsi="Arial"/>
          <w:sz w:val="18"/>
          <w:szCs w:val="18"/>
          <w:color w:val="auto"/>
        </w:rPr>
        <w:t>(ii) an updated budget prepared by management of the Borrower (</w:t>
      </w:r>
      <w:r>
        <w:rPr>
          <w:rFonts w:ascii="Arial" w:cs="Arial" w:eastAsia="Arial" w:hAnsi="Arial"/>
          <w:sz w:val="18"/>
          <w:szCs w:val="18"/>
          <w:color w:val="FF0000"/>
          <w:strike w:val="1"/>
        </w:rPr>
        <w:t>and after the Operational Advisor Appointment Date,</w:t>
      </w:r>
      <w:r>
        <w:rPr>
          <w:rFonts w:ascii="Arial" w:cs="Arial" w:eastAsia="Arial" w:hAnsi="Arial"/>
          <w:sz w:val="18"/>
          <w:szCs w:val="18"/>
          <w:color w:val="auto"/>
        </w:rPr>
        <w:t xml:space="preserve"> in consultation with the Borrower’s Operational Advisor) covering the 13-week period that commences with the calendar week that includes such Wednesday (provided that this clause (n)(ii) may be satisfied, for each week on which an Updated Budget Deadline occurs, by delivery of the Updated Budget);</w:t>
      </w:r>
    </w:p>
    <w:p>
      <w:pPr>
        <w:spacing w:after="0" w:line="187" w:lineRule="exact"/>
        <w:rPr>
          <w:sz w:val="20"/>
          <w:szCs w:val="20"/>
          <w:color w:val="auto"/>
        </w:rPr>
      </w:pPr>
    </w:p>
    <w:p>
      <w:pPr>
        <w:ind w:right="200" w:firstLine="436"/>
        <w:spacing w:after="0" w:line="271" w:lineRule="auto"/>
        <w:tabs>
          <w:tab w:leader="none" w:pos="695" w:val="left"/>
        </w:tabs>
        <w:numPr>
          <w:ilvl w:val="0"/>
          <w:numId w:val="165"/>
        </w:numPr>
        <w:rPr>
          <w:rFonts w:ascii="Arial" w:cs="Arial" w:eastAsia="Arial" w:hAnsi="Arial"/>
          <w:sz w:val="17"/>
          <w:szCs w:val="17"/>
          <w:color w:val="FF0000"/>
          <w:strike w:val="1"/>
        </w:rPr>
      </w:pPr>
      <w:r>
        <w:rPr>
          <w:rFonts w:ascii="Arial" w:cs="Arial" w:eastAsia="Arial" w:hAnsi="Arial"/>
          <w:sz w:val="17"/>
          <w:szCs w:val="17"/>
          <w:color w:val="FF0000"/>
          <w:strike w:val="1"/>
        </w:rPr>
        <w:t>not later than 5.00 p.m. New York time on the tenth (10</w:t>
      </w:r>
      <w:r>
        <w:rPr>
          <w:rFonts w:ascii="Arial" w:cs="Arial" w:eastAsia="Arial" w:hAnsi="Arial"/>
          <w:sz w:val="10"/>
          <w:szCs w:val="10"/>
          <w:color w:val="FF0000"/>
          <w:strike w:val="1"/>
        </w:rPr>
        <w:t>th</w:t>
      </w:r>
      <w:r>
        <w:rPr>
          <w:rFonts w:ascii="Arial" w:cs="Arial" w:eastAsia="Arial" w:hAnsi="Arial"/>
          <w:sz w:val="17"/>
          <w:szCs w:val="17"/>
          <w:color w:val="FF0000"/>
          <w:strike w:val="1"/>
        </w:rPr>
        <w:t>) Business Day of each calendar month (commencing with July 17, 2023), the Borrower shall deliver to the Lenders a report in a form reasonably acceptable to the Required Lenders, that describes, in reasonable detail, the following key performance indicators with respect to the Borrower and its Subsidiaries for the calendar month most recently ended; provided that the HNRY Logistics business segment shall be excluded for all purposes of calculating such key performance indicators: (i) number of miles traveled by units of the Borrower and its Subsidiaries, (ii) revenue generating miles traveled by units of the Borrower and its Subsidiaries, (iii) number of miles of third-party transportation purchased by the Borrower and its Subsidiaries, (iv) average length of haul, (v) number of tons transported, (vi) number of gallons of fuel consumed, (vii) number of hours worked by hourly and other wage-earning employees, (viii) revenue earned per hundredweight, excluding fuel surcharge and (ix) revenue earned per hundredweight, including the fuel surcharge.</w:t>
      </w:r>
    </w:p>
    <w:p>
      <w:pPr>
        <w:spacing w:after="0" w:line="178"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u w:val="single" w:color="auto"/>
          <w:color w:val="0000FF"/>
        </w:rPr>
        <w:t>(o)</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not later than 5:00 p.m. New York time on the Friday of each calendar week, with information for the immediately preceding calendar week</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ending on a Friday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that the Lenders confirm receipt of the following items as of Friday, August 25, 2023, and each Friday thereafter leading up to the Amendment No. 4 Effective Date as required by the DIP Term Sheet and confirm such items received prior to the Amendment No. 4 Effective Date were satisfactory to the Lenders), the following, in the case of clauses (i) and (iii) consistent with the form delivered prior to the Amendment No. 4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64337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8922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943725"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940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56" w:lineRule="exact"/>
        <w:rPr>
          <w:sz w:val="20"/>
          <w:szCs w:val="20"/>
          <w:color w:val="auto"/>
        </w:rPr>
      </w:pPr>
    </w:p>
    <w:p>
      <w:pPr>
        <w:ind w:left="440" w:right="180" w:firstLine="419"/>
        <w:spacing w:after="0" w:line="266" w:lineRule="auto"/>
        <w:tabs>
          <w:tab w:leader="none" w:pos="968" w:val="left"/>
        </w:tabs>
        <w:numPr>
          <w:ilvl w:val="0"/>
          <w:numId w:val="1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w:t>
      </w:r>
      <w:r>
        <w:rPr>
          <w:rFonts w:ascii="Arial" w:cs="Arial" w:eastAsia="Arial" w:hAnsi="Arial"/>
          <w:sz w:val="18"/>
          <w:szCs w:val="18"/>
          <w:color w:val="0000FF"/>
        </w:rPr>
        <w:t xml:space="preserve"> </w:t>
      </w:r>
      <w:r>
        <w:rPr>
          <w:rFonts w:ascii="Arial" w:cs="Arial" w:eastAsia="Arial" w:hAnsi="Arial"/>
          <w:sz w:val="18"/>
          <w:szCs w:val="18"/>
          <w:color w:val="000000"/>
        </w:rPr>
        <w:t xml:space="preserve"> </w:t>
      </w:r>
      <w:r>
        <w:rPr>
          <w:rFonts w:ascii="Arial" w:cs="Arial" w:eastAsia="Arial" w:hAnsi="Arial"/>
          <w:sz w:val="18"/>
          <w:szCs w:val="18"/>
          <w:color w:val="0000FF"/>
        </w:rPr>
        <w:t xml:space="preserve"> a written report (each, a “</w:t>
      </w:r>
      <w:r>
        <w:rPr>
          <w:rFonts w:ascii="Arial" w:cs="Arial" w:eastAsia="Arial" w:hAnsi="Arial"/>
          <w:sz w:val="18"/>
          <w:szCs w:val="18"/>
          <w:b w:val="1"/>
          <w:bCs w:val="1"/>
          <w:color w:val="0000FF"/>
        </w:rPr>
        <w:t>Disbursement Report</w:t>
      </w:r>
      <w:r>
        <w:rPr>
          <w:rFonts w:ascii="Arial" w:cs="Arial" w:eastAsia="Arial" w:hAnsi="Arial"/>
          <w:sz w:val="18"/>
          <w:szCs w:val="18"/>
          <w:color w:val="0000FF"/>
        </w:rPr>
        <w:t xml:space="preserve">”) of disbursements made during the period since delivery of the last Disbursement </w:t>
      </w:r>
      <w:r>
        <w:rPr>
          <w:rFonts w:ascii="Arial" w:cs="Arial" w:eastAsia="Arial" w:hAnsi="Arial"/>
          <w:sz w:val="18"/>
          <w:szCs w:val="18"/>
          <w:u w:val="single" w:color="auto"/>
          <w:color w:val="0000FF"/>
        </w:rPr>
        <w:t>Report (or, for the first Disbursement Report delivered hereunder, since the Petition Date), including payroll payments made by department, payments to directors, and payments to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-278765</wp:posOffset>
            </wp:positionV>
            <wp:extent cx="631761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-313055</wp:posOffset>
            </wp:positionV>
            <wp:extent cx="60407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0407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39508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245173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250" w:name="page251"/>
    <w:bookmarkEnd w:id="250"/>
    <w:p>
      <w:pPr>
        <w:ind w:left="440" w:right="20" w:firstLine="419"/>
        <w:spacing w:after="0" w:line="273" w:lineRule="auto"/>
        <w:tabs>
          <w:tab w:leader="none" w:pos="1128" w:val="left"/>
        </w:tabs>
        <w:numPr>
          <w:ilvl w:val="0"/>
          <w:numId w:val="167"/>
        </w:numPr>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r>
        <w:rPr>
          <w:rFonts w:ascii="Arial" w:cs="Arial" w:eastAsia="Arial" w:hAnsi="Arial"/>
          <w:sz w:val="17"/>
          <w:szCs w:val="17"/>
          <w:u w:val="single" w:color="auto"/>
          <w:color w:val="0000FF"/>
        </w:rPr>
        <w:t>a written report in reasonable detail (each, a “</w:t>
      </w:r>
      <w:r>
        <w:rPr>
          <w:rFonts w:ascii="Arial" w:cs="Arial" w:eastAsia="Arial" w:hAnsi="Arial"/>
          <w:sz w:val="17"/>
          <w:szCs w:val="17"/>
          <w:b w:val="1"/>
          <w:bCs w:val="1"/>
          <w:u w:val="single" w:color="auto"/>
          <w:color w:val="0000FF"/>
        </w:rPr>
        <w:t>Sale Report</w:t>
      </w:r>
      <w:r>
        <w:rPr>
          <w:rFonts w:ascii="Arial" w:cs="Arial" w:eastAsia="Arial" w:hAnsi="Arial"/>
          <w:sz w:val="17"/>
          <w:szCs w:val="17"/>
          <w:u w:val="single" w:color="auto"/>
          <w:color w:val="0000FF"/>
        </w:rPr>
        <w:t>”) setting out updates in the monetization strategy of the Borrower,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xml:space="preserve">including an update on the status of the sale of each Real Property and other assets of the Loan Parties contemplated by the Bidding Procedures Order, a description of inbound interests and outbound solicitations, and updates on the status of diligence and bids since delivery of the last Sale Report (or, for the first Sale Report delivered hereunder, since the Petition Date);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the Borrower shall be entitled to restrict and/or redact commercially sensitive information to protect the competitive sales process as determined in its good faith judgment; provided, however, that if any Lender is or becomes a potential bidder, the Loan Parties shall not be required to provide information to such Lender regarding the sale process that is not available to all potential bidders;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-830580</wp:posOffset>
            </wp:positionV>
            <wp:extent cx="600075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-693420</wp:posOffset>
            </wp:positionV>
            <wp:extent cx="65493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-556260</wp:posOffset>
            </wp:positionV>
            <wp:extent cx="662622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-419100</wp:posOffset>
            </wp:positionV>
            <wp:extent cx="6497955"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-281940</wp:posOffset>
            </wp:positionV>
            <wp:extent cx="656653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-144780</wp:posOffset>
            </wp:positionV>
            <wp:extent cx="666940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-7620</wp:posOffset>
            </wp:positionV>
            <wp:extent cx="253746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8" w:lineRule="exact"/>
        <w:rPr>
          <w:sz w:val="20"/>
          <w:szCs w:val="20"/>
          <w:color w:val="auto"/>
        </w:rPr>
      </w:pPr>
    </w:p>
    <w:p>
      <w:pPr>
        <w:ind w:left="440" w:right="440" w:firstLine="423"/>
        <w:spacing w:after="0" w:line="342" w:lineRule="auto"/>
        <w:rPr>
          <w:sz w:val="20"/>
          <w:szCs w:val="20"/>
          <w:color w:val="auto"/>
        </w:rPr>
      </w:pPr>
      <w:r>
        <w:rPr>
          <w:rFonts w:ascii="Arial" w:cs="Arial" w:eastAsia="Arial" w:hAnsi="Arial"/>
          <w:sz w:val="16"/>
          <w:szCs w:val="16"/>
          <w:u w:val="single" w:color="auto"/>
          <w:color w:val="0000FF"/>
        </w:rPr>
        <w:t>(iii)</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 list of (A) current information with respect to all accounts receivable owed to the Loan Parties, including all collections, sales,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reconciliations and payments in respect thereof, and (B) current information with respect to all accounts payable owed by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-177800</wp:posOffset>
            </wp:positionV>
            <wp:extent cx="612902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-40640</wp:posOffset>
            </wp:positionV>
            <wp:extent cx="6351905"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6351905" cy="8890"/>
                    </a:xfrm>
                    <a:prstGeom prst="rect">
                      <a:avLst/>
                    </a:prstGeom>
                    <a:noFill/>
                  </pic:spPr>
                </pic:pic>
              </a:graphicData>
            </a:graphic>
          </wp:anchor>
        </w:drawing>
      </w:r>
    </w:p>
    <w:p>
      <w:pPr>
        <w:spacing w:after="0" w:line="10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Notwithstanding anything to the contrary, neither the Borrower nor any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will be required to disclose or permit the inspection </w:t>
      </w:r>
      <w:r>
        <w:rPr>
          <w:rFonts w:ascii="Arial" w:cs="Arial" w:eastAsia="Arial" w:hAnsi="Arial"/>
          <w:sz w:val="16"/>
          <w:szCs w:val="16"/>
          <w:color w:val="FF0000"/>
          <w:strike w:val="1"/>
        </w:rPr>
        <w:t>or discussion</w:t>
      </w:r>
      <w:r>
        <w:rPr>
          <w:rFonts w:ascii="Arial" w:cs="Arial" w:eastAsia="Arial" w:hAnsi="Arial"/>
          <w:sz w:val="16"/>
          <w:szCs w:val="16"/>
          <w:color w:val="FF0000"/>
        </w:rPr>
        <w:t xml:space="preserve"> </w:t>
      </w:r>
      <w:r>
        <w:rPr>
          <w:rFonts w:ascii="Arial" w:cs="Arial" w:eastAsia="Arial" w:hAnsi="Arial"/>
          <w:sz w:val="16"/>
          <w:szCs w:val="16"/>
          <w:color w:val="000000"/>
        </w:rPr>
        <w:t>of</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color w:val="000000"/>
        </w:rPr>
        <w:t>any document, information or other matter</w:t>
      </w:r>
      <w:r>
        <w:rPr>
          <w:rFonts w:ascii="Arial" w:cs="Arial" w:eastAsia="Arial" w:hAnsi="Arial"/>
          <w:sz w:val="16"/>
          <w:szCs w:val="16"/>
          <w:color w:val="FF0000"/>
        </w:rPr>
        <w:t xml:space="preserve"> </w:t>
      </w:r>
      <w:r>
        <w:rPr>
          <w:rFonts w:ascii="Arial" w:cs="Arial" w:eastAsia="Arial" w:hAnsi="Arial"/>
          <w:sz w:val="16"/>
          <w:szCs w:val="16"/>
          <w:color w:val="FF0000"/>
          <w:strike w:val="1"/>
        </w:rPr>
        <w:t>(i) that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pursuant to this Section 6.02 (i) that is subject to attorney client or similar privilege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or</w:t>
      </w:r>
      <w:r>
        <w:rPr>
          <w:rFonts w:ascii="Arial" w:cs="Arial" w:eastAsia="Arial" w:hAnsi="Arial"/>
          <w:sz w:val="16"/>
          <w:szCs w:val="16"/>
          <w:color w:val="0000FF"/>
        </w:rPr>
        <w:t xml:space="preserve"> </w:t>
      </w:r>
      <w:r>
        <w:rPr>
          <w:rFonts w:ascii="Arial" w:cs="Arial" w:eastAsia="Arial" w:hAnsi="Arial"/>
          <w:sz w:val="16"/>
          <w:szCs w:val="16"/>
          <w:color w:val="000000"/>
        </w:rPr>
        <w:t>constitutes</w:t>
      </w:r>
      <w:r>
        <w:rPr>
          <w:rFonts w:ascii="Arial" w:cs="Arial" w:eastAsia="Arial" w:hAnsi="Arial"/>
          <w:sz w:val="16"/>
          <w:szCs w:val="16"/>
          <w:color w:val="0000FF"/>
        </w:rPr>
        <w:t xml:space="preserve"> </w:t>
      </w:r>
      <w:r>
        <w:rPr>
          <w:rFonts w:ascii="Arial" w:cs="Arial" w:eastAsia="Arial" w:hAnsi="Arial"/>
          <w:sz w:val="16"/>
          <w:szCs w:val="16"/>
          <w:color w:val="FF0000"/>
          <w:strike w:val="1"/>
        </w:rPr>
        <w:t>trade secrets or proprietary information,</w:t>
      </w:r>
      <w:r>
        <w:rPr>
          <w:rFonts w:ascii="Arial" w:cs="Arial" w:eastAsia="Arial" w:hAnsi="Arial"/>
          <w:sz w:val="16"/>
          <w:szCs w:val="16"/>
          <w:u w:val="single" w:color="auto"/>
          <w:color w:val="0000FF"/>
        </w:rPr>
        <w:t>attorney work product. or</w:t>
      </w:r>
      <w:r>
        <w:rPr>
          <w:rFonts w:ascii="Arial" w:cs="Arial" w:eastAsia="Arial" w:hAnsi="Arial"/>
          <w:sz w:val="16"/>
          <w:szCs w:val="16"/>
          <w:color w:val="0000FF"/>
        </w:rPr>
        <w:t xml:space="preserve"> </w:t>
      </w:r>
      <w:r>
        <w:rPr>
          <w:rFonts w:ascii="Arial" w:cs="Arial" w:eastAsia="Arial" w:hAnsi="Arial"/>
          <w:sz w:val="16"/>
          <w:szCs w:val="16"/>
          <w:color w:val="000000"/>
        </w:rPr>
        <w:t>(ii) in respect of which disclosure to the Administrative Agent or any</w:t>
      </w:r>
      <w:r>
        <w:rPr>
          <w:rFonts w:ascii="Arial" w:cs="Arial" w:eastAsia="Arial" w:hAnsi="Arial"/>
          <w:sz w:val="16"/>
          <w:szCs w:val="16"/>
          <w:color w:val="0000FF"/>
        </w:rPr>
        <w:t xml:space="preserve"> </w:t>
      </w:r>
      <w:r>
        <w:rPr>
          <w:rFonts w:ascii="Arial" w:cs="Arial" w:eastAsia="Arial" w:hAnsi="Arial"/>
          <w:sz w:val="16"/>
          <w:szCs w:val="16"/>
          <w:color w:val="000000"/>
        </w:rPr>
        <w:t>Lender (or their representative</w:t>
      </w:r>
      <w:r>
        <w:rPr>
          <w:rFonts w:ascii="Arial" w:cs="Arial" w:eastAsia="Arial" w:hAnsi="Arial"/>
          <w:sz w:val="16"/>
          <w:szCs w:val="16"/>
          <w:color w:val="FF0000"/>
          <w:strike w:val="1"/>
        </w:rPr>
        <w:t>s</w:t>
      </w:r>
      <w:r>
        <w:rPr>
          <w:rFonts w:ascii="Arial" w:cs="Arial" w:eastAsia="Arial" w:hAnsi="Arial"/>
          <w:sz w:val="16"/>
          <w:szCs w:val="16"/>
          <w:color w:val="000000"/>
        </w:rPr>
        <w:t xml:space="preserve"> or contractors) is prohibited by law or any binding agreement (to the extent not created in contemplation of such Loan Party’s obligations under this </w:t>
      </w:r>
      <w:r>
        <w:rPr>
          <w:rFonts w:ascii="Arial" w:cs="Arial" w:eastAsia="Arial" w:hAnsi="Arial"/>
          <w:sz w:val="16"/>
          <w:szCs w:val="16"/>
          <w:color w:val="FF0000"/>
          <w:strike w:val="1"/>
        </w:rPr>
        <w:t>Section 6.02), or (iii) that is subject to attorney client or similar privilege or constitutes attorney work product</w:t>
      </w:r>
      <w:r>
        <w:rPr>
          <w:rFonts w:ascii="Arial" w:cs="Arial" w:eastAsia="Arial" w:hAnsi="Arial"/>
          <w:sz w:val="16"/>
          <w:szCs w:val="16"/>
          <w:u w:val="single" w:color="auto"/>
          <w:color w:val="0000FF"/>
        </w:rPr>
        <w:t>Agreement)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-427990</wp:posOffset>
            </wp:positionV>
            <wp:extent cx="38061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3806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12001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-290830</wp:posOffset>
            </wp:positionV>
            <wp:extent cx="116586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-16510</wp:posOffset>
            </wp:positionV>
            <wp:extent cx="54038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4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FF0000"/>
          <w:strike w:val="1"/>
        </w:rPr>
        <w:t>Section 6.03.</w:t>
      </w:r>
      <w:r>
        <w:rPr>
          <w:rFonts w:ascii="Arial" w:cs="Arial" w:eastAsia="Arial" w:hAnsi="Arial"/>
          <w:sz w:val="18"/>
          <w:szCs w:val="18"/>
          <w:color w:val="FF0000"/>
        </w:rPr>
        <w:t xml:space="preserve"> </w:t>
      </w:r>
      <w:r>
        <w:rPr>
          <w:rFonts w:ascii="Arial" w:cs="Arial" w:eastAsia="Arial" w:hAnsi="Arial"/>
          <w:sz w:val="18"/>
          <w:szCs w:val="18"/>
          <w:color w:val="0000FF"/>
        </w:rPr>
        <w:t>Section 6.03 </w:t>
      </w:r>
      <w:r>
        <w:rPr>
          <w:rFonts w:ascii="Arial" w:cs="Arial" w:eastAsia="Arial" w:hAnsi="Arial"/>
          <w:sz w:val="18"/>
          <w:szCs w:val="18"/>
          <w:i w:val="1"/>
          <w:iCs w:val="1"/>
          <w:color w:val="000000"/>
        </w:rPr>
        <w:t>Notices.</w:t>
      </w:r>
      <w:r>
        <w:rPr>
          <w:rFonts w:ascii="Arial" w:cs="Arial" w:eastAsia="Arial" w:hAnsi="Arial"/>
          <w:sz w:val="18"/>
          <w:szCs w:val="18"/>
          <w:color w:val="FF0000"/>
        </w:rPr>
        <w:t xml:space="preserve"> </w:t>
      </w:r>
      <w:r>
        <w:rPr>
          <w:rFonts w:ascii="Arial" w:cs="Arial" w:eastAsia="Arial" w:hAnsi="Arial"/>
          <w:sz w:val="18"/>
          <w:szCs w:val="18"/>
          <w:color w:val="000000"/>
        </w:rPr>
        <w:t>Promptly after the Borrower or any Guarantor has obtained knowledge thereof, notify the Administrative</w:t>
      </w:r>
      <w:r>
        <w:rPr>
          <w:rFonts w:ascii="Arial" w:cs="Arial" w:eastAsia="Arial" w:hAnsi="Arial"/>
          <w:sz w:val="18"/>
          <w:szCs w:val="18"/>
          <w:color w:val="FF0000"/>
        </w:rPr>
        <w:t xml:space="preserve"> </w:t>
      </w:r>
      <w:r>
        <w:rPr>
          <w:rFonts w:ascii="Arial" w:cs="Arial" w:eastAsia="Arial" w:hAnsi="Arial"/>
          <w:sz w:val="18"/>
          <w:szCs w:val="18"/>
          <w:color w:val="000000"/>
        </w:rPr>
        <w:t>Agent (which shall provide notice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-147955</wp:posOffset>
            </wp:positionV>
            <wp:extent cx="6858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-182245</wp:posOffset>
            </wp:positionV>
            <wp:extent cx="68516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(a) of the occurrence of any Default </w:t>
      </w:r>
      <w:r>
        <w:rPr>
          <w:rFonts w:ascii="Arial" w:cs="Arial" w:eastAsia="Arial" w:hAnsi="Arial"/>
          <w:sz w:val="18"/>
          <w:szCs w:val="18"/>
          <w:color w:val="0000FF"/>
        </w:rPr>
        <w:t>or an Event of Default (other than an Existing Default)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23495</wp:posOffset>
            </wp:positionV>
            <wp:extent cx="252857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-10160</wp:posOffset>
            </wp:positionV>
            <wp:extent cx="2531745"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25317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(b) of any matter that has resulted or could reasonably be expected to result in a Material Adverse Effect;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(c) of the filing or commencement of, or any written threat or written notice of intention of any person to file or commence any action, suit, litigation or proceeding, whether at law or in equity by or before any Governmental Authority, against the Borrower or any of its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that has a reasonable likelihood of adverse determination and such determination could reasonably be expected to result in a Material Adverse Effect </w:t>
      </w:r>
      <w:r>
        <w:rPr>
          <w:rFonts w:ascii="Arial" w:cs="Arial" w:eastAsia="Arial" w:hAnsi="Arial"/>
          <w:sz w:val="18"/>
          <w:szCs w:val="18"/>
          <w:u w:val="single" w:color="auto"/>
          <w:color w:val="0000FF"/>
        </w:rPr>
        <w:t>and any material developments in any of the foregoing</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50317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(d) of any material developments in any material action, suit, litigation or proceeding, whether at law or in equity, commenced by the Borrower or any of its Subsidiaries; and</w:t>
      </w:r>
    </w:p>
    <w:p>
      <w:pPr>
        <w:spacing w:after="0" w:line="170"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(e) of the occurrence of any ERISA Event </w:t>
      </w:r>
      <w:r>
        <w:rPr>
          <w:rFonts w:ascii="Arial" w:cs="Arial" w:eastAsia="Arial" w:hAnsi="Arial"/>
          <w:sz w:val="17"/>
          <w:szCs w:val="17"/>
          <w:color w:val="FF0000"/>
          <w:strike w:val="1"/>
        </w:rPr>
        <w:t>following the Restatement Effective Date</w:t>
      </w:r>
      <w:r>
        <w:rPr>
          <w:rFonts w:ascii="Arial" w:cs="Arial" w:eastAsia="Arial" w:hAnsi="Arial"/>
          <w:sz w:val="17"/>
          <w:szCs w:val="17"/>
          <w:color w:val="auto"/>
        </w:rPr>
        <w:t xml:space="preserve"> that, alone or together with any other ERISA Events that have occurred </w:t>
      </w:r>
      <w:r>
        <w:rPr>
          <w:rFonts w:ascii="Arial" w:cs="Arial" w:eastAsia="Arial" w:hAnsi="Arial"/>
          <w:sz w:val="17"/>
          <w:szCs w:val="17"/>
          <w:color w:val="FF0000"/>
          <w:strike w:val="1"/>
        </w:rPr>
        <w:t>following the Restatement Effective Date</w:t>
      </w:r>
      <w:r>
        <w:rPr>
          <w:rFonts w:ascii="Arial" w:cs="Arial" w:eastAsia="Arial" w:hAnsi="Arial"/>
          <w:sz w:val="17"/>
          <w:szCs w:val="17"/>
          <w:color w:val="auto"/>
        </w:rPr>
        <w:t>, could reasonably be expected to result in a Material Adverse Effect.</w:t>
      </w:r>
    </w:p>
    <w:p>
      <w:pPr>
        <w:spacing w:after="0" w:line="146"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u w:val="single" w:color="auto"/>
          <w:color w:val="0000FF"/>
        </w:rPr>
        <w:t>(f)</w:t>
      </w:r>
      <w:r>
        <w:rPr>
          <w:rFonts w:ascii="Arial" w:cs="Arial" w:eastAsia="Arial" w:hAnsi="Arial"/>
          <w:sz w:val="16"/>
          <w:szCs w:val="16"/>
          <w:color w:val="000000"/>
        </w:rPr>
        <w:t xml:space="preserve">  Each notice pursuant to this Section shall be accompanied by a written statement of a Responsible Officer of the Borrower (x) that such</w:t>
      </w:r>
      <w:r>
        <w:rPr>
          <w:rFonts w:ascii="Arial" w:cs="Arial" w:eastAsia="Arial" w:hAnsi="Arial"/>
          <w:sz w:val="16"/>
          <w:szCs w:val="16"/>
          <w:color w:val="0000FF"/>
        </w:rPr>
        <w:t xml:space="preserve"> </w:t>
      </w:r>
      <w:r>
        <w:rPr>
          <w:rFonts w:ascii="Arial" w:cs="Arial" w:eastAsia="Arial" w:hAnsi="Arial"/>
          <w:sz w:val="16"/>
          <w:szCs w:val="16"/>
          <w:color w:val="000000"/>
        </w:rPr>
        <w:t xml:space="preserve">notice is being delivered pursuant to </w:t>
      </w:r>
      <w:r>
        <w:rPr>
          <w:rFonts w:ascii="Arial" w:cs="Arial" w:eastAsia="Arial" w:hAnsi="Arial"/>
          <w:sz w:val="16"/>
          <w:szCs w:val="16"/>
          <w:u w:val="single" w:color="auto"/>
          <w:color w:val="000000"/>
        </w:rPr>
        <w:t>Section 6.03(a)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(c)</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(d)</w:t>
      </w:r>
      <w:r>
        <w:rPr>
          <w:rFonts w:ascii="Arial" w:cs="Arial" w:eastAsia="Arial" w:hAnsi="Arial"/>
          <w:sz w:val="16"/>
          <w:szCs w:val="16"/>
          <w:color w:val="000000"/>
        </w:rPr>
        <w:t xml:space="preserve"> or (e) (as applicable) and (y) setting forth details of the occurrence referred to in </w:t>
      </w:r>
      <w:r>
        <w:rPr>
          <w:rFonts w:ascii="Arial" w:cs="Arial" w:eastAsia="Arial" w:hAnsi="Arial"/>
          <w:sz w:val="16"/>
          <w:szCs w:val="16"/>
          <w:u w:val="single" w:color="auto"/>
          <w:color w:val="000000"/>
        </w:rPr>
        <w:t>Section 6.03(a), (b)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(c)</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(d)</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(e),</w:t>
      </w:r>
      <w:r>
        <w:rPr>
          <w:rFonts w:ascii="Arial" w:cs="Arial" w:eastAsia="Arial" w:hAnsi="Arial"/>
          <w:sz w:val="16"/>
          <w:szCs w:val="16"/>
          <w:color w:val="000000"/>
        </w:rPr>
        <w:t xml:space="preserve"> as applicable, and stating what action the Borrower has taken and proposes to take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-298450</wp:posOffset>
            </wp:positionV>
            <wp:extent cx="111125"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0"/>
          </w:cols>
          <w:pgMar w:left="440" w:top="270" w:right="499" w:bottom="1440" w:gutter="0" w:footer="0" w:header="0"/>
        </w:sectPr>
      </w:pPr>
    </w:p>
    <w:bookmarkStart w:id="251" w:name="page252"/>
    <w:bookmarkEnd w:id="251"/>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neither the Borrower nor any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will be required to disclose or permit the inspection </w:t>
      </w:r>
      <w:r>
        <w:rPr>
          <w:rFonts w:ascii="Arial" w:cs="Arial" w:eastAsia="Arial" w:hAnsi="Arial"/>
          <w:sz w:val="16"/>
          <w:szCs w:val="16"/>
          <w:color w:val="FF0000"/>
          <w:strike w:val="1"/>
        </w:rPr>
        <w:t>or discussion</w:t>
      </w:r>
      <w:r>
        <w:rPr>
          <w:rFonts w:ascii="Arial" w:cs="Arial" w:eastAsia="Arial" w:hAnsi="Arial"/>
          <w:sz w:val="16"/>
          <w:szCs w:val="16"/>
          <w:color w:val="FF0000"/>
        </w:rPr>
        <w:t xml:space="preserve"> </w:t>
      </w:r>
      <w:r>
        <w:rPr>
          <w:rFonts w:ascii="Arial" w:cs="Arial" w:eastAsia="Arial" w:hAnsi="Arial"/>
          <w:sz w:val="16"/>
          <w:szCs w:val="16"/>
          <w:color w:val="000000"/>
        </w:rPr>
        <w:t>of</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color w:val="000000"/>
        </w:rPr>
        <w:t>any document, information or other matter</w:t>
      </w:r>
      <w:r>
        <w:rPr>
          <w:rFonts w:ascii="Arial" w:cs="Arial" w:eastAsia="Arial" w:hAnsi="Arial"/>
          <w:sz w:val="16"/>
          <w:szCs w:val="16"/>
          <w:color w:val="FF0000"/>
        </w:rPr>
        <w:t xml:space="preserve"> </w:t>
      </w:r>
      <w:r>
        <w:rPr>
          <w:rFonts w:ascii="Arial" w:cs="Arial" w:eastAsia="Arial" w:hAnsi="Arial"/>
          <w:sz w:val="16"/>
          <w:szCs w:val="16"/>
          <w:color w:val="FF0000"/>
          <w:strike w:val="1"/>
        </w:rPr>
        <w:t>(i) that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pursuant to this Section 6.03 (i</w:t>
      </w:r>
      <w:r>
        <w:rPr>
          <w:rFonts w:ascii="Arial" w:cs="Arial" w:eastAsia="Arial" w:hAnsi="Arial"/>
          <w:sz w:val="16"/>
          <w:szCs w:val="16"/>
          <w:u w:val="single" w:color="auto"/>
          <w:color w:val="008000"/>
        </w:rPr>
        <w:t>) that is subject to attorney client or similar privilege</w:t>
      </w:r>
      <w:r>
        <w:rPr>
          <w:rFonts w:ascii="Arial" w:cs="Arial" w:eastAsia="Arial" w:hAnsi="Arial"/>
          <w:sz w:val="16"/>
          <w:szCs w:val="16"/>
          <w:color w:val="FF0000"/>
        </w:rPr>
        <w:t xml:space="preserve"> </w:t>
      </w:r>
      <w:r>
        <w:rPr>
          <w:rFonts w:ascii="Arial" w:cs="Arial" w:eastAsia="Arial" w:hAnsi="Arial"/>
          <w:sz w:val="16"/>
          <w:szCs w:val="16"/>
          <w:u w:val="single" w:color="auto"/>
          <w:color w:val="008000"/>
        </w:rPr>
        <w:t>or</w:t>
      </w:r>
      <w:r>
        <w:rPr>
          <w:rFonts w:ascii="Arial" w:cs="Arial" w:eastAsia="Arial" w:hAnsi="Arial"/>
          <w:sz w:val="16"/>
          <w:szCs w:val="16"/>
          <w:color w:val="008000"/>
        </w:rPr>
        <w:t xml:space="preserve"> </w:t>
      </w:r>
      <w:r>
        <w:rPr>
          <w:rFonts w:ascii="Arial" w:cs="Arial" w:eastAsia="Arial" w:hAnsi="Arial"/>
          <w:sz w:val="16"/>
          <w:szCs w:val="16"/>
          <w:color w:val="000000"/>
        </w:rPr>
        <w:t>constitutes</w:t>
      </w:r>
      <w:r>
        <w:rPr>
          <w:rFonts w:ascii="Arial" w:cs="Arial" w:eastAsia="Arial" w:hAnsi="Arial"/>
          <w:sz w:val="16"/>
          <w:szCs w:val="16"/>
          <w:color w:val="008000"/>
        </w:rPr>
        <w:t xml:space="preserve"> </w:t>
      </w:r>
      <w:r>
        <w:rPr>
          <w:rFonts w:ascii="Arial" w:cs="Arial" w:eastAsia="Arial" w:hAnsi="Arial"/>
          <w:sz w:val="16"/>
          <w:szCs w:val="16"/>
          <w:color w:val="FF0000"/>
          <w:strike w:val="1"/>
        </w:rPr>
        <w:t>trade secrets or proprietary information,</w:t>
      </w:r>
      <w:r>
        <w:rPr>
          <w:rFonts w:ascii="Arial" w:cs="Arial" w:eastAsia="Arial" w:hAnsi="Arial"/>
          <w:sz w:val="16"/>
          <w:szCs w:val="16"/>
          <w:u w:val="single" w:color="auto"/>
          <w:color w:val="0000FF"/>
        </w:rPr>
        <w:t>attorney work product, or</w:t>
      </w:r>
      <w:r>
        <w:rPr>
          <w:rFonts w:ascii="Arial" w:cs="Arial" w:eastAsia="Arial" w:hAnsi="Arial"/>
          <w:sz w:val="16"/>
          <w:szCs w:val="16"/>
          <w:color w:val="008000"/>
        </w:rPr>
        <w:t xml:space="preserve"> </w:t>
      </w:r>
      <w:r>
        <w:rPr>
          <w:rFonts w:ascii="Arial" w:cs="Arial" w:eastAsia="Arial" w:hAnsi="Arial"/>
          <w:sz w:val="16"/>
          <w:szCs w:val="16"/>
          <w:color w:val="000000"/>
        </w:rPr>
        <w:t>(ii) in respect of which disclosure to the Administrative Agent or any</w:t>
      </w:r>
      <w:r>
        <w:rPr>
          <w:rFonts w:ascii="Arial" w:cs="Arial" w:eastAsia="Arial" w:hAnsi="Arial"/>
          <w:sz w:val="16"/>
          <w:szCs w:val="16"/>
          <w:color w:val="008000"/>
        </w:rPr>
        <w:t xml:space="preserve"> </w:t>
      </w:r>
      <w:r>
        <w:rPr>
          <w:rFonts w:ascii="Arial" w:cs="Arial" w:eastAsia="Arial" w:hAnsi="Arial"/>
          <w:sz w:val="16"/>
          <w:szCs w:val="16"/>
          <w:color w:val="000000"/>
        </w:rPr>
        <w:t>Lender (or their representative</w:t>
      </w:r>
      <w:r>
        <w:rPr>
          <w:rFonts w:ascii="Arial" w:cs="Arial" w:eastAsia="Arial" w:hAnsi="Arial"/>
          <w:sz w:val="16"/>
          <w:szCs w:val="16"/>
          <w:u w:val="single" w:color="auto"/>
          <w:color w:val="0000FF"/>
        </w:rPr>
        <w:t>s</w:t>
      </w:r>
      <w:r>
        <w:rPr>
          <w:rFonts w:ascii="Arial" w:cs="Arial" w:eastAsia="Arial" w:hAnsi="Arial"/>
          <w:sz w:val="16"/>
          <w:szCs w:val="16"/>
          <w:color w:val="000000"/>
        </w:rPr>
        <w:t xml:space="preserve"> or contractors) is prohibited by law or any binding agreement (to the extent not created in contemplation of such Loan Party’s obligations under this </w:t>
      </w:r>
      <w:r>
        <w:rPr>
          <w:rFonts w:ascii="Arial" w:cs="Arial" w:eastAsia="Arial" w:hAnsi="Arial"/>
          <w:sz w:val="16"/>
          <w:szCs w:val="16"/>
          <w:color w:val="FF0000"/>
          <w:strike w:val="1"/>
        </w:rPr>
        <w:t>Section 6.03), or (iii</w:t>
      </w:r>
      <w:r>
        <w:rPr>
          <w:rFonts w:ascii="Arial" w:cs="Arial" w:eastAsia="Arial" w:hAnsi="Arial"/>
          <w:sz w:val="16"/>
          <w:szCs w:val="16"/>
          <w:color w:val="008000"/>
          <w:strike w:val="1"/>
        </w:rPr>
        <w:t>) that is subject to attorney client or similar privilege or</w:t>
      </w:r>
      <w:r>
        <w:rPr>
          <w:rFonts w:ascii="Arial" w:cs="Arial" w:eastAsia="Arial" w:hAnsi="Arial"/>
          <w:sz w:val="16"/>
          <w:szCs w:val="16"/>
          <w:color w:val="000000"/>
        </w:rPr>
        <w:t xml:space="preserve"> </w:t>
      </w:r>
      <w:r>
        <w:rPr>
          <w:rFonts w:ascii="Arial" w:cs="Arial" w:eastAsia="Arial" w:hAnsi="Arial"/>
          <w:sz w:val="16"/>
          <w:szCs w:val="16"/>
          <w:color w:val="FF0000"/>
          <w:strike w:val="1"/>
        </w:rPr>
        <w:t>constitutes attorney work product</w:t>
      </w:r>
      <w:r>
        <w:rPr>
          <w:rFonts w:ascii="Arial" w:cs="Arial" w:eastAsia="Arial" w:hAnsi="Arial"/>
          <w:sz w:val="16"/>
          <w:szCs w:val="16"/>
          <w:u w:val="single" w:color="auto"/>
          <w:color w:val="0000FF"/>
        </w:rPr>
        <w:t>Agreement)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-427990</wp:posOffset>
            </wp:positionV>
            <wp:extent cx="38061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3806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12001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-290830</wp:posOffset>
            </wp:positionV>
            <wp:extent cx="116586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-153670</wp:posOffset>
            </wp:positionV>
            <wp:extent cx="51435"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-16510</wp:posOffset>
            </wp:positionV>
            <wp:extent cx="54038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4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u w:val="single" w:color="auto"/>
          <w:color w:val="0000FF"/>
        </w:rPr>
        <w:t>Section 6.04</w:t>
      </w:r>
      <w:r>
        <w:rPr>
          <w:rFonts w:ascii="Arial" w:cs="Arial" w:eastAsia="Arial" w:hAnsi="Arial"/>
          <w:sz w:val="16"/>
          <w:szCs w:val="16"/>
          <w:color w:val="0000FF"/>
        </w:rPr>
        <w:t xml:space="preserve"> </w:t>
      </w:r>
      <w:r>
        <w:rPr>
          <w:rFonts w:ascii="Arial" w:cs="Arial" w:eastAsia="Arial" w:hAnsi="Arial"/>
          <w:sz w:val="16"/>
          <w:szCs w:val="16"/>
          <w:color w:val="FF0000"/>
          <w:strike w:val="1"/>
        </w:rPr>
        <w:t>Section 6.04.</w:t>
      </w:r>
      <w:r>
        <w:rPr>
          <w:rFonts w:ascii="Arial" w:cs="Arial" w:eastAsia="Arial" w:hAnsi="Arial"/>
          <w:sz w:val="16"/>
          <w:szCs w:val="16"/>
          <w:color w:val="0000FF"/>
        </w:rPr>
        <w:t xml:space="preserve"> </w:t>
      </w:r>
      <w:r>
        <w:rPr>
          <w:rFonts w:ascii="Arial" w:cs="Arial" w:eastAsia="Arial" w:hAnsi="Arial"/>
          <w:sz w:val="16"/>
          <w:szCs w:val="16"/>
          <w:i w:val="1"/>
          <w:iCs w:val="1"/>
          <w:color w:val="000000"/>
        </w:rPr>
        <w:t>Payment of Taxes.</w:t>
      </w:r>
      <w:r>
        <w:rPr>
          <w:rFonts w:ascii="Arial" w:cs="Arial" w:eastAsia="Arial" w:hAnsi="Arial"/>
          <w:sz w:val="16"/>
          <w:szCs w:val="16"/>
          <w:color w:val="0000FF"/>
        </w:rPr>
        <w:t xml:space="preserve"> </w:t>
      </w:r>
      <w:r>
        <w:rPr>
          <w:rFonts w:ascii="Arial" w:cs="Arial" w:eastAsia="Arial" w:hAnsi="Arial"/>
          <w:sz w:val="16"/>
          <w:szCs w:val="16"/>
          <w:color w:val="000000"/>
        </w:rPr>
        <w:t>Promptly pay, discharge or otherwise satisfy as the same shall become due and payable in the</w:t>
      </w:r>
      <w:r>
        <w:rPr>
          <w:rFonts w:ascii="Arial" w:cs="Arial" w:eastAsia="Arial" w:hAnsi="Arial"/>
          <w:sz w:val="16"/>
          <w:szCs w:val="16"/>
          <w:color w:val="0000FF"/>
        </w:rPr>
        <w:t xml:space="preserve"> </w:t>
      </w:r>
      <w:r>
        <w:rPr>
          <w:rFonts w:ascii="Arial" w:cs="Arial" w:eastAsia="Arial" w:hAnsi="Arial"/>
          <w:sz w:val="16"/>
          <w:szCs w:val="16"/>
          <w:color w:val="000000"/>
        </w:rPr>
        <w:t>normal conduct of its business, all its obligations and liabilities in respect of Taxes imposed upon it or upon its income or profits or in respect of its property, except, to the extent any such Tax is being contested in good faith and by appropriate proceedings for which appropriate reserves have been established in accordance with GAAP if such contest shall have the effect of suspending enforcement or collection of such Taxes or, where the failure to pay, discharge or otherwise satisfy the same would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-565150</wp:posOffset>
            </wp:positionV>
            <wp:extent cx="60007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u w:val="single" w:color="auto"/>
          <w:color w:val="0000FF"/>
        </w:rPr>
        <w:t>Section 6.05</w:t>
      </w:r>
      <w:r>
        <w:rPr>
          <w:rFonts w:ascii="Arial" w:cs="Arial" w:eastAsia="Arial" w:hAnsi="Arial"/>
          <w:sz w:val="16"/>
          <w:szCs w:val="16"/>
          <w:color w:val="0000FF"/>
        </w:rPr>
        <w:t xml:space="preserve"> </w:t>
      </w:r>
      <w:r>
        <w:rPr>
          <w:rFonts w:ascii="Arial" w:cs="Arial" w:eastAsia="Arial" w:hAnsi="Arial"/>
          <w:sz w:val="16"/>
          <w:szCs w:val="16"/>
          <w:color w:val="FF0000"/>
          <w:strike w:val="1"/>
        </w:rPr>
        <w:t>Section 6.05.</w:t>
      </w:r>
      <w:r>
        <w:rPr>
          <w:rFonts w:ascii="Arial" w:cs="Arial" w:eastAsia="Arial" w:hAnsi="Arial"/>
          <w:sz w:val="16"/>
          <w:szCs w:val="16"/>
          <w:color w:val="0000FF"/>
        </w:rPr>
        <w:t xml:space="preserve"> </w:t>
      </w:r>
      <w:r>
        <w:rPr>
          <w:rFonts w:ascii="Arial" w:cs="Arial" w:eastAsia="Arial" w:hAnsi="Arial"/>
          <w:sz w:val="16"/>
          <w:szCs w:val="16"/>
          <w:i w:val="1"/>
          <w:iCs w:val="1"/>
          <w:color w:val="000000"/>
        </w:rPr>
        <w:t>Preservation of Existence, Etc.</w:t>
      </w:r>
      <w:r>
        <w:rPr>
          <w:rFonts w:ascii="Arial" w:cs="Arial" w:eastAsia="Arial" w:hAnsi="Arial"/>
          <w:sz w:val="16"/>
          <w:szCs w:val="16"/>
          <w:color w:val="0000FF"/>
        </w:rPr>
        <w:t xml:space="preserve"> </w:t>
      </w:r>
      <w:r>
        <w:rPr>
          <w:rFonts w:ascii="Arial" w:cs="Arial" w:eastAsia="Arial" w:hAnsi="Arial"/>
          <w:sz w:val="16"/>
          <w:szCs w:val="16"/>
          <w:color w:val="000000"/>
        </w:rPr>
        <w:t>(a) Preserve, renew and maintain in full force and effect its legal existence under the</w:t>
      </w:r>
      <w:r>
        <w:rPr>
          <w:rFonts w:ascii="Arial" w:cs="Arial" w:eastAsia="Arial" w:hAnsi="Arial"/>
          <w:sz w:val="16"/>
          <w:szCs w:val="16"/>
          <w:color w:val="0000FF"/>
        </w:rPr>
        <w:t xml:space="preserve"> </w:t>
      </w:r>
      <w:r>
        <w:rPr>
          <w:rFonts w:ascii="Arial" w:cs="Arial" w:eastAsia="Arial" w:hAnsi="Arial"/>
          <w:sz w:val="16"/>
          <w:szCs w:val="16"/>
          <w:color w:val="000000"/>
        </w:rPr>
        <w:t xml:space="preserve">Laws of the jurisdiction of its organization except in a transaction permitted by </w:t>
      </w:r>
      <w:r>
        <w:rPr>
          <w:rFonts w:ascii="Arial" w:cs="Arial" w:eastAsia="Arial" w:hAnsi="Arial"/>
          <w:sz w:val="16"/>
          <w:szCs w:val="16"/>
          <w:u w:val="single" w:color="auto"/>
          <w:color w:val="000000"/>
        </w:rPr>
        <w:t>Section 7.04</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7.05</w:t>
      </w:r>
      <w:r>
        <w:rPr>
          <w:rFonts w:ascii="Arial" w:cs="Arial" w:eastAsia="Arial" w:hAnsi="Arial"/>
          <w:sz w:val="16"/>
          <w:szCs w:val="16"/>
          <w:color w:val="000000"/>
        </w:rPr>
        <w:t xml:space="preserve"> and (b) obtain, maintain, renew, extend and keep in full force and effect all rights, privileges (including its good standing where applicable in the relevant jurisdiction), permits, licenses and franchises necessary </w:t>
      </w:r>
      <w:r>
        <w:rPr>
          <w:rFonts w:ascii="Arial" w:cs="Arial" w:eastAsia="Arial" w:hAnsi="Arial"/>
          <w:sz w:val="16"/>
          <w:szCs w:val="16"/>
          <w:color w:val="FF0000"/>
          <w:strike w:val="1"/>
        </w:rPr>
        <w:t>or desirable</w:t>
      </w:r>
      <w:r>
        <w:rPr>
          <w:rFonts w:ascii="Arial" w:cs="Arial" w:eastAsia="Arial" w:hAnsi="Arial"/>
          <w:sz w:val="16"/>
          <w:szCs w:val="16"/>
          <w:color w:val="000000"/>
        </w:rPr>
        <w:t xml:space="preserve"> in the normal conduct of its business, except, in the case of clause (a) (other than with respect to the Borrower) or (b), to the extent that failure to do so would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-565150</wp:posOffset>
            </wp:positionV>
            <wp:extent cx="60007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u w:val="single" w:color="auto"/>
          <w:color w:val="0000FF"/>
        </w:rPr>
        <w:t>Section 6.06</w:t>
      </w:r>
      <w:r>
        <w:rPr>
          <w:rFonts w:ascii="Arial" w:cs="Arial" w:eastAsia="Arial" w:hAnsi="Arial"/>
          <w:sz w:val="18"/>
          <w:szCs w:val="18"/>
          <w:color w:val="0000FF"/>
        </w:rPr>
        <w:t xml:space="preserve"> </w:t>
      </w:r>
      <w:r>
        <w:rPr>
          <w:rFonts w:ascii="Arial" w:cs="Arial" w:eastAsia="Arial" w:hAnsi="Arial"/>
          <w:sz w:val="18"/>
          <w:szCs w:val="18"/>
          <w:color w:val="FF0000"/>
          <w:strike w:val="1"/>
        </w:rPr>
        <w:t>Section 6.06.</w:t>
      </w:r>
      <w:r>
        <w:rPr>
          <w:rFonts w:ascii="Arial" w:cs="Arial" w:eastAsia="Arial" w:hAnsi="Arial"/>
          <w:sz w:val="18"/>
          <w:szCs w:val="18"/>
          <w:color w:val="0000FF"/>
        </w:rPr>
        <w:t xml:space="preserve"> </w:t>
      </w:r>
      <w:r>
        <w:rPr>
          <w:rFonts w:ascii="Arial" w:cs="Arial" w:eastAsia="Arial" w:hAnsi="Arial"/>
          <w:sz w:val="18"/>
          <w:szCs w:val="18"/>
          <w:color w:val="000000"/>
        </w:rPr>
        <w:t>Maintenance of Properties</w:t>
      </w:r>
      <w:r>
        <w:rPr>
          <w:rFonts w:ascii="Arial" w:cs="Arial" w:eastAsia="Arial" w:hAnsi="Arial"/>
          <w:sz w:val="18"/>
          <w:szCs w:val="18"/>
          <w:i w:val="1"/>
          <w:iCs w:val="1"/>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Except if the failure to do so could not reasonably be expected to have, individually or in</w:t>
      </w:r>
      <w:r>
        <w:rPr>
          <w:rFonts w:ascii="Arial" w:cs="Arial" w:eastAsia="Arial" w:hAnsi="Arial"/>
          <w:sz w:val="18"/>
          <w:szCs w:val="18"/>
          <w:color w:val="0000FF"/>
        </w:rPr>
        <w:t xml:space="preserve"> </w:t>
      </w:r>
      <w:r>
        <w:rPr>
          <w:rFonts w:ascii="Arial" w:cs="Arial" w:eastAsia="Arial" w:hAnsi="Arial"/>
          <w:sz w:val="18"/>
          <w:szCs w:val="18"/>
          <w:color w:val="000000"/>
        </w:rPr>
        <w:t>the aggregate, a Material Adverse Effect, (a) maintain, preserve and protect all of its properties and equipment necessary in the operation of its business in satisfactory working order, repair and condition, ordinary wear and tear excepted and fire, casualty or condemnation excepted, and (b) make all necessary renewals, replacements, modifications, improvements, upgrades, extensions and additions thereof or thereto in accordance with prudent industry practice and in the normal conduct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0007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6.07</w:t>
      </w:r>
      <w:r>
        <w:rPr>
          <w:rFonts w:ascii="Arial" w:cs="Arial" w:eastAsia="Arial" w:hAnsi="Arial"/>
          <w:sz w:val="18"/>
          <w:szCs w:val="18"/>
          <w:color w:val="0000FF"/>
        </w:rPr>
        <w:t xml:space="preserve"> </w:t>
      </w:r>
      <w:r>
        <w:rPr>
          <w:rFonts w:ascii="Arial" w:cs="Arial" w:eastAsia="Arial" w:hAnsi="Arial"/>
          <w:sz w:val="18"/>
          <w:szCs w:val="18"/>
          <w:color w:val="FF0000"/>
          <w:strike w:val="1"/>
        </w:rPr>
        <w:t>Section 6.07.</w:t>
      </w:r>
      <w:r>
        <w:rPr>
          <w:rFonts w:ascii="Arial" w:cs="Arial" w:eastAsia="Arial" w:hAnsi="Arial"/>
          <w:sz w:val="18"/>
          <w:szCs w:val="18"/>
          <w:color w:val="0000FF"/>
        </w:rPr>
        <w:t xml:space="preserve"> </w:t>
      </w:r>
      <w:r>
        <w:rPr>
          <w:rFonts w:ascii="Arial" w:cs="Arial" w:eastAsia="Arial" w:hAnsi="Arial"/>
          <w:sz w:val="18"/>
          <w:szCs w:val="18"/>
          <w:i w:val="1"/>
          <w:iCs w:val="1"/>
          <w:color w:val="000000"/>
        </w:rPr>
        <w:t>Maintenance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0007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ind w:firstLine="436"/>
        <w:spacing w:after="0" w:line="273" w:lineRule="auto"/>
        <w:tabs>
          <w:tab w:leader="none" w:pos="685"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Maintain with financially sound and reputable insurance companies, insurance with respect to its properties and business consistent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all material respects with the insurance maintained by Borrower and/or such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 (as applicable) as of the </w:t>
      </w:r>
      <w:r>
        <w:rPr>
          <w:rFonts w:ascii="Arial" w:cs="Arial" w:eastAsia="Arial" w:hAnsi="Arial"/>
          <w:sz w:val="17"/>
          <w:szCs w:val="17"/>
          <w:color w:val="FF0000"/>
          <w:strike w:val="1"/>
        </w:rPr>
        <w:t>Restatement</w:t>
      </w:r>
      <w:r>
        <w:rPr>
          <w:rFonts w:ascii="Arial" w:cs="Arial" w:eastAsia="Arial" w:hAnsi="Arial"/>
          <w:sz w:val="17"/>
          <w:szCs w:val="17"/>
          <w:color w:val="auto"/>
        </w:rPr>
        <w:t xml:space="preserve"> </w:t>
      </w:r>
      <w:r>
        <w:rPr>
          <w:rFonts w:ascii="Arial" w:cs="Arial" w:eastAsia="Arial" w:hAnsi="Arial"/>
          <w:sz w:val="17"/>
          <w:szCs w:val="17"/>
          <w:color w:val="FF0000"/>
          <w:strike w:val="1"/>
        </w:rPr>
        <w:t>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FF0000"/>
        </w:rPr>
        <w:t xml:space="preserve"> </w:t>
      </w:r>
      <w:r>
        <w:rPr>
          <w:rFonts w:ascii="Arial" w:cs="Arial" w:eastAsia="Arial" w:hAnsi="Arial"/>
          <w:sz w:val="17"/>
          <w:szCs w:val="17"/>
          <w:color w:val="000000"/>
        </w:rPr>
        <w:t>Date, which insurance shall insure against loss or damage of the kinds customarily insured against by Persons</w:t>
      </w:r>
      <w:r>
        <w:rPr>
          <w:rFonts w:ascii="Arial" w:cs="Arial" w:eastAsia="Arial" w:hAnsi="Arial"/>
          <w:sz w:val="17"/>
          <w:szCs w:val="17"/>
          <w:color w:val="FF0000"/>
        </w:rPr>
        <w:t xml:space="preserve"> </w:t>
      </w:r>
      <w:r>
        <w:rPr>
          <w:rFonts w:ascii="Arial" w:cs="Arial" w:eastAsia="Arial" w:hAnsi="Arial"/>
          <w:sz w:val="17"/>
          <w:szCs w:val="17"/>
          <w:color w:val="000000"/>
        </w:rPr>
        <w:t xml:space="preserve">engaged in the same or similar business, and which insurance shall be of such types and in such amounts (after giving effect to any self-insurance reasonable and customary for similarly situated Persons engaged in the same or similar businesses as the Borrower and the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as are customarily carried under similar circumstances by such other Persons in such similar or same locations.</w:t>
      </w:r>
    </w:p>
    <w:p>
      <w:pPr>
        <w:spacing w:after="0" w:line="177" w:lineRule="exact"/>
        <w:rPr>
          <w:rFonts w:ascii="Arial" w:cs="Arial" w:eastAsia="Arial" w:hAnsi="Arial"/>
          <w:sz w:val="17"/>
          <w:szCs w:val="17"/>
          <w:color w:val="auto"/>
        </w:rPr>
      </w:pPr>
    </w:p>
    <w:p>
      <w:pPr>
        <w:ind w:firstLine="436"/>
        <w:spacing w:after="0" w:line="263"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Requirements of Insurance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(A) Use</w:t>
      </w:r>
      <w:r>
        <w:rPr>
          <w:rFonts w:ascii="Arial" w:cs="Arial" w:eastAsia="Arial" w:hAnsi="Arial"/>
          <w:sz w:val="18"/>
          <w:szCs w:val="18"/>
          <w:u w:val="single" w:color="auto"/>
          <w:color w:val="0000FF"/>
        </w:rPr>
        <w:t>Including as required by the Chapter 11 Orders, (A) use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reasonable efforts to cause, not later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30 days after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auto"/>
        </w:rPr>
        <w:t xml:space="preserve"> Date (or such longer period as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may agree in writing in their reasonable discretion), all insurance required pursuant to </w:t>
      </w:r>
      <w:r>
        <w:rPr>
          <w:rFonts w:ascii="Arial" w:cs="Arial" w:eastAsia="Arial" w:hAnsi="Arial"/>
          <w:sz w:val="18"/>
          <w:szCs w:val="18"/>
          <w:u w:val="single" w:color="auto"/>
          <w:color w:val="auto"/>
        </w:rPr>
        <w:t>Section 6.07(a</w:t>
      </w:r>
      <w:r>
        <w:rPr>
          <w:rFonts w:ascii="Arial" w:cs="Arial" w:eastAsia="Arial" w:hAnsi="Arial"/>
          <w:sz w:val="18"/>
          <w:szCs w:val="18"/>
          <w:color w:val="auto"/>
        </w:rPr>
        <w:t>) and (</w:t>
      </w:r>
      <w:r>
        <w:rPr>
          <w:rFonts w:ascii="Arial" w:cs="Arial" w:eastAsia="Arial" w:hAnsi="Arial"/>
          <w:sz w:val="18"/>
          <w:szCs w:val="18"/>
          <w:u w:val="single" w:color="auto"/>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-962660</wp:posOffset>
            </wp:positionV>
            <wp:extent cx="149987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-276860</wp:posOffset>
            </wp:positionV>
            <wp:extent cx="254571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254571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-139700</wp:posOffset>
            </wp:positionV>
            <wp:extent cx="150876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40" w:top="274" w:right="479" w:bottom="1440" w:gutter="0" w:footer="0" w:header="0"/>
        </w:sectPr>
      </w:pPr>
    </w:p>
    <w:bookmarkStart w:id="252" w:name="page253"/>
    <w:bookmarkEnd w:id="252"/>
    <w:p>
      <w:pPr>
        <w:ind w:left="4" w:right="160" w:hanging="4"/>
        <w:spacing w:after="0" w:line="291" w:lineRule="auto"/>
        <w:tabs>
          <w:tab w:leader="none" w:pos="259"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(and to continue to provide at all times thereafter) that it shall not be canceled, materially modified or not renewed (i) by reason of nonpayment of premium upon not less than 10 days’ prior written notice thereof by the insurer to the Administrative Agent and the Collateral Agent or</w:t>
      </w:r>
    </w:p>
    <w:p>
      <w:pPr>
        <w:ind w:left="264" w:hanging="264"/>
        <w:spacing w:after="0"/>
        <w:tabs>
          <w:tab w:leader="none" w:pos="26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for any other reason upon not less than 20 days’ prior written notice thereof by the insurer to the Administrative Agent and the Collateral Agent and</w:t>
      </w:r>
    </w:p>
    <w:p>
      <w:pPr>
        <w:spacing w:after="0" w:line="32" w:lineRule="exact"/>
        <w:rPr>
          <w:rFonts w:ascii="Arial" w:cs="Arial" w:eastAsia="Arial" w:hAnsi="Arial"/>
          <w:sz w:val="16"/>
          <w:szCs w:val="16"/>
          <w:color w:val="auto"/>
        </w:rPr>
      </w:pPr>
    </w:p>
    <w:p>
      <w:pPr>
        <w:ind w:left="4" w:hanging="4"/>
        <w:spacing w:after="0" w:line="267" w:lineRule="auto"/>
        <w:tabs>
          <w:tab w:leader="none" w:pos="259" w:val="left"/>
        </w:tabs>
        <w:numPr>
          <w:ilvl w:val="0"/>
          <w:numId w:val="171"/>
        </w:numPr>
        <w:rPr>
          <w:rFonts w:ascii="Arial" w:cs="Arial" w:eastAsia="Arial" w:hAnsi="Arial"/>
          <w:sz w:val="17"/>
          <w:szCs w:val="17"/>
          <w:color w:val="auto"/>
        </w:rPr>
      </w:pPr>
      <w:r>
        <w:rPr>
          <w:rFonts w:ascii="Arial" w:cs="Arial" w:eastAsia="Arial" w:hAnsi="Arial"/>
          <w:sz w:val="17"/>
          <w:szCs w:val="17"/>
          <w:color w:val="FF0000"/>
          <w:strike w:val="1"/>
        </w:rPr>
        <w:t>subject to the terms, conditions and provisions of the ABL Intercreditor Agreement</w:t>
      </w:r>
      <w:r>
        <w:rPr>
          <w:rFonts w:ascii="Arial" w:cs="Arial" w:eastAsia="Arial" w:hAnsi="Arial"/>
          <w:sz w:val="17"/>
          <w:szCs w:val="17"/>
          <w:color w:val="FF0000"/>
        </w:rPr>
        <w:t xml:space="preserve"> </w:t>
      </w:r>
      <w:r>
        <w:rPr>
          <w:rFonts w:ascii="Arial" w:cs="Arial" w:eastAsia="Arial" w:hAnsi="Arial"/>
          <w:sz w:val="17"/>
          <w:szCs w:val="17"/>
          <w:color w:val="000000"/>
        </w:rPr>
        <w:t>to name the Collateral Agent as additional insured on behalf of</w:t>
      </w:r>
      <w:r>
        <w:rPr>
          <w:rFonts w:ascii="Arial" w:cs="Arial" w:eastAsia="Arial" w:hAnsi="Arial"/>
          <w:sz w:val="17"/>
          <w:szCs w:val="17"/>
          <w:color w:val="FF0000"/>
        </w:rPr>
        <w:t xml:space="preserve"> </w:t>
      </w:r>
      <w:r>
        <w:rPr>
          <w:rFonts w:ascii="Arial" w:cs="Arial" w:eastAsia="Arial" w:hAnsi="Arial"/>
          <w:sz w:val="17"/>
          <w:szCs w:val="17"/>
          <w:color w:val="000000"/>
        </w:rPr>
        <w:t xml:space="preserve">the Secured Parties (in the case of liability insurance) or loss payee (in the case of property insurance), as applicable (and to continue to so name the Collateral Agent at all times thereafter), (B) use commercially reasonable efforts to deliver, not later than 30 days after the </w:t>
      </w:r>
      <w:r>
        <w:rPr>
          <w:rFonts w:ascii="Arial" w:cs="Arial" w:eastAsia="Arial" w:hAnsi="Arial"/>
          <w:sz w:val="17"/>
          <w:szCs w:val="17"/>
          <w:color w:val="FF0000"/>
          <w:strike w:val="1"/>
        </w:rPr>
        <w:t>Restatement</w:t>
      </w:r>
      <w:r>
        <w:rPr>
          <w:rFonts w:ascii="Arial" w:cs="Arial" w:eastAsia="Arial" w:hAnsi="Arial"/>
          <w:sz w:val="17"/>
          <w:szCs w:val="17"/>
          <w:color w:val="000000"/>
        </w:rPr>
        <w:t xml:space="preserve"> </w:t>
      </w:r>
      <w:r>
        <w:rPr>
          <w:rFonts w:ascii="Arial" w:cs="Arial" w:eastAsia="Arial" w:hAnsi="Arial"/>
          <w:sz w:val="17"/>
          <w:szCs w:val="17"/>
          <w:color w:val="FF0000"/>
          <w:strike w:val="1"/>
        </w:rPr>
        <w:t>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FF0000"/>
        </w:rPr>
        <w:t xml:space="preserve"> </w:t>
      </w:r>
      <w:r>
        <w:rPr>
          <w:rFonts w:ascii="Arial" w:cs="Arial" w:eastAsia="Arial" w:hAnsi="Arial"/>
          <w:sz w:val="17"/>
          <w:szCs w:val="17"/>
          <w:color w:val="000000"/>
        </w:rPr>
        <w:t>Date (or such longer period as the Administrative Agent, with the consent of the</w:t>
      </w:r>
      <w:r>
        <w:rPr>
          <w:rFonts w:ascii="Arial" w:cs="Arial" w:eastAsia="Arial" w:hAnsi="Arial"/>
          <w:sz w:val="17"/>
          <w:szCs w:val="17"/>
          <w:color w:val="FF0000"/>
        </w:rPr>
        <w:t xml:space="preserve"> </w:t>
      </w:r>
      <w:r>
        <w:rPr>
          <w:rFonts w:ascii="Arial" w:cs="Arial" w:eastAsia="Arial" w:hAnsi="Arial"/>
          <w:sz w:val="17"/>
          <w:szCs w:val="17"/>
          <w:color w:val="FF0000"/>
          <w:strike w:val="1"/>
        </w:rPr>
        <w:t>Required</w:t>
      </w:r>
      <w:r>
        <w:rPr>
          <w:rFonts w:ascii="Arial" w:cs="Arial" w:eastAsia="Arial" w:hAnsi="Arial"/>
          <w:sz w:val="17"/>
          <w:szCs w:val="17"/>
          <w:color w:val="FF0000"/>
        </w:rPr>
        <w:t xml:space="preserve"> </w:t>
      </w:r>
      <w:r>
        <w:rPr>
          <w:rFonts w:ascii="Arial" w:cs="Arial" w:eastAsia="Arial" w:hAnsi="Arial"/>
          <w:sz w:val="17"/>
          <w:szCs w:val="17"/>
          <w:color w:val="000000"/>
        </w:rPr>
        <w:t>Lenders, may agree</w:t>
      </w:r>
      <w:r>
        <w:rPr>
          <w:rFonts w:ascii="Arial" w:cs="Arial" w:eastAsia="Arial" w:hAnsi="Arial"/>
          <w:sz w:val="17"/>
          <w:szCs w:val="17"/>
          <w:color w:val="FF0000"/>
        </w:rPr>
        <w:t xml:space="preserve"> </w:t>
      </w:r>
      <w:r>
        <w:rPr>
          <w:rFonts w:ascii="Arial" w:cs="Arial" w:eastAsia="Arial" w:hAnsi="Arial"/>
          <w:sz w:val="17"/>
          <w:szCs w:val="17"/>
          <w:color w:val="000000"/>
        </w:rPr>
        <w:t xml:space="preserve">in writing in its reasonable discretion), a copy of the policy (and to the extent any such policy is cancelled or not renewed, a renewal or replacement policy) or other evidence thereof to the Administrative Agent and the Collateral Agent, or insurance certificate with respect thereto, and (C) in the case of all property insurance policies located in the United States, not later than 30 days after the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000000"/>
        </w:rPr>
        <w:t xml:space="preserve"> Date (or such longer period as the Administrative Agent may agree in writing in its reasonable discretion) cause such policies to be endorsed or otherwise amended to include a “standard” or “New York” lender’s loss payable endorsement, in form and substance reasonably satisfactory to the Administrative Agent and the Collateral Agent, which endorsement shall provide that, from and after such date, if the insurance carrier shall have received written notice from the Administrative Agent or the Collateral Agent of the occurrence of an Event of Default </w:t>
      </w:r>
      <w:r>
        <w:rPr>
          <w:rFonts w:ascii="Arial" w:cs="Arial" w:eastAsia="Arial" w:hAnsi="Arial"/>
          <w:sz w:val="17"/>
          <w:szCs w:val="17"/>
          <w:u w:val="single" w:color="auto"/>
          <w:color w:val="0000FF"/>
        </w:rPr>
        <w:t>(other than the Existing</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Defaults)</w:t>
      </w:r>
      <w:r>
        <w:rPr>
          <w:rFonts w:ascii="Arial" w:cs="Arial" w:eastAsia="Arial" w:hAnsi="Arial"/>
          <w:sz w:val="17"/>
          <w:szCs w:val="17"/>
          <w:color w:val="000000"/>
        </w:rPr>
        <w:t>, the insurance carrier shall pay all proceeds otherwise payable to the Borrower or the Loan Parties under such policies directly to the Collateral</w:t>
      </w:r>
      <w:r>
        <w:rPr>
          <w:rFonts w:ascii="Arial" w:cs="Arial" w:eastAsia="Arial" w:hAnsi="Arial"/>
          <w:sz w:val="17"/>
          <w:szCs w:val="17"/>
          <w:color w:val="0000FF"/>
        </w:rPr>
        <w:t xml:space="preserve"> </w:t>
      </w:r>
      <w:r>
        <w:rPr>
          <w:rFonts w:ascii="Arial" w:cs="Arial" w:eastAsia="Arial" w:hAnsi="Arial"/>
          <w:sz w:val="17"/>
          <w:szCs w:val="17"/>
          <w:color w:val="000000"/>
        </w:rPr>
        <w:t>Agent during the continuance of such Event of Default.</w:t>
      </w:r>
    </w:p>
    <w:p>
      <w:pPr>
        <w:spacing w:after="0" w:line="182" w:lineRule="exact"/>
        <w:rPr>
          <w:rFonts w:ascii="Arial" w:cs="Arial" w:eastAsia="Arial" w:hAnsi="Arial"/>
          <w:sz w:val="17"/>
          <w:szCs w:val="17"/>
          <w:color w:val="auto"/>
        </w:rPr>
      </w:pPr>
    </w:p>
    <w:p>
      <w:pPr>
        <w:ind w:left="4" w:right="400" w:firstLine="436"/>
        <w:spacing w:after="0" w:line="263" w:lineRule="auto"/>
        <w:tabs>
          <w:tab w:leader="none" w:pos="689"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Flood Insurance</w:t>
      </w:r>
      <w:r>
        <w:rPr>
          <w:rFonts w:ascii="Arial" w:cs="Arial" w:eastAsia="Arial" w:hAnsi="Arial"/>
          <w:sz w:val="18"/>
          <w:szCs w:val="18"/>
          <w:color w:val="auto"/>
        </w:rPr>
        <w:t>. Following the</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Borrower shall deliver to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and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annual renewals of the flood insurance policy under the property policy or annual renewals of a force-placed flood insurance policy.</w:t>
      </w:r>
    </w:p>
    <w:p>
      <w:pPr>
        <w:spacing w:after="0" w:line="183" w:lineRule="exact"/>
        <w:rPr>
          <w:rFonts w:ascii="Arial" w:cs="Arial" w:eastAsia="Arial" w:hAnsi="Arial"/>
          <w:sz w:val="18"/>
          <w:szCs w:val="18"/>
          <w:color w:val="auto"/>
        </w:rPr>
      </w:pPr>
    </w:p>
    <w:p>
      <w:pPr>
        <w:ind w:left="4" w:right="40" w:firstLine="436"/>
        <w:spacing w:after="0" w:line="254" w:lineRule="auto"/>
        <w:tabs>
          <w:tab w:leader="none" w:pos="699"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Environmental Insurance. </w:t>
      </w:r>
      <w:r>
        <w:rPr>
          <w:rFonts w:ascii="Arial" w:cs="Arial" w:eastAsia="Arial" w:hAnsi="Arial"/>
          <w:sz w:val="18"/>
          <w:szCs w:val="18"/>
          <w:color w:val="auto"/>
        </w:rPr>
        <w:t>Maintain with financially sound and reputable insurance companies, a premises pollution liability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insurance and storage tank third-party liability, corrective and clean-up insurance policy with respect to its properties and business for an initial three year policy period commencing on the </w:t>
      </w:r>
      <w:r>
        <w:rPr>
          <w:rFonts w:ascii="Arial" w:cs="Arial" w:eastAsia="Arial" w:hAnsi="Arial"/>
          <w:sz w:val="18"/>
          <w:szCs w:val="18"/>
          <w:u w:val="single" w:color="auto"/>
          <w:color w:val="0000FF"/>
        </w:rPr>
        <w:t>Amendment No. 4 Effective</w:t>
      </w:r>
      <w:r>
        <w:rPr>
          <w:rFonts w:ascii="Arial" w:cs="Arial" w:eastAsia="Arial" w:hAnsi="Arial"/>
          <w:sz w:val="18"/>
          <w:szCs w:val="18"/>
          <w:color w:val="auto"/>
        </w:rPr>
        <w:t xml:space="preserve"> </w:t>
      </w:r>
      <w:r>
        <w:rPr>
          <w:rFonts w:ascii="Arial" w:cs="Arial" w:eastAsia="Arial" w:hAnsi="Arial"/>
          <w:sz w:val="18"/>
          <w:szCs w:val="18"/>
          <w:color w:val="FF0000"/>
          <w:strike w:val="1"/>
        </w:rPr>
        <w:t>d</w:t>
      </w:r>
      <w:r>
        <w:rPr>
          <w:rFonts w:ascii="Arial" w:cs="Arial" w:eastAsia="Arial" w:hAnsi="Arial"/>
          <w:sz w:val="18"/>
          <w:szCs w:val="18"/>
          <w:u w:val="single" w:color="auto"/>
          <w:color w:val="0000FF"/>
        </w:rPr>
        <w:t>D</w:t>
      </w:r>
      <w:r>
        <w:rPr>
          <w:rFonts w:ascii="Arial" w:cs="Arial" w:eastAsia="Arial" w:hAnsi="Arial"/>
          <w:sz w:val="18"/>
          <w:szCs w:val="18"/>
          <w:color w:val="auto"/>
        </w:rPr>
        <w:t xml:space="preserve">ate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with limits not less than, and with terms and conditions comparable to, the limits, terms and conditions in such policies that are in effect as of the date hereof, and subject to annual renewals after such initial three year policy period, which insurance shall be reasonably satisfactory to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The Borrower shall purchase such insurance required under this </w:t>
      </w:r>
      <w:r>
        <w:rPr>
          <w:rFonts w:ascii="Arial" w:cs="Arial" w:eastAsia="Arial" w:hAnsi="Arial"/>
          <w:sz w:val="18"/>
          <w:szCs w:val="18"/>
          <w:u w:val="single" w:color="auto"/>
          <w:color w:val="auto"/>
        </w:rPr>
        <w:t>Section 6.07(d)</w:t>
      </w:r>
      <w:r>
        <w:rPr>
          <w:rFonts w:ascii="Arial" w:cs="Arial" w:eastAsia="Arial" w:hAnsi="Arial"/>
          <w:sz w:val="18"/>
          <w:szCs w:val="18"/>
          <w:color w:val="auto"/>
        </w:rPr>
        <w:t xml:space="preserve"> within 30 days following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auto"/>
        </w:rPr>
        <w:t xml:space="preserve"> Date and provide evidence thereof to the Administrative Agent.</w:t>
      </w:r>
    </w:p>
    <w:p>
      <w:pPr>
        <w:spacing w:after="0" w:line="194" w:lineRule="exact"/>
        <w:rPr>
          <w:rFonts w:ascii="Arial" w:cs="Arial" w:eastAsia="Arial" w:hAnsi="Arial"/>
          <w:sz w:val="18"/>
          <w:szCs w:val="18"/>
          <w:color w:val="auto"/>
        </w:rPr>
      </w:pPr>
    </w:p>
    <w:p>
      <w:pPr>
        <w:ind w:left="4" w:right="60" w:firstLine="436"/>
        <w:spacing w:after="0" w:line="259" w:lineRule="auto"/>
        <w:tabs>
          <w:tab w:leader="none" w:pos="68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Notify the Administrative Agent and the Collateral Agent (for distribution to the Lenders) promptly whenever any separate insurance concurrent in form or contributing in the event of material loss with that required to be maintained under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is taken out by the Borrower or another Loan Party; and promptly deliver to the Administrative Agent and the Collateral Agent a duplicate original copy of such policy or policies, or an insurance certificate with respect thereto once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-3566795</wp:posOffset>
            </wp:positionV>
            <wp:extent cx="149987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-3155315</wp:posOffset>
            </wp:positionV>
            <wp:extent cx="150876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-2606675</wp:posOffset>
            </wp:positionV>
            <wp:extent cx="109728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-2469515</wp:posOffset>
            </wp:positionV>
            <wp:extent cx="428625"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-2058035</wp:posOffset>
            </wp:positionV>
            <wp:extent cx="150876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1791335</wp:posOffset>
            </wp:positionH>
            <wp:positionV relativeFrom="paragraph">
              <wp:posOffset>-1235075</wp:posOffset>
            </wp:positionV>
            <wp:extent cx="145732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-823595</wp:posOffset>
            </wp:positionV>
            <wp:extent cx="150876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67" w:lineRule="exact"/>
        <w:rPr>
          <w:sz w:val="20"/>
          <w:szCs w:val="20"/>
          <w:color w:val="auto"/>
        </w:rPr>
      </w:pPr>
    </w:p>
    <w:p>
      <w:pPr>
        <w:jc w:val="both"/>
        <w:ind w:left="4" w:right="200" w:firstLine="440"/>
        <w:spacing w:after="0" w:line="286" w:lineRule="auto"/>
        <w:rPr>
          <w:sz w:val="20"/>
          <w:szCs w:val="20"/>
          <w:color w:val="auto"/>
        </w:rPr>
      </w:pPr>
      <w:r>
        <w:rPr>
          <w:rFonts w:ascii="Arial" w:cs="Arial" w:eastAsia="Arial" w:hAnsi="Arial"/>
          <w:sz w:val="17"/>
          <w:szCs w:val="17"/>
          <w:u w:val="single" w:color="auto"/>
          <w:color w:val="0000FF"/>
        </w:rPr>
        <w:t>Section 6.08</w:t>
      </w:r>
      <w:r>
        <w:rPr>
          <w:rFonts w:ascii="Arial" w:cs="Arial" w:eastAsia="Arial" w:hAnsi="Arial"/>
          <w:sz w:val="17"/>
          <w:szCs w:val="17"/>
          <w:color w:val="0000FF"/>
        </w:rPr>
        <w:t xml:space="preserve"> </w:t>
      </w:r>
      <w:r>
        <w:rPr>
          <w:rFonts w:ascii="Arial" w:cs="Arial" w:eastAsia="Arial" w:hAnsi="Arial"/>
          <w:sz w:val="17"/>
          <w:szCs w:val="17"/>
          <w:color w:val="FF0000"/>
          <w:strike w:val="1"/>
        </w:rPr>
        <w:t>Section 6.08.</w:t>
      </w:r>
      <w:r>
        <w:rPr>
          <w:rFonts w:ascii="Arial" w:cs="Arial" w:eastAsia="Arial" w:hAnsi="Arial"/>
          <w:sz w:val="17"/>
          <w:szCs w:val="17"/>
          <w:color w:val="0000FF"/>
        </w:rPr>
        <w:t xml:space="preserve"> </w:t>
      </w:r>
      <w:r>
        <w:rPr>
          <w:rFonts w:ascii="Arial" w:cs="Arial" w:eastAsia="Arial" w:hAnsi="Arial"/>
          <w:sz w:val="17"/>
          <w:szCs w:val="17"/>
          <w:i w:val="1"/>
          <w:iCs w:val="1"/>
          <w:color w:val="000000"/>
        </w:rPr>
        <w:t>Compliance with Laws</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FF0000"/>
          <w:strike w:val="1"/>
        </w:rPr>
        <w:t>Comply</w:t>
      </w:r>
      <w:r>
        <w:rPr>
          <w:rFonts w:ascii="Arial" w:cs="Arial" w:eastAsia="Arial" w:hAnsi="Arial"/>
          <w:sz w:val="17"/>
          <w:szCs w:val="17"/>
          <w:u w:val="single" w:color="auto"/>
          <w:color w:val="0000FF"/>
        </w:rPr>
        <w:t>Subject to the terms of the Chapter 11 Orders and the Canadian Orders, comply</w:t>
      </w:r>
      <w:r>
        <w:rPr>
          <w:rFonts w:ascii="Arial" w:cs="Arial" w:eastAsia="Arial" w:hAnsi="Arial"/>
          <w:sz w:val="17"/>
          <w:szCs w:val="17"/>
          <w:color w:val="0000FF"/>
        </w:rPr>
        <w:t xml:space="preserve"> </w:t>
      </w:r>
      <w:r>
        <w:rPr>
          <w:rFonts w:ascii="Arial" w:cs="Arial" w:eastAsia="Arial" w:hAnsi="Arial"/>
          <w:sz w:val="17"/>
          <w:szCs w:val="17"/>
          <w:color w:val="000000"/>
        </w:rPr>
        <w:t>with</w:t>
      </w:r>
      <w:r>
        <w:rPr>
          <w:rFonts w:ascii="Arial" w:cs="Arial" w:eastAsia="Arial" w:hAnsi="Arial"/>
          <w:sz w:val="17"/>
          <w:szCs w:val="17"/>
          <w:color w:val="0000FF"/>
        </w:rPr>
        <w:t xml:space="preserve"> </w:t>
      </w:r>
      <w:r>
        <w:rPr>
          <w:rFonts w:ascii="Arial" w:cs="Arial" w:eastAsia="Arial" w:hAnsi="Arial"/>
          <w:sz w:val="17"/>
          <w:szCs w:val="17"/>
          <w:color w:val="000000"/>
        </w:rPr>
        <w:t>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-288290</wp:posOffset>
            </wp:positionV>
            <wp:extent cx="60007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3008630</wp:posOffset>
            </wp:positionH>
            <wp:positionV relativeFrom="paragraph">
              <wp:posOffset>-288290</wp:posOffset>
            </wp:positionV>
            <wp:extent cx="363474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4"/>
          </w:cols>
          <w:pgMar w:left="436" w:top="274" w:right="439" w:bottom="1440" w:gutter="0" w:footer="0" w:header="0"/>
        </w:sectPr>
      </w:pPr>
    </w:p>
    <w:bookmarkStart w:id="253" w:name="page254"/>
    <w:bookmarkEnd w:id="253"/>
    <w:p>
      <w:pPr>
        <w:ind w:right="360" w:firstLine="440"/>
        <w:spacing w:after="0" w:line="286"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6.09</w:t>
      </w:r>
      <w:r>
        <w:rPr>
          <w:rFonts w:ascii="Arial" w:cs="Arial" w:eastAsia="Arial" w:hAnsi="Arial"/>
          <w:sz w:val="17"/>
          <w:szCs w:val="17"/>
          <w:color w:val="0000FF"/>
        </w:rPr>
        <w:t xml:space="preserve"> </w:t>
      </w:r>
      <w:r>
        <w:rPr>
          <w:rFonts w:ascii="Arial" w:cs="Arial" w:eastAsia="Arial" w:hAnsi="Arial"/>
          <w:sz w:val="17"/>
          <w:szCs w:val="17"/>
          <w:color w:val="FF0000"/>
          <w:strike w:val="1"/>
        </w:rPr>
        <w:t>Section 6.09.</w:t>
      </w:r>
      <w:r>
        <w:rPr>
          <w:rFonts w:ascii="Arial" w:cs="Arial" w:eastAsia="Arial" w:hAnsi="Arial"/>
          <w:sz w:val="17"/>
          <w:szCs w:val="17"/>
          <w:color w:val="0000FF"/>
        </w:rPr>
        <w:t xml:space="preserve"> </w:t>
      </w:r>
      <w:r>
        <w:rPr>
          <w:rFonts w:ascii="Arial" w:cs="Arial" w:eastAsia="Arial" w:hAnsi="Arial"/>
          <w:sz w:val="17"/>
          <w:szCs w:val="17"/>
          <w:i w:val="1"/>
          <w:iCs w:val="1"/>
          <w:color w:val="000000"/>
        </w:rPr>
        <w:t>Books and Records.</w:t>
      </w:r>
      <w:r>
        <w:rPr>
          <w:rFonts w:ascii="Arial" w:cs="Arial" w:eastAsia="Arial" w:hAnsi="Arial"/>
          <w:sz w:val="17"/>
          <w:szCs w:val="17"/>
          <w:color w:val="0000FF"/>
        </w:rPr>
        <w:t xml:space="preserve"> </w:t>
      </w:r>
      <w:r>
        <w:rPr>
          <w:rFonts w:ascii="Arial" w:cs="Arial" w:eastAsia="Arial" w:hAnsi="Arial"/>
          <w:sz w:val="17"/>
          <w:szCs w:val="17"/>
          <w:color w:val="000000"/>
        </w:rPr>
        <w:t>Maintain proper books of record and account, in which entries are made that are full, true and</w:t>
      </w:r>
      <w:r>
        <w:rPr>
          <w:rFonts w:ascii="Arial" w:cs="Arial" w:eastAsia="Arial" w:hAnsi="Arial"/>
          <w:sz w:val="17"/>
          <w:szCs w:val="17"/>
          <w:color w:val="0000FF"/>
        </w:rPr>
        <w:t xml:space="preserve"> </w:t>
      </w:r>
      <w:r>
        <w:rPr>
          <w:rFonts w:ascii="Arial" w:cs="Arial" w:eastAsia="Arial" w:hAnsi="Arial"/>
          <w:sz w:val="17"/>
          <w:szCs w:val="17"/>
          <w:color w:val="000000"/>
        </w:rPr>
        <w:t xml:space="preserve">correct in all material respects and are in conformity with GAAP (except as noted therein) and which reflect all material financial transactions and matters involving the assets and business of the Borrower or a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-288290</wp:posOffset>
            </wp:positionV>
            <wp:extent cx="60007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u w:val="single" w:color="auto"/>
          <w:color w:val="0000FF"/>
        </w:rPr>
        <w:t>Section 6.10</w:t>
      </w:r>
      <w:r>
        <w:rPr>
          <w:rFonts w:ascii="Arial" w:cs="Arial" w:eastAsia="Arial" w:hAnsi="Arial"/>
          <w:sz w:val="17"/>
          <w:szCs w:val="17"/>
          <w:color w:val="0000FF"/>
        </w:rPr>
        <w:t xml:space="preserve"> </w:t>
      </w:r>
      <w:r>
        <w:rPr>
          <w:rFonts w:ascii="Arial" w:cs="Arial" w:eastAsia="Arial" w:hAnsi="Arial"/>
          <w:sz w:val="17"/>
          <w:szCs w:val="17"/>
          <w:color w:val="FF0000"/>
          <w:strike w:val="1"/>
        </w:rPr>
        <w:t>Section 6.10.</w:t>
      </w:r>
      <w:r>
        <w:rPr>
          <w:rFonts w:ascii="Arial" w:cs="Arial" w:eastAsia="Arial" w:hAnsi="Arial"/>
          <w:sz w:val="17"/>
          <w:szCs w:val="17"/>
          <w:color w:val="0000FF"/>
        </w:rPr>
        <w:t xml:space="preserve"> </w:t>
      </w:r>
      <w:r>
        <w:rPr>
          <w:rFonts w:ascii="Arial" w:cs="Arial" w:eastAsia="Arial" w:hAnsi="Arial"/>
          <w:sz w:val="17"/>
          <w:szCs w:val="17"/>
          <w:color w:val="000000"/>
        </w:rPr>
        <w:t>Inspection Rights</w:t>
      </w:r>
      <w:r>
        <w:rPr>
          <w:rFonts w:ascii="Arial" w:cs="Arial" w:eastAsia="Arial" w:hAnsi="Arial"/>
          <w:sz w:val="17"/>
          <w:szCs w:val="17"/>
          <w:i w:val="1"/>
          <w:iCs w:val="1"/>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Permit representatives and independent contractors of the Administrative Agent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any Lender</w:t>
      </w:r>
      <w:r>
        <w:rPr>
          <w:rFonts w:ascii="Arial" w:cs="Arial" w:eastAsia="Arial" w:hAnsi="Arial"/>
          <w:sz w:val="17"/>
          <w:szCs w:val="17"/>
          <w:color w:val="0000FF"/>
        </w:rPr>
        <w:t xml:space="preserve"> </w:t>
      </w:r>
      <w:r>
        <w:rPr>
          <w:rFonts w:ascii="Arial" w:cs="Arial" w:eastAsia="Arial" w:hAnsi="Arial"/>
          <w:sz w:val="17"/>
          <w:szCs w:val="17"/>
          <w:color w:val="000000"/>
        </w:rPr>
        <w:t>to</w:t>
      </w:r>
      <w:r>
        <w:rPr>
          <w:rFonts w:ascii="Arial" w:cs="Arial" w:eastAsia="Arial" w:hAnsi="Arial"/>
          <w:sz w:val="17"/>
          <w:szCs w:val="17"/>
          <w:color w:val="0000FF"/>
        </w:rPr>
        <w:t xml:space="preserve"> </w:t>
      </w:r>
      <w:r>
        <w:rPr>
          <w:rFonts w:ascii="Arial" w:cs="Arial" w:eastAsia="Arial" w:hAnsi="Arial"/>
          <w:sz w:val="17"/>
          <w:szCs w:val="17"/>
          <w:color w:val="000000"/>
        </w:rPr>
        <w:t xml:space="preserve">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subject to </w:t>
      </w:r>
      <w:r>
        <w:rPr>
          <w:rFonts w:ascii="Arial" w:cs="Arial" w:eastAsia="Arial" w:hAnsi="Arial"/>
          <w:sz w:val="17"/>
          <w:szCs w:val="17"/>
          <w:i w:val="1"/>
          <w:iCs w:val="1"/>
          <w:color w:val="000000"/>
        </w:rPr>
        <w:t>bona fide</w:t>
      </w:r>
      <w:r>
        <w:rPr>
          <w:rFonts w:ascii="Arial" w:cs="Arial" w:eastAsia="Arial" w:hAnsi="Arial"/>
          <w:sz w:val="17"/>
          <w:szCs w:val="17"/>
          <w:color w:val="000000"/>
        </w:rPr>
        <w:t xml:space="preserve"> confidentiality obligations, limitations imposed by law and attorney-client privilege and at such reasonable times during normal business hours and as often as may be reasonably desired, upon reasonable advance notice to the Borrower</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i w:val="1"/>
          <w:iCs w:val="1"/>
          <w:color w:val="FF0000"/>
          <w:strike w:val="1"/>
        </w:rPr>
        <w:t>provided</w:t>
      </w:r>
      <w:r>
        <w:rPr>
          <w:rFonts w:ascii="Arial" w:cs="Arial" w:eastAsia="Arial" w:hAnsi="Arial"/>
          <w:sz w:val="17"/>
          <w:szCs w:val="17"/>
          <w:color w:val="000000"/>
        </w:rPr>
        <w:t xml:space="preserve"> </w:t>
      </w:r>
      <w:r>
        <w:rPr>
          <w:rFonts w:ascii="Arial" w:cs="Arial" w:eastAsia="Arial" w:hAnsi="Arial"/>
          <w:sz w:val="17"/>
          <w:szCs w:val="17"/>
          <w:color w:val="FF0000"/>
          <w:strike w:val="1"/>
        </w:rPr>
        <w:t>that, excluding any such visits and inspections</w:t>
      </w:r>
      <w:r>
        <w:rPr>
          <w:rFonts w:ascii="Arial" w:cs="Arial" w:eastAsia="Arial" w:hAnsi="Arial"/>
          <w:sz w:val="17"/>
          <w:szCs w:val="17"/>
          <w:color w:val="000000"/>
        </w:rPr>
        <w:t xml:space="preserve"> </w:t>
      </w:r>
      <w:r>
        <w:rPr>
          <w:rFonts w:ascii="Arial" w:cs="Arial" w:eastAsia="Arial" w:hAnsi="Arial"/>
          <w:sz w:val="17"/>
          <w:szCs w:val="17"/>
          <w:color w:val="008000"/>
          <w:strike w:val="1"/>
        </w:rPr>
        <w:t>during the continuation of an Event of Default</w:t>
      </w:r>
      <w:r>
        <w:rPr>
          <w:rFonts w:ascii="Arial" w:cs="Arial" w:eastAsia="Arial" w:hAnsi="Arial"/>
          <w:sz w:val="17"/>
          <w:szCs w:val="17"/>
          <w:color w:val="FF0000"/>
          <w:strike w:val="1"/>
        </w:rPr>
        <w:t>, (x) only the</w:t>
      </w:r>
      <w:r>
        <w:rPr>
          <w:rFonts w:ascii="Arial" w:cs="Arial" w:eastAsia="Arial" w:hAnsi="Arial"/>
          <w:sz w:val="17"/>
          <w:szCs w:val="17"/>
          <w:color w:val="000000"/>
        </w:rPr>
        <w:t xml:space="preserve"> </w:t>
      </w:r>
      <w:r>
        <w:rPr>
          <w:rFonts w:ascii="Arial" w:cs="Arial" w:eastAsia="Arial" w:hAnsi="Arial"/>
          <w:sz w:val="17"/>
          <w:szCs w:val="17"/>
          <w:color w:val="FF0000"/>
          <w:strike w:val="1"/>
        </w:rPr>
        <w:t xml:space="preserve">Administrative Agent may exercise rights </w:t>
      </w:r>
      <w:r>
        <w:rPr>
          <w:rFonts w:ascii="Arial" w:cs="Arial" w:eastAsia="Arial" w:hAnsi="Arial"/>
          <w:sz w:val="17"/>
          <w:szCs w:val="17"/>
          <w:color w:val="008000"/>
          <w:strike w:val="1"/>
        </w:rPr>
        <w:t>of the Administrative Agent and the Lenders</w:t>
      </w:r>
      <w:r>
        <w:rPr>
          <w:rFonts w:ascii="Arial" w:cs="Arial" w:eastAsia="Arial" w:hAnsi="Arial"/>
          <w:sz w:val="17"/>
          <w:szCs w:val="17"/>
          <w:color w:val="FF0000"/>
          <w:strike w:val="1"/>
        </w:rPr>
        <w:t xml:space="preserve"> under this </w:t>
      </w:r>
      <w:r>
        <w:rPr>
          <w:rFonts w:ascii="Arial" w:cs="Arial" w:eastAsia="Arial" w:hAnsi="Arial"/>
          <w:sz w:val="17"/>
          <w:szCs w:val="17"/>
          <w:u w:val="single" w:color="auto"/>
          <w:color w:val="FF0000"/>
          <w:strike w:val="1"/>
        </w:rPr>
        <w:t>Section 6.10</w:t>
      </w:r>
      <w:r>
        <w:rPr>
          <w:rFonts w:ascii="Arial" w:cs="Arial" w:eastAsia="Arial" w:hAnsi="Arial"/>
          <w:sz w:val="17"/>
          <w:szCs w:val="17"/>
          <w:color w:val="FF0000"/>
          <w:strike w:val="1"/>
        </w:rPr>
        <w:t xml:space="preserve"> and (y) the Administrative Agent shall not exercise such rights more often than one time during any calendar year; provided further that when an Event of Default exists, the Administrative Agent or any Lender (or any of their respective representatives or independent contractors) may do any of the foregoing </w:t>
      </w:r>
      <w:r>
        <w:rPr>
          <w:rFonts w:ascii="Arial" w:cs="Arial" w:eastAsia="Arial" w:hAnsi="Arial"/>
          <w:sz w:val="17"/>
          <w:szCs w:val="17"/>
          <w:u w:val="single" w:color="auto"/>
          <w:color w:val="0000FF"/>
          <w:strike w:val="1"/>
        </w:rPr>
        <w:t>and</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at the expense of the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Borrower at any time during normal business hours </w:t>
      </w:r>
      <w:r>
        <w:rPr>
          <w:rFonts w:ascii="Arial" w:cs="Arial" w:eastAsia="Arial" w:hAnsi="Arial"/>
          <w:sz w:val="17"/>
          <w:szCs w:val="17"/>
          <w:color w:val="FF0000"/>
          <w:strike w:val="1"/>
        </w:rPr>
        <w:t>and upon reasonable advance notice</w:t>
      </w:r>
      <w:r>
        <w:rPr>
          <w:rFonts w:ascii="Arial" w:cs="Arial" w:eastAsia="Arial" w:hAnsi="Arial"/>
          <w:sz w:val="17"/>
          <w:szCs w:val="17"/>
          <w:u w:val="single" w:color="auto"/>
          <w:color w:val="008000"/>
          <w:strike w:val="1"/>
        </w:rPr>
        <w:t>;</w:t>
      </w:r>
      <w:r>
        <w:rPr>
          <w:rFonts w:ascii="Arial" w:cs="Arial" w:eastAsia="Arial" w:hAnsi="Arial"/>
          <w:sz w:val="17"/>
          <w:szCs w:val="17"/>
          <w:color w:val="000000"/>
          <w:strike w:val="1"/>
        </w:rPr>
        <w:t xml:space="preserve"> </w:t>
      </w:r>
      <w:r>
        <w:rPr>
          <w:rFonts w:ascii="Arial" w:cs="Arial" w:eastAsia="Arial" w:hAnsi="Arial"/>
          <w:sz w:val="17"/>
          <w:szCs w:val="17"/>
          <w:i w:val="1"/>
          <w:iCs w:val="1"/>
          <w:u w:val="single" w:color="auto"/>
          <w:color w:val="008000"/>
          <w:strike w:val="1"/>
        </w:rPr>
        <w:t>provided</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000"/>
          <w:strike w:val="1"/>
        </w:rPr>
        <w:t>that the Borrower shall</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be entitled to restrict and/or</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redact information in order to protect the competitive sales process as determined in its good faith judgment; provided, further, if any Lender is or becomes a potential bidder, the Loan Parties shall not be required to provide information to such Lender regarding the sale process that is not available to all potential bidders</w:t>
      </w:r>
      <w:r>
        <w:rPr>
          <w:rFonts w:ascii="Arial" w:cs="Arial" w:eastAsia="Arial" w:hAnsi="Arial"/>
          <w:sz w:val="17"/>
          <w:szCs w:val="17"/>
          <w:color w:val="000000"/>
          <w:strike w:val="1"/>
        </w:rPr>
        <w:t>. The Administrative Agent and the Lenders shall give the Borrower the opportunity to participate in any discussions with the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Borrower’s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-1784985</wp:posOffset>
            </wp:positionV>
            <wp:extent cx="60007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-1784985</wp:posOffset>
            </wp:positionV>
            <wp:extent cx="67754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-687705</wp:posOffset>
            </wp:positionV>
            <wp:extent cx="16256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-636270</wp:posOffset>
            </wp:positionV>
            <wp:extent cx="1678305"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678305"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-550545</wp:posOffset>
            </wp:positionV>
            <wp:extent cx="282892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-413385</wp:posOffset>
            </wp:positionV>
            <wp:extent cx="666051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8922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102870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64"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u w:val="single" w:color="auto"/>
          <w:color w:val="0000FF"/>
        </w:rPr>
        <w:t>Section 6.11</w:t>
      </w:r>
      <w:r>
        <w:rPr>
          <w:rFonts w:ascii="Arial" w:cs="Arial" w:eastAsia="Arial" w:hAnsi="Arial"/>
          <w:sz w:val="17"/>
          <w:szCs w:val="17"/>
          <w:color w:val="0000FF"/>
        </w:rPr>
        <w:t xml:space="preserve"> </w:t>
      </w:r>
      <w:r>
        <w:rPr>
          <w:rFonts w:ascii="Arial" w:cs="Arial" w:eastAsia="Arial" w:hAnsi="Arial"/>
          <w:sz w:val="17"/>
          <w:szCs w:val="17"/>
          <w:color w:val="FF0000"/>
          <w:strike w:val="1"/>
        </w:rPr>
        <w:t>Section 6.11.</w:t>
      </w:r>
      <w:r>
        <w:rPr>
          <w:rFonts w:ascii="Arial" w:cs="Arial" w:eastAsia="Arial" w:hAnsi="Arial"/>
          <w:sz w:val="17"/>
          <w:szCs w:val="17"/>
          <w:color w:val="0000FF"/>
        </w:rPr>
        <w:t xml:space="preserve"> </w:t>
      </w:r>
      <w:r>
        <w:rPr>
          <w:rFonts w:ascii="Arial" w:cs="Arial" w:eastAsia="Arial" w:hAnsi="Arial"/>
          <w:sz w:val="17"/>
          <w:szCs w:val="17"/>
          <w:i w:val="1"/>
          <w:iCs w:val="1"/>
          <w:color w:val="000000"/>
        </w:rPr>
        <w:t>Additional Collateral; Additional Guarantors</w:t>
      </w:r>
      <w:r>
        <w:rPr>
          <w:rFonts w:ascii="Arial" w:cs="Arial" w:eastAsia="Arial" w:hAnsi="Arial"/>
          <w:sz w:val="17"/>
          <w:szCs w:val="17"/>
          <w:i w:val="1"/>
          <w:iCs w:val="1"/>
          <w:color w:val="FF0000"/>
          <w:strike w:val="1"/>
        </w:rPr>
        <w:t>.</w:t>
      </w:r>
      <w:r>
        <w:rPr>
          <w:rFonts w:ascii="Arial" w:cs="Arial" w:eastAsia="Arial" w:hAnsi="Arial"/>
          <w:sz w:val="17"/>
          <w:szCs w:val="17"/>
          <w:color w:val="0000FF"/>
        </w:rPr>
        <w:t xml:space="preserve"> </w:t>
      </w:r>
      <w:r>
        <w:rPr>
          <w:rFonts w:ascii="Arial" w:cs="Arial" w:eastAsia="Arial" w:hAnsi="Arial"/>
          <w:sz w:val="17"/>
          <w:szCs w:val="17"/>
          <w:color w:val="FF0000"/>
          <w:strike w:val="1"/>
        </w:rPr>
        <w:t>Subject to the terms, conditions and provisions of each Intercreditor</w:t>
      </w:r>
      <w:r>
        <w:rPr>
          <w:rFonts w:ascii="Arial" w:cs="Arial" w:eastAsia="Arial" w:hAnsi="Arial"/>
          <w:sz w:val="17"/>
          <w:szCs w:val="17"/>
          <w:color w:val="0000FF"/>
        </w:rPr>
        <w:t xml:space="preserve"> </w:t>
      </w:r>
      <w:r>
        <w:rPr>
          <w:rFonts w:ascii="Arial" w:cs="Arial" w:eastAsia="Arial" w:hAnsi="Arial"/>
          <w:sz w:val="17"/>
          <w:szCs w:val="17"/>
          <w:color w:val="FF0000"/>
          <w:strike w:val="1"/>
        </w:rPr>
        <w:t>Agreement, at</w:t>
      </w:r>
      <w:r>
        <w:rPr>
          <w:rFonts w:ascii="Arial" w:cs="Arial" w:eastAsia="Arial" w:hAnsi="Arial"/>
          <w:sz w:val="17"/>
          <w:szCs w:val="17"/>
          <w:color w:val="FF0000"/>
        </w:rPr>
        <w:t xml:space="preserve"> </w:t>
      </w:r>
      <w:r>
        <w:rPr>
          <w:rFonts w:ascii="Arial" w:cs="Arial" w:eastAsia="Arial" w:hAnsi="Arial"/>
          <w:sz w:val="17"/>
          <w:szCs w:val="17"/>
          <w:color w:val="008000"/>
        </w:rPr>
        <w:t>the Borrower’s expense, take all reasonable actions which are necessary or reasonably requested by the Administrative Agent or the</w:t>
      </w:r>
      <w:r>
        <w:rPr>
          <w:rFonts w:ascii="Arial" w:cs="Arial" w:eastAsia="Arial" w:hAnsi="Arial"/>
          <w:sz w:val="17"/>
          <w:szCs w:val="17"/>
          <w:color w:val="FF0000"/>
        </w:rPr>
        <w:t xml:space="preserve"> </w:t>
      </w:r>
      <w:r>
        <w:rPr>
          <w:rFonts w:ascii="Arial" w:cs="Arial" w:eastAsia="Arial" w:hAnsi="Arial"/>
          <w:sz w:val="17"/>
          <w:szCs w:val="17"/>
          <w:color w:val="008000"/>
          <w:strike w:val="1"/>
        </w:rPr>
        <w:t>Collateral Agent to ensure that the Collateral and Guarantee Requirement continues to be satisfied,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-288290</wp:posOffset>
            </wp:positionV>
            <wp:extent cx="591185"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-236855</wp:posOffset>
            </wp:positionV>
            <wp:extent cx="605726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057265" cy="8255"/>
                    </a:xfrm>
                    <a:prstGeom prst="rect">
                      <a:avLst/>
                    </a:prstGeom>
                    <a:noFill/>
                  </pic:spPr>
                </pic:pic>
              </a:graphicData>
            </a:graphic>
          </wp:anchor>
        </w:drawing>
      </w:r>
    </w:p>
    <w:p>
      <w:pPr>
        <w:spacing w:after="0" w:line="145" w:lineRule="exact"/>
        <w:rPr>
          <w:sz w:val="20"/>
          <w:szCs w:val="20"/>
          <w:color w:val="auto"/>
        </w:rPr>
      </w:pPr>
    </w:p>
    <w:p>
      <w:pPr>
        <w:ind w:right="600" w:firstLine="436"/>
        <w:spacing w:after="0" w:line="277" w:lineRule="auto"/>
        <w:tabs>
          <w:tab w:leader="none" w:pos="685" w:val="left"/>
        </w:tabs>
        <w:numPr>
          <w:ilvl w:val="0"/>
          <w:numId w:val="172"/>
        </w:numPr>
        <w:rPr>
          <w:rFonts w:ascii="Arial" w:cs="Arial" w:eastAsia="Arial" w:hAnsi="Arial"/>
          <w:sz w:val="18"/>
          <w:szCs w:val="18"/>
          <w:color w:val="FF0000"/>
          <w:strike w:val="1"/>
        </w:rPr>
      </w:pPr>
      <w:r>
        <w:rPr>
          <w:rFonts w:ascii="Arial" w:cs="Arial" w:eastAsia="Arial" w:hAnsi="Arial"/>
          <w:sz w:val="18"/>
          <w:szCs w:val="18"/>
          <w:color w:val="FF0000"/>
          <w:strike w:val="1"/>
        </w:rPr>
        <w:t>Upon (x) the formation or acquisition of any new direct or indirect Subsidiary (</w:t>
      </w:r>
      <w:r>
        <w:rPr>
          <w:rFonts w:ascii="Arial" w:cs="Arial" w:eastAsia="Arial" w:hAnsi="Arial"/>
          <w:sz w:val="18"/>
          <w:szCs w:val="18"/>
          <w:color w:val="008000"/>
          <w:strike w:val="1"/>
        </w:rPr>
        <w:t>in each case, other than</w:t>
      </w:r>
      <w:r>
        <w:rPr>
          <w:rFonts w:ascii="Arial" w:cs="Arial" w:eastAsia="Arial" w:hAnsi="Arial"/>
          <w:sz w:val="18"/>
          <w:szCs w:val="18"/>
          <w:color w:val="FF0000"/>
          <w:strike w:val="1"/>
        </w:rPr>
        <w:t xml:space="preserve"> an Excluded Subsidiary) by the Borrower or (y) any Subsidiary that is an Excluded Subsidiary ceasing to be an Excluded Subsidiary:</w:t>
      </w:r>
    </w:p>
    <w:p>
      <w:pPr>
        <w:spacing w:after="0" w:line="170" w:lineRule="exact"/>
        <w:rPr>
          <w:rFonts w:ascii="Arial" w:cs="Arial" w:eastAsia="Arial" w:hAnsi="Arial"/>
          <w:sz w:val="18"/>
          <w:szCs w:val="18"/>
          <w:color w:val="FF0000"/>
          <w:strike w:val="1"/>
        </w:rPr>
      </w:pPr>
    </w:p>
    <w:p>
      <w:pPr>
        <w:ind w:left="440" w:right="140" w:firstLine="419"/>
        <w:spacing w:after="0" w:line="263" w:lineRule="auto"/>
        <w:tabs>
          <w:tab w:leader="none" w:pos="1078" w:val="left"/>
        </w:tabs>
        <w:numPr>
          <w:ilvl w:val="1"/>
          <w:numId w:val="172"/>
        </w:numPr>
        <w:rPr>
          <w:rFonts w:ascii="Arial" w:cs="Arial" w:eastAsia="Arial" w:hAnsi="Arial"/>
          <w:sz w:val="18"/>
          <w:szCs w:val="18"/>
          <w:color w:val="FF0000"/>
          <w:strike w:val="1"/>
        </w:rPr>
      </w:pPr>
      <w:r>
        <w:rPr>
          <w:rFonts w:ascii="Arial" w:cs="Arial" w:eastAsia="Arial" w:hAnsi="Arial"/>
          <w:sz w:val="18"/>
          <w:szCs w:val="18"/>
          <w:color w:val="FF0000"/>
          <w:strike w:val="1"/>
        </w:rPr>
        <w:t>within 60 days after such formation, acquisition, designation or other event, or such longer period as the Administrative Agent, with the consent of the Required Lenders (not to be unreasonably withheld, delayed, conditioned or denied), may agree in writing in its reasonable discretion:</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u w:val="single" w:color="auto"/>
          <w:color w:val="0000FF"/>
        </w:rPr>
        <w:t>. At</w:t>
      </w:r>
      <w:r>
        <w:rPr>
          <w:rFonts w:ascii="Arial" w:cs="Arial" w:eastAsia="Arial" w:hAnsi="Arial"/>
          <w:sz w:val="16"/>
          <w:szCs w:val="16"/>
          <w:color w:val="FF0000"/>
        </w:rPr>
        <w:t xml:space="preserve"> </w:t>
      </w:r>
      <w:r>
        <w:rPr>
          <w:rFonts w:ascii="Arial" w:cs="Arial" w:eastAsia="Arial" w:hAnsi="Arial"/>
          <w:sz w:val="16"/>
          <w:szCs w:val="16"/>
          <w:color w:val="008000"/>
        </w:rPr>
        <w:t>the Borrower’s expense, take all reasonable actions which are necessary or reasonably requested by the Administrative Agent or the Collateral</w:t>
      </w:r>
      <w:r>
        <w:rPr>
          <w:rFonts w:ascii="Arial" w:cs="Arial" w:eastAsia="Arial" w:hAnsi="Arial"/>
          <w:sz w:val="16"/>
          <w:szCs w:val="16"/>
          <w:color w:val="FF0000"/>
        </w:rPr>
        <w:t xml:space="preserve"> </w:t>
      </w:r>
      <w:r>
        <w:rPr>
          <w:rFonts w:ascii="Arial" w:cs="Arial" w:eastAsia="Arial" w:hAnsi="Arial"/>
          <w:sz w:val="16"/>
          <w:szCs w:val="16"/>
          <w:u w:val="single" w:color="auto"/>
          <w:color w:val="008000"/>
        </w:rPr>
        <w:t xml:space="preserve">Agent to ensure that the Collateral and Guarantee Requirement continues to be satisfied, including: </w:t>
      </w:r>
      <w:r>
        <w:rPr>
          <w:rFonts w:ascii="Arial" w:cs="Arial" w:eastAsia="Arial" w:hAnsi="Arial"/>
          <w:sz w:val="16"/>
          <w:szCs w:val="16"/>
          <w:u w:val="single" w:color="auto"/>
          <w:color w:val="0000FF"/>
        </w:rPr>
        <w:t>upon any Subsidiary that constitutes an Excluded</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Subsidiary on the Postpetition B-2 Facility Closing Date ceasing to be an Excluded Subsidiary, within ten (10) Business Days thereafter, or such longer period as the administrative Agent, with the consent of the Lenders (in their sole discretion), may agree,</w:t>
      </w:r>
      <w:r>
        <w:rPr>
          <w:rFonts w:ascii="Arial" w:cs="Arial" w:eastAsia="Arial" w:hAnsi="Arial"/>
          <w:sz w:val="16"/>
          <w:szCs w:val="16"/>
          <w:color w:val="0000FF"/>
        </w:rPr>
        <w:t xml:space="preserve"> </w:t>
      </w:r>
      <w:r>
        <w:rPr>
          <w:rFonts w:ascii="Arial" w:cs="Arial" w:eastAsia="Arial" w:hAnsi="Arial"/>
          <w:sz w:val="16"/>
          <w:szCs w:val="16"/>
          <w:color w:val="000000"/>
        </w:rPr>
        <w:t>causing</w:t>
      </w:r>
      <w:r>
        <w:rPr>
          <w:rFonts w:ascii="Arial" w:cs="Arial" w:eastAsia="Arial" w:hAnsi="Arial"/>
          <w:sz w:val="16"/>
          <w:szCs w:val="16"/>
          <w:color w:val="0000FF"/>
        </w:rPr>
        <w:t xml:space="preserve"> </w:t>
      </w:r>
      <w:r>
        <w:rPr>
          <w:rFonts w:ascii="Arial" w:cs="Arial" w:eastAsia="Arial" w:hAnsi="Arial"/>
          <w:sz w:val="16"/>
          <w:szCs w:val="16"/>
          <w:color w:val="FF0000"/>
          <w:strike w:val="1"/>
        </w:rPr>
        <w:t>each</w:t>
      </w:r>
      <w:r>
        <w:rPr>
          <w:rFonts w:ascii="Arial" w:cs="Arial" w:eastAsia="Arial" w:hAnsi="Arial"/>
          <w:sz w:val="16"/>
          <w:szCs w:val="16"/>
          <w:color w:val="0000FF"/>
        </w:rPr>
        <w:t xml:space="preserve"> </w:t>
      </w:r>
      <w:r>
        <w:rPr>
          <w:rFonts w:ascii="Arial" w:cs="Arial" w:eastAsia="Arial" w:hAnsi="Arial"/>
          <w:sz w:val="16"/>
          <w:szCs w:val="16"/>
          <w:color w:val="000000"/>
        </w:rPr>
        <w:t>such Subsidiary to duly execute</w:t>
      </w:r>
      <w:r>
        <w:rPr>
          <w:rFonts w:ascii="Arial" w:cs="Arial" w:eastAsia="Arial" w:hAnsi="Arial"/>
          <w:sz w:val="16"/>
          <w:szCs w:val="16"/>
          <w:color w:val="0000FF"/>
        </w:rPr>
        <w:t xml:space="preserve"> </w:t>
      </w:r>
      <w:r>
        <w:rPr>
          <w:rFonts w:ascii="Arial" w:cs="Arial" w:eastAsia="Arial" w:hAnsi="Arial"/>
          <w:sz w:val="16"/>
          <w:szCs w:val="16"/>
          <w:color w:val="000000"/>
        </w:rPr>
        <w:t>and deliver to the Administrative Agent or the Collateral Agent (as appropriate) joinders to this Agreement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-565150</wp:posOffset>
            </wp:positionV>
            <wp:extent cx="669480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-599440</wp:posOffset>
            </wp:positionV>
            <wp:extent cx="65366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6536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81482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69176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477456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0"/>
          </w:cols>
          <w:pgMar w:left="440" w:top="274" w:right="479" w:bottom="1440" w:gutter="0" w:footer="0" w:header="0"/>
        </w:sectPr>
      </w:pPr>
    </w:p>
    <w:bookmarkStart w:id="254" w:name="page255"/>
    <w:bookmarkEnd w:id="254"/>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Guarantors, </w:t>
      </w:r>
      <w:r>
        <w:rPr>
          <w:rFonts w:ascii="Arial" w:cs="Arial" w:eastAsia="Arial" w:hAnsi="Arial"/>
          <w:sz w:val="16"/>
          <w:szCs w:val="16"/>
          <w:u w:val="single" w:color="auto"/>
          <w:color w:val="0000FF"/>
        </w:rPr>
        <w:t>a supplement to the</w:t>
      </w:r>
      <w:r>
        <w:rPr>
          <w:rFonts w:ascii="Arial" w:cs="Arial" w:eastAsia="Arial" w:hAnsi="Arial"/>
          <w:sz w:val="16"/>
          <w:szCs w:val="16"/>
          <w:color w:val="auto"/>
        </w:rPr>
        <w:t xml:space="preserve"> Security Agreement </w:t>
      </w:r>
      <w:r>
        <w:rPr>
          <w:rFonts w:ascii="Arial" w:cs="Arial" w:eastAsia="Arial" w:hAnsi="Arial"/>
          <w:sz w:val="16"/>
          <w:szCs w:val="16"/>
          <w:color w:val="FF0000"/>
          <w:strike w:val="1"/>
        </w:rPr>
        <w:t>Supplements, Intellectual Property Security Agreements</w:t>
      </w:r>
      <w:r>
        <w:rPr>
          <w:rFonts w:ascii="Arial" w:cs="Arial" w:eastAsia="Arial" w:hAnsi="Arial"/>
          <w:sz w:val="16"/>
          <w:szCs w:val="16"/>
          <w:u w:val="single" w:color="auto"/>
          <w:color w:val="0000FF"/>
        </w:rPr>
        <w:t>in the form attached thereto</w:t>
      </w:r>
      <w:r>
        <w:rPr>
          <w:rFonts w:ascii="Arial" w:cs="Arial" w:eastAsia="Arial" w:hAnsi="Arial"/>
          <w:sz w:val="16"/>
          <w:szCs w:val="16"/>
          <w:color w:val="auto"/>
        </w:rPr>
        <w:t xml:space="preserve">, a counterpart of the Intercompany Note and other security agreements and documents </w:t>
      </w:r>
      <w:r>
        <w:rPr>
          <w:rFonts w:ascii="Arial" w:cs="Arial" w:eastAsia="Arial" w:hAnsi="Arial"/>
          <w:sz w:val="16"/>
          <w:szCs w:val="16"/>
          <w:color w:val="FF0000"/>
          <w:strike w:val="1"/>
        </w:rPr>
        <w:t>(including, (I) with respect to any Foreign Subsidiary, local law security</w:t>
      </w:r>
      <w:r>
        <w:rPr>
          <w:rFonts w:ascii="Arial" w:cs="Arial" w:eastAsia="Arial" w:hAnsi="Arial"/>
          <w:sz w:val="16"/>
          <w:szCs w:val="16"/>
          <w:color w:val="auto"/>
        </w:rPr>
        <w:t xml:space="preserve"> </w:t>
      </w:r>
      <w:r>
        <w:rPr>
          <w:rFonts w:ascii="Arial" w:cs="Arial" w:eastAsia="Arial" w:hAnsi="Arial"/>
          <w:sz w:val="16"/>
          <w:szCs w:val="16"/>
          <w:color w:val="FF0000"/>
          <w:strike w:val="1"/>
        </w:rPr>
        <w:t>agreements and documents in each case consistent with market practice, and (II) with respect to such Mortgages, the documents listed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-263525</wp:posOffset>
            </wp:positionV>
            <wp:extent cx="91694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-263525</wp:posOffset>
            </wp:positionV>
            <wp:extent cx="125984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right="40"/>
        <w:spacing w:after="0" w:line="268" w:lineRule="auto"/>
        <w:rPr>
          <w:sz w:val="20"/>
          <w:szCs w:val="20"/>
          <w:color w:val="auto"/>
        </w:rPr>
      </w:pPr>
      <w:r>
        <w:rPr>
          <w:rFonts w:ascii="Arial" w:cs="Arial" w:eastAsia="Arial" w:hAnsi="Arial"/>
          <w:sz w:val="17"/>
          <w:szCs w:val="17"/>
          <w:u w:val="single" w:color="auto"/>
          <w:color w:val="FF0000"/>
        </w:rPr>
        <w:t>Section 6.13(b)</w:t>
      </w:r>
      <w:r>
        <w:rPr>
          <w:rFonts w:ascii="Arial" w:cs="Arial" w:eastAsia="Arial" w:hAnsi="Arial"/>
          <w:sz w:val="17"/>
          <w:szCs w:val="17"/>
          <w:color w:val="FF0000"/>
        </w:rPr>
        <w:t xml:space="preserve">), as reasonably requested by the Required Lenders and in form and substance reasonably satisfactory to the Required Lenders, </w:t>
      </w:r>
      <w:r>
        <w:rPr>
          <w:rFonts w:ascii="Arial" w:cs="Arial" w:eastAsia="Arial" w:hAnsi="Arial"/>
          <w:sz w:val="17"/>
          <w:szCs w:val="17"/>
          <w:color w:val="FF0000"/>
          <w:strike w:val="1"/>
        </w:rPr>
        <w:t>Administrative Agent and the Borrower (consistent with the Mortgages (if any), Security Agreement, Intellectual Property Security Agreements and other security agreements in effect on the Restatement Effective Date)</w:t>
      </w:r>
      <w:r>
        <w:rPr>
          <w:rFonts w:ascii="Arial" w:cs="Arial" w:eastAsia="Arial" w:hAnsi="Arial"/>
          <w:sz w:val="17"/>
          <w:szCs w:val="17"/>
          <w:color w:val="000000"/>
          <w:strike w:val="1"/>
        </w:rPr>
        <w:t>, in each case granting Liens required by the Collateral and Guarantee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Requirement</w:t>
      </w:r>
      <w:r>
        <w:rPr>
          <w:rFonts w:ascii="Arial" w:cs="Arial" w:eastAsia="Arial" w:hAnsi="Arial"/>
          <w:sz w:val="17"/>
          <w:szCs w:val="17"/>
          <w:color w:val="FF0000"/>
          <w:strike w:val="1"/>
        </w:rPr>
        <w:t>;</w:t>
      </w:r>
      <w:r>
        <w:rPr>
          <w:rFonts w:ascii="Arial" w:cs="Arial" w:eastAsia="Arial" w:hAnsi="Arial"/>
          <w:sz w:val="17"/>
          <w:szCs w:val="17"/>
          <w:color w:val="000000"/>
          <w:strike w:val="1"/>
        </w:rPr>
        <w:t xml:space="preserve">, </w:t>
      </w:r>
      <w:r>
        <w:rPr>
          <w:rFonts w:ascii="Arial" w:cs="Arial" w:eastAsia="Arial" w:hAnsi="Arial"/>
          <w:sz w:val="17"/>
          <w:szCs w:val="17"/>
          <w:color w:val="0000FF"/>
          <w:strike w:val="1"/>
        </w:rPr>
        <w:t>and to take such action (including the filing of UCC or PPSA financing statements, as applicable), in each case, as may be</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000"/>
          <w:strike w:val="1"/>
        </w:rPr>
        <w:t>reasonably</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000"/>
          <w:strike w:val="1"/>
        </w:rPr>
        <w:t xml:space="preserve">requested by the Collateral Agent or the </w:t>
      </w:r>
      <w:r>
        <w:rPr>
          <w:rFonts w:ascii="Arial" w:cs="Arial" w:eastAsia="Arial" w:hAnsi="Arial"/>
          <w:sz w:val="17"/>
          <w:szCs w:val="17"/>
          <w:u w:val="single" w:color="auto"/>
          <w:color w:val="0000FF"/>
          <w:strike w:val="1"/>
        </w:rPr>
        <w:t>Lenders from time to time to maintain the validity, perfection, enforceability and priority of the security interest</w:t>
      </w:r>
      <w:r>
        <w:rPr>
          <w:rFonts w:ascii="Arial" w:cs="Arial" w:eastAsia="Arial" w:hAnsi="Arial"/>
          <w:sz w:val="17"/>
          <w:szCs w:val="17"/>
          <w:u w:val="single" w:color="auto"/>
          <w:color w:val="008000"/>
          <w:strike w:val="1"/>
        </w:rPr>
        <w:t xml:space="preserve"> </w:t>
      </w:r>
      <w:r>
        <w:rPr>
          <w:rFonts w:ascii="Arial" w:cs="Arial" w:eastAsia="Arial" w:hAnsi="Arial"/>
          <w:sz w:val="17"/>
          <w:szCs w:val="17"/>
          <w:u w:val="single" w:color="auto"/>
          <w:color w:val="0000FF"/>
          <w:strike w:val="1"/>
        </w:rPr>
        <w:t xml:space="preserve">and Liens of the Collateral Agent in the Collateral, or to enable the Collateral Agent to protect, exercise or enforce its rights hereunder, under the DIP Order </w:t>
      </w:r>
      <w:r>
        <w:rPr>
          <w:rFonts w:ascii="Arial" w:cs="Arial" w:eastAsia="Arial" w:hAnsi="Arial"/>
          <w:sz w:val="17"/>
          <w:szCs w:val="17"/>
          <w:u w:val="single" w:color="auto"/>
          <w:color w:val="008000"/>
          <w:strike w:val="1"/>
        </w:rPr>
        <w:t>(and, in the case of</w:t>
      </w:r>
      <w:r>
        <w:rPr>
          <w:rFonts w:ascii="Arial" w:cs="Arial" w:eastAsia="Arial" w:hAnsi="Arial"/>
          <w:sz w:val="17"/>
          <w:szCs w:val="17"/>
          <w:u w:val="single" w:color="auto"/>
          <w:color w:val="0000FF"/>
          <w:strike w:val="1"/>
        </w:rPr>
        <w:t xml:space="preserve"> Canadian Collateral, the Canadian Orders) and in the Collateral. The Agents and the Lenders agree that, following the Petition Date, no additional Mortgages or supplements to the Security Agreement shall be delivered or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-1048385</wp:posOffset>
            </wp:positionV>
            <wp:extent cx="650367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-585470</wp:posOffset>
            </wp:positionV>
            <wp:extent cx="6139180" cy="4318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613918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-414020</wp:posOffset>
            </wp:positionV>
            <wp:extent cx="696087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31965"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6912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74027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63" w:lineRule="exact"/>
        <w:rPr>
          <w:sz w:val="20"/>
          <w:szCs w:val="20"/>
          <w:color w:val="auto"/>
        </w:rPr>
      </w:pPr>
    </w:p>
    <w:p>
      <w:pPr>
        <w:ind w:right="60" w:firstLine="987"/>
        <w:spacing w:after="0" w:line="259" w:lineRule="auto"/>
        <w:tabs>
          <w:tab w:leader="none" w:pos="1276" w:val="left"/>
        </w:tabs>
        <w:numPr>
          <w:ilvl w:val="2"/>
          <w:numId w:val="173"/>
        </w:numPr>
        <w:rPr>
          <w:rFonts w:ascii="Arial" w:cs="Arial" w:eastAsia="Arial" w:hAnsi="Arial"/>
          <w:sz w:val="18"/>
          <w:szCs w:val="18"/>
          <w:color w:val="FF0000"/>
          <w:strike w:val="1"/>
        </w:rPr>
      </w:pPr>
      <w:r>
        <w:rPr>
          <w:rFonts w:ascii="Arial" w:cs="Arial" w:eastAsia="Arial" w:hAnsi="Arial"/>
          <w:sz w:val="18"/>
          <w:szCs w:val="18"/>
          <w:color w:val="FF0000"/>
          <w:strike w:val="1"/>
        </w:rPr>
        <w:t>causing each such Subsidiary (and the parent of each such Subsidiary that is a Loan Party) to deliver to the Collateral Agent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86" w:lineRule="exact"/>
        <w:rPr>
          <w:rFonts w:ascii="Arial" w:cs="Arial" w:eastAsia="Arial" w:hAnsi="Arial"/>
          <w:sz w:val="18"/>
          <w:szCs w:val="18"/>
          <w:color w:val="FF0000"/>
          <w:strike w:val="1"/>
        </w:rPr>
      </w:pPr>
    </w:p>
    <w:p>
      <w:pPr>
        <w:ind w:right="160" w:firstLine="987"/>
        <w:spacing w:after="0" w:line="257" w:lineRule="auto"/>
        <w:tabs>
          <w:tab w:leader="none" w:pos="1276" w:val="left"/>
        </w:tabs>
        <w:numPr>
          <w:ilvl w:val="2"/>
          <w:numId w:val="173"/>
        </w:numPr>
        <w:rPr>
          <w:rFonts w:ascii="Arial" w:cs="Arial" w:eastAsia="Arial" w:hAnsi="Arial"/>
          <w:sz w:val="18"/>
          <w:szCs w:val="18"/>
          <w:color w:val="FF0000"/>
          <w:strike w:val="1"/>
        </w:rPr>
      </w:pPr>
      <w:r>
        <w:rPr>
          <w:rFonts w:ascii="Arial" w:cs="Arial" w:eastAsia="Arial" w:hAnsi="Arial"/>
          <w:sz w:val="18"/>
          <w:szCs w:val="18"/>
          <w:color w:val="FF0000"/>
          <w:strike w:val="1"/>
        </w:rPr>
        <w:t>taking and causing each such Restricted Subsidiary and each direct or indirect parent of such Restricted Subsidiary to take whatever action (including the recording of Mortgages, the filing of UCC financing statements and the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79" w:lineRule="exact"/>
        <w:rPr>
          <w:rFonts w:ascii="Arial" w:cs="Arial" w:eastAsia="Arial" w:hAnsi="Arial"/>
          <w:sz w:val="18"/>
          <w:szCs w:val="18"/>
          <w:color w:val="FF0000"/>
          <w:strike w:val="1"/>
        </w:rPr>
      </w:pPr>
    </w:p>
    <w:p>
      <w:pPr>
        <w:ind w:left="440" w:right="80" w:firstLine="419"/>
        <w:spacing w:after="0" w:line="279" w:lineRule="auto"/>
        <w:tabs>
          <w:tab w:leader="none" w:pos="1128" w:val="left"/>
        </w:tabs>
        <w:numPr>
          <w:ilvl w:val="1"/>
          <w:numId w:val="174"/>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if reasonably requested by the Required Lenders, Administrative Agent or the Collateral Agent, within 45 days after such request (or such longer period as the Administrative Agent may agree in writing in its reasonable discretion), delivering to the Administrative Agent a signed copy of an opinion, addressed to the Administrative Agent and the Lenders, of counsel for the Loan Parties as to such matters set forth in this </w:t>
      </w:r>
      <w:r>
        <w:rPr>
          <w:rFonts w:ascii="Arial" w:cs="Arial" w:eastAsia="Arial" w:hAnsi="Arial"/>
          <w:sz w:val="17"/>
          <w:szCs w:val="17"/>
          <w:u w:val="single" w:color="auto"/>
          <w:color w:val="FF0000"/>
          <w:strike w:val="1"/>
        </w:rPr>
        <w:t xml:space="preserve">Section 6.11(a) </w:t>
      </w:r>
      <w:r>
        <w:rPr>
          <w:rFonts w:ascii="Arial" w:cs="Arial" w:eastAsia="Arial" w:hAnsi="Arial"/>
          <w:sz w:val="17"/>
          <w:szCs w:val="17"/>
          <w:color w:val="FF0000"/>
          <w:strike w:val="1"/>
        </w:rPr>
        <w:t>as the Administrative Agent and the Required Lenders may reasonably request; and</w:t>
      </w:r>
    </w:p>
    <w:p>
      <w:pPr>
        <w:spacing w:after="0" w:line="63" w:lineRule="exact"/>
        <w:rPr>
          <w:rFonts w:ascii="Arial" w:cs="Arial" w:eastAsia="Arial" w:hAnsi="Arial"/>
          <w:sz w:val="17"/>
          <w:szCs w:val="17"/>
          <w:color w:val="FF0000"/>
          <w:strike w:val="1"/>
        </w:rPr>
      </w:pPr>
    </w:p>
    <w:p>
      <w:pPr>
        <w:ind w:left="440" w:right="100" w:firstLine="419"/>
        <w:spacing w:after="0" w:line="255" w:lineRule="auto"/>
        <w:tabs>
          <w:tab w:leader="none" w:pos="1178" w:val="left"/>
        </w:tabs>
        <w:numPr>
          <w:ilvl w:val="1"/>
          <w:numId w:val="17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promptly after the reasonable request therefor by </w:t>
      </w:r>
      <w:r>
        <w:rPr>
          <w:rFonts w:ascii="Arial" w:cs="Arial" w:eastAsia="Arial" w:hAnsi="Arial"/>
          <w:sz w:val="18"/>
          <w:szCs w:val="18"/>
          <w:color w:val="008000"/>
          <w:strike w:val="1"/>
        </w:rPr>
        <w:t>the Administrative Agent or Collateral Agent,</w:t>
      </w:r>
      <w:r>
        <w:rPr>
          <w:rFonts w:ascii="Arial" w:cs="Arial" w:eastAsia="Arial" w:hAnsi="Arial"/>
          <w:sz w:val="18"/>
          <w:szCs w:val="18"/>
          <w:color w:val="FF0000"/>
          <w:strike w:val="1"/>
        </w:rPr>
        <w:t xml:space="preserve"> delivering to the Collateral Agent with respect to each Material Real Property, any existing surveys, title reports, abstracts or environmental assessment reports, to the extent available and in the possession or control of the Borrower; </w:t>
      </w:r>
      <w:r>
        <w:rPr>
          <w:rFonts w:ascii="Arial" w:cs="Arial" w:eastAsia="Arial" w:hAnsi="Arial"/>
          <w:sz w:val="18"/>
          <w:szCs w:val="18"/>
          <w:i w:val="1"/>
          <w:iCs w:val="1"/>
          <w:color w:val="FF0000"/>
          <w:strike w:val="1"/>
        </w:rPr>
        <w:t>provided, however</w:t>
      </w:r>
      <w:r>
        <w:rPr>
          <w:rFonts w:ascii="Arial" w:cs="Arial" w:eastAsia="Arial" w:hAnsi="Arial"/>
          <w:sz w:val="18"/>
          <w:szCs w:val="18"/>
          <w:color w:val="FF0000"/>
          <w:strike w:val="1"/>
        </w:rPr>
        <w:t>, that there shall be no obligation to deliver to the Collateral Agent any existing environmental assessment report whose disclosure to the Collateral Agent would require the consent of a Person other than the Borrower or one of its Subsidiaries, and where, despite the commercially reasonable efforts of the Borrower to obtain such consent, such consent cannot be obtained.</w:t>
      </w:r>
    </w:p>
    <w:p>
      <w:pPr>
        <w:spacing w:after="0" w:line="192" w:lineRule="exact"/>
        <w:rPr>
          <w:rFonts w:ascii="Arial" w:cs="Arial" w:eastAsia="Arial" w:hAnsi="Arial"/>
          <w:sz w:val="18"/>
          <w:szCs w:val="18"/>
          <w:color w:val="FF0000"/>
          <w:strike w:val="1"/>
        </w:rPr>
      </w:pPr>
    </w:p>
    <w:p>
      <w:pPr>
        <w:ind w:firstLine="436"/>
        <w:spacing w:after="0" w:line="263" w:lineRule="auto"/>
        <w:tabs>
          <w:tab w:leader="none" w:pos="695" w:val="left"/>
        </w:tabs>
        <w:numPr>
          <w:ilvl w:val="0"/>
          <w:numId w:val="17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reasonably requested by the Required Lenders, Administrative Agent or the Collateral Agent, within 60 days after such request </w:t>
      </w:r>
      <w:r>
        <w:rPr>
          <w:rFonts w:ascii="Arial" w:cs="Arial" w:eastAsia="Arial" w:hAnsi="Arial"/>
          <w:sz w:val="18"/>
          <w:szCs w:val="18"/>
          <w:color w:val="008000"/>
          <w:strike w:val="1"/>
        </w:rPr>
        <w:t>(or such</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longer period as </w:t>
      </w:r>
      <w:r>
        <w:rPr>
          <w:rFonts w:ascii="Arial" w:cs="Arial" w:eastAsia="Arial" w:hAnsi="Arial"/>
          <w:sz w:val="18"/>
          <w:szCs w:val="18"/>
          <w:color w:val="FF0000"/>
          <w:strike w:val="1"/>
        </w:rPr>
        <w:t>the Administrative Agent may agree in writing in its reasonable discretion), delivering to the Collateral Agent any other items necessary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from time to time to satisfy the Collateral and Guarantee Requirement with respect to the validity, perfection,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255" w:name="page256"/>
    <w:bookmarkEnd w:id="255"/>
    <w:p>
      <w:pPr>
        <w:ind w:right="320"/>
        <w:spacing w:after="0" w:line="308"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existence and priority of security interests with respect to property of any Guarantor acquired after the Restatement Effective Date and subject to the Collateral and Guarantee Requirement, but not specifically covered by the preceding clauses (i), (ii) or (iii) or clause (c) below.</w:t>
      </w:r>
    </w:p>
    <w:p>
      <w:pPr>
        <w:spacing w:after="0" w:line="146" w:lineRule="exact"/>
        <w:rPr>
          <w:sz w:val="20"/>
          <w:szCs w:val="20"/>
          <w:color w:val="auto"/>
        </w:rPr>
      </w:pPr>
    </w:p>
    <w:p>
      <w:pPr>
        <w:ind w:right="120" w:firstLine="436"/>
        <w:spacing w:after="0" w:line="290" w:lineRule="auto"/>
        <w:tabs>
          <w:tab w:leader="none" w:pos="685" w:val="left"/>
        </w:tabs>
        <w:numPr>
          <w:ilvl w:val="0"/>
          <w:numId w:val="176"/>
        </w:numPr>
        <w:rPr>
          <w:rFonts w:ascii="Arial" w:cs="Arial" w:eastAsia="Arial" w:hAnsi="Arial"/>
          <w:sz w:val="16"/>
          <w:szCs w:val="16"/>
          <w:color w:val="FF0000"/>
          <w:strike w:val="1"/>
        </w:rPr>
      </w:pPr>
      <w:r>
        <w:rPr>
          <w:rFonts w:ascii="Arial" w:cs="Arial" w:eastAsia="Arial" w:hAnsi="Arial"/>
          <w:sz w:val="16"/>
          <w:szCs w:val="16"/>
          <w:color w:val="FF0000"/>
          <w:strike w:val="1"/>
        </w:rPr>
        <w:t xml:space="preserve">not later than 120 days after (i) the acquisition by any Loan Party of Material Real Property or (ii) the release of any first lien security interest on any Real Property securing the obligations under the Contribution Deferral Agreement, in each case, that is required to be provided as Collateral pursuant to the Collateral and Guarantee Requirement (or such longer period as the Administrative Agent, with the consent of the Required Lenders, may agree in writing in its reasonable discretion), which Material Real Property would not be automatically subject to another Lien pursuant to pre-existing Collateral Documents, causing such property to be subject to a Lien in favor of the Collateral Agent </w:t>
      </w:r>
      <w:r>
        <w:rPr>
          <w:rFonts w:ascii="Arial" w:cs="Arial" w:eastAsia="Arial" w:hAnsi="Arial"/>
          <w:sz w:val="16"/>
          <w:szCs w:val="16"/>
          <w:color w:val="008000"/>
          <w:strike w:val="1"/>
        </w:rPr>
        <w:t>for the benefit of the Secured Parties</w:t>
      </w:r>
      <w:r>
        <w:rPr>
          <w:rFonts w:ascii="Arial" w:cs="Arial" w:eastAsia="Arial" w:hAnsi="Arial"/>
          <w:sz w:val="16"/>
          <w:szCs w:val="16"/>
          <w:color w:val="FF0000"/>
          <w:strike w:val="1"/>
        </w:rPr>
        <w:t xml:space="preserve"> and taking, or causing the relevant Loan Party to take, such actions as shall be necessary </w:t>
      </w:r>
      <w:r>
        <w:rPr>
          <w:rFonts w:ascii="Arial" w:cs="Arial" w:eastAsia="Arial" w:hAnsi="Arial"/>
          <w:sz w:val="16"/>
          <w:szCs w:val="16"/>
          <w:color w:val="008000"/>
          <w:strike w:val="1"/>
        </w:rPr>
        <w:t>or reasonably requested by the</w:t>
      </w:r>
      <w:r>
        <w:rPr>
          <w:rFonts w:ascii="Arial" w:cs="Arial" w:eastAsia="Arial" w:hAnsi="Arial"/>
          <w:sz w:val="16"/>
          <w:szCs w:val="16"/>
          <w:color w:val="FF0000"/>
          <w:strike w:val="1"/>
        </w:rPr>
        <w:t xml:space="preserve"> Required Lenders, Administrative Agent or the Collateral Agent to grant and perfect or record such Lien, in each case to the extent required by, and subject to the limitations and exceptions of, the Collateral and Guarantee Requirement and to otherwise comply with the requirements of the Collateral and Guarantee Requirement.</w:t>
      </w:r>
    </w:p>
    <w:p>
      <w:pPr>
        <w:spacing w:after="0" w:line="16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u w:val="single" w:color="auto"/>
          <w:color w:val="0000FF"/>
        </w:rPr>
        <w:t>Section 6.12</w:t>
      </w:r>
      <w:r>
        <w:rPr>
          <w:rFonts w:ascii="Arial" w:cs="Arial" w:eastAsia="Arial" w:hAnsi="Arial"/>
          <w:sz w:val="16"/>
          <w:szCs w:val="16"/>
          <w:color w:val="0000FF"/>
        </w:rPr>
        <w:t xml:space="preserve"> </w:t>
      </w:r>
      <w:r>
        <w:rPr>
          <w:rFonts w:ascii="Arial" w:cs="Arial" w:eastAsia="Arial" w:hAnsi="Arial"/>
          <w:sz w:val="16"/>
          <w:szCs w:val="16"/>
          <w:color w:val="FF0000"/>
          <w:strike w:val="1"/>
        </w:rPr>
        <w:t>Section 6.12.</w:t>
      </w:r>
      <w:r>
        <w:rPr>
          <w:rFonts w:ascii="Arial" w:cs="Arial" w:eastAsia="Arial" w:hAnsi="Arial"/>
          <w:sz w:val="16"/>
          <w:szCs w:val="16"/>
          <w:color w:val="0000FF"/>
        </w:rPr>
        <w:t xml:space="preserve"> </w:t>
      </w:r>
      <w:r>
        <w:rPr>
          <w:rFonts w:ascii="Arial" w:cs="Arial" w:eastAsia="Arial" w:hAnsi="Arial"/>
          <w:sz w:val="16"/>
          <w:szCs w:val="16"/>
          <w:i w:val="1"/>
          <w:iCs w:val="1"/>
          <w:color w:val="000000"/>
        </w:rPr>
        <w:t>Compliance with Environmental Laws</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Subject to the terms of the Chapter 11 Orders,</w:t>
      </w:r>
      <w:r>
        <w:rPr>
          <w:rFonts w:ascii="Arial" w:cs="Arial" w:eastAsia="Arial" w:hAnsi="Arial"/>
          <w:sz w:val="16"/>
          <w:szCs w:val="16"/>
          <w:color w:val="0000FF"/>
        </w:rPr>
        <w:t xml:space="preserve"> </w:t>
      </w:r>
      <w:r>
        <w:rPr>
          <w:rFonts w:ascii="Arial" w:cs="Arial" w:eastAsia="Arial" w:hAnsi="Arial"/>
          <w:sz w:val="16"/>
          <w:szCs w:val="16"/>
          <w:color w:val="FF0000"/>
          <w:strike w:val="1"/>
        </w:rPr>
        <w:t>E</w:t>
      </w:r>
      <w:r>
        <w:rPr>
          <w:rFonts w:ascii="Arial" w:cs="Arial" w:eastAsia="Arial" w:hAnsi="Arial"/>
          <w:sz w:val="16"/>
          <w:szCs w:val="16"/>
          <w:u w:val="single" w:color="auto"/>
          <w:color w:val="0000FF"/>
        </w:rPr>
        <w:t>e</w:t>
      </w:r>
      <w:r>
        <w:rPr>
          <w:rFonts w:ascii="Arial" w:cs="Arial" w:eastAsia="Arial" w:hAnsi="Arial"/>
          <w:sz w:val="16"/>
          <w:szCs w:val="16"/>
          <w:color w:val="000000"/>
        </w:rPr>
        <w:t>xcept, in each case, to the</w:t>
      </w:r>
      <w:r>
        <w:rPr>
          <w:rFonts w:ascii="Arial" w:cs="Arial" w:eastAsia="Arial" w:hAnsi="Arial"/>
          <w:sz w:val="16"/>
          <w:szCs w:val="16"/>
          <w:color w:val="0000FF"/>
        </w:rPr>
        <w:t xml:space="preserve"> </w:t>
      </w:r>
      <w:r>
        <w:rPr>
          <w:rFonts w:ascii="Arial" w:cs="Arial" w:eastAsia="Arial" w:hAnsi="Arial"/>
          <w:sz w:val="16"/>
          <w:szCs w:val="16"/>
          <w:color w:val="000000"/>
        </w:rPr>
        <w:t xml:space="preserve">extent that the failure to do so could not reasonably be expected to have, individually or in the aggregate, a Material Adverse Effect: (a) comply, and take all reasonable actions to cause all lessees and other Persons operating or occupying its properties to comply, with all applicable Environmental Laws and Environmental Permits; (b) obtain and renew all Environmental Permits necessary for its operations and properties; and, (c) in each case to the extent the Loan Parties or the </w:t>
      </w:r>
      <w:r>
        <w:rPr>
          <w:rFonts w:ascii="Arial" w:cs="Arial" w:eastAsia="Arial" w:hAnsi="Arial"/>
          <w:sz w:val="16"/>
          <w:szCs w:val="16"/>
          <w:color w:val="FF0000"/>
          <w:strike w:val="1"/>
        </w:rPr>
        <w:t>Restricted</w:t>
      </w:r>
      <w:r>
        <w:rPr>
          <w:rFonts w:ascii="Arial" w:cs="Arial" w:eastAsia="Arial" w:hAnsi="Arial"/>
          <w:sz w:val="16"/>
          <w:szCs w:val="16"/>
          <w:color w:val="000000"/>
        </w:rPr>
        <w:t xml:space="preserve"> Subsidiaries are required to do so by Environmental Laws, conduct any investigation, remedial or other corrective action necessary to address Hazardous Materials at any property or facility in accordance with applicable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-700405</wp:posOffset>
            </wp:positionV>
            <wp:extent cx="56578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-700405</wp:posOffset>
            </wp:positionV>
            <wp:extent cx="224599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6.13</w:t>
      </w:r>
      <w:r>
        <w:rPr>
          <w:rFonts w:ascii="Arial" w:cs="Arial" w:eastAsia="Arial" w:hAnsi="Arial"/>
          <w:sz w:val="18"/>
          <w:szCs w:val="18"/>
          <w:color w:val="0000FF"/>
        </w:rPr>
        <w:t xml:space="preserve"> </w:t>
      </w:r>
      <w:r>
        <w:rPr>
          <w:rFonts w:ascii="Arial" w:cs="Arial" w:eastAsia="Arial" w:hAnsi="Arial"/>
          <w:sz w:val="18"/>
          <w:szCs w:val="18"/>
          <w:color w:val="FF0000"/>
          <w:strike w:val="1"/>
        </w:rPr>
        <w:t>Section 6.13.</w:t>
      </w:r>
      <w:r>
        <w:rPr>
          <w:rFonts w:ascii="Arial" w:cs="Arial" w:eastAsia="Arial" w:hAnsi="Arial"/>
          <w:sz w:val="18"/>
          <w:szCs w:val="18"/>
          <w:color w:val="0000FF"/>
        </w:rPr>
        <w:t xml:space="preserve"> </w:t>
      </w:r>
      <w:r>
        <w:rPr>
          <w:rFonts w:ascii="Arial" w:cs="Arial" w:eastAsia="Arial" w:hAnsi="Arial"/>
          <w:sz w:val="18"/>
          <w:szCs w:val="18"/>
          <w:i w:val="1"/>
          <w:iCs w:val="1"/>
          <w:color w:val="000000"/>
        </w:rPr>
        <w:t>Further Assurances and Post-Closing Conditions</w:t>
      </w:r>
      <w:r>
        <w:rPr>
          <w:rFonts w:ascii="Arial" w:cs="Arial" w:eastAsia="Arial" w:hAnsi="Arial"/>
          <w:sz w:val="18"/>
          <w:szCs w:val="18"/>
          <w:color w:val="FF0000"/>
          <w:strike w:val="1"/>
        </w:rPr>
        <w:t>; Amendment No. 3 Conditions Subsequent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00075"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5" w:lineRule="exact"/>
        <w:rPr>
          <w:sz w:val="20"/>
          <w:szCs w:val="20"/>
          <w:color w:val="auto"/>
        </w:rPr>
      </w:pPr>
    </w:p>
    <w:p>
      <w:pPr>
        <w:jc w:val="both"/>
        <w:ind w:right="20" w:firstLine="987"/>
        <w:spacing w:after="0" w:line="259" w:lineRule="auto"/>
        <w:tabs>
          <w:tab w:leader="none" w:pos="1236" w:val="left"/>
        </w:tabs>
        <w:numPr>
          <w:ilvl w:val="1"/>
          <w:numId w:val="17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Within the time periods after the Restatement Effective Date set forth in </w:t>
      </w:r>
      <w:r>
        <w:rPr>
          <w:rFonts w:ascii="Arial" w:cs="Arial" w:eastAsia="Arial" w:hAnsi="Arial"/>
          <w:sz w:val="18"/>
          <w:szCs w:val="18"/>
          <w:u w:val="single" w:color="auto"/>
          <w:color w:val="FF0000"/>
          <w:strike w:val="1"/>
        </w:rPr>
        <w:t>Schedule 6.13(a)</w:t>
      </w:r>
      <w:r>
        <w:rPr>
          <w:rFonts w:ascii="Arial" w:cs="Arial" w:eastAsia="Arial" w:hAnsi="Arial"/>
          <w:sz w:val="18"/>
          <w:szCs w:val="18"/>
          <w:color w:val="FF0000"/>
          <w:strike w:val="1"/>
        </w:rPr>
        <w:t xml:space="preserve">, deliver each Collateral Document set forth on </w:t>
      </w:r>
      <w:r>
        <w:rPr>
          <w:rFonts w:ascii="Arial" w:cs="Arial" w:eastAsia="Arial" w:hAnsi="Arial"/>
          <w:sz w:val="18"/>
          <w:szCs w:val="18"/>
          <w:u w:val="single" w:color="auto"/>
          <w:color w:val="FF0000"/>
          <w:strike w:val="1"/>
        </w:rPr>
        <w:t>Schedule 6.13(a)</w:t>
      </w:r>
      <w:r>
        <w:rPr>
          <w:rFonts w:ascii="Arial" w:cs="Arial" w:eastAsia="Arial" w:hAnsi="Arial"/>
          <w:sz w:val="18"/>
          <w:szCs w:val="18"/>
          <w:color w:val="FF0000"/>
          <w:strike w:val="1"/>
        </w:rPr>
        <w:t>, duly executed by each Loan Party thereto, together with all documents and instruments required to perfect the security interest of the Collateral Agent in the Collateral free of any other pledges, security interests or mortgages, except Liens expressly permitted hereunder, to the extent required pursuant to the Collateral and Guarantee Requirement.</w:t>
      </w:r>
    </w:p>
    <w:p>
      <w:pPr>
        <w:spacing w:after="0" w:line="186" w:lineRule="exact"/>
        <w:rPr>
          <w:rFonts w:ascii="Arial" w:cs="Arial" w:eastAsia="Arial" w:hAnsi="Arial"/>
          <w:sz w:val="18"/>
          <w:szCs w:val="18"/>
          <w:color w:val="FF0000"/>
          <w:strike w:val="1"/>
        </w:rPr>
      </w:pPr>
    </w:p>
    <w:p>
      <w:pPr>
        <w:ind w:left="680" w:hanging="244"/>
        <w:spacing w:after="0"/>
        <w:tabs>
          <w:tab w:leader="none" w:pos="680" w:val="left"/>
        </w:tabs>
        <w:numPr>
          <w:ilvl w:val="0"/>
          <w:numId w:val="17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right="60" w:firstLine="436"/>
        <w:spacing w:after="0" w:line="253"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Promptly upon reasonable request by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Administrative Agent or the Collateral Agent (i) correct any material defect or error that may be discovered in the execution, acknowledgment, filing or recordation of any Collateral Document or other document or instrument relating to any Collateral (including, without limitation, any defect or error related to certificates of title for vehicles and other rolling stock) as to which the Borrower reasonably agrees is a defect or error, </w:t>
      </w:r>
      <w:r>
        <w:rPr>
          <w:rFonts w:ascii="Arial" w:cs="Arial" w:eastAsia="Arial" w:hAnsi="Arial"/>
          <w:sz w:val="18"/>
          <w:szCs w:val="18"/>
          <w:color w:val="FF0000"/>
          <w:strike w:val="1"/>
        </w:rPr>
        <w:t>and</w:t>
      </w:r>
      <w:r>
        <w:rPr>
          <w:rFonts w:ascii="Arial" w:cs="Arial" w:eastAsia="Arial" w:hAnsi="Arial"/>
          <w:sz w:val="18"/>
          <w:szCs w:val="18"/>
          <w:color w:val="auto"/>
        </w:rPr>
        <w:t xml:space="preserve"> (ii) </w:t>
      </w:r>
      <w:r>
        <w:rPr>
          <w:rFonts w:ascii="Arial" w:cs="Arial" w:eastAsia="Arial" w:hAnsi="Arial"/>
          <w:sz w:val="18"/>
          <w:szCs w:val="18"/>
          <w:color w:val="FF0000"/>
          <w:strike w:val="1"/>
        </w:rPr>
        <w:t>subject to the terms</w:t>
      </w:r>
      <w:r>
        <w:rPr>
          <w:rFonts w:ascii="Arial" w:cs="Arial" w:eastAsia="Arial" w:hAnsi="Arial"/>
          <w:sz w:val="18"/>
          <w:szCs w:val="18"/>
          <w:u w:val="single" w:color="auto"/>
          <w:color w:val="0000FF"/>
        </w:rPr>
        <w:t>notwithstanding that all of the security interests described herein with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respect to the Collateral shall be effective and perfected by the DIP Order (and, in the case of Canadian Collateral, the DIP Order and the applicable Canadian Orders) and without the necessity of the execution of mortgages, security agreements, pledge agreements or other agreements, take all action that may be necessary or desirable to maintain the validity, perfection, enforceability and priority of the security interest and Liens</w:t>
      </w:r>
      <w:r>
        <w:rPr>
          <w:rFonts w:ascii="Arial" w:cs="Arial" w:eastAsia="Arial" w:hAnsi="Arial"/>
          <w:sz w:val="18"/>
          <w:szCs w:val="18"/>
          <w:color w:val="0000FF"/>
        </w:rPr>
        <w:t xml:space="preserve"> </w:t>
      </w:r>
      <w:r>
        <w:rPr>
          <w:rFonts w:ascii="Arial" w:cs="Arial" w:eastAsia="Arial" w:hAnsi="Arial"/>
          <w:sz w:val="18"/>
          <w:szCs w:val="18"/>
          <w:color w:val="000000"/>
        </w:rPr>
        <w:t>of the Collateral</w:t>
      </w:r>
      <w:r>
        <w:rPr>
          <w:rFonts w:ascii="Arial" w:cs="Arial" w:eastAsia="Arial" w:hAnsi="Arial"/>
          <w:sz w:val="18"/>
          <w:szCs w:val="18"/>
          <w:color w:val="0000FF"/>
        </w:rPr>
        <w:t xml:space="preserve"> </w:t>
      </w:r>
      <w:r>
        <w:rPr>
          <w:rFonts w:ascii="Arial" w:cs="Arial" w:eastAsia="Arial" w:hAnsi="Arial"/>
          <w:sz w:val="18"/>
          <w:szCs w:val="18"/>
          <w:color w:val="FF0000"/>
          <w:strike w:val="1"/>
        </w:rPr>
        <w:t>Documents,</w:t>
      </w:r>
      <w:r>
        <w:rPr>
          <w:rFonts w:ascii="Arial" w:cs="Arial" w:eastAsia="Arial" w:hAnsi="Arial"/>
          <w:sz w:val="18"/>
          <w:szCs w:val="18"/>
          <w:u w:val="single" w:color="auto"/>
          <w:color w:val="0000FF"/>
          <w:strike w:val="1"/>
        </w:rPr>
        <w:t>Agent in the Collateral, or to enable the Collateral Agent to protect, exercise or enforce its rights hereunder, under the DIP Order and in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Collateral and (iii)</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-1365885</wp:posOffset>
            </wp:positionV>
            <wp:extent cx="68580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-680085</wp:posOffset>
            </wp:positionV>
            <wp:extent cx="318897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3188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-542925</wp:posOffset>
            </wp:positionV>
            <wp:extent cx="675513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-405765</wp:posOffset>
            </wp:positionV>
            <wp:extent cx="690054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-268605</wp:posOffset>
            </wp:positionV>
            <wp:extent cx="595757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595757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-131445</wp:posOffset>
            </wp:positionV>
            <wp:extent cx="636079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84010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256" w:name="page257"/>
    <w:bookmarkEnd w:id="256"/>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 acknowledge, deliver, record, re-record, file, re-file, register and re-register any and all such further acts, deeds, certificates, assurances and other instruments as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the Administrative Agent or the Collateral Agent may reasonably request from time to time in order to carry out more effectively the purposes of the Loan Documents and to cause the Collateral and Guarantee Requirement to be and remain satisfied. If the </w:t>
      </w:r>
      <w:r>
        <w:rPr>
          <w:rFonts w:ascii="Arial" w:cs="Arial" w:eastAsia="Arial" w:hAnsi="Arial"/>
          <w:sz w:val="18"/>
          <w:szCs w:val="18"/>
          <w:color w:val="FF0000"/>
          <w:strike w:val="1"/>
        </w:rPr>
        <w:t>Required</w:t>
      </w:r>
      <w:r>
        <w:rPr>
          <w:rFonts w:ascii="Arial" w:cs="Arial" w:eastAsia="Arial" w:hAnsi="Arial"/>
          <w:sz w:val="18"/>
          <w:szCs w:val="18"/>
          <w:color w:val="FF0000"/>
        </w:rPr>
        <w:t xml:space="preserve"> </w:t>
      </w:r>
      <w:r>
        <w:rPr>
          <w:rFonts w:ascii="Arial" w:cs="Arial" w:eastAsia="Arial" w:hAnsi="Arial"/>
          <w:sz w:val="18"/>
          <w:szCs w:val="18"/>
          <w:color w:val="000000"/>
        </w:rPr>
        <w:t>Lenders,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color w:val="000000"/>
        </w:rPr>
        <w:t>Administrative Agent or the Collateral Agent reasonably determines that it is required by applicable Law to have appraisals</w:t>
      </w:r>
      <w:r>
        <w:rPr>
          <w:rFonts w:ascii="Arial" w:cs="Arial" w:eastAsia="Arial" w:hAnsi="Arial"/>
          <w:sz w:val="18"/>
          <w:szCs w:val="18"/>
          <w:color w:val="FF0000"/>
        </w:rPr>
        <w:t xml:space="preserve"> </w:t>
      </w:r>
      <w:r>
        <w:rPr>
          <w:rFonts w:ascii="Arial" w:cs="Arial" w:eastAsia="Arial" w:hAnsi="Arial"/>
          <w:sz w:val="18"/>
          <w:szCs w:val="18"/>
          <w:color w:val="000000"/>
        </w:rPr>
        <w:t xml:space="preserve">prepared in respect of any Material Real Property of any Loan Party subject to a Mortgage, the Borrower shall cooperate with the </w:t>
      </w:r>
      <w:r>
        <w:rPr>
          <w:rFonts w:ascii="Arial" w:cs="Arial" w:eastAsia="Arial" w:hAnsi="Arial"/>
          <w:sz w:val="18"/>
          <w:szCs w:val="18"/>
          <w:color w:val="FF0000"/>
          <w:strike w:val="1"/>
        </w:rPr>
        <w:t>Required</w:t>
      </w:r>
      <w:r>
        <w:rPr>
          <w:rFonts w:ascii="Arial" w:cs="Arial" w:eastAsia="Arial" w:hAnsi="Arial"/>
          <w:sz w:val="18"/>
          <w:szCs w:val="18"/>
          <w:color w:val="000000"/>
        </w:rPr>
        <w:t xml:space="preserve"> Lenders, Administrative Agent and/or Collateral Agent, as applicable, in obtaining such appraisals and shall pay all reasonable out-of-pocket costs and expenses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-407035</wp:posOffset>
            </wp:positionV>
            <wp:extent cx="16256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6"/>
          <w:szCs w:val="16"/>
          <w:color w:val="FF0000"/>
          <w:strike w:val="1"/>
        </w:rPr>
        <w:t>(c) In connection with Amendment No. 3</w:t>
      </w:r>
      <w:r>
        <w:rPr>
          <w:rFonts w:ascii="Arial" w:cs="Arial" w:eastAsia="Arial" w:hAnsi="Arial"/>
          <w:sz w:val="16"/>
          <w:szCs w:val="16"/>
          <w:color w:val="008000"/>
          <w:strike w:val="1"/>
        </w:rPr>
        <w:t>, each of the Loan Parties</w:t>
      </w:r>
      <w:r>
        <w:rPr>
          <w:rFonts w:ascii="Arial" w:cs="Arial" w:eastAsia="Arial" w:hAnsi="Arial"/>
          <w:sz w:val="16"/>
          <w:szCs w:val="16"/>
          <w:color w:val="FF0000"/>
          <w:strike w:val="1"/>
        </w:rPr>
        <w:t xml:space="preserve"> shall satisfy the requirements set forth below prior to the dates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below:</w:t>
      </w:r>
    </w:p>
    <w:p>
      <w:pPr>
        <w:spacing w:after="0" w:line="103" w:lineRule="exact"/>
        <w:rPr>
          <w:sz w:val="20"/>
          <w:szCs w:val="20"/>
          <w:color w:val="auto"/>
        </w:rPr>
      </w:pPr>
    </w:p>
    <w:p>
      <w:pPr>
        <w:ind w:firstLine="436"/>
        <w:spacing w:after="0" w:line="269" w:lineRule="auto"/>
        <w:tabs>
          <w:tab w:leader="none" w:pos="685" w:val="left"/>
        </w:tabs>
        <w:numPr>
          <w:ilvl w:val="0"/>
          <w:numId w:val="179"/>
        </w:numPr>
        <w:rPr>
          <w:rFonts w:ascii="Arial" w:cs="Arial" w:eastAsia="Arial" w:hAnsi="Arial"/>
          <w:sz w:val="17"/>
          <w:szCs w:val="17"/>
          <w:u w:val="single" w:color="auto"/>
          <w:color w:val="0000FF"/>
        </w:rPr>
      </w:pPr>
      <w:r>
        <w:rPr>
          <w:rFonts w:ascii="Arial" w:cs="Arial" w:eastAsia="Arial" w:hAnsi="Arial"/>
          <w:sz w:val="17"/>
          <w:szCs w:val="17"/>
          <w:color w:val="FF0000"/>
          <w:strike w:val="1"/>
        </w:rPr>
        <w:t>(i) on or prior to July 12, 2023 (or such later date as may be agreed in writing by the Required Lenders in their sole and absolute discretion (which may be via e-mail)) (the “</w:t>
      </w:r>
      <w:r>
        <w:rPr>
          <w:rFonts w:ascii="Arial" w:cs="Arial" w:eastAsia="Arial" w:hAnsi="Arial"/>
          <w:sz w:val="17"/>
          <w:szCs w:val="17"/>
          <w:b w:val="1"/>
          <w:bCs w:val="1"/>
          <w:color w:val="FF0000"/>
          <w:strike w:val="1"/>
        </w:rPr>
        <w:t>Operational Advisor Appointment Date</w:t>
      </w:r>
      <w:r>
        <w:rPr>
          <w:rFonts w:ascii="Arial" w:cs="Arial" w:eastAsia="Arial" w:hAnsi="Arial"/>
          <w:sz w:val="17"/>
          <w:szCs w:val="17"/>
          <w:color w:val="FF0000"/>
          <w:strike w:val="1"/>
        </w:rPr>
        <w:t>”), the Borrower shall appoint an Operational Advisor and deliver to the Required Lenders a duly executed copy of the engagement letter with respect to such Operational Advisor, which letter shall be in form and substance reasonably satisfactory to the Required Lenders. From and after the Operational Advisor Appointment Date, the Borrower shall continue</w:t>
      </w:r>
      <w:r>
        <w:rPr>
          <w:rFonts w:ascii="Arial" w:cs="Arial" w:eastAsia="Arial" w:hAnsi="Arial"/>
          <w:sz w:val="17"/>
          <w:szCs w:val="17"/>
          <w:u w:val="single" w:color="auto"/>
          <w:color w:val="0000FF"/>
          <w:strike w:val="1"/>
        </w:rPr>
        <w:t>At all times</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engage, at the cost of the Borrower, the Operational Advisor for financial planning and analysis services, including assistance in preparation of cash flow forecasting and budget variance reporting under this Agreement </w:t>
      </w:r>
      <w:r>
        <w:rPr>
          <w:rFonts w:ascii="Arial" w:cs="Arial" w:eastAsia="Arial" w:hAnsi="Arial"/>
          <w:sz w:val="17"/>
          <w:szCs w:val="17"/>
          <w:u w:val="single" w:color="auto"/>
          <w:color w:val="0000FF"/>
          <w:strike w:val="1"/>
        </w:rPr>
        <w:t>pursuant to an engagement letter</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000"/>
          <w:strike w:val="1"/>
        </w:rPr>
        <w:t>in form and substance reasonably satisfactory to the</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Lenders (it being agreed that the engagement letter in effect on the Postpetition B-2 Facility Closing Date is reasonably satisfactory)</w:t>
      </w:r>
      <w:r>
        <w:rPr>
          <w:rFonts w:ascii="Arial" w:cs="Arial" w:eastAsia="Arial" w:hAnsi="Arial"/>
          <w:sz w:val="17"/>
          <w:szCs w:val="17"/>
          <w:color w:val="000000"/>
          <w:strike w:val="1"/>
        </w:rPr>
        <w:t>;</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00"/>
          <w:strike w:val="1"/>
        </w:rPr>
        <w:t>provided</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that, if</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for any reason the Operational Advisor becomes unavailable or unable to perform its duties under this Agreement, the Borrower shall have </w:t>
      </w:r>
      <w:r>
        <w:rPr>
          <w:rFonts w:ascii="Arial" w:cs="Arial" w:eastAsia="Arial" w:hAnsi="Arial"/>
          <w:sz w:val="17"/>
          <w:szCs w:val="17"/>
          <w:color w:val="FF0000"/>
          <w:strike w:val="1"/>
        </w:rPr>
        <w:t>seven</w:t>
      </w:r>
      <w:r>
        <w:rPr>
          <w:rFonts w:ascii="Arial" w:cs="Arial" w:eastAsia="Arial" w:hAnsi="Arial"/>
          <w:sz w:val="17"/>
          <w:szCs w:val="17"/>
          <w:u w:val="single" w:color="auto"/>
          <w:color w:val="0000FF"/>
          <w:strike w:val="1"/>
        </w:rPr>
        <w:t>five</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7</w:t>
      </w:r>
      <w:r>
        <w:rPr>
          <w:rFonts w:ascii="Arial" w:cs="Arial" w:eastAsia="Arial" w:hAnsi="Arial"/>
          <w:sz w:val="17"/>
          <w:szCs w:val="17"/>
          <w:u w:val="single" w:color="auto"/>
          <w:color w:val="0000FF"/>
          <w:strike w:val="1"/>
        </w:rPr>
        <w:t>5</w:t>
      </w:r>
      <w:r>
        <w:rPr>
          <w:rFonts w:ascii="Arial" w:cs="Arial" w:eastAsia="Arial" w:hAnsi="Arial"/>
          <w:sz w:val="17"/>
          <w:szCs w:val="17"/>
          <w:color w:val="000000"/>
          <w:strike w:val="1"/>
        </w:rPr>
        <w:t xml:space="preserve">) days (or such longer timeframe as the </w:t>
      </w:r>
      <w:r>
        <w:rPr>
          <w:rFonts w:ascii="Arial" w:cs="Arial" w:eastAsia="Arial" w:hAnsi="Arial"/>
          <w:sz w:val="17"/>
          <w:szCs w:val="17"/>
          <w:color w:val="FF0000"/>
          <w:strike w:val="1"/>
        </w:rPr>
        <w:t>Required</w:t>
      </w:r>
      <w:r>
        <w:rPr>
          <w:rFonts w:ascii="Arial" w:cs="Arial" w:eastAsia="Arial" w:hAnsi="Arial"/>
          <w:sz w:val="17"/>
          <w:szCs w:val="17"/>
          <w:color w:val="000000"/>
          <w:strike w:val="1"/>
        </w:rPr>
        <w:t xml:space="preserve"> Lenders may agree in its sole discretion) to replace the Operational Advisor in accordance with the terms of this Agreement</w:t>
      </w:r>
      <w:r>
        <w:rPr>
          <w:rFonts w:ascii="Arial" w:cs="Arial" w:eastAsia="Arial" w:hAnsi="Arial"/>
          <w:sz w:val="17"/>
          <w:szCs w:val="17"/>
          <w:color w:val="FF0000"/>
          <w:strike w:val="1"/>
        </w:rPr>
        <w:t>;</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w:t>
      </w:r>
    </w:p>
    <w:p>
      <w:pPr>
        <w:spacing w:after="0" w:line="77" w:lineRule="exact"/>
        <w:rPr>
          <w:rFonts w:ascii="Arial" w:cs="Arial" w:eastAsia="Arial" w:hAnsi="Arial"/>
          <w:sz w:val="17"/>
          <w:szCs w:val="17"/>
          <w:u w:val="single" w:color="auto"/>
          <w:color w:val="0000FF"/>
        </w:rPr>
      </w:pPr>
    </w:p>
    <w:p>
      <w:pPr>
        <w:ind w:left="440" w:right="100" w:firstLine="419"/>
        <w:spacing w:after="0" w:line="275" w:lineRule="auto"/>
        <w:tabs>
          <w:tab w:leader="none" w:pos="1128" w:val="left"/>
        </w:tabs>
        <w:numPr>
          <w:ilvl w:val="1"/>
          <w:numId w:val="179"/>
        </w:numPr>
        <w:rPr>
          <w:rFonts w:ascii="Arial" w:cs="Arial" w:eastAsia="Arial" w:hAnsi="Arial"/>
          <w:sz w:val="17"/>
          <w:szCs w:val="17"/>
          <w:color w:val="FF0000"/>
          <w:strike w:val="1"/>
        </w:rPr>
      </w:pPr>
      <w:r>
        <w:rPr>
          <w:rFonts w:ascii="Arial" w:cs="Arial" w:eastAsia="Arial" w:hAnsi="Arial"/>
          <w:sz w:val="17"/>
          <w:szCs w:val="17"/>
          <w:color w:val="FF0000"/>
          <w:strike w:val="1"/>
        </w:rPr>
        <w:t>on or prior to July 21, 2023 (or such later date as may be agreed in writing by the Required Lenders in their sole and absolute discretion (which may be via e-mail)), the Loan Parties shall have delivered to the Administrative Agent and the Required Lenders a Perfection Certificate</w:t>
      </w:r>
      <w:r>
        <w:rPr>
          <w:rFonts w:ascii="Arial" w:cs="Arial" w:eastAsia="Arial" w:hAnsi="Arial"/>
          <w:sz w:val="17"/>
          <w:szCs w:val="17"/>
          <w:color w:val="008000"/>
          <w:strike w:val="1"/>
        </w:rPr>
        <w:t>,</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dated as of the Amendment No. </w:t>
      </w:r>
      <w:r>
        <w:rPr>
          <w:rFonts w:ascii="Arial" w:cs="Arial" w:eastAsia="Arial" w:hAnsi="Arial"/>
          <w:sz w:val="17"/>
          <w:szCs w:val="17"/>
          <w:color w:val="FF0000"/>
          <w:strike w:val="1"/>
        </w:rPr>
        <w:t>3 Closing Date, duly executed by a Responsible Officer of the Borrower, which shall include or be accompanied</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by, with respect to any Rolling Stock of any Loan Party, such information as the Required Lenders may reasonably request, including the type/make of such Rolling Stock and the state in which such Rolling Stock is registered; and</w:t>
      </w:r>
    </w:p>
    <w:p>
      <w:pPr>
        <w:spacing w:after="0" w:line="68" w:lineRule="exact"/>
        <w:rPr>
          <w:rFonts w:ascii="Arial" w:cs="Arial" w:eastAsia="Arial" w:hAnsi="Arial"/>
          <w:sz w:val="17"/>
          <w:szCs w:val="17"/>
          <w:color w:val="FF0000"/>
          <w:strike w:val="1"/>
        </w:rPr>
      </w:pPr>
    </w:p>
    <w:p>
      <w:pPr>
        <w:ind w:left="1180" w:hanging="321"/>
        <w:spacing w:after="0"/>
        <w:tabs>
          <w:tab w:leader="none" w:pos="1180" w:val="left"/>
        </w:tabs>
        <w:numPr>
          <w:ilvl w:val="1"/>
          <w:numId w:val="179"/>
        </w:numPr>
        <w:rPr>
          <w:rFonts w:ascii="Arial" w:cs="Arial" w:eastAsia="Arial" w:hAnsi="Arial"/>
          <w:sz w:val="17"/>
          <w:szCs w:val="17"/>
          <w:color w:val="FF0000"/>
          <w:strike w:val="1"/>
        </w:rPr>
      </w:pPr>
      <w:r>
        <w:rPr>
          <w:rFonts w:ascii="Arial" w:cs="Arial" w:eastAsia="Arial" w:hAnsi="Arial"/>
          <w:sz w:val="17"/>
          <w:szCs w:val="17"/>
          <w:color w:val="FF0000"/>
          <w:strike w:val="1"/>
        </w:rPr>
        <w:t>on or prior to two (2) Business Days prior to consummation of the Compton Sale (and in any event, not later than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-2163445</wp:posOffset>
            </wp:positionV>
            <wp:extent cx="120015"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-1751965</wp:posOffset>
            </wp:positionV>
            <wp:extent cx="53149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-1477645</wp:posOffset>
            </wp:positionV>
            <wp:extent cx="3891915"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389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-1340485</wp:posOffset>
            </wp:positionV>
            <wp:extent cx="604329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-1203325</wp:posOffset>
            </wp:positionV>
            <wp:extent cx="17970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-1066165</wp:posOffset>
            </wp:positionV>
            <wp:extent cx="6032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-929005</wp:posOffset>
            </wp:positionV>
            <wp:extent cx="342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 w:lineRule="exact"/>
        <w:rPr>
          <w:sz w:val="20"/>
          <w:szCs w:val="20"/>
          <w:color w:val="auto"/>
        </w:rPr>
      </w:pPr>
    </w:p>
    <w:p>
      <w:pPr>
        <w:ind w:left="440"/>
        <w:spacing w:after="0" w:line="290" w:lineRule="auto"/>
        <w:rPr>
          <w:sz w:val="20"/>
          <w:szCs w:val="20"/>
          <w:color w:val="auto"/>
        </w:rPr>
      </w:pPr>
      <w:r>
        <w:rPr>
          <w:rFonts w:ascii="Arial" w:cs="Arial" w:eastAsia="Arial" w:hAnsi="Arial"/>
          <w:sz w:val="16"/>
          <w:szCs w:val="16"/>
          <w:color w:val="FF0000"/>
          <w:strike w:val="1"/>
        </w:rPr>
        <w:t xml:space="preserve">(2nd) Business Day after the Amendment No. 3 Closing Date (or such shorter timeframe as agreed in writing by the Required Lenders in their sole and absolute discretion (which may be via e-mail)), the Loan Parties shall have provided to the Required Lenders reasonably satisfactory evidence of delivery by USF Reddaway Inc. to Chicago Title Insurance Company of an irrevocable letter of direction or settlement statement, as applicable, instructing it to wire all Net Proceeds of the Compton Sale to a deposit account designated by the Administrative Agent, for application to the prepayment of the Term Loans, which irrevocable direction letter or settlement statement, as applicable, </w:t>
      </w:r>
      <w:r>
        <w:rPr>
          <w:rFonts w:ascii="Arial" w:cs="Arial" w:eastAsia="Arial" w:hAnsi="Arial"/>
          <w:sz w:val="16"/>
          <w:szCs w:val="16"/>
          <w:color w:val="008000"/>
          <w:strike w:val="1"/>
        </w:rPr>
        <w:t>shall be in form and substance</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satisfactory to the </w:t>
      </w:r>
      <w:r>
        <w:rPr>
          <w:rFonts w:ascii="Arial" w:cs="Arial" w:eastAsia="Arial" w:hAnsi="Arial"/>
          <w:sz w:val="16"/>
          <w:szCs w:val="16"/>
          <w:color w:val="FF0000"/>
          <w:strike w:val="1"/>
        </w:rPr>
        <w:t>Required Lenders and the Administrative Agent (in their respective sole discretions).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Section 6.14</w:t>
      </w:r>
      <w:r>
        <w:rPr>
          <w:rFonts w:ascii="Arial" w:cs="Arial" w:eastAsia="Arial" w:hAnsi="Arial"/>
          <w:sz w:val="18"/>
          <w:szCs w:val="18"/>
          <w:color w:val="0000FF"/>
        </w:rPr>
        <w:t xml:space="preserve"> </w:t>
      </w:r>
      <w:r>
        <w:rPr>
          <w:rFonts w:ascii="Arial" w:cs="Arial" w:eastAsia="Arial" w:hAnsi="Arial"/>
          <w:sz w:val="18"/>
          <w:szCs w:val="18"/>
          <w:color w:val="FF0000"/>
          <w:strike w:val="1"/>
        </w:rPr>
        <w:t>Section 6.14.</w:t>
      </w:r>
      <w:r>
        <w:rPr>
          <w:rFonts w:ascii="Arial" w:cs="Arial" w:eastAsia="Arial" w:hAnsi="Arial"/>
          <w:sz w:val="18"/>
          <w:szCs w:val="18"/>
          <w:color w:val="0000FF"/>
        </w:rPr>
        <w:t xml:space="preserve"> </w:t>
      </w:r>
      <w:r>
        <w:rPr>
          <w:rFonts w:ascii="Arial" w:cs="Arial" w:eastAsia="Arial" w:hAnsi="Arial"/>
          <w:sz w:val="18"/>
          <w:szCs w:val="18"/>
          <w:i w:val="1"/>
          <w:iCs w:val="1"/>
          <w:color w:val="000000"/>
        </w:rPr>
        <w:t>Lender Calls</w:t>
      </w:r>
      <w:r>
        <w:rPr>
          <w:rFonts w:ascii="Arial" w:cs="Arial" w:eastAsia="Arial" w:hAnsi="Arial"/>
          <w:sz w:val="18"/>
          <w:szCs w:val="18"/>
          <w:u w:val="single" w:color="auto"/>
          <w:color w:val="0000FF"/>
        </w:rPr>
        <w:t>; Access; Diligence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7404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23495</wp:posOffset>
            </wp:positionV>
            <wp:extent cx="136271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257" w:name="page258"/>
    <w:bookmarkEnd w:id="257"/>
    <w:p>
      <w:pPr>
        <w:ind w:firstLine="436"/>
        <w:spacing w:after="0" w:line="288" w:lineRule="auto"/>
        <w:tabs>
          <w:tab w:leader="none" w:pos="685" w:val="left"/>
        </w:tabs>
        <w:numPr>
          <w:ilvl w:val="0"/>
          <w:numId w:val="180"/>
        </w:numPr>
        <w:rPr>
          <w:rFonts w:ascii="Arial" w:cs="Arial" w:eastAsia="Arial" w:hAnsi="Arial"/>
          <w:sz w:val="16"/>
          <w:szCs w:val="16"/>
          <w:u w:val="single" w:color="auto"/>
          <w:color w:val="0000FF"/>
        </w:rPr>
      </w:pPr>
      <w:r>
        <w:rPr>
          <w:rFonts w:ascii="Arial" w:cs="Arial" w:eastAsia="Arial" w:hAnsi="Arial"/>
          <w:sz w:val="16"/>
          <w:szCs w:val="16"/>
          <w:i w:val="1"/>
          <w:i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FF0000"/>
        </w:rPr>
        <w:t xml:space="preserve"> </w:t>
      </w:r>
      <w:r>
        <w:rPr>
          <w:rFonts w:ascii="Arial" w:cs="Arial" w:eastAsia="Arial" w:hAnsi="Arial"/>
          <w:sz w:val="16"/>
          <w:szCs w:val="16"/>
          <w:color w:val="000000"/>
        </w:rPr>
        <w:t>The Borrower shall</w:t>
      </w:r>
      <w:r>
        <w:rPr>
          <w:rFonts w:ascii="Arial" w:cs="Arial" w:eastAsia="Arial" w:hAnsi="Arial"/>
          <w:sz w:val="16"/>
          <w:szCs w:val="16"/>
          <w:i w:val="1"/>
          <w:iCs w:val="1"/>
          <w:color w:val="FF0000"/>
        </w:rPr>
        <w:t xml:space="preserve"> </w:t>
      </w:r>
      <w:r>
        <w:rPr>
          <w:rFonts w:ascii="Arial" w:cs="Arial" w:eastAsia="Arial" w:hAnsi="Arial"/>
          <w:sz w:val="16"/>
          <w:szCs w:val="16"/>
          <w:color w:val="FF0000"/>
        </w:rPr>
        <w:t>(i) cause</w:t>
      </w:r>
      <w:r>
        <w:rPr>
          <w:rFonts w:ascii="Arial" w:cs="Arial" w:eastAsia="Arial" w:hAnsi="Arial"/>
          <w:sz w:val="16"/>
          <w:szCs w:val="16"/>
          <w:u w:val="single" w:color="auto"/>
          <w:color w:val="0000FF"/>
        </w:rPr>
        <w:t>, and shall cause the other Loan Parties to, make the members of its senior management and its professional</w:t>
      </w:r>
      <w:r>
        <w:rPr>
          <w:rFonts w:ascii="Arial" w:cs="Arial" w:eastAsia="Arial" w:hAnsi="Arial"/>
          <w:sz w:val="16"/>
          <w:szCs w:val="16"/>
          <w:i w:val="1"/>
          <w:iCs w:val="1"/>
          <w:color w:val="FF0000"/>
        </w:rPr>
        <w:t xml:space="preserve"> </w:t>
      </w:r>
      <w:r>
        <w:rPr>
          <w:rFonts w:ascii="Arial" w:cs="Arial" w:eastAsia="Arial" w:hAnsi="Arial"/>
          <w:sz w:val="16"/>
          <w:szCs w:val="16"/>
          <w:u w:val="single" w:color="auto"/>
          <w:color w:val="0000FF"/>
        </w:rPr>
        <w:t>advisors (including</w:t>
      </w:r>
      <w:r>
        <w:rPr>
          <w:rFonts w:ascii="Arial" w:cs="Arial" w:eastAsia="Arial" w:hAnsi="Arial"/>
          <w:sz w:val="16"/>
          <w:szCs w:val="16"/>
          <w:color w:val="0000FF"/>
        </w:rPr>
        <w:t xml:space="preserve"> </w:t>
      </w:r>
      <w:r>
        <w:rPr>
          <w:rFonts w:ascii="Arial" w:cs="Arial" w:eastAsia="Arial" w:hAnsi="Arial"/>
          <w:sz w:val="16"/>
          <w:szCs w:val="16"/>
          <w:color w:val="000000"/>
        </w:rPr>
        <w:t>the Operational Advisor</w:t>
      </w:r>
      <w:r>
        <w:rPr>
          <w:rFonts w:ascii="Arial" w:cs="Arial" w:eastAsia="Arial" w:hAnsi="Arial"/>
          <w:sz w:val="16"/>
          <w:szCs w:val="16"/>
          <w:color w:val="0000FF"/>
        </w:rPr>
        <w:t xml:space="preserve"> </w:t>
      </w:r>
      <w:r>
        <w:rPr>
          <w:rFonts w:ascii="Arial" w:cs="Arial" w:eastAsia="Arial" w:hAnsi="Arial"/>
          <w:sz w:val="16"/>
          <w:szCs w:val="16"/>
          <w:color w:val="FF0000"/>
          <w:strike w:val="1"/>
        </w:rPr>
        <w:t>(after the Operational Advisor Appointment Date) to be</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available for</w:t>
      </w:r>
      <w:r>
        <w:rPr>
          <w:rFonts w:ascii="Arial" w:cs="Arial" w:eastAsia="Arial" w:hAnsi="Arial"/>
          <w:sz w:val="16"/>
          <w:szCs w:val="16"/>
          <w:color w:val="0000FF"/>
        </w:rPr>
        <w:t xml:space="preserve"> </w:t>
      </w:r>
      <w:r>
        <w:rPr>
          <w:rFonts w:ascii="Arial" w:cs="Arial" w:eastAsia="Arial" w:hAnsi="Arial"/>
          <w:sz w:val="16"/>
          <w:szCs w:val="16"/>
          <w:color w:val="FF0000"/>
          <w:strike w:val="1"/>
        </w:rPr>
        <w:t>an</w:t>
      </w:r>
      <w:r>
        <w:rPr>
          <w:rFonts w:ascii="Arial" w:cs="Arial" w:eastAsia="Arial" w:hAnsi="Arial"/>
          <w:sz w:val="16"/>
          <w:szCs w:val="16"/>
          <w:color w:val="0000FF"/>
        </w:rPr>
        <w:t xml:space="preserve"> </w:t>
      </w:r>
      <w:r>
        <w:rPr>
          <w:rFonts w:ascii="Arial" w:cs="Arial" w:eastAsia="Arial" w:hAnsi="Arial"/>
          <w:sz w:val="16"/>
          <w:szCs w:val="16"/>
          <w:color w:val="000000"/>
        </w:rPr>
        <w:t>update call</w:t>
      </w:r>
      <w:r>
        <w:rPr>
          <w:rFonts w:ascii="Arial" w:cs="Arial" w:eastAsia="Arial" w:hAnsi="Arial"/>
          <w:sz w:val="16"/>
          <w:szCs w:val="16"/>
          <w:u w:val="single" w:color="auto"/>
          <w:color w:val="0000FF"/>
        </w:rPr>
        <w:t>s</w:t>
      </w:r>
      <w:r>
        <w:rPr>
          <w:rFonts w:ascii="Arial" w:cs="Arial" w:eastAsia="Arial" w:hAnsi="Arial"/>
          <w:sz w:val="16"/>
          <w:szCs w:val="16"/>
          <w:color w:val="0000FF"/>
        </w:rPr>
        <w:t xml:space="preserve"> </w:t>
      </w:r>
      <w:r>
        <w:rPr>
          <w:rFonts w:ascii="Arial" w:cs="Arial" w:eastAsia="Arial" w:hAnsi="Arial"/>
          <w:sz w:val="16"/>
          <w:szCs w:val="16"/>
          <w:color w:val="FF0000"/>
          <w:strike w:val="1"/>
        </w:rPr>
        <w:t>with the Lenders</w:t>
      </w:r>
      <w:r>
        <w:rPr>
          <w:rFonts w:ascii="Arial" w:cs="Arial" w:eastAsia="Arial" w:hAnsi="Arial"/>
          <w:sz w:val="16"/>
          <w:szCs w:val="16"/>
          <w:color w:val="0000FF"/>
        </w:rPr>
        <w:t xml:space="preserve"> </w:t>
      </w:r>
      <w:r>
        <w:rPr>
          <w:rFonts w:ascii="Arial" w:cs="Arial" w:eastAsia="Arial" w:hAnsi="Arial"/>
          <w:sz w:val="16"/>
          <w:szCs w:val="16"/>
          <w:color w:val="FF0000"/>
          <w:strike w:val="1"/>
        </w:rPr>
        <w:t>each</w:t>
      </w:r>
      <w:r>
        <w:rPr>
          <w:rFonts w:ascii="Arial" w:cs="Arial" w:eastAsia="Arial" w:hAnsi="Arial"/>
          <w:sz w:val="16"/>
          <w:szCs w:val="16"/>
          <w:u w:val="single" w:color="auto"/>
          <w:color w:val="0000FF"/>
        </w:rPr>
        <w:t>at least once per</w:t>
      </w:r>
      <w:r>
        <w:rPr>
          <w:rFonts w:ascii="Arial" w:cs="Arial" w:eastAsia="Arial" w:hAnsi="Arial"/>
          <w:sz w:val="16"/>
          <w:szCs w:val="16"/>
          <w:color w:val="FF0000"/>
        </w:rPr>
        <w:t xml:space="preserve"> </w:t>
      </w:r>
      <w:r>
        <w:rPr>
          <w:rFonts w:ascii="Arial" w:cs="Arial" w:eastAsia="Arial" w:hAnsi="Arial"/>
          <w:sz w:val="16"/>
          <w:szCs w:val="16"/>
          <w:color w:val="000000"/>
        </w:rPr>
        <w:t>calendar week</w:t>
      </w:r>
      <w:r>
        <w:rPr>
          <w:rFonts w:ascii="Arial" w:cs="Arial" w:eastAsia="Arial" w:hAnsi="Arial"/>
          <w:sz w:val="16"/>
          <w:szCs w:val="16"/>
          <w:color w:val="FF0000"/>
        </w:rPr>
        <w:t xml:space="preserve"> </w:t>
      </w:r>
      <w:r>
        <w:rPr>
          <w:rFonts w:ascii="Arial" w:cs="Arial" w:eastAsia="Arial" w:hAnsi="Arial"/>
          <w:sz w:val="16"/>
          <w:szCs w:val="16"/>
          <w:color w:val="FF0000"/>
          <w:strike w:val="1"/>
        </w:rPr>
        <w:t>and</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color w:val="FF0000"/>
          <w:strike w:val="1"/>
        </w:rPr>
        <w:t>ii) provide for an update call, each month,</w:t>
      </w:r>
      <w:r>
        <w:rPr>
          <w:rFonts w:ascii="Arial" w:cs="Arial" w:eastAsia="Arial" w:hAnsi="Arial"/>
          <w:sz w:val="16"/>
          <w:szCs w:val="16"/>
          <w:u w:val="single" w:color="auto"/>
          <w:color w:val="0000FF"/>
        </w:rPr>
        <w:t>unless the Lenders request a lesser frequency)</w:t>
      </w:r>
      <w:r>
        <w:rPr>
          <w:rFonts w:ascii="Arial" w:cs="Arial" w:eastAsia="Arial" w:hAnsi="Arial"/>
          <w:sz w:val="16"/>
          <w:szCs w:val="16"/>
          <w:color w:val="FF0000"/>
        </w:rPr>
        <w:t xml:space="preserve"> </w:t>
      </w:r>
      <w:r>
        <w:rPr>
          <w:rFonts w:ascii="Arial" w:cs="Arial" w:eastAsia="Arial" w:hAnsi="Arial"/>
          <w:sz w:val="16"/>
          <w:szCs w:val="16"/>
          <w:color w:val="000000"/>
        </w:rPr>
        <w:t>with the Lenders and</w:t>
      </w:r>
      <w:r>
        <w:rPr>
          <w:rFonts w:ascii="Arial" w:cs="Arial" w:eastAsia="Arial" w:hAnsi="Arial"/>
          <w:sz w:val="16"/>
          <w:szCs w:val="16"/>
          <w:color w:val="FF0000"/>
        </w:rPr>
        <w:t xml:space="preserve"> </w:t>
      </w:r>
      <w:r>
        <w:rPr>
          <w:rFonts w:ascii="Arial" w:cs="Arial" w:eastAsia="Arial" w:hAnsi="Arial"/>
          <w:sz w:val="16"/>
          <w:szCs w:val="16"/>
          <w:color w:val="FF0000"/>
          <w:strike w:val="1"/>
        </w:rPr>
        <w:t>senior management of the Borrower with appropriate expertise, in each case of the clauses (i) and (ii)</w:t>
      </w:r>
      <w:r>
        <w:rPr>
          <w:rFonts w:ascii="Arial" w:cs="Arial" w:eastAsia="Arial" w:hAnsi="Arial"/>
          <w:sz w:val="16"/>
          <w:szCs w:val="16"/>
          <w:color w:val="FF0000"/>
        </w:rPr>
        <w:t xml:space="preserve"> </w:t>
      </w:r>
      <w:r>
        <w:rPr>
          <w:rFonts w:ascii="Arial" w:cs="Arial" w:eastAsia="Arial" w:hAnsi="Arial"/>
          <w:sz w:val="16"/>
          <w:szCs w:val="16"/>
          <w:color w:val="0000FF"/>
        </w:rPr>
        <w:t>the Lenders’ respective professional advisors</w:t>
      </w:r>
      <w:r>
        <w:rPr>
          <w:rFonts w:ascii="Arial" w:cs="Arial" w:eastAsia="Arial" w:hAnsi="Arial"/>
          <w:sz w:val="16"/>
          <w:szCs w:val="16"/>
          <w:color w:val="000000"/>
        </w:rPr>
        <w:t>, at</w:t>
      </w:r>
      <w:r>
        <w:rPr>
          <w:rFonts w:ascii="Arial" w:cs="Arial" w:eastAsia="Arial" w:hAnsi="Arial"/>
          <w:sz w:val="16"/>
          <w:szCs w:val="16"/>
          <w:color w:val="FF0000"/>
        </w:rPr>
        <w:t xml:space="preserve"> </w:t>
      </w:r>
      <w:r>
        <w:rPr>
          <w:rFonts w:ascii="Arial" w:cs="Arial" w:eastAsia="Arial" w:hAnsi="Arial"/>
          <w:sz w:val="16"/>
          <w:szCs w:val="16"/>
          <w:color w:val="000000"/>
        </w:rPr>
        <w:t xml:space="preserve">times reasonably acceptable to the </w:t>
      </w:r>
      <w:r>
        <w:rPr>
          <w:rFonts w:ascii="Arial" w:cs="Arial" w:eastAsia="Arial" w:hAnsi="Arial"/>
          <w:sz w:val="16"/>
          <w:szCs w:val="16"/>
          <w:color w:val="FF0000"/>
          <w:strike w:val="1"/>
        </w:rPr>
        <w:t>Required</w:t>
      </w:r>
      <w:r>
        <w:rPr>
          <w:rFonts w:ascii="Arial" w:cs="Arial" w:eastAsia="Arial" w:hAnsi="Arial"/>
          <w:sz w:val="16"/>
          <w:szCs w:val="16"/>
          <w:color w:val="000000"/>
        </w:rPr>
        <w:t xml:space="preserve"> Lenders </w:t>
      </w:r>
      <w:r>
        <w:rPr>
          <w:rFonts w:ascii="Arial" w:cs="Arial" w:eastAsia="Arial" w:hAnsi="Arial"/>
          <w:sz w:val="16"/>
          <w:szCs w:val="16"/>
          <w:color w:val="008000"/>
          <w:strike w:val="1"/>
        </w:rPr>
        <w:t>and, in the case of</w:t>
      </w:r>
      <w:r>
        <w:rPr>
          <w:rFonts w:ascii="Arial" w:cs="Arial" w:eastAsia="Arial" w:hAnsi="Arial"/>
          <w:sz w:val="16"/>
          <w:szCs w:val="16"/>
          <w:color w:val="000000"/>
        </w:rPr>
        <w:t xml:space="preserve"> </w:t>
      </w:r>
      <w:r>
        <w:rPr>
          <w:rFonts w:ascii="Arial" w:cs="Arial" w:eastAsia="Arial" w:hAnsi="Arial"/>
          <w:sz w:val="16"/>
          <w:szCs w:val="16"/>
          <w:color w:val="FF0000"/>
          <w:strike w:val="1"/>
        </w:rPr>
        <w:t>clause (i), the Operational Advisor</w:t>
      </w:r>
      <w:r>
        <w:rPr>
          <w:rFonts w:ascii="Arial" w:cs="Arial" w:eastAsia="Arial" w:hAnsi="Arial"/>
          <w:sz w:val="16"/>
          <w:szCs w:val="16"/>
          <w:color w:val="000000"/>
        </w:rPr>
        <w:t xml:space="preserve"> </w:t>
      </w:r>
      <w:r>
        <w:rPr>
          <w:rFonts w:ascii="Arial" w:cs="Arial" w:eastAsia="Arial" w:hAnsi="Arial"/>
          <w:sz w:val="16"/>
          <w:szCs w:val="16"/>
          <w:color w:val="008000"/>
          <w:strike w:val="1"/>
        </w:rPr>
        <w:t>and, in the case of</w:t>
      </w:r>
      <w:r>
        <w:rPr>
          <w:rFonts w:ascii="Arial" w:cs="Arial" w:eastAsia="Arial" w:hAnsi="Arial"/>
          <w:sz w:val="16"/>
          <w:szCs w:val="16"/>
          <w:color w:val="000000"/>
        </w:rPr>
        <w:t xml:space="preserve"> </w:t>
      </w:r>
      <w:r>
        <w:rPr>
          <w:rFonts w:ascii="Arial" w:cs="Arial" w:eastAsia="Arial" w:hAnsi="Arial"/>
          <w:sz w:val="16"/>
          <w:szCs w:val="16"/>
          <w:color w:val="FF0000"/>
          <w:strike w:val="1"/>
        </w:rPr>
        <w:t>clause (ii) the Borrower,</w:t>
      </w:r>
      <w:r>
        <w:rPr>
          <w:rFonts w:ascii="Arial" w:cs="Arial" w:eastAsia="Arial" w:hAnsi="Arial"/>
          <w:sz w:val="16"/>
          <w:szCs w:val="16"/>
          <w:color w:val="000000"/>
        </w:rPr>
        <w:t xml:space="preserve"> to discuss the </w:t>
      </w:r>
      <w:r>
        <w:rPr>
          <w:rFonts w:ascii="Arial" w:cs="Arial" w:eastAsia="Arial" w:hAnsi="Arial"/>
          <w:sz w:val="16"/>
          <w:szCs w:val="16"/>
          <w:color w:val="FF0000"/>
          <w:strike w:val="1"/>
        </w:rPr>
        <w:t>then current</w:t>
      </w:r>
      <w:r>
        <w:rPr>
          <w:rFonts w:ascii="Arial" w:cs="Arial" w:eastAsia="Arial" w:hAnsi="Arial"/>
          <w:sz w:val="16"/>
          <w:szCs w:val="16"/>
          <w:u w:val="single" w:color="auto"/>
          <w:color w:val="0000FF"/>
        </w:rPr>
        <w:t>Chapter 11 Cases and the Canadian Recognition Proceedings, the then-current</w:t>
      </w:r>
      <w:r>
        <w:rPr>
          <w:rFonts w:ascii="Arial" w:cs="Arial" w:eastAsia="Arial" w:hAnsi="Arial"/>
          <w:sz w:val="16"/>
          <w:szCs w:val="16"/>
          <w:color w:val="000000"/>
        </w:rPr>
        <w:t xml:space="preserve"> Approved Budget, the Budget Variance Reports, the Liquidity Reports, </w:t>
      </w:r>
      <w:r>
        <w:rPr>
          <w:rFonts w:ascii="Arial" w:cs="Arial" w:eastAsia="Arial" w:hAnsi="Arial"/>
          <w:sz w:val="16"/>
          <w:szCs w:val="16"/>
          <w:u w:val="single" w:color="auto"/>
          <w:color w:val="0000FF"/>
        </w:rPr>
        <w:t>Sale Reports,</w:t>
      </w:r>
      <w:r>
        <w:rPr>
          <w:rFonts w:ascii="Arial" w:cs="Arial" w:eastAsia="Arial" w:hAnsi="Arial"/>
          <w:sz w:val="16"/>
          <w:szCs w:val="16"/>
          <w:color w:val="000000"/>
        </w:rPr>
        <w:t xml:space="preserve"> other reporting delivered </w:t>
      </w:r>
      <w:r>
        <w:rPr>
          <w:rFonts w:ascii="Arial" w:cs="Arial" w:eastAsia="Arial" w:hAnsi="Arial"/>
          <w:sz w:val="16"/>
          <w:szCs w:val="16"/>
          <w:color w:val="FF0000"/>
          <w:strike w:val="1"/>
        </w:rPr>
        <w:t>pursuant to Section 6.02</w:t>
      </w:r>
      <w:r>
        <w:rPr>
          <w:rFonts w:ascii="Arial" w:cs="Arial" w:eastAsia="Arial" w:hAnsi="Arial"/>
          <w:sz w:val="16"/>
          <w:szCs w:val="16"/>
          <w:u w:val="single" w:color="auto"/>
          <w:color w:val="0000FF"/>
        </w:rPr>
        <w:t>hereunder</w:t>
      </w:r>
      <w:r>
        <w:rPr>
          <w:rFonts w:ascii="Arial" w:cs="Arial" w:eastAsia="Arial" w:hAnsi="Arial"/>
          <w:sz w:val="16"/>
          <w:szCs w:val="16"/>
          <w:color w:val="000000"/>
        </w:rPr>
        <w:t xml:space="preserve">, union matters, </w:t>
      </w:r>
      <w:r>
        <w:rPr>
          <w:rFonts w:ascii="Arial" w:cs="Arial" w:eastAsia="Arial" w:hAnsi="Arial"/>
          <w:sz w:val="16"/>
          <w:szCs w:val="16"/>
          <w:u w:val="single" w:color="auto"/>
          <w:color w:val="0000FF"/>
        </w:rPr>
        <w:t>the quantum of any obligations secured</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by the Canadian Priority Charges,</w:t>
      </w:r>
      <w:r>
        <w:rPr>
          <w:rFonts w:ascii="Arial" w:cs="Arial" w:eastAsia="Arial" w:hAnsi="Arial"/>
          <w:sz w:val="16"/>
          <w:szCs w:val="16"/>
          <w:color w:val="0000FF"/>
        </w:rPr>
        <w:t xml:space="preserve"> </w:t>
      </w:r>
      <w:r>
        <w:rPr>
          <w:rFonts w:ascii="Arial" w:cs="Arial" w:eastAsia="Arial" w:hAnsi="Arial"/>
          <w:sz w:val="16"/>
          <w:szCs w:val="16"/>
          <w:color w:val="000000"/>
        </w:rPr>
        <w:t>the status of any monetization strategies being pursued by the Borrower and its Subsidiaries, including</w:t>
      </w:r>
      <w:r>
        <w:rPr>
          <w:rFonts w:ascii="Arial" w:cs="Arial" w:eastAsia="Arial" w:hAnsi="Arial"/>
          <w:sz w:val="16"/>
          <w:szCs w:val="16"/>
          <w:color w:val="0000FF"/>
        </w:rPr>
        <w:t xml:space="preserve"> </w:t>
      </w:r>
      <w:r>
        <w:rPr>
          <w:rFonts w:ascii="Arial" w:cs="Arial" w:eastAsia="Arial" w:hAnsi="Arial"/>
          <w:sz w:val="16"/>
          <w:szCs w:val="16"/>
          <w:color w:val="008000"/>
          <w:strike w:val="1"/>
        </w:rPr>
        <w:t>an update on</w:t>
      </w:r>
      <w:r>
        <w:rPr>
          <w:rFonts w:ascii="Arial" w:cs="Arial" w:eastAsia="Arial" w:hAnsi="Arial"/>
          <w:sz w:val="16"/>
          <w:szCs w:val="16"/>
          <w:color w:val="0000FF"/>
        </w:rPr>
        <w:t xml:space="preserve"> </w:t>
      </w:r>
      <w:r>
        <w:rPr>
          <w:rFonts w:ascii="Arial" w:cs="Arial" w:eastAsia="Arial" w:hAnsi="Arial"/>
          <w:sz w:val="16"/>
          <w:szCs w:val="16"/>
          <w:color w:val="008000"/>
          <w:strike w:val="1"/>
        </w:rPr>
        <w:t>the status of the sale of each</w:t>
      </w:r>
      <w:r>
        <w:rPr>
          <w:rFonts w:ascii="Arial" w:cs="Arial" w:eastAsia="Arial" w:hAnsi="Arial"/>
          <w:sz w:val="16"/>
          <w:szCs w:val="16"/>
          <w:color w:val="008000"/>
        </w:rPr>
        <w:t xml:space="preserve"> </w:t>
      </w:r>
      <w:r>
        <w:rPr>
          <w:rFonts w:ascii="Arial" w:cs="Arial" w:eastAsia="Arial" w:hAnsi="Arial"/>
          <w:sz w:val="16"/>
          <w:szCs w:val="16"/>
          <w:color w:val="FF0000"/>
          <w:strike w:val="1"/>
        </w:rPr>
        <w:t>Specified Amendment No. 3 Real Property,</w:t>
      </w:r>
      <w:r>
        <w:rPr>
          <w:rFonts w:ascii="Arial" w:cs="Arial" w:eastAsia="Arial" w:hAnsi="Arial"/>
          <w:sz w:val="16"/>
          <w:szCs w:val="16"/>
          <w:u w:val="single" w:color="auto"/>
          <w:color w:val="0000FF"/>
        </w:rPr>
        <w:t>pursuant to the Bidding Procedures Order</w:t>
      </w:r>
      <w:r>
        <w:rPr>
          <w:rFonts w:ascii="Arial" w:cs="Arial" w:eastAsia="Arial" w:hAnsi="Arial"/>
          <w:sz w:val="16"/>
          <w:szCs w:val="16"/>
          <w:color w:val="000000"/>
        </w:rPr>
        <w:t>, and any other matters (including</w:t>
      </w:r>
      <w:r>
        <w:rPr>
          <w:rFonts w:ascii="Arial" w:cs="Arial" w:eastAsia="Arial" w:hAnsi="Arial"/>
          <w:sz w:val="16"/>
          <w:szCs w:val="16"/>
          <w:color w:val="008000"/>
        </w:rPr>
        <w:t xml:space="preserve"> </w:t>
      </w:r>
      <w:r>
        <w:rPr>
          <w:rFonts w:ascii="Arial" w:cs="Arial" w:eastAsia="Arial" w:hAnsi="Arial"/>
          <w:sz w:val="16"/>
          <w:szCs w:val="16"/>
          <w:color w:val="000000"/>
        </w:rPr>
        <w:t>business, operational and due diligence matters) reasonably requested by the Lenders.</w:t>
      </w:r>
    </w:p>
    <w:p>
      <w:pPr>
        <w:spacing w:after="0" w:line="168" w:lineRule="exact"/>
        <w:rPr>
          <w:rFonts w:ascii="Arial" w:cs="Arial" w:eastAsia="Arial" w:hAnsi="Arial"/>
          <w:sz w:val="16"/>
          <w:szCs w:val="16"/>
          <w:u w:val="single" w:color="auto"/>
          <w:color w:val="0000FF"/>
        </w:rPr>
      </w:pPr>
    </w:p>
    <w:p>
      <w:pPr>
        <w:ind w:right="140" w:firstLine="436"/>
        <w:spacing w:after="0" w:line="255" w:lineRule="auto"/>
        <w:tabs>
          <w:tab w:leader="none" w:pos="695" w:val="left"/>
        </w:tabs>
        <w:numPr>
          <w:ilvl w:val="0"/>
          <w:numId w:val="1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The Borrower shall, and shall cause the other Loan Parties to, make the members of its senior management and its professional advisors (including the Operational Advisor) available from time to time, at reasonable times, and during normal business hours, upon the reasonable request of the Lenders to provide, discuss, inform and/or confer on (i) the </w:t>
      </w:r>
      <w:r>
        <w:rPr>
          <w:rFonts w:ascii="Arial" w:cs="Arial" w:eastAsia="Arial" w:hAnsi="Arial"/>
          <w:sz w:val="18"/>
          <w:szCs w:val="18"/>
          <w:u w:val="single" w:color="auto"/>
          <w:color w:val="008000"/>
        </w:rPr>
        <w:t>matters described in clause (a)</w:t>
      </w:r>
      <w:r>
        <w:rPr>
          <w:rFonts w:ascii="Arial" w:cs="Arial" w:eastAsia="Arial" w:hAnsi="Arial"/>
          <w:sz w:val="18"/>
          <w:szCs w:val="18"/>
          <w:u w:val="single" w:color="auto"/>
          <w:color w:val="0000FF"/>
        </w:rPr>
        <w:t xml:space="preserve"> above, strategic planning, cash and Liquidity management, operational and restructuring activities and other matters reasonably related thereto and (ii) if reasonably necessary, any reasonable diligence requests, which may include access to books and records (including historical information) and real property </w:t>
      </w:r>
      <w:r>
        <w:rPr>
          <w:rFonts w:ascii="Arial" w:cs="Arial" w:eastAsia="Arial" w:hAnsi="Arial"/>
          <w:sz w:val="18"/>
          <w:szCs w:val="18"/>
          <w:u w:val="single" w:color="auto"/>
          <w:color w:val="008000"/>
        </w:rPr>
        <w:t>assets of the Borrower and its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Subsidiaries</w:t>
      </w:r>
      <w:r>
        <w:rPr>
          <w:rFonts w:ascii="Arial" w:cs="Arial" w:eastAsia="Arial" w:hAnsi="Arial"/>
          <w:sz w:val="18"/>
          <w:szCs w:val="18"/>
          <w:u w:val="single" w:color="auto"/>
          <w:color w:val="0000FF"/>
        </w:rPr>
        <w:t>.</w:t>
      </w:r>
    </w:p>
    <w:p>
      <w:pPr>
        <w:spacing w:after="0" w:line="192" w:lineRule="exact"/>
        <w:rPr>
          <w:rFonts w:ascii="Arial" w:cs="Arial" w:eastAsia="Arial" w:hAnsi="Arial"/>
          <w:sz w:val="18"/>
          <w:szCs w:val="18"/>
          <w:u w:val="single" w:color="auto"/>
          <w:color w:val="0000FF"/>
        </w:rPr>
      </w:pPr>
    </w:p>
    <w:p>
      <w:pPr>
        <w:ind w:right="20" w:firstLine="436"/>
        <w:spacing w:after="0" w:line="279" w:lineRule="auto"/>
        <w:tabs>
          <w:tab w:leader="none" w:pos="685" w:val="left"/>
        </w:tabs>
        <w:numPr>
          <w:ilvl w:val="0"/>
          <w:numId w:val="18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Borrower shall, and shall cause the members of its senior management and its professional advisors (including the Operational Advisor) to promptly provide such additional information regarding any of</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the matters described in clauses (a)</w:t>
      </w:r>
      <w:r>
        <w:rPr>
          <w:rFonts w:ascii="Arial" w:cs="Arial" w:eastAsia="Arial" w:hAnsi="Arial"/>
          <w:sz w:val="17"/>
          <w:szCs w:val="17"/>
          <w:color w:val="0000FF"/>
        </w:rPr>
        <w:t xml:space="preserve"> and (b) above, and </w:t>
      </w:r>
      <w:r>
        <w:rPr>
          <w:rFonts w:ascii="Arial" w:cs="Arial" w:eastAsia="Arial" w:hAnsi="Arial"/>
          <w:sz w:val="17"/>
          <w:szCs w:val="17"/>
          <w:u w:val="single" w:color="auto"/>
          <w:color w:val="008000"/>
        </w:rPr>
        <w:t>the business, legal, financial or</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corporate affairs of the Loan Parties or any of their respective Subsidiaries, including the business performance and tax and collateral due diligence of the Borrower and its Subsidiaries, as the Administrative Agent or any Lender may from time to time reasonably request</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-2976245</wp:posOffset>
            </wp:positionV>
            <wp:extent cx="6437630" cy="9398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6437630" cy="939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-2753360</wp:posOffset>
            </wp:positionV>
            <wp:extent cx="88265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-2753360</wp:posOffset>
            </wp:positionV>
            <wp:extent cx="4318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-2753360</wp:posOffset>
            </wp:positionV>
            <wp:extent cx="4318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-2616200</wp:posOffset>
            </wp:positionV>
            <wp:extent cx="7454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-2616200</wp:posOffset>
            </wp:positionV>
            <wp:extent cx="210058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2100580" cy="8890"/>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-2479040</wp:posOffset>
            </wp:positionV>
            <wp:extent cx="20916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09169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-2513330</wp:posOffset>
            </wp:positionV>
            <wp:extent cx="20910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209105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-2204720</wp:posOffset>
            </wp:positionV>
            <wp:extent cx="357441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-2067560</wp:posOffset>
            </wp:positionV>
            <wp:extent cx="63436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-2067560</wp:posOffset>
            </wp:positionV>
            <wp:extent cx="300037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-1930400</wp:posOffset>
            </wp:positionV>
            <wp:extent cx="157734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-1793240</wp:posOffset>
            </wp:positionV>
            <wp:extent cx="190309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-1381760</wp:posOffset>
            </wp:positionV>
            <wp:extent cx="637794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-1244600</wp:posOffset>
            </wp:positionV>
            <wp:extent cx="690054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-1107440</wp:posOffset>
            </wp:positionV>
            <wp:extent cx="637794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-970280</wp:posOffset>
            </wp:positionV>
            <wp:extent cx="661797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-833120</wp:posOffset>
            </wp:positionV>
            <wp:extent cx="679767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-695960</wp:posOffset>
            </wp:positionV>
            <wp:extent cx="58293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-421640</wp:posOffset>
            </wp:positionV>
            <wp:extent cx="6694805"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-318770</wp:posOffset>
            </wp:positionV>
            <wp:extent cx="6823710" cy="4318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682371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85800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550354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151"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Notwithstanding anything to the contrary, neither the Borrower nor any Subsidiary will be required to disclose </w:t>
      </w:r>
      <w:r>
        <w:rPr>
          <w:rFonts w:ascii="Arial" w:cs="Arial" w:eastAsia="Arial" w:hAnsi="Arial"/>
          <w:sz w:val="17"/>
          <w:szCs w:val="17"/>
          <w:color w:val="FF0000"/>
          <w:strike w:val="1"/>
        </w:rPr>
        <w:t>or discuss</w:t>
      </w:r>
      <w:r>
        <w:rPr>
          <w:rFonts w:ascii="Arial" w:cs="Arial" w:eastAsia="Arial" w:hAnsi="Arial"/>
          <w:sz w:val="17"/>
          <w:szCs w:val="17"/>
          <w:color w:val="auto"/>
        </w:rPr>
        <w:t xml:space="preserve"> any matter pursuant to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(i) that </w:t>
      </w:r>
      <w:r>
        <w:rPr>
          <w:rFonts w:ascii="Arial" w:cs="Arial" w:eastAsia="Arial" w:hAnsi="Arial"/>
          <w:sz w:val="17"/>
          <w:szCs w:val="17"/>
          <w:u w:val="single" w:color="auto"/>
          <w:color w:val="0000FF"/>
        </w:rPr>
        <w:t>is subject to attorney client or similar privilege or</w:t>
      </w:r>
      <w:r>
        <w:rPr>
          <w:rFonts w:ascii="Arial" w:cs="Arial" w:eastAsia="Arial" w:hAnsi="Arial"/>
          <w:sz w:val="17"/>
          <w:szCs w:val="17"/>
          <w:color w:val="auto"/>
        </w:rPr>
        <w:t xml:space="preserve"> constitutes </w:t>
      </w:r>
      <w:r>
        <w:rPr>
          <w:rFonts w:ascii="Arial" w:cs="Arial" w:eastAsia="Arial" w:hAnsi="Arial"/>
          <w:sz w:val="17"/>
          <w:szCs w:val="17"/>
          <w:color w:val="FF0000"/>
          <w:strike w:val="1"/>
        </w:rPr>
        <w:t>trade secrets or proprietary information,</w:t>
      </w:r>
      <w:r>
        <w:rPr>
          <w:rFonts w:ascii="Arial" w:cs="Arial" w:eastAsia="Arial" w:hAnsi="Arial"/>
          <w:sz w:val="17"/>
          <w:szCs w:val="17"/>
          <w:u w:val="single" w:color="auto"/>
          <w:color w:val="0000FF"/>
        </w:rPr>
        <w:t>attorney work</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product, or</w:t>
      </w:r>
      <w:r>
        <w:rPr>
          <w:rFonts w:ascii="Arial" w:cs="Arial" w:eastAsia="Arial" w:hAnsi="Arial"/>
          <w:sz w:val="17"/>
          <w:szCs w:val="17"/>
          <w:color w:val="0000FF"/>
        </w:rPr>
        <w:t xml:space="preserve"> </w:t>
      </w:r>
      <w:r>
        <w:rPr>
          <w:rFonts w:ascii="Arial" w:cs="Arial" w:eastAsia="Arial" w:hAnsi="Arial"/>
          <w:sz w:val="17"/>
          <w:szCs w:val="17"/>
          <w:color w:val="000000"/>
        </w:rPr>
        <w:t>(ii) in respect of which disclosure to the Administrative Agent or any Lender (or their representative</w:t>
      </w:r>
      <w:r>
        <w:rPr>
          <w:rFonts w:ascii="Arial" w:cs="Arial" w:eastAsia="Arial" w:hAnsi="Arial"/>
          <w:sz w:val="17"/>
          <w:szCs w:val="17"/>
          <w:color w:val="FF0000"/>
          <w:strike w:val="1"/>
        </w:rPr>
        <w:t>s</w:t>
      </w:r>
      <w:r>
        <w:rPr>
          <w:rFonts w:ascii="Arial" w:cs="Arial" w:eastAsia="Arial" w:hAnsi="Arial"/>
          <w:sz w:val="17"/>
          <w:szCs w:val="17"/>
          <w:color w:val="0000FF"/>
        </w:rPr>
        <w:t xml:space="preserve"> </w:t>
      </w:r>
      <w:r>
        <w:rPr>
          <w:rFonts w:ascii="Arial" w:cs="Arial" w:eastAsia="Arial" w:hAnsi="Arial"/>
          <w:sz w:val="17"/>
          <w:szCs w:val="17"/>
          <w:color w:val="000000"/>
        </w:rPr>
        <w:t>or contractors) is prohibited by law or</w:t>
      </w:r>
      <w:r>
        <w:rPr>
          <w:rFonts w:ascii="Arial" w:cs="Arial" w:eastAsia="Arial" w:hAnsi="Arial"/>
          <w:sz w:val="17"/>
          <w:szCs w:val="17"/>
          <w:color w:val="0000FF"/>
        </w:rPr>
        <w:t xml:space="preserve"> </w:t>
      </w:r>
      <w:r>
        <w:rPr>
          <w:rFonts w:ascii="Arial" w:cs="Arial" w:eastAsia="Arial" w:hAnsi="Arial"/>
          <w:sz w:val="17"/>
          <w:szCs w:val="17"/>
          <w:color w:val="000000"/>
        </w:rPr>
        <w:t xml:space="preserve">any binding agreement (to the extent not created in contemplation of such Loan Party’s obligations under this </w:t>
      </w:r>
      <w:r>
        <w:rPr>
          <w:rFonts w:ascii="Arial" w:cs="Arial" w:eastAsia="Arial" w:hAnsi="Arial"/>
          <w:sz w:val="17"/>
          <w:szCs w:val="17"/>
          <w:color w:val="FF0000"/>
          <w:strike w:val="1"/>
        </w:rPr>
        <w:t>Section 6.14), or (iii) that is subject to</w:t>
      </w:r>
      <w:r>
        <w:rPr>
          <w:rFonts w:ascii="Arial" w:cs="Arial" w:eastAsia="Arial" w:hAnsi="Arial"/>
          <w:sz w:val="17"/>
          <w:szCs w:val="17"/>
          <w:color w:val="000000"/>
        </w:rPr>
        <w:t xml:space="preserve"> </w:t>
      </w:r>
      <w:r>
        <w:rPr>
          <w:rFonts w:ascii="Arial" w:cs="Arial" w:eastAsia="Arial" w:hAnsi="Arial"/>
          <w:sz w:val="17"/>
          <w:szCs w:val="17"/>
          <w:color w:val="FF0000"/>
          <w:strike w:val="1"/>
        </w:rPr>
        <w:t>attorney client or similar privilege or constitutes attorney work product.</w:t>
      </w:r>
      <w:r>
        <w:rPr>
          <w:rFonts w:ascii="Arial" w:cs="Arial" w:eastAsia="Arial" w:hAnsi="Arial"/>
          <w:sz w:val="17"/>
          <w:szCs w:val="17"/>
          <w:u w:val="single" w:color="auto"/>
          <w:color w:val="0000FF"/>
          <w:strike w:val="1"/>
        </w:rPr>
        <w:t>Agreement). Additionally</w:t>
      </w:r>
      <w:r>
        <w:rPr>
          <w:rFonts w:ascii="Arial" w:cs="Arial" w:eastAsia="Arial" w:hAnsi="Arial"/>
          <w:sz w:val="17"/>
          <w:szCs w:val="17"/>
          <w:u w:val="single" w:color="auto"/>
          <w:color w:val="008000"/>
          <w:strike w:val="1"/>
        </w:rPr>
        <w:t>, notwithstanding anything to the contrary in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this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 xml:space="preserve">Section 6.14, </w:t>
      </w:r>
      <w:r>
        <w:rPr>
          <w:rFonts w:ascii="Arial" w:cs="Arial" w:eastAsia="Arial" w:hAnsi="Arial"/>
          <w:sz w:val="17"/>
          <w:szCs w:val="17"/>
          <w:u w:val="single" w:color="auto"/>
          <w:color w:val="008000"/>
          <w:strike w:val="1"/>
        </w:rPr>
        <w:t>the Borrower shall be entitled to</w:t>
      </w:r>
      <w:r>
        <w:rPr>
          <w:rFonts w:ascii="Arial" w:cs="Arial" w:eastAsia="Arial" w:hAnsi="Arial"/>
          <w:sz w:val="17"/>
          <w:szCs w:val="17"/>
          <w:u w:val="single" w:color="auto"/>
          <w:color w:val="0000FF"/>
          <w:strike w:val="1"/>
        </w:rPr>
        <w:t xml:space="preserve"> restrict and/or redact information in order to protect the competitive sales process as determined in its good faith judgment; provided, further, if any Lender is or becomes a potential bidder, the Loan Parties shall not be required to provide information to such Lender regarding the sale process that is not available to all potential bidders.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-828675</wp:posOffset>
            </wp:positionV>
            <wp:extent cx="228854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-828675</wp:posOffset>
            </wp:positionV>
            <wp:extent cx="634365"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-691515</wp:posOffset>
            </wp:positionV>
            <wp:extent cx="49720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-417195</wp:posOffset>
            </wp:positionV>
            <wp:extent cx="340296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77227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5800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77190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6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FF0000"/>
          <w:strike w:val="1"/>
        </w:rPr>
        <w:t xml:space="preserve">Section 6.15. </w:t>
      </w:r>
      <w:r>
        <w:rPr>
          <w:rFonts w:ascii="Arial" w:cs="Arial" w:eastAsia="Arial" w:hAnsi="Arial"/>
          <w:sz w:val="18"/>
          <w:szCs w:val="18"/>
          <w:i w:val="1"/>
          <w:iCs w:val="1"/>
          <w:color w:val="FF0000"/>
          <w:strike w:val="1"/>
        </w:rPr>
        <w:t>Maintenance of Ratings</w:t>
      </w:r>
      <w:r>
        <w:rPr>
          <w:rFonts w:ascii="Arial" w:cs="Arial" w:eastAsia="Arial" w:hAnsi="Arial"/>
          <w:sz w:val="18"/>
          <w:szCs w:val="18"/>
          <w:color w:val="FF0000"/>
          <w:strike w:val="1"/>
        </w:rPr>
        <w:t>. In the case of the Borrower, use commercially reasonable efforts to maintain a public corporate rating from S&amp;P and a public corporate family rating from Moody’s, in each case in respect of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258" w:name="page259"/>
    <w:bookmarkEnd w:id="258"/>
    <w:p>
      <w:pPr>
        <w:ind w:right="60" w:firstLine="440"/>
        <w:spacing w:after="0" w:line="342"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6.15</w:t>
      </w:r>
      <w:r>
        <w:rPr>
          <w:rFonts w:ascii="Arial" w:cs="Arial" w:eastAsia="Arial" w:hAnsi="Arial"/>
          <w:sz w:val="16"/>
          <w:szCs w:val="16"/>
          <w:color w:val="0000FF"/>
        </w:rPr>
        <w:t xml:space="preserve"> </w:t>
      </w:r>
      <w:r>
        <w:rPr>
          <w:rFonts w:ascii="Arial" w:cs="Arial" w:eastAsia="Arial" w:hAnsi="Arial"/>
          <w:sz w:val="16"/>
          <w:szCs w:val="16"/>
          <w:color w:val="FF0000"/>
          <w:strike w:val="1"/>
        </w:rPr>
        <w:t>Section 6.16.</w:t>
      </w:r>
      <w:r>
        <w:rPr>
          <w:rFonts w:ascii="Arial" w:cs="Arial" w:eastAsia="Arial" w:hAnsi="Arial"/>
          <w:sz w:val="16"/>
          <w:szCs w:val="16"/>
          <w:color w:val="0000FF"/>
        </w:rPr>
        <w:t xml:space="preserve"> </w:t>
      </w:r>
      <w:r>
        <w:rPr>
          <w:rFonts w:ascii="Arial" w:cs="Arial" w:eastAsia="Arial" w:hAnsi="Arial"/>
          <w:sz w:val="16"/>
          <w:szCs w:val="16"/>
          <w:i w:val="1"/>
          <w:iCs w:val="1"/>
          <w:color w:val="000000"/>
        </w:rPr>
        <w:t>Use of Proceeds</w:t>
      </w:r>
      <w:r>
        <w:rPr>
          <w:rFonts w:ascii="Arial" w:cs="Arial" w:eastAsia="Arial" w:hAnsi="Arial"/>
          <w:sz w:val="16"/>
          <w:szCs w:val="16"/>
          <w:color w:val="0000FF"/>
        </w:rPr>
        <w:t xml:space="preserve"> </w:t>
      </w:r>
      <w:r>
        <w:rPr>
          <w:rFonts w:ascii="Arial" w:cs="Arial" w:eastAsia="Arial" w:hAnsi="Arial"/>
          <w:sz w:val="16"/>
          <w:szCs w:val="16"/>
          <w:i w:val="1"/>
          <w:iCs w:val="1"/>
          <w:color w:val="0000FF"/>
        </w:rPr>
        <w:t>and Collateral</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FF0000"/>
        </w:rPr>
        <w:t>The Borrower shall use the</w:t>
      </w:r>
      <w:r>
        <w:rPr>
          <w:rFonts w:ascii="Arial" w:cs="Arial" w:eastAsia="Arial" w:hAnsi="Arial"/>
          <w:sz w:val="16"/>
          <w:szCs w:val="16"/>
          <w:color w:val="0000FF"/>
        </w:rPr>
        <w:t xml:space="preserve"> </w:t>
      </w:r>
      <w:r>
        <w:rPr>
          <w:rFonts w:ascii="Arial" w:cs="Arial" w:eastAsia="Arial" w:hAnsi="Arial"/>
          <w:sz w:val="16"/>
          <w:szCs w:val="16"/>
          <w:color w:val="008000"/>
          <w:strike w:val="1"/>
        </w:rPr>
        <w:t>proceeds of the Term Loans</w:t>
      </w:r>
      <w:r>
        <w:rPr>
          <w:rFonts w:ascii="Arial" w:cs="Arial" w:eastAsia="Arial" w:hAnsi="Arial"/>
          <w:sz w:val="16"/>
          <w:szCs w:val="16"/>
          <w:color w:val="0000FF"/>
        </w:rPr>
        <w:t xml:space="preserve"> </w:t>
      </w:r>
      <w:r>
        <w:rPr>
          <w:rFonts w:ascii="Arial" w:cs="Arial" w:eastAsia="Arial" w:hAnsi="Arial"/>
          <w:sz w:val="16"/>
          <w:szCs w:val="16"/>
          <w:color w:val="FF0000"/>
          <w:strike w:val="1"/>
        </w:rPr>
        <w:t>borrowed on the Restatement</w:t>
      </w:r>
      <w:r>
        <w:rPr>
          <w:rFonts w:ascii="Arial" w:cs="Arial" w:eastAsia="Arial" w:hAnsi="Arial"/>
          <w:sz w:val="16"/>
          <w:szCs w:val="16"/>
          <w:color w:val="0000FF"/>
        </w:rPr>
        <w:t xml:space="preserve"> </w:t>
      </w:r>
      <w:r>
        <w:rPr>
          <w:rFonts w:ascii="Arial" w:cs="Arial" w:eastAsia="Arial" w:hAnsi="Arial"/>
          <w:sz w:val="16"/>
          <w:szCs w:val="16"/>
          <w:color w:val="FF0000"/>
          <w:strike w:val="1"/>
        </w:rPr>
        <w:t>Effective Date to fund the Transactions on the Restatement Effective Date, to pay Transaction Expenses and for general corporate purposes.</w:t>
      </w:r>
      <w:r>
        <w:rPr>
          <w:rFonts w:ascii="Arial" w:cs="Arial" w:eastAsia="Arial" w:hAnsi="Arial"/>
          <w:sz w:val="16"/>
          <w:szCs w:val="16"/>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-177800</wp:posOffset>
            </wp:positionV>
            <wp:extent cx="60007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-177800</wp:posOffset>
            </wp:positionV>
            <wp:extent cx="6940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-212090</wp:posOffset>
            </wp:positionV>
            <wp:extent cx="69786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-263525</wp:posOffset>
            </wp:positionV>
            <wp:extent cx="129413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-40640</wp:posOffset>
            </wp:positionV>
            <wp:extent cx="26035"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04" w:lineRule="exact"/>
        <w:rPr>
          <w:sz w:val="20"/>
          <w:szCs w:val="20"/>
          <w:color w:val="auto"/>
        </w:rPr>
      </w:pPr>
    </w:p>
    <w:p>
      <w:pPr>
        <w:ind w:right="260" w:firstLine="436"/>
        <w:spacing w:after="0" w:line="259" w:lineRule="auto"/>
        <w:tabs>
          <w:tab w:leader="none" w:pos="685" w:val="left"/>
        </w:tabs>
        <w:numPr>
          <w:ilvl w:val="0"/>
          <w:numId w:val="1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proceeds of the New Money Postpetition Term Loans shall be applied in accordance with the Approved Budget (subject to Permitted Variances). No part of the proceeds of any Loan will be used, whether directly or indirectly in any manner that causes such Loan or the application of such proceeds to violate the Regulations of the Board, including Regulation T, Regulation U and Regulation X, or any other regulation thereof, or to violate the Exchange Act;</w:t>
      </w:r>
    </w:p>
    <w:p>
      <w:pPr>
        <w:spacing w:after="0" w:line="186"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18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 part of the proceeds of any Loan, the Debtors’ Cash Collateral, the Collateral or the Carve-Out will be used, whether directly or indirectly:</w:t>
      </w:r>
    </w:p>
    <w:p>
      <w:pPr>
        <w:spacing w:after="0" w:line="140" w:lineRule="exact"/>
        <w:rPr>
          <w:rFonts w:ascii="Arial" w:cs="Arial" w:eastAsia="Arial" w:hAnsi="Arial"/>
          <w:sz w:val="16"/>
          <w:szCs w:val="16"/>
          <w:u w:val="single" w:color="auto"/>
          <w:color w:val="0000FF"/>
        </w:rPr>
      </w:pPr>
    </w:p>
    <w:p>
      <w:pPr>
        <w:ind w:left="440" w:right="420" w:firstLine="419"/>
        <w:spacing w:after="0" w:line="277" w:lineRule="auto"/>
        <w:tabs>
          <w:tab w:leader="none" w:pos="1078" w:val="left"/>
        </w:tabs>
        <w:numPr>
          <w:ilvl w:val="1"/>
          <w:numId w:val="1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any purpose that is prohibited under the Bankruptcy Code, the DIP Order or the Canadian Orders and not in accordance with the Approved Budget (subject to Permitted Variances);</w:t>
      </w:r>
    </w:p>
    <w:p>
      <w:pPr>
        <w:spacing w:after="0" w:line="62" w:lineRule="exact"/>
        <w:rPr>
          <w:rFonts w:ascii="Arial" w:cs="Arial" w:eastAsia="Arial" w:hAnsi="Arial"/>
          <w:sz w:val="18"/>
          <w:szCs w:val="18"/>
          <w:u w:val="single" w:color="auto"/>
          <w:color w:val="0000FF"/>
        </w:rPr>
      </w:pPr>
    </w:p>
    <w:p>
      <w:pPr>
        <w:ind w:left="440" w:right="20" w:firstLine="419"/>
        <w:spacing w:after="0" w:line="257" w:lineRule="auto"/>
        <w:tabs>
          <w:tab w:leader="none" w:pos="1128" w:val="left"/>
        </w:tabs>
        <w:numPr>
          <w:ilvl w:val="1"/>
          <w:numId w:val="1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to finance or reimburse for expenses incurred or to be incurred, in both instances, in any way (A) any adversary action, suit, arbitration, proceeding, application, motion or other litigation of any type adverse to the interests of any or all of the Secured Parties, the Junior DIP Secured Parties, the Prepetition Secured Parties, or their respective rights and remedies under the Loan Documents, the Junior DIP Loan Documents, the DIP Order, or the Prepetition Facility Documentation; or (B) any other action which with the giving of notice or passing of time would result in an Event of Default hereunder or under the Junior DIP Loan Documents;</w:t>
      </w:r>
    </w:p>
    <w:p>
      <w:pPr>
        <w:spacing w:after="0" w:line="79" w:lineRule="exact"/>
        <w:rPr>
          <w:rFonts w:ascii="Arial" w:cs="Arial" w:eastAsia="Arial" w:hAnsi="Arial"/>
          <w:sz w:val="18"/>
          <w:szCs w:val="18"/>
          <w:u w:val="single" w:color="auto"/>
          <w:color w:val="0000FF"/>
        </w:rPr>
      </w:pPr>
    </w:p>
    <w:p>
      <w:pPr>
        <w:jc w:val="both"/>
        <w:ind w:left="440" w:right="300" w:firstLine="419"/>
        <w:spacing w:after="0" w:line="263" w:lineRule="auto"/>
        <w:tabs>
          <w:tab w:leader="none" w:pos="1178" w:val="left"/>
        </w:tabs>
        <w:numPr>
          <w:ilvl w:val="1"/>
          <w:numId w:val="1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other than in respect to UST Adequate Protection Payments or Prepetition ABL Secured Parties as set forth in the DIP Order, for the payment of fees, expenses, interest or principal or any other payment with respect to the Prepetition ABL Facility, Prepetition UST Tranche A Credit Agreement or Prepetition UST Tranche B Credit Agreement;</w:t>
      </w:r>
    </w:p>
    <w:p>
      <w:pPr>
        <w:spacing w:after="0" w:line="75" w:lineRule="exact"/>
        <w:rPr>
          <w:rFonts w:ascii="Arial" w:cs="Arial" w:eastAsia="Arial" w:hAnsi="Arial"/>
          <w:sz w:val="18"/>
          <w:szCs w:val="18"/>
          <w:u w:val="single" w:color="auto"/>
          <w:color w:val="0000FF"/>
        </w:rPr>
      </w:pPr>
    </w:p>
    <w:p>
      <w:pPr>
        <w:ind w:left="440" w:firstLine="419"/>
        <w:spacing w:after="0" w:line="263" w:lineRule="auto"/>
        <w:tabs>
          <w:tab w:leader="none" w:pos="1168" w:val="left"/>
        </w:tabs>
        <w:numPr>
          <w:ilvl w:val="1"/>
          <w:numId w:val="1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other than for payments for director fees included in and permitted by the Approved Budget, subject to the Debtors’ ability to make UST Adequate Protection Payments pursuant to the UST Adequate Protection Order, to make any payment to any board member or shareholder of any Loan Party in their capacity as such; or</w:t>
      </w:r>
    </w:p>
    <w:p>
      <w:pPr>
        <w:spacing w:after="0" w:line="75" w:lineRule="exact"/>
        <w:rPr>
          <w:rFonts w:ascii="Arial" w:cs="Arial" w:eastAsia="Arial" w:hAnsi="Arial"/>
          <w:sz w:val="18"/>
          <w:szCs w:val="18"/>
          <w:u w:val="single" w:color="auto"/>
          <w:color w:val="0000FF"/>
        </w:rPr>
      </w:pPr>
    </w:p>
    <w:p>
      <w:pPr>
        <w:jc w:val="both"/>
        <w:ind w:left="440" w:right="40" w:firstLine="419"/>
        <w:spacing w:after="0" w:line="259" w:lineRule="auto"/>
        <w:tabs>
          <w:tab w:leader="none" w:pos="1118" w:val="left"/>
        </w:tabs>
        <w:numPr>
          <w:ilvl w:val="1"/>
          <w:numId w:val="1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except as permitted by the Approved Budget (subject to Permitted Variances) to make any payment in settlement of any claim, action or proceeding without the prior written consent of the Lenders and the Junior DIP Lenders</w:t>
      </w:r>
      <w:r>
        <w:rPr>
          <w:rFonts w:ascii="Arial" w:cs="Arial" w:eastAsia="Arial" w:hAnsi="Arial"/>
          <w:sz w:val="18"/>
          <w:szCs w:val="18"/>
          <w:u w:val="single" w:color="auto"/>
          <w:color w:val="008000"/>
        </w:rPr>
        <w:t>. For the avoidance of doubt, no</w:t>
      </w:r>
      <w:r>
        <w:rPr>
          <w:rFonts w:ascii="Arial" w:cs="Arial" w:eastAsia="Arial" w:hAnsi="Arial"/>
          <w:sz w:val="18"/>
          <w:szCs w:val="18"/>
          <w:u w:val="single" w:color="auto"/>
          <w:color w:val="0000FF"/>
        </w:rPr>
        <w:t xml:space="preserve"> accrued vacation payment obligations on account of employees terminated prior to the Petition Date shall be paid until all Prepetition Indebtedness has been indefeasibly paid in full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-3361055</wp:posOffset>
            </wp:positionV>
            <wp:extent cx="642937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-3223895</wp:posOffset>
            </wp:positionV>
            <wp:extent cx="682371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-3086735</wp:posOffset>
            </wp:positionV>
            <wp:extent cx="678053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-2949575</wp:posOffset>
            </wp:positionV>
            <wp:extent cx="118300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-2675255</wp:posOffset>
            </wp:positionV>
            <wp:extent cx="665226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-2469515</wp:posOffset>
            </wp:positionV>
            <wp:extent cx="616331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-2332355</wp:posOffset>
            </wp:positionV>
            <wp:extent cx="233172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-2126615</wp:posOffset>
            </wp:positionV>
            <wp:extent cx="636079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-1989455</wp:posOffset>
            </wp:positionV>
            <wp:extent cx="6626225"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-1852295</wp:posOffset>
            </wp:positionV>
            <wp:extent cx="65747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-1715135</wp:posOffset>
            </wp:positionV>
            <wp:extent cx="669480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-1577975</wp:posOffset>
            </wp:positionV>
            <wp:extent cx="319722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-1372235</wp:posOffset>
            </wp:positionV>
            <wp:extent cx="624903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-1235075</wp:posOffset>
            </wp:positionV>
            <wp:extent cx="648906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-1097915</wp:posOffset>
            </wp:positionV>
            <wp:extent cx="310324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-892175</wp:posOffset>
            </wp:positionV>
            <wp:extent cx="62064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-755015</wp:posOffset>
            </wp:positionV>
            <wp:extent cx="670369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-617855</wp:posOffset>
            </wp:positionV>
            <wp:extent cx="197993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-412115</wp:posOffset>
            </wp:positionV>
            <wp:extent cx="637794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-274955</wp:posOffset>
            </wp:positionV>
            <wp:extent cx="668655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-137795</wp:posOffset>
            </wp:positionV>
            <wp:extent cx="650621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-635</wp:posOffset>
            </wp:positionV>
            <wp:extent cx="87439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6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u w:val="single" w:color="auto"/>
          <w:color w:val="0000FF"/>
        </w:rPr>
        <w:t>Nothing herein shall in any way prejudice or prevent the Administrative Agent or the Lenders from objecting, for any reason, to any requests, motions, or applications made in the Bankruptcy Court or the Canadian Court, including any application of final allowances of compensation for services rendered or reimbursement of expenses incurred under Sections 105(a), 330 or 331 of the Bankruptcy Code, by any party in interest (and each such order shall preserve the Administrative Agent’s and the Lenders’ right to review and object to any such requests, motions or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-430530</wp:posOffset>
            </wp:positionV>
            <wp:extent cx="647192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61797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8922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65493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259" w:name="page260"/>
    <w:bookmarkEnd w:id="259"/>
    <w:p>
      <w:pPr>
        <w:jc w:val="both"/>
        <w:ind w:left="4" w:right="300" w:firstLine="440"/>
        <w:spacing w:after="0" w:line="31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6.16 </w:t>
      </w:r>
      <w:r>
        <w:rPr>
          <w:rFonts w:ascii="Arial" w:cs="Arial" w:eastAsia="Arial" w:hAnsi="Arial"/>
          <w:sz w:val="16"/>
          <w:szCs w:val="16"/>
          <w:i w:val="1"/>
          <w:iCs w:val="1"/>
          <w:u w:val="single" w:color="auto"/>
          <w:color w:val="0000FF"/>
        </w:rPr>
        <w:t>Chapter 11 Cases and Canadian Recognition Proceedings</w:t>
      </w:r>
      <w:r>
        <w:rPr>
          <w:rFonts w:ascii="Arial" w:cs="Arial" w:eastAsia="Arial" w:hAnsi="Arial"/>
          <w:sz w:val="16"/>
          <w:szCs w:val="16"/>
          <w:u w:val="single" w:color="auto"/>
          <w:color w:val="0000FF"/>
        </w:rPr>
        <w:t xml:space="preserve">. </w:t>
      </w:r>
      <w:r>
        <w:rPr>
          <w:rFonts w:ascii="Arial" w:cs="Arial" w:eastAsia="Arial" w:hAnsi="Arial"/>
          <w:sz w:val="16"/>
          <w:szCs w:val="16"/>
          <w:i w:val="1"/>
          <w:iCs w:val="1"/>
          <w:color w:val="FF0000"/>
          <w:strike w:val="1"/>
        </w:rPr>
        <w:t>2020 Financial Plan.</w:t>
      </w:r>
      <w:r>
        <w:rPr>
          <w:rFonts w:ascii="Arial" w:cs="Arial" w:eastAsia="Arial" w:hAnsi="Arial"/>
          <w:sz w:val="16"/>
          <w:szCs w:val="16"/>
          <w:u w:val="single" w:color="auto"/>
          <w:color w:val="0000FF"/>
        </w:rPr>
        <w:t xml:space="preserve"> </w:t>
      </w:r>
      <w:r>
        <w:rPr>
          <w:rFonts w:ascii="Arial" w:cs="Arial" w:eastAsia="Arial" w:hAnsi="Arial"/>
          <w:sz w:val="16"/>
          <w:szCs w:val="16"/>
          <w:color w:val="FF0000"/>
          <w:strike w:val="1"/>
        </w:rPr>
        <w:t>From and after the Amendment No. 1 Effective</w:t>
      </w:r>
      <w:r>
        <w:rPr>
          <w:rFonts w:ascii="Arial" w:cs="Arial" w:eastAsia="Arial" w:hAnsi="Arial"/>
          <w:sz w:val="16"/>
          <w:szCs w:val="16"/>
          <w:u w:val="single" w:color="auto"/>
          <w:color w:val="0000FF"/>
        </w:rPr>
        <w:t xml:space="preserve"> </w:t>
      </w:r>
      <w:r>
        <w:rPr>
          <w:rFonts w:ascii="Arial" w:cs="Arial" w:eastAsia="Arial" w:hAnsi="Arial"/>
          <w:sz w:val="16"/>
          <w:szCs w:val="16"/>
          <w:color w:val="FF0000"/>
          <w:strike w:val="1"/>
        </w:rPr>
        <w:t>Date, the Borrower shall use its commercially reasonable efforts to achieve the aggregate amount of cost savings and other operational initiatives set forth in the updated consolidated budget for the fiscal year ending December 31, 2020 delivered to the Required Lenders on March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-298450</wp:posOffset>
            </wp:positionV>
            <wp:extent cx="331724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9"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i w:val="1"/>
          <w:iCs w:val="1"/>
          <w:color w:val="FF0000"/>
          <w:strike w:val="1"/>
        </w:rPr>
        <w:t>Section 6.18. Board Observer Rights</w:t>
      </w:r>
      <w:r>
        <w:rPr>
          <w:rFonts w:ascii="Arial" w:cs="Arial" w:eastAsia="Arial" w:hAnsi="Arial"/>
          <w:sz w:val="16"/>
          <w:szCs w:val="16"/>
          <w:color w:val="FF0000"/>
          <w:strike w:val="1"/>
        </w:rPr>
        <w:t>. The Loan Parties shall allow one representative designated by, from time to time, in writing by the Required</w:t>
      </w:r>
      <w:r>
        <w:rPr>
          <w:rFonts w:ascii="Arial" w:cs="Arial" w:eastAsia="Arial" w:hAnsi="Arial"/>
          <w:sz w:val="16"/>
          <w:szCs w:val="16"/>
          <w:i w:val="1"/>
          <w:iCs w:val="1"/>
          <w:color w:val="FF0000"/>
          <w:strike w:val="1"/>
        </w:rPr>
        <w:t xml:space="preserve"> </w:t>
      </w:r>
      <w:r>
        <w:rPr>
          <w:rFonts w:ascii="Arial" w:cs="Arial" w:eastAsia="Arial" w:hAnsi="Arial"/>
          <w:sz w:val="16"/>
          <w:szCs w:val="16"/>
          <w:color w:val="FF0000"/>
          <w:strike w:val="1"/>
        </w:rPr>
        <w:t>Lenders to attend and participate solely as a non-voting observer in all meetings of the board of directors (or other similar body) and any committee of the board of directors (or other similar body) of the Loan Parties (each such meeting, a “</w:t>
      </w:r>
      <w:r>
        <w:rPr>
          <w:rFonts w:ascii="Arial" w:cs="Arial" w:eastAsia="Arial" w:hAnsi="Arial"/>
          <w:sz w:val="16"/>
          <w:szCs w:val="16"/>
          <w:b w:val="1"/>
          <w:bCs w:val="1"/>
          <w:color w:val="FF0000"/>
          <w:strike w:val="1"/>
        </w:rPr>
        <w:t>Board Meeting</w:t>
      </w:r>
      <w:r>
        <w:rPr>
          <w:rFonts w:ascii="Arial" w:cs="Arial" w:eastAsia="Arial" w:hAnsi="Arial"/>
          <w:sz w:val="16"/>
          <w:szCs w:val="16"/>
          <w:color w:val="FF0000"/>
          <w:strike w:val="1"/>
        </w:rPr>
        <w:t>”; and such representative, a “</w:t>
      </w:r>
      <w:r>
        <w:rPr>
          <w:rFonts w:ascii="Arial" w:cs="Arial" w:eastAsia="Arial" w:hAnsi="Arial"/>
          <w:sz w:val="16"/>
          <w:szCs w:val="16"/>
          <w:b w:val="1"/>
          <w:bCs w:val="1"/>
          <w:color w:val="FF0000"/>
          <w:strike w:val="1"/>
        </w:rPr>
        <w:t>Board</w:t>
      </w:r>
      <w:r>
        <w:rPr>
          <w:rFonts w:ascii="Arial" w:cs="Arial" w:eastAsia="Arial" w:hAnsi="Arial"/>
          <w:sz w:val="16"/>
          <w:szCs w:val="16"/>
          <w:color w:val="FF0000"/>
          <w:strike w:val="1"/>
        </w:rPr>
        <w:t xml:space="preserve"> </w:t>
      </w:r>
      <w:r>
        <w:rPr>
          <w:rFonts w:ascii="Arial" w:cs="Arial" w:eastAsia="Arial" w:hAnsi="Arial"/>
          <w:sz w:val="16"/>
          <w:szCs w:val="16"/>
          <w:b w:val="1"/>
          <w:bCs w:val="1"/>
          <w:color w:val="FF0000"/>
          <w:strike w:val="1"/>
        </w:rPr>
        <w:t>Observer</w:t>
      </w: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that the obligation of the Loan Parties to permit a Board Observer as set forth in this Section 6.18 shall terminate automatically if</w:t>
      </w:r>
      <w:r>
        <w:rPr>
          <w:rFonts w:ascii="Arial" w:cs="Arial" w:eastAsia="Arial" w:hAnsi="Arial"/>
          <w:sz w:val="16"/>
          <w:szCs w:val="16"/>
          <w:b w:val="1"/>
          <w:bCs w:val="1"/>
          <w:color w:val="FF0000"/>
          <w:strike w:val="1"/>
        </w:rPr>
        <w:t xml:space="preserve"> </w:t>
      </w:r>
      <w:r>
        <w:rPr>
          <w:rFonts w:ascii="Arial" w:cs="Arial" w:eastAsia="Arial" w:hAnsi="Arial"/>
          <w:sz w:val="16"/>
          <w:szCs w:val="16"/>
          <w:color w:val="FF0000"/>
          <w:strike w:val="1"/>
        </w:rPr>
        <w:t>the Lenders as of the Amendment No. 3 Closing Date no longer constitute Required Lenders. Each Loan Party shall, or shall cause its Subsidiary to, as the case may be, (i) give the Board Observer notice of all Board Meetings at the same time and in the same manner as such notice is furnished to the members of the board of directors (or other similar body) or committee of the board of directors (or other similar body) of such Loan Party or such subsidiary, (ii) subject to the terms of this Section 6.18, provide to the Board Observer all written notices, documents and information (including proposed written consents) furnished to the members of the board of directors (or other similar body) or committee of the board of directors (or other similar body) of such Loan Party or such subsidiary at the same time and in the same manner furnished to such members, (iii) permit the Board Observer to participate by telephone in each Board Meeting, (iv) provide the Board Observer copies of the minutes of all Board Meetings at the time such minutes are furnished to the members of the board of directors (or other similar body) or committee of the board of directors (or other similar body) of such Loan Party or such subsidiary, (v) cause regularly-scheduled Board Meetings of the Borrower to be held at least once per calendar quarter and</w:t>
      </w:r>
    </w:p>
    <w:p>
      <w:pPr>
        <w:spacing w:after="0" w:line="2" w:lineRule="exact"/>
        <w:rPr>
          <w:sz w:val="20"/>
          <w:szCs w:val="20"/>
          <w:color w:val="auto"/>
        </w:rPr>
      </w:pPr>
    </w:p>
    <w:p>
      <w:pPr>
        <w:ind w:left="4" w:hanging="4"/>
        <w:spacing w:after="0" w:line="284" w:lineRule="auto"/>
        <w:tabs>
          <w:tab w:leader="none" w:pos="309" w:val="left"/>
        </w:tabs>
        <w:numPr>
          <w:ilvl w:val="0"/>
          <w:numId w:val="182"/>
        </w:numPr>
        <w:rPr>
          <w:rFonts w:ascii="Arial" w:cs="Arial" w:eastAsia="Arial" w:hAnsi="Arial"/>
          <w:sz w:val="16"/>
          <w:szCs w:val="16"/>
          <w:color w:val="FF0000"/>
          <w:strike w:val="1"/>
        </w:rPr>
      </w:pPr>
      <w:r>
        <w:rPr>
          <w:rFonts w:ascii="Arial" w:cs="Arial" w:eastAsia="Arial" w:hAnsi="Arial"/>
          <w:sz w:val="16"/>
          <w:szCs w:val="16"/>
          <w:color w:val="FF0000"/>
          <w:strike w:val="1"/>
        </w:rPr>
        <w:t>provide the Board Observer with copies of all written consents duly passed by the board of directors (or other similar body) or committee of the board of directors (or other similar body) of such Loan Party or such subsidiary. Borrower shall reimburse the Board Observer for all reasonable and documented out-of-pocket expenses incurred in connection with the Board Observer’s attendance at the Board Meetings. Each Loan Party shall, and shall cause its Subsidiaries to, indemnify the Board Observer solely in its capacity as the Board Observer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notwithstanding the foregoing, such indemnity shall not be available to the extent that any losses, damages, claims, liabilities and expenses resulted from (x) the </w:t>
      </w:r>
      <w:r>
        <w:rPr>
          <w:rFonts w:ascii="Arial" w:cs="Arial" w:eastAsia="Arial" w:hAnsi="Arial"/>
          <w:sz w:val="16"/>
          <w:szCs w:val="16"/>
          <w:color w:val="008000"/>
          <w:strike w:val="1"/>
        </w:rPr>
        <w:t>gross negligence, bad</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faith or willful misconduct </w:t>
      </w:r>
      <w:r>
        <w:rPr>
          <w:rFonts w:ascii="Arial" w:cs="Arial" w:eastAsia="Arial" w:hAnsi="Arial"/>
          <w:sz w:val="16"/>
          <w:szCs w:val="16"/>
          <w:color w:val="FF0000"/>
          <w:strike w:val="1"/>
        </w:rPr>
        <w:t>of the Board Observer or of any affiliate, director, officer, employee, counsel, agent or attorney-in-fact of such Board</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Observer, as determined by the final non-appealable judgment of </w:t>
      </w:r>
      <w:r>
        <w:rPr>
          <w:rFonts w:ascii="Arial" w:cs="Arial" w:eastAsia="Arial" w:hAnsi="Arial"/>
          <w:sz w:val="16"/>
          <w:szCs w:val="16"/>
          <w:color w:val="008000"/>
          <w:strike w:val="1"/>
        </w:rPr>
        <w:t>a court of competent jurisdiction</w:t>
      </w:r>
      <w:r>
        <w:rPr>
          <w:rFonts w:ascii="Arial" w:cs="Arial" w:eastAsia="Arial" w:hAnsi="Arial"/>
          <w:sz w:val="16"/>
          <w:szCs w:val="16"/>
          <w:color w:val="FF0000"/>
          <w:strike w:val="1"/>
        </w:rPr>
        <w:t>, (y) any dispute solely among the Board Observer, the Lenders or of any affiliate, director, officer, employee, counsel, agent or attorney-in-fact thereof arising as a result of the Board Observer Rights set forth in this Section 6.18 other than any claim arising out of any act or omission of the Borrower or any of its Affiliates or (z) the material breach by the Board Observer or of any affiliate, director, officer, employee, counsel, agent or attorney-in-fact of such Board Observer of its obligations under this Section 6.18, as determined by the final non-appealable judgment of a court of competent jurisdiction. The Board Observer, the minutes, the written consents and all non-public information delivered to the Board Observer pursuant to this Section 6.18 and the proceedings of the board of directors (or other similar body) and any committee of the board of directors (or other similar body) of the Loan Parties, shall be subject to the confidentiality provisions of Section 10.16, except that the Board Observer may disclose information and materials to the Lenders and their respective directors, officers, managers, employees, legal counsel and financial advisors on a “need to know” basis solely in connection with the transactions contemplated hereby (it being understood that the Persons to whom such disclosure is made will be informed of the confidential nature of such Information and instructed to keep such Information confidential). Notwithstanding the forgoing, the Borrower shall</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4"/>
          </w:cols>
          <w:pgMar w:left="436" w:top="274" w:right="459" w:bottom="1440" w:gutter="0" w:footer="0" w:header="0"/>
        </w:sectPr>
      </w:pPr>
    </w:p>
    <w:bookmarkStart w:id="260" w:name="page261"/>
    <w:bookmarkEnd w:id="260"/>
    <w:p>
      <w:pPr>
        <w:ind w:left="4" w:right="20"/>
        <w:spacing w:after="0" w:line="288"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entitled to exclude the Board Observer from any portion of any meeting or from receiving any portion of the materials distributed to the members of the board of directors (or similar governing body) to the extent if and to the extent the Borrower reasonably believes in good faith in the exercise of its reasonable business judgment that the Board Observer’s presence at or participation in such meeting (or any portion thereof) or receipt of such materials may (i) affect the attorney/client or similar privilege of any Loan Party and their legal advisors, (ii) adversely affect the Borrower or any of its Subsidiaries under applicable Law, (iii) conflict with confidentiality obligations of Borrower or any of its Subsidiaries to third parties, including Governmental Authorities (so long as such restriction exists or has been negotiated in good faith by the Borrower and not for the purpose of excluding or limiting the Board Observer) or (iv) give rise to a conflict of interest, including as to any discussion and/or materials relating to (I) an actual or potential transaction with a Lender or any Affiliate thereof or other matter in which any Lender or any Affiliate thereof may be involved (including as to discussions or materials regarding this Agreement and the other Loan) or (II) the strategy, negotiating positions or similar matters relating to the relationship of Borrower or any of its subsidiaries or Affiliates, on the one hand, with the Lenders or any of their Affiliates.</w:t>
      </w:r>
    </w:p>
    <w:p>
      <w:pPr>
        <w:spacing w:after="0" w:line="168"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FF0000"/>
          <w:strike w:val="1"/>
        </w:rPr>
        <w:t xml:space="preserve">Section 6.19. </w:t>
      </w:r>
      <w:r>
        <w:rPr>
          <w:rFonts w:ascii="Arial" w:cs="Arial" w:eastAsia="Arial" w:hAnsi="Arial"/>
          <w:sz w:val="17"/>
          <w:szCs w:val="17"/>
          <w:i w:val="1"/>
          <w:iCs w:val="1"/>
          <w:color w:val="FF0000"/>
          <w:strike w:val="1"/>
        </w:rPr>
        <w:t>Amendment No. 3 Real Property Dispositions</w:t>
      </w:r>
      <w:r>
        <w:rPr>
          <w:rFonts w:ascii="Arial" w:cs="Arial" w:eastAsia="Arial" w:hAnsi="Arial"/>
          <w:sz w:val="17"/>
          <w:szCs w:val="17"/>
          <w:color w:val="FF0000"/>
          <w:strike w:val="1"/>
        </w:rPr>
        <w:t>. The Loan Parties shall use commercially reasonable efforts, and shall cause their respective Subsidiaries to use commercially reasonable efforts (in each case, in the exercise of such commercially reasonable efforts, taking into account the timing of the consummation of the Borrower’s consolidation plan), to sell each Specified Amendment No. 3 Real Property to a bona fide third party for fair market value and for gross consideration at least equal to the amount identified to or by the Lenders, as applicable, as of the Amendment No. 3 Effective Date (it being understood and agreed that 100% of the Net Proceeds of each such shall be applied to the prepayment of the Term Loans in accordance with Section 2.13(a)(ii) without giving effect to any thresholds or reinvestment rights).</w:t>
      </w:r>
    </w:p>
    <w:p>
      <w:pPr>
        <w:spacing w:after="0" w:line="178" w:lineRule="exact"/>
        <w:rPr>
          <w:sz w:val="20"/>
          <w:szCs w:val="20"/>
          <w:color w:val="auto"/>
        </w:rPr>
      </w:pPr>
    </w:p>
    <w:p>
      <w:pPr>
        <w:ind w:left="4" w:right="260" w:firstLine="436"/>
        <w:spacing w:after="0" w:line="263" w:lineRule="auto"/>
        <w:tabs>
          <w:tab w:leader="none" w:pos="689" w:val="left"/>
        </w:tabs>
        <w:numPr>
          <w:ilvl w:val="1"/>
          <w:numId w:val="18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Except where such failure is cured within two (2) Business Days of the earlier of the Borrower having knowledge thereof and any written notice by</w:t>
      </w:r>
      <w:r>
        <w:rPr>
          <w:rFonts w:ascii="Arial" w:cs="Arial" w:eastAsia="Arial" w:hAnsi="Arial"/>
          <w:sz w:val="18"/>
          <w:szCs w:val="18"/>
          <w:color w:val="0000FF"/>
        </w:rPr>
        <w:t xml:space="preserve"> </w:t>
      </w:r>
      <w:r>
        <w:rPr>
          <w:rFonts w:ascii="Arial" w:cs="Arial" w:eastAsia="Arial" w:hAnsi="Arial"/>
          <w:sz w:val="18"/>
          <w:szCs w:val="18"/>
          <w:color w:val="008000"/>
        </w:rPr>
        <w:t>the Administrative Agent (at the direction of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Lenders), comply</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in all material respects with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each Chapter 11 Order and the orders of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Canadian Court in the Canadian Recognition Proceedings.</w:t>
      </w:r>
    </w:p>
    <w:p>
      <w:pPr>
        <w:spacing w:after="0" w:line="183" w:lineRule="exact"/>
        <w:rPr>
          <w:rFonts w:ascii="Arial" w:cs="Arial" w:eastAsia="Arial" w:hAnsi="Arial"/>
          <w:sz w:val="18"/>
          <w:szCs w:val="18"/>
          <w:u w:val="single" w:color="auto"/>
          <w:color w:val="0000FF"/>
        </w:rPr>
      </w:pPr>
    </w:p>
    <w:p>
      <w:pPr>
        <w:ind w:left="704" w:hanging="264"/>
        <w:spacing w:after="0"/>
        <w:tabs>
          <w:tab w:leader="none" w:pos="704" w:val="left"/>
        </w:tabs>
        <w:numPr>
          <w:ilvl w:val="1"/>
          <w:numId w:val="18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Promptly provide to and discuss with the Administrative Agent and each Lender any and all information and developments in connection with</w:t>
      </w:r>
    </w:p>
    <w:p>
      <w:pPr>
        <w:spacing w:after="0" w:line="46" w:lineRule="exact"/>
        <w:rPr>
          <w:rFonts w:ascii="Arial" w:cs="Arial" w:eastAsia="Arial" w:hAnsi="Arial"/>
          <w:sz w:val="16"/>
          <w:szCs w:val="16"/>
          <w:u w:val="single" w:color="auto"/>
          <w:color w:val="0000FF"/>
        </w:rPr>
      </w:pPr>
    </w:p>
    <w:p>
      <w:pPr>
        <w:ind w:left="224" w:hanging="224"/>
        <w:spacing w:after="0"/>
        <w:tabs>
          <w:tab w:leader="none" w:pos="224" w:val="left"/>
        </w:tabs>
        <w:numPr>
          <w:ilvl w:val="0"/>
          <w:numId w:val="18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any proposed conveyance, sale, assignment, transfer or other disposition of all or any part of the assets of the Loan Parties or their Subsidiaries or</w:t>
      </w:r>
    </w:p>
    <w:p>
      <w:pPr>
        <w:spacing w:after="0" w:line="32" w:lineRule="exact"/>
        <w:rPr>
          <w:rFonts w:ascii="Arial" w:cs="Arial" w:eastAsia="Arial" w:hAnsi="Arial"/>
          <w:sz w:val="16"/>
          <w:szCs w:val="16"/>
          <w:u w:val="single" w:color="auto"/>
          <w:color w:val="0000FF"/>
        </w:rPr>
      </w:pPr>
    </w:p>
    <w:p>
      <w:pPr>
        <w:ind w:left="4" w:right="40" w:hanging="4"/>
        <w:spacing w:after="0" w:line="253" w:lineRule="auto"/>
        <w:tabs>
          <w:tab w:leader="none" w:pos="269" w:val="left"/>
        </w:tabs>
        <w:numPr>
          <w:ilvl w:val="0"/>
          <w:numId w:val="1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sale or other disposition or issuance of any Equity Interests of the Loan Parties, provided that the Borrower shall be entitled to restrict and/or redact commercially sensitive information to protect the competitive sales process as determined in its good faith judgment; provided, however, that if any Lender is or becomes a potential bidder</w:t>
      </w:r>
      <w:r>
        <w:rPr>
          <w:rFonts w:ascii="Arial" w:cs="Arial" w:eastAsia="Arial" w:hAnsi="Arial"/>
          <w:sz w:val="18"/>
          <w:szCs w:val="18"/>
          <w:u w:val="single" w:color="auto"/>
          <w:color w:val="008000"/>
        </w:rPr>
        <w:t>, the Loan Parties shall not be required to</w:t>
      </w:r>
      <w:r>
        <w:rPr>
          <w:rFonts w:ascii="Arial" w:cs="Arial" w:eastAsia="Arial" w:hAnsi="Arial"/>
          <w:sz w:val="18"/>
          <w:szCs w:val="18"/>
          <w:u w:val="single" w:color="auto"/>
          <w:color w:val="0000FF"/>
        </w:rPr>
        <w:t xml:space="preserve"> provide information to such Lender regarding the sale process that is not available to all potential bidders.</w:t>
      </w:r>
    </w:p>
    <w:p>
      <w:pPr>
        <w:spacing w:after="0" w:line="192" w:lineRule="exact"/>
        <w:rPr>
          <w:rFonts w:ascii="Arial" w:cs="Arial" w:eastAsia="Arial" w:hAnsi="Arial"/>
          <w:sz w:val="18"/>
          <w:szCs w:val="18"/>
          <w:u w:val="single" w:color="auto"/>
          <w:color w:val="0000FF"/>
        </w:rPr>
      </w:pPr>
    </w:p>
    <w:p>
      <w:pPr>
        <w:ind w:left="684" w:hanging="244"/>
        <w:spacing w:after="0"/>
        <w:tabs>
          <w:tab w:leader="none" w:pos="684" w:val="left"/>
        </w:tabs>
        <w:numPr>
          <w:ilvl w:val="1"/>
          <w:numId w:val="1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4" w:right="40" w:firstLine="436"/>
        <w:spacing w:after="0" w:line="293" w:lineRule="auto"/>
        <w:tabs>
          <w:tab w:leader="none" w:pos="699" w:val="left"/>
        </w:tabs>
        <w:numPr>
          <w:ilvl w:val="1"/>
          <w:numId w:val="18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Timely pay all material obligations arising after the Petition Date in accordance with their terms after giving effect to any applicable grace and cure periods (including all reasonable and documented fees and out of pocket expenses of estate professionals when due in accordance with the interim compensation procedures approved in the Chapter 11 Cases) and timely pay and discharge promptly all material taxes, assessments and governmental charges or levies imposed upon any Loan Party or upon its income or profits or in respect of its property arising after the Petition Date, as well as all material lawful claims for labor, materials and supplies or otherwise arising after the Petition Date which, if unpaid, would become a Lien or charge upon such properties or any part thereof, before the same shall become in default; provided that the Borrower and each of its Subsidiaries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-2483485</wp:posOffset>
            </wp:positionV>
            <wp:extent cx="643763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-2380615</wp:posOffset>
            </wp:positionV>
            <wp:extent cx="6806565" cy="4318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680656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-2209165</wp:posOffset>
            </wp:positionV>
            <wp:extent cx="266573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-1934845</wp:posOffset>
            </wp:positionV>
            <wp:extent cx="666940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-1797685</wp:posOffset>
            </wp:positionV>
            <wp:extent cx="678942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-1660525</wp:posOffset>
            </wp:positionV>
            <wp:extent cx="676338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-1523365</wp:posOffset>
            </wp:positionV>
            <wp:extent cx="6866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-1386205</wp:posOffset>
            </wp:positionV>
            <wp:extent cx="695198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-1249045</wp:posOffset>
            </wp:positionV>
            <wp:extent cx="17741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-974725</wp:posOffset>
            </wp:positionV>
            <wp:extent cx="68580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-700405</wp:posOffset>
            </wp:positionV>
            <wp:extent cx="666940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-563245</wp:posOffset>
            </wp:positionV>
            <wp:extent cx="690943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-426085</wp:posOffset>
            </wp:positionV>
            <wp:extent cx="684911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-288925</wp:posOffset>
            </wp:positionV>
            <wp:extent cx="678053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675513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831965"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6831965" cy="8890"/>
                    </a:xfrm>
                    <a:prstGeom prst="rect">
                      <a:avLst/>
                    </a:prstGeom>
                    <a:noFill/>
                  </pic:spPr>
                </pic:pic>
              </a:graphicData>
            </a:graphic>
          </wp:anchor>
        </w:drawing>
      </w:r>
    </w:p>
    <w:p>
      <w:pPr>
        <w:spacing w:after="0" w:line="7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84"/>
          </w:cols>
          <w:pgMar w:left="436" w:top="274" w:right="479" w:bottom="1440" w:gutter="0" w:footer="0" w:header="0"/>
        </w:sectPr>
      </w:pPr>
    </w:p>
    <w:bookmarkStart w:id="261" w:name="page262"/>
    <w:bookmarkEnd w:id="261"/>
    <w:p>
      <w:pPr>
        <w:ind w:right="6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pay and discharge or to cause to be paid and discharged any such obligation, tax, assessment, charge, levy or claim so long as (i) the validity or amount thereof shall be contested in good faith by appropriate proceedings (if the Borrower or its Subsidiaries shall have set aside on their books adequate reserves therefor) or (ii) non-payment and discharge thereof is permitted or required under the Bankruptcy Code, the CCAA, or order of the Bankruptcy Court or order of the Canadian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693483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5513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1482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28028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211" w:lineRule="exact"/>
        <w:rPr>
          <w:sz w:val="20"/>
          <w:szCs w:val="20"/>
          <w:color w:val="auto"/>
        </w:rPr>
      </w:pPr>
    </w:p>
    <w:p>
      <w:pPr>
        <w:ind w:right="740" w:firstLine="440"/>
        <w:spacing w:after="0" w:line="263"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(other than contingent indemnification or reimbursement obligations) hereunder which is accrued or payable shall remain unpaid or unsatisfied, then from and after the </w:t>
      </w:r>
      <w:r>
        <w:rPr>
          <w:rFonts w:ascii="Arial" w:cs="Arial" w:eastAsia="Arial" w:hAnsi="Arial"/>
          <w:sz w:val="18"/>
          <w:szCs w:val="18"/>
          <w:color w:val="FF0000"/>
          <w:strike w:val="1"/>
        </w:rPr>
        <w:t>Restatement</w:t>
      </w:r>
      <w:r>
        <w:rPr>
          <w:rFonts w:ascii="Arial" w:cs="Arial" w:eastAsia="Arial" w:hAnsi="Arial"/>
          <w:sz w:val="18"/>
          <w:szCs w:val="18"/>
          <w:color w:val="auto"/>
        </w:rPr>
        <w:t xml:space="preserve"> </w:t>
      </w:r>
      <w:r>
        <w:rPr>
          <w:rFonts w:ascii="Arial" w:cs="Arial" w:eastAsia="Arial" w:hAnsi="Arial"/>
          <w:sz w:val="18"/>
          <w:szCs w:val="18"/>
          <w:color w:val="FF0000"/>
          <w:strike w:val="1"/>
        </w:rPr>
        <w:t>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FF0000"/>
        </w:rPr>
        <w:t xml:space="preserve"> </w:t>
      </w:r>
      <w:r>
        <w:rPr>
          <w:rFonts w:ascii="Arial" w:cs="Arial" w:eastAsia="Arial" w:hAnsi="Arial"/>
          <w:sz w:val="18"/>
          <w:szCs w:val="18"/>
          <w:color w:val="00000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-2540</wp:posOffset>
            </wp:positionV>
            <wp:extent cx="149987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6" w:lineRule="exact"/>
        <w:rPr>
          <w:sz w:val="20"/>
          <w:szCs w:val="20"/>
          <w:color w:val="auto"/>
        </w:rPr>
      </w:pPr>
    </w:p>
    <w:p>
      <w:pPr>
        <w:jc w:val="both"/>
        <w:ind w:right="380" w:firstLine="440"/>
        <w:spacing w:after="0" w:line="342" w:lineRule="auto"/>
        <w:rPr>
          <w:sz w:val="20"/>
          <w:szCs w:val="20"/>
          <w:color w:val="auto"/>
        </w:rPr>
      </w:pPr>
      <w:r>
        <w:rPr>
          <w:rFonts w:ascii="Arial" w:cs="Arial" w:eastAsia="Arial" w:hAnsi="Arial"/>
          <w:sz w:val="16"/>
          <w:szCs w:val="16"/>
          <w:u w:val="single" w:color="auto"/>
          <w:color w:val="0000FF"/>
        </w:rPr>
        <w:t>Section 7.01</w:t>
      </w:r>
      <w:r>
        <w:rPr>
          <w:rFonts w:ascii="Arial" w:cs="Arial" w:eastAsia="Arial" w:hAnsi="Arial"/>
          <w:sz w:val="16"/>
          <w:szCs w:val="16"/>
          <w:color w:val="0000FF"/>
        </w:rPr>
        <w:t xml:space="preserve"> </w:t>
      </w:r>
      <w:r>
        <w:rPr>
          <w:rFonts w:ascii="Arial" w:cs="Arial" w:eastAsia="Arial" w:hAnsi="Arial"/>
          <w:sz w:val="16"/>
          <w:szCs w:val="16"/>
          <w:color w:val="FF0000"/>
          <w:strike w:val="1"/>
        </w:rPr>
        <w:t>Section 7.01.</w:t>
      </w:r>
      <w:r>
        <w:rPr>
          <w:rFonts w:ascii="Arial" w:cs="Arial" w:eastAsia="Arial" w:hAnsi="Arial"/>
          <w:sz w:val="16"/>
          <w:szCs w:val="16"/>
          <w:color w:val="0000FF"/>
        </w:rPr>
        <w:t xml:space="preserve"> </w:t>
      </w:r>
      <w:r>
        <w:rPr>
          <w:rFonts w:ascii="Arial" w:cs="Arial" w:eastAsia="Arial" w:hAnsi="Arial"/>
          <w:sz w:val="16"/>
          <w:szCs w:val="16"/>
          <w:i w:val="1"/>
          <w:iCs w:val="1"/>
          <w:color w:val="000000"/>
        </w:rPr>
        <w:t>Liens.</w:t>
      </w:r>
      <w:r>
        <w:rPr>
          <w:rFonts w:ascii="Arial" w:cs="Arial" w:eastAsia="Arial" w:hAnsi="Arial"/>
          <w:sz w:val="16"/>
          <w:szCs w:val="16"/>
          <w:color w:val="0000FF"/>
        </w:rPr>
        <w:t xml:space="preserve"> </w:t>
      </w:r>
      <w:r>
        <w:rPr>
          <w:rFonts w:ascii="Arial" w:cs="Arial" w:eastAsia="Arial" w:hAnsi="Arial"/>
          <w:sz w:val="16"/>
          <w:szCs w:val="16"/>
          <w:color w:val="000000"/>
        </w:rPr>
        <w:t>The Borrower shall not, nor shall it permit any</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rPr>
        <w:t xml:space="preserve"> </w:t>
      </w:r>
      <w:r>
        <w:rPr>
          <w:rFonts w:ascii="Arial" w:cs="Arial" w:eastAsia="Arial" w:hAnsi="Arial"/>
          <w:sz w:val="16"/>
          <w:szCs w:val="16"/>
          <w:color w:val="000000"/>
        </w:rPr>
        <w:t>Subsidiary to, directly or indirectly, create, incur,</w:t>
      </w:r>
      <w:r>
        <w:rPr>
          <w:rFonts w:ascii="Arial" w:cs="Arial" w:eastAsia="Arial" w:hAnsi="Arial"/>
          <w:sz w:val="16"/>
          <w:szCs w:val="16"/>
          <w:color w:val="0000FF"/>
        </w:rPr>
        <w:t xml:space="preserve"> </w:t>
      </w:r>
      <w:r>
        <w:rPr>
          <w:rFonts w:ascii="Arial" w:cs="Arial" w:eastAsia="Arial" w:hAnsi="Arial"/>
          <w:sz w:val="16"/>
          <w:szCs w:val="16"/>
          <w:color w:val="000000"/>
        </w:rPr>
        <w:t>assume or suffer to exist any Lien upon any of its property, assets or revenues, whether now owned or hereafter acquired, other than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-177800</wp:posOffset>
            </wp:positionV>
            <wp:extent cx="60007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right="40" w:firstLine="436"/>
        <w:spacing w:after="0" w:line="277"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created pursuant to any Loan Document</w:t>
      </w:r>
      <w:r>
        <w:rPr>
          <w:rFonts w:ascii="Arial" w:cs="Arial" w:eastAsia="Arial" w:hAnsi="Arial"/>
          <w:sz w:val="18"/>
          <w:szCs w:val="18"/>
          <w:u w:val="single" w:color="auto"/>
          <w:color w:val="0000FF"/>
        </w:rPr>
        <w:t>, (ii) securing any Prepetition Indebtedness and (iii) subject to the terms and conditions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DIP Order and the Canadian Orders, securing any Junior DIP Obligations</w:t>
      </w:r>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ind w:right="20" w:firstLine="436"/>
        <w:spacing w:after="0" w:line="269" w:lineRule="auto"/>
        <w:tabs>
          <w:tab w:leader="none" w:pos="69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Liens existing </w:t>
      </w:r>
      <w:r>
        <w:rPr>
          <w:rFonts w:ascii="Arial" w:cs="Arial" w:eastAsia="Arial" w:hAnsi="Arial"/>
          <w:sz w:val="17"/>
          <w:szCs w:val="17"/>
          <w:color w:val="FF0000"/>
          <w:strike w:val="1"/>
        </w:rPr>
        <w:t>or contemplated on the Restatement Effective</w:t>
      </w:r>
      <w:r>
        <w:rPr>
          <w:rFonts w:ascii="Arial" w:cs="Arial" w:eastAsia="Arial" w:hAnsi="Arial"/>
          <w:sz w:val="17"/>
          <w:szCs w:val="17"/>
          <w:u w:val="single" w:color="auto"/>
          <w:color w:val="0000FF"/>
        </w:rPr>
        <w:t>immediately prior to the Petition</w:t>
      </w:r>
      <w:r>
        <w:rPr>
          <w:rFonts w:ascii="Arial" w:cs="Arial" w:eastAsia="Arial" w:hAnsi="Arial"/>
          <w:sz w:val="17"/>
          <w:szCs w:val="17"/>
          <w:color w:val="auto"/>
        </w:rPr>
        <w:t xml:space="preserve"> Date and listed on </w:t>
      </w:r>
      <w:r>
        <w:rPr>
          <w:rFonts w:ascii="Arial" w:cs="Arial" w:eastAsia="Arial" w:hAnsi="Arial"/>
          <w:sz w:val="17"/>
          <w:szCs w:val="17"/>
          <w:u w:val="single" w:color="auto"/>
          <w:color w:val="auto"/>
        </w:rPr>
        <w:t>Schedule 7.01(b)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r>
        <w:rPr>
          <w:rFonts w:ascii="Arial" w:cs="Arial" w:eastAsia="Arial" w:hAnsi="Arial"/>
          <w:sz w:val="17"/>
          <w:szCs w:val="17"/>
          <w:color w:val="FF0000"/>
          <w:strike w:val="1"/>
        </w:rPr>
        <w:t>, (i)</w:t>
      </w:r>
      <w:r>
        <w:rPr>
          <w:rFonts w:ascii="Arial" w:cs="Arial" w:eastAsia="Arial" w:hAnsi="Arial"/>
          <w:sz w:val="17"/>
          <w:szCs w:val="17"/>
          <w:color w:val="auto"/>
        </w:rPr>
        <w:t xml:space="preserve"> the Lien does not extend to any additional property other than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Subsidiary and the proceeds and the products thereof and customary security deposits in respect thereof and in the case of multiple financings of equipment provided by any lender, other equipment financed by such lender)</w:t>
      </w:r>
      <w:r>
        <w:rPr>
          <w:rFonts w:ascii="Arial" w:cs="Arial" w:eastAsia="Arial" w:hAnsi="Arial"/>
          <w:sz w:val="17"/>
          <w:szCs w:val="17"/>
          <w:color w:val="FF0000"/>
          <w:strike w:val="1"/>
        </w:rPr>
        <w:t>, and (ii) such Lien does not secure any obligation</w:t>
      </w:r>
      <w:r>
        <w:rPr>
          <w:rFonts w:ascii="Arial" w:cs="Arial" w:eastAsia="Arial" w:hAnsi="Arial"/>
          <w:sz w:val="17"/>
          <w:szCs w:val="17"/>
          <w:color w:val="auto"/>
        </w:rPr>
        <w:t xml:space="preserve"> </w:t>
      </w:r>
      <w:r>
        <w:rPr>
          <w:rFonts w:ascii="Arial" w:cs="Arial" w:eastAsia="Arial" w:hAnsi="Arial"/>
          <w:sz w:val="17"/>
          <w:szCs w:val="17"/>
          <w:color w:val="FF0000"/>
          <w:strike w:val="1"/>
        </w:rPr>
        <w:t>(including unused commitments) other than those it secured on the Restatement Effective Date or, to the extent constituting Indebtedness, any Permitted Refinancing of the Indebtedness secured thereby on the Restatement Effective Date and any extensions, renewals, restructurings, refinancings and replacements thereof;</w:t>
      </w:r>
      <w:r>
        <w:rPr>
          <w:rFonts w:ascii="Arial" w:cs="Arial" w:eastAsia="Arial" w:hAnsi="Arial"/>
          <w:sz w:val="17"/>
          <w:szCs w:val="17"/>
          <w:u w:val="single" w:color="auto"/>
          <w:color w:val="0000FF"/>
          <w:strike w:val="1"/>
        </w:rPr>
        <w:t>;</w:t>
      </w:r>
    </w:p>
    <w:p>
      <w:pPr>
        <w:spacing w:after="0" w:line="185" w:lineRule="exact"/>
        <w:rPr>
          <w:rFonts w:ascii="Arial" w:cs="Arial" w:eastAsia="Arial" w:hAnsi="Arial"/>
          <w:sz w:val="17"/>
          <w:szCs w:val="17"/>
          <w:color w:val="auto"/>
        </w:rPr>
      </w:pPr>
    </w:p>
    <w:p>
      <w:pPr>
        <w:jc w:val="both"/>
        <w:ind w:firstLine="436"/>
        <w:spacing w:after="0" w:line="259"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for unpaid utilities, taxes, assessments or governmental charges that are (i) not overdue for a period of more than thirty (30) days and are not otherwise delinquent, securing obligations in an amount not to exceed $500,000, or that are being contested in good faith and by appropriate actions, if adequate reserves with respect thereto are maintained on the books of the applicable Person in accordance with GAAP or (ii) otherwise not required to be paid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55"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FF0000"/>
          <w:strike w:val="1"/>
        </w:rPr>
        <w:t>S</w:t>
      </w:r>
      <w:r>
        <w:rPr>
          <w:rFonts w:ascii="Arial" w:cs="Arial" w:eastAsia="Arial" w:hAnsi="Arial"/>
          <w:sz w:val="18"/>
          <w:szCs w:val="18"/>
          <w:u w:val="single" w:color="auto"/>
          <w:color w:val="0000FF"/>
        </w:rPr>
        <w:t>s</w:t>
      </w:r>
      <w:r>
        <w:rPr>
          <w:rFonts w:ascii="Arial" w:cs="Arial" w:eastAsia="Arial" w:hAnsi="Arial"/>
          <w:sz w:val="18"/>
          <w:szCs w:val="18"/>
          <w:color w:val="000000"/>
        </w:rPr>
        <w:t>tatutory, lease or common law Liens of landlords, sublandlords, carriers, warehousemen, mechanics, materialmen, repairmen, construction</w:t>
      </w:r>
      <w:r>
        <w:rPr>
          <w:rFonts w:ascii="Arial" w:cs="Arial" w:eastAsia="Arial" w:hAnsi="Arial"/>
          <w:sz w:val="18"/>
          <w:szCs w:val="18"/>
          <w:color w:val="FF0000"/>
        </w:rPr>
        <w:t xml:space="preserve"> </w:t>
      </w:r>
      <w:r>
        <w:rPr>
          <w:rFonts w:ascii="Arial" w:cs="Arial" w:eastAsia="Arial" w:hAnsi="Arial"/>
          <w:sz w:val="18"/>
          <w:szCs w:val="18"/>
          <w:color w:val="000000"/>
        </w:rPr>
        <w:t>contractors or other like Liens, or other customary Liens (other than in respect of Indebtedness) in favor of landlords, in each case arising in the ordinary course of business that secure amounts not overdue for a period of more than thirty (30) days or if more than thirty (30) days overdue, that either secure obligations in an amount not to exceed $1</w:t>
      </w:r>
      <w:r>
        <w:rPr>
          <w:rFonts w:ascii="Arial" w:cs="Arial" w:eastAsia="Arial" w:hAnsi="Arial"/>
          <w:sz w:val="18"/>
          <w:szCs w:val="18"/>
          <w:color w:val="FF0000"/>
          <w:strike w:val="1"/>
        </w:rPr>
        <w:t>,0</w:t>
      </w:r>
      <w:r>
        <w:rPr>
          <w:rFonts w:ascii="Arial" w:cs="Arial" w:eastAsia="Arial" w:hAnsi="Arial"/>
          <w:sz w:val="18"/>
          <w:szCs w:val="18"/>
          <w:color w:val="000000"/>
        </w:rPr>
        <w:t xml:space="preserve">00,000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are being contested in good faith and by appropriate actions, if adequate reserves with respect thereto are maintained on the books of the applicable Person in accordance with GAAP </w:t>
      </w:r>
      <w:r>
        <w:rPr>
          <w:rFonts w:ascii="Arial" w:cs="Arial" w:eastAsia="Arial" w:hAnsi="Arial"/>
          <w:sz w:val="18"/>
          <w:szCs w:val="18"/>
          <w:color w:val="0000FF"/>
        </w:rPr>
        <w:t>or stayed by the Chapter 11 Cases or the Canadian Recognition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Proceedings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-3288665</wp:posOffset>
            </wp:positionV>
            <wp:extent cx="13716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-3288665</wp:posOffset>
            </wp:positionV>
            <wp:extent cx="426910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-3151505</wp:posOffset>
            </wp:positionV>
            <wp:extent cx="336867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-2877185</wp:posOffset>
            </wp:positionV>
            <wp:extent cx="149161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-1642745</wp:posOffset>
            </wp:positionV>
            <wp:extent cx="342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-682625</wp:posOffset>
            </wp:positionV>
            <wp:extent cx="4318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-271145</wp:posOffset>
            </wp:positionV>
            <wp:extent cx="342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-133985</wp:posOffset>
            </wp:positionV>
            <wp:extent cx="291465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-168275</wp:posOffset>
            </wp:positionV>
            <wp:extent cx="291782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2917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55753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262" w:name="page263"/>
    <w:bookmarkEnd w:id="262"/>
    <w:p>
      <w:pPr>
        <w:ind w:left="-20" w:right="120" w:firstLine="436"/>
        <w:spacing w:after="0" w:line="275" w:lineRule="auto"/>
        <w:tabs>
          <w:tab w:leader="none" w:pos="665" w:val="left"/>
        </w:tabs>
        <w:numPr>
          <w:ilvl w:val="0"/>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Liens in the ordinary course of business in connection with workers’ compensation, unemployment insurance and other social security legislation </w:t>
      </w:r>
      <w:r>
        <w:rPr>
          <w:rFonts w:ascii="Arial" w:cs="Arial" w:eastAsia="Arial" w:hAnsi="Arial"/>
          <w:sz w:val="17"/>
          <w:szCs w:val="17"/>
          <w:color w:val="FF0000"/>
          <w:strike w:val="1"/>
        </w:rPr>
        <w:t>(other than any Lien imposed pursuant to Section 430(k) of the Code or Section 303(k) of ERISA or a violation of Section 436 of the Code)</w:t>
      </w:r>
      <w:r>
        <w:rPr>
          <w:rFonts w:ascii="Arial" w:cs="Arial" w:eastAsia="Arial" w:hAnsi="Arial"/>
          <w:sz w:val="17"/>
          <w:szCs w:val="17"/>
          <w:color w:val="auto"/>
        </w:rPr>
        <w:t xml:space="preserve"> and (ii) Liens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of its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7.01(e)</w:t>
      </w:r>
      <w:r>
        <w:rPr>
          <w:rFonts w:ascii="Arial" w:cs="Arial" w:eastAsia="Arial" w:hAnsi="Arial"/>
          <w:sz w:val="17"/>
          <w:szCs w:val="17"/>
          <w:color w:val="auto"/>
        </w:rPr>
        <w:t xml:space="preserve"> shall not permit liens securing letters of credit;</w:t>
      </w:r>
    </w:p>
    <w:p>
      <w:pPr>
        <w:spacing w:after="0" w:line="176" w:lineRule="exact"/>
        <w:rPr>
          <w:rFonts w:ascii="Arial" w:cs="Arial" w:eastAsia="Arial" w:hAnsi="Arial"/>
          <w:sz w:val="17"/>
          <w:szCs w:val="17"/>
          <w:color w:val="auto"/>
        </w:rPr>
      </w:pPr>
    </w:p>
    <w:p>
      <w:pPr>
        <w:ind w:left="-20" w:right="60" w:firstLine="436"/>
        <w:spacing w:after="0" w:line="259" w:lineRule="auto"/>
        <w:tabs>
          <w:tab w:leader="none" w:pos="6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Liens to secure the performance of bids, trade contracts, governmental contracts and leases (in the case of each of the foregoing, other than for Indebtedness for borrowed money), statutory obligations, surety, stay, customs and appeal bonds, performance bonds and other obligations of a like nature (including those to secure health, safety and environmental obligations), in each case incurred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permit liens securing letters of credit;</w:t>
      </w:r>
    </w:p>
    <w:p>
      <w:pPr>
        <w:spacing w:after="0" w:line="186" w:lineRule="exact"/>
        <w:rPr>
          <w:rFonts w:ascii="Arial" w:cs="Arial" w:eastAsia="Arial" w:hAnsi="Arial"/>
          <w:sz w:val="18"/>
          <w:szCs w:val="18"/>
          <w:color w:val="auto"/>
        </w:rPr>
      </w:pPr>
    </w:p>
    <w:p>
      <w:pPr>
        <w:ind w:left="-20" w:right="100" w:firstLine="436"/>
        <w:spacing w:after="0" w:line="296" w:lineRule="auto"/>
        <w:tabs>
          <w:tab w:leader="none" w:pos="67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(i) easements, rights-of-way, restrictions (including zoning restrictions and other land use regulations), encroachments, protrusions, reservations and other similar encumbrances and minor title defects affecting Real Property that do not in the aggregate materially interfere with the ordinary conduct of the business of the Borrower and the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taken as a whole and (ii) ground leases in respect of Real Property on which facilities owned or leased by the Borrower or any of the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are located;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case of this clause (ii) that such ground leases do not confer rights on the counter-party(ies) thereto superior to those of the Collateral Agent in the relevant property;</w:t>
      </w:r>
    </w:p>
    <w:p>
      <w:pPr>
        <w:spacing w:after="0" w:line="161" w:lineRule="exact"/>
        <w:rPr>
          <w:rFonts w:ascii="Arial" w:cs="Arial" w:eastAsia="Arial" w:hAnsi="Arial"/>
          <w:sz w:val="16"/>
          <w:szCs w:val="16"/>
          <w:color w:val="auto"/>
        </w:rPr>
      </w:pPr>
    </w:p>
    <w:p>
      <w:pPr>
        <w:ind w:left="680" w:hanging="264"/>
        <w:spacing w:after="0"/>
        <w:tabs>
          <w:tab w:leader="none" w:pos="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Liens securing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436"/>
        <w:spacing w:after="0" w:line="277" w:lineRule="auto"/>
        <w:tabs>
          <w:tab w:leader="none" w:pos="6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leases, licenses, subleases or sublicenses granted to others in the ordinary course of business which do not (i) interfere in any material respect with the business of the Borrower and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taken as a whole, or (ii) secure any Indebtedness</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20" w:firstLine="436"/>
        <w:spacing w:after="0" w:line="279" w:lineRule="auto"/>
        <w:tabs>
          <w:tab w:leader="none" w:pos="63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Liens (i) in favor of customs and revenue authorities arising as a matter of Law to secure payment of customs duties in connection with the importation of goods in the ordinary course of business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71" w:lineRule="exact"/>
        <w:rPr>
          <w:rFonts w:ascii="Arial" w:cs="Arial" w:eastAsia="Arial" w:hAnsi="Arial"/>
          <w:sz w:val="17"/>
          <w:szCs w:val="17"/>
          <w:color w:val="auto"/>
        </w:rPr>
      </w:pPr>
    </w:p>
    <w:p>
      <w:pPr>
        <w:ind w:left="-20" w:firstLine="436"/>
        <w:spacing w:after="0" w:line="279" w:lineRule="auto"/>
        <w:tabs>
          <w:tab w:leader="none" w:pos="67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Liens (i) of a collection bank arising under Section 4-210 of the Uniform Commercial Code on items in the course of collection and (ii) arising in the ordinary course of business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the general terms and conditions of such banking institutions;</w:t>
      </w:r>
    </w:p>
    <w:p>
      <w:pPr>
        <w:spacing w:after="0" w:line="171" w:lineRule="exact"/>
        <w:rPr>
          <w:rFonts w:ascii="Arial" w:cs="Arial" w:eastAsia="Arial" w:hAnsi="Arial"/>
          <w:sz w:val="17"/>
          <w:szCs w:val="17"/>
          <w:color w:val="auto"/>
        </w:rPr>
      </w:pPr>
    </w:p>
    <w:p>
      <w:pPr>
        <w:ind w:left="-20" w:right="20" w:firstLine="436"/>
        <w:spacing w:after="0" w:line="279" w:lineRule="auto"/>
        <w:tabs>
          <w:tab w:leader="none" w:pos="63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Liens </w:t>
      </w:r>
      <w:r>
        <w:rPr>
          <w:rFonts w:ascii="Arial" w:cs="Arial" w:eastAsia="Arial" w:hAnsi="Arial"/>
          <w:sz w:val="17"/>
          <w:szCs w:val="17"/>
          <w:color w:val="FF0000"/>
          <w:strike w:val="1"/>
        </w:rPr>
        <w:t>(i) on cash earnest money deposits or other cash advances in favor of the seller of any property to be acquired in an Investment permitted</w:t>
      </w:r>
      <w:r>
        <w:rPr>
          <w:rFonts w:ascii="Arial" w:cs="Arial" w:eastAsia="Arial" w:hAnsi="Arial"/>
          <w:sz w:val="17"/>
          <w:szCs w:val="17"/>
          <w:color w:val="auto"/>
        </w:rPr>
        <w:t xml:space="preserve"> </w:t>
      </w:r>
      <w:r>
        <w:rPr>
          <w:rFonts w:ascii="Arial" w:cs="Arial" w:eastAsia="Arial" w:hAnsi="Arial"/>
          <w:sz w:val="17"/>
          <w:szCs w:val="17"/>
          <w:color w:val="FF0000"/>
          <w:strike w:val="1"/>
        </w:rPr>
        <w:t>pursuant to</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Sections 7.02(e), (h), (l), (p), (r)</w:t>
      </w:r>
      <w:r>
        <w:rPr>
          <w:rFonts w:ascii="Arial" w:cs="Arial" w:eastAsia="Arial" w:hAnsi="Arial"/>
          <w:sz w:val="17"/>
          <w:szCs w:val="17"/>
          <w:color w:val="FF0000"/>
        </w:rPr>
        <w:t xml:space="preserve"> </w:t>
      </w:r>
      <w:r>
        <w:rPr>
          <w:rFonts w:ascii="Arial" w:cs="Arial" w:eastAsia="Arial" w:hAnsi="Arial"/>
          <w:sz w:val="17"/>
          <w:szCs w:val="17"/>
          <w:color w:val="000000"/>
          <w:strike w:val="1"/>
        </w:rPr>
        <w:t>or</w:t>
      </w:r>
      <w:r>
        <w:rPr>
          <w:rFonts w:ascii="Arial" w:cs="Arial" w:eastAsia="Arial" w:hAnsi="Arial"/>
          <w:sz w:val="17"/>
          <w:szCs w:val="17"/>
          <w:color w:val="FF0000"/>
        </w:rPr>
        <w:t xml:space="preserve"> </w:t>
      </w:r>
      <w:r>
        <w:rPr>
          <w:rFonts w:ascii="Arial" w:cs="Arial" w:eastAsia="Arial" w:hAnsi="Arial"/>
          <w:sz w:val="17"/>
          <w:szCs w:val="17"/>
          <w:color w:val="000000"/>
        </w:rPr>
        <w:t>(v)</w:t>
      </w:r>
      <w:r>
        <w:rPr>
          <w:rFonts w:ascii="Arial" w:cs="Arial" w:eastAsia="Arial" w:hAnsi="Arial"/>
          <w:sz w:val="17"/>
          <w:szCs w:val="17"/>
          <w:color w:val="000000"/>
          <w:strike w:val="1"/>
        </w:rPr>
        <w:t>, in each case to be applied against the purchase price for such Investment, and (ii)</w:t>
      </w:r>
      <w:r>
        <w:rPr>
          <w:rFonts w:ascii="Arial" w:cs="Arial" w:eastAsia="Arial" w:hAnsi="Arial"/>
          <w:sz w:val="17"/>
          <w:szCs w:val="17"/>
          <w:color w:val="FF0000"/>
        </w:rPr>
        <w:t xml:space="preserve"> </w:t>
      </w:r>
      <w:r>
        <w:rPr>
          <w:rFonts w:ascii="Arial" w:cs="Arial" w:eastAsia="Arial" w:hAnsi="Arial"/>
          <w:sz w:val="17"/>
          <w:szCs w:val="17"/>
          <w:color w:val="000000"/>
        </w:rPr>
        <w:t>consisting of an</w:t>
      </w:r>
      <w:r>
        <w:rPr>
          <w:rFonts w:ascii="Arial" w:cs="Arial" w:eastAsia="Arial" w:hAnsi="Arial"/>
          <w:sz w:val="17"/>
          <w:szCs w:val="17"/>
          <w:color w:val="FF0000"/>
        </w:rPr>
        <w:t xml:space="preserve"> </w:t>
      </w:r>
      <w:r>
        <w:rPr>
          <w:rFonts w:ascii="Arial" w:cs="Arial" w:eastAsia="Arial" w:hAnsi="Arial"/>
          <w:sz w:val="17"/>
          <w:szCs w:val="17"/>
          <w:color w:val="000000"/>
        </w:rPr>
        <w:t xml:space="preserve">agreement to Dispose of any property in a Disposition permitted under </w:t>
      </w:r>
      <w:r>
        <w:rPr>
          <w:rFonts w:ascii="Arial" w:cs="Arial" w:eastAsia="Arial" w:hAnsi="Arial"/>
          <w:sz w:val="17"/>
          <w:szCs w:val="17"/>
          <w:u w:val="single" w:color="auto"/>
          <w:color w:val="000000"/>
        </w:rPr>
        <w:t>Section 7.05</w:t>
      </w:r>
      <w:r>
        <w:rPr>
          <w:rFonts w:ascii="Arial" w:cs="Arial" w:eastAsia="Arial" w:hAnsi="Arial"/>
          <w:sz w:val="17"/>
          <w:szCs w:val="17"/>
          <w:color w:val="000000"/>
        </w:rPr>
        <w:t>, in each case, solely to the extent such Investment or Disposition, as the case may be, would have been permitted on the date of the creation of such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-4262120</wp:posOffset>
            </wp:positionV>
            <wp:extent cx="342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-318770</wp:posOffset>
            </wp:positionV>
            <wp:extent cx="16192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60"/>
          </w:cols>
          <w:pgMar w:left="460" w:top="274" w:right="479" w:bottom="1440" w:gutter="0" w:footer="0" w:header="0"/>
        </w:sectPr>
      </w:pPr>
    </w:p>
    <w:bookmarkStart w:id="263" w:name="page264"/>
    <w:bookmarkEnd w:id="263"/>
    <w:p>
      <w:pPr>
        <w:ind w:left="-20" w:right="960" w:firstLine="436"/>
        <w:spacing w:after="0" w:line="342" w:lineRule="auto"/>
        <w:tabs>
          <w:tab w:leader="none" w:pos="725" w:val="left"/>
        </w:tabs>
        <w:numPr>
          <w:ilvl w:val="0"/>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 in favor of the Borrower or a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on assets of a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Subsidiary that is not a Loan Party securing Indebtedness permitted under Section 7.03 </w:t>
      </w:r>
      <w:r>
        <w:rPr>
          <w:rFonts w:ascii="Arial" w:cs="Arial" w:eastAsia="Arial" w:hAnsi="Arial"/>
          <w:sz w:val="16"/>
          <w:szCs w:val="16"/>
          <w:u w:val="single" w:color="auto"/>
          <w:color w:val="0000FF"/>
        </w:rPr>
        <w:t>of the Junior DIP Credit Agreement</w:t>
      </w:r>
      <w:r>
        <w:rPr>
          <w:rFonts w:ascii="Arial" w:cs="Arial" w:eastAsia="Arial" w:hAnsi="Arial"/>
          <w:sz w:val="16"/>
          <w:szCs w:val="16"/>
          <w:color w:val="auto"/>
        </w:rPr>
        <w:t xml:space="preserve"> and (ii) in favor of the Borrower or any Guarantor;</w:t>
      </w:r>
    </w:p>
    <w:p>
      <w:pPr>
        <w:spacing w:after="0" w:line="15" w:lineRule="exact"/>
        <w:rPr>
          <w:rFonts w:ascii="Arial" w:cs="Arial" w:eastAsia="Arial" w:hAnsi="Arial"/>
          <w:sz w:val="16"/>
          <w:szCs w:val="16"/>
          <w:color w:val="auto"/>
        </w:rPr>
      </w:pPr>
    </w:p>
    <w:p>
      <w:pPr>
        <w:jc w:val="both"/>
        <w:ind w:left="-20" w:right="60" w:firstLine="436"/>
        <w:spacing w:after="0" w:line="263" w:lineRule="auto"/>
        <w:tabs>
          <w:tab w:leader="none" w:pos="6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any interest or title (and all encumbrances and other matters affecting such interest or title) of a lessor, sublessor, licensor or sublicensor under leases, subleases, licenses or sublicenses entered into by the Borrower 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that no such lease or sublease shall constitute a Capitalized Lease;</w:t>
      </w:r>
    </w:p>
    <w:p>
      <w:pPr>
        <w:spacing w:after="0" w:line="75" w:lineRule="exact"/>
        <w:rPr>
          <w:rFonts w:ascii="Arial" w:cs="Arial" w:eastAsia="Arial" w:hAnsi="Arial"/>
          <w:sz w:val="18"/>
          <w:szCs w:val="18"/>
          <w:color w:val="auto"/>
        </w:rPr>
      </w:pPr>
    </w:p>
    <w:p>
      <w:pPr>
        <w:ind w:left="-20" w:right="680" w:firstLine="436"/>
        <w:spacing w:after="0" w:line="277" w:lineRule="auto"/>
        <w:tabs>
          <w:tab w:leader="none" w:pos="67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0000FF"/>
        </w:rPr>
        <w:t>junior</w:t>
      </w:r>
      <w:r>
        <w:rPr>
          <w:rFonts w:ascii="Arial" w:cs="Arial" w:eastAsia="Arial" w:hAnsi="Arial"/>
          <w:sz w:val="18"/>
          <w:szCs w:val="18"/>
          <w:color w:val="0000FF"/>
        </w:rPr>
        <w:t xml:space="preserve"> </w:t>
      </w:r>
      <w:r>
        <w:rPr>
          <w:rFonts w:ascii="Arial" w:cs="Arial" w:eastAsia="Arial" w:hAnsi="Arial"/>
          <w:sz w:val="18"/>
          <w:szCs w:val="18"/>
          <w:color w:val="000000"/>
        </w:rPr>
        <w:t>Liens</w:t>
      </w:r>
      <w:r>
        <w:rPr>
          <w:rFonts w:ascii="Arial" w:cs="Arial" w:eastAsia="Arial" w:hAnsi="Arial"/>
          <w:sz w:val="18"/>
          <w:szCs w:val="18"/>
          <w:color w:val="0000FF"/>
        </w:rPr>
        <w:t xml:space="preserve"> </w:t>
      </w:r>
      <w:r>
        <w:rPr>
          <w:rFonts w:ascii="Arial" w:cs="Arial" w:eastAsia="Arial" w:hAnsi="Arial"/>
          <w:sz w:val="18"/>
          <w:szCs w:val="18"/>
          <w:color w:val="FF0000"/>
          <w:strike w:val="1"/>
        </w:rPr>
        <w:t>deemed to exist in connection with Investments in repurchase agreements permitted under</w:t>
      </w:r>
      <w:r>
        <w:rPr>
          <w:rFonts w:ascii="Arial" w:cs="Arial" w:eastAsia="Arial" w:hAnsi="Arial"/>
          <w:sz w:val="18"/>
          <w:szCs w:val="18"/>
          <w:color w:val="0000FF"/>
        </w:rPr>
        <w:t xml:space="preserve"> </w:t>
      </w:r>
      <w:r>
        <w:rPr>
          <w:rFonts w:ascii="Arial" w:cs="Arial" w:eastAsia="Arial" w:hAnsi="Arial"/>
          <w:sz w:val="18"/>
          <w:szCs w:val="18"/>
          <w:u w:val="single" w:color="auto"/>
          <w:color w:val="FF0000"/>
          <w:strike w:val="1"/>
        </w:rPr>
        <w:t>Section 7.02(a)</w:t>
      </w:r>
      <w:r>
        <w:rPr>
          <w:rFonts w:ascii="Arial" w:cs="Arial" w:eastAsia="Arial" w:hAnsi="Arial"/>
          <w:sz w:val="18"/>
          <w:szCs w:val="18"/>
          <w:u w:val="single" w:color="auto"/>
          <w:color w:val="0000FF"/>
        </w:rPr>
        <w:t>relating to any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Multiemployer Plan or Pension Plan</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680" w:hanging="264"/>
        <w:spacing w:after="0"/>
        <w:tabs>
          <w:tab w:leader="none" w:pos="680" w:val="left"/>
        </w:tabs>
        <w:numPr>
          <w:ilvl w:val="0"/>
          <w:numId w:val="1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680" w:hanging="264"/>
        <w:spacing w:after="0"/>
        <w:tabs>
          <w:tab w:leader="none" w:pos="680" w:val="left"/>
        </w:tabs>
        <w:numPr>
          <w:ilvl w:val="0"/>
          <w:numId w:val="1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640" w:hanging="224"/>
        <w:spacing w:after="0"/>
        <w:tabs>
          <w:tab w:leader="none" w:pos="640" w:val="left"/>
        </w:tabs>
        <w:numPr>
          <w:ilvl w:val="0"/>
          <w:numId w:val="1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660" w:hanging="244"/>
        <w:spacing w:after="0"/>
        <w:tabs>
          <w:tab w:leader="none" w:pos="660" w:val="left"/>
        </w:tabs>
        <w:numPr>
          <w:ilvl w:val="0"/>
          <w:numId w:val="1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-1621790</wp:posOffset>
            </wp:positionV>
            <wp:extent cx="1671955"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-935990</wp:posOffset>
            </wp:positionV>
            <wp:extent cx="334645"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-935990</wp:posOffset>
            </wp:positionV>
            <wp:extent cx="659765"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-798830</wp:posOffset>
            </wp:positionV>
            <wp:extent cx="166306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-593090</wp:posOffset>
            </wp:positionV>
            <wp:extent cx="65151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-387350</wp:posOffset>
            </wp:positionV>
            <wp:extent cx="65151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-181610</wp:posOffset>
            </wp:positionV>
            <wp:extent cx="63436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23495</wp:posOffset>
            </wp:positionV>
            <wp:extent cx="60833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05" w:lineRule="exact"/>
        <w:rPr>
          <w:sz w:val="20"/>
          <w:szCs w:val="20"/>
          <w:color w:val="auto"/>
        </w:rPr>
      </w:pPr>
    </w:p>
    <w:p>
      <w:pPr>
        <w:ind w:left="-20" w:right="400" w:firstLine="436"/>
        <w:spacing w:after="0" w:line="277" w:lineRule="auto"/>
        <w:tabs>
          <w:tab w:leader="none" w:pos="675" w:val="left"/>
        </w:tabs>
        <w:numPr>
          <w:ilvl w:val="0"/>
          <w:numId w:val="188"/>
        </w:numPr>
        <w:rPr>
          <w:rFonts w:ascii="Arial" w:cs="Arial" w:eastAsia="Arial" w:hAnsi="Arial"/>
          <w:sz w:val="18"/>
          <w:szCs w:val="18"/>
          <w:color w:val="FF0000"/>
          <w:strike w:val="1"/>
        </w:rPr>
      </w:pPr>
      <w:r>
        <w:rPr>
          <w:rFonts w:ascii="Arial" w:cs="Arial" w:eastAsia="Arial" w:hAnsi="Arial"/>
          <w:sz w:val="18"/>
          <w:szCs w:val="18"/>
          <w:color w:val="FF0000"/>
          <w:strike w:val="1"/>
        </w:rPr>
        <w:t>Liens encumbering reasonable customary initial deposits and margin deposits and similar Liens attaching to commodity accounts or other brokerage accounts incurred in the ordinary course of business and not for speculative purposes;</w:t>
      </w:r>
    </w:p>
    <w:p>
      <w:pPr>
        <w:spacing w:after="0" w:line="170" w:lineRule="exact"/>
        <w:rPr>
          <w:rFonts w:ascii="Arial" w:cs="Arial" w:eastAsia="Arial" w:hAnsi="Arial"/>
          <w:sz w:val="18"/>
          <w:szCs w:val="18"/>
          <w:color w:val="FF0000"/>
          <w:strike w:val="1"/>
        </w:rPr>
      </w:pPr>
    </w:p>
    <w:p>
      <w:pPr>
        <w:ind w:left="-20" w:firstLine="436"/>
        <w:spacing w:after="0" w:line="271" w:lineRule="auto"/>
        <w:tabs>
          <w:tab w:leader="none" w:pos="675" w:val="left"/>
        </w:tabs>
        <w:numPr>
          <w:ilvl w:val="0"/>
          <w:numId w:val="188"/>
        </w:numPr>
        <w:rPr>
          <w:rFonts w:ascii="Arial" w:cs="Arial" w:eastAsia="Arial" w:hAnsi="Arial"/>
          <w:sz w:val="17"/>
          <w:szCs w:val="17"/>
          <w:color w:val="FF0000"/>
          <w:strike w:val="1"/>
        </w:rPr>
      </w:pPr>
      <w:r>
        <w:rPr>
          <w:rFonts w:ascii="Arial" w:cs="Arial" w:eastAsia="Arial" w:hAnsi="Arial"/>
          <w:sz w:val="17"/>
          <w:szCs w:val="17"/>
          <w:color w:val="FF0000"/>
          <w:strike w:val="1"/>
        </w:rPr>
        <w:t xml:space="preserve">Liens (including any interest or title (and all encumbrances and other matters affecting such interest or title) of a lessor or sublessor under Capitalized Leases) securing Indebtedness constituting Capital Leases and purchase money security interests permitted under </w:t>
      </w:r>
      <w:r>
        <w:rPr>
          <w:rFonts w:ascii="Arial" w:cs="Arial" w:eastAsia="Arial" w:hAnsi="Arial"/>
          <w:sz w:val="17"/>
          <w:szCs w:val="17"/>
          <w:u w:val="single" w:color="auto"/>
          <w:color w:val="FF0000"/>
          <w:strike w:val="1"/>
        </w:rPr>
        <w:t>Section 7.03(e)</w:t>
      </w:r>
      <w:r>
        <w:rPr>
          <w:rFonts w:ascii="Arial" w:cs="Arial" w:eastAsia="Arial" w:hAnsi="Arial"/>
          <w:sz w:val="17"/>
          <w:szCs w:val="17"/>
          <w:color w:val="FF0000"/>
          <w:strike w:val="1"/>
        </w:rPr>
        <w:t xml:space="preserve"> or </w:t>
      </w:r>
      <w:r>
        <w:rPr>
          <w:rFonts w:ascii="Arial" w:cs="Arial" w:eastAsia="Arial" w:hAnsi="Arial"/>
          <w:sz w:val="17"/>
          <w:szCs w:val="17"/>
          <w:u w:val="single" w:color="auto"/>
          <w:color w:val="FF0000"/>
          <w:strike w:val="1"/>
        </w:rPr>
        <w:t>Section 7.03(ff)</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 xml:space="preserve"> </w:t>
      </w:r>
      <w:r>
        <w:rPr>
          <w:rFonts w:ascii="Arial" w:cs="Arial" w:eastAsia="Arial" w:hAnsi="Arial"/>
          <w:sz w:val="17"/>
          <w:szCs w:val="17"/>
          <w:i w:val="1"/>
          <w:iCs w:val="1"/>
          <w:color w:val="FF0000"/>
          <w:strike w:val="1"/>
        </w:rPr>
        <w:t>provided</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that (i) such Liens are created within 270 days of the acquisition, construction, repair, lease or improvement, as applicable, of</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the property subject to such Liens, (ii) such Liens do not at any time encumber property (except for replacements, additions and accessions to such property) other than the property financed by such Indebtedness and the proceeds and products thereof and customary security deposits, and (iii) such Liens do not at any time extend to or cover any assets (except for replacements, additions and accessions to such assets) other than the assets subject to Capitalized Leases and the proceeds and products thereof and customary security deposits;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individual financings of equipment provided by one lender may be cross collateralized to other financings of equipment provided by such lender;</w:t>
      </w:r>
    </w:p>
    <w:p>
      <w:pPr>
        <w:spacing w:after="0" w:line="178" w:lineRule="exact"/>
        <w:rPr>
          <w:rFonts w:ascii="Arial" w:cs="Arial" w:eastAsia="Arial" w:hAnsi="Arial"/>
          <w:sz w:val="17"/>
          <w:szCs w:val="17"/>
          <w:color w:val="FF0000"/>
          <w:strike w:val="1"/>
        </w:rPr>
      </w:pPr>
    </w:p>
    <w:p>
      <w:pPr>
        <w:ind w:left="-20" w:right="700" w:firstLine="436"/>
        <w:spacing w:after="0" w:line="277" w:lineRule="auto"/>
        <w:tabs>
          <w:tab w:leader="none" w:pos="645" w:val="left"/>
        </w:tabs>
        <w:numPr>
          <w:ilvl w:val="0"/>
          <w:numId w:val="18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Liens on property (i) of any Foreign Subsidiary that is not a Loan Party and (ii) that does not constitute Collateral, which Liens secure Indebtedness of the applicable Foreign Subsidiary that is not a Loan Party permitted under </w:t>
      </w:r>
      <w:r>
        <w:rPr>
          <w:rFonts w:ascii="Arial" w:cs="Arial" w:eastAsia="Arial" w:hAnsi="Arial"/>
          <w:sz w:val="18"/>
          <w:szCs w:val="18"/>
          <w:u w:val="single" w:color="auto"/>
          <w:color w:val="FF0000"/>
          <w:strike w:val="1"/>
        </w:rPr>
        <w:t>Section 7.03</w:t>
      </w:r>
      <w:r>
        <w:rPr>
          <w:rFonts w:ascii="Arial" w:cs="Arial" w:eastAsia="Arial" w:hAnsi="Arial"/>
          <w:sz w:val="18"/>
          <w:szCs w:val="18"/>
          <w:color w:val="FF0000"/>
          <w:strike w:val="1"/>
        </w:rPr>
        <w:t>;</w:t>
      </w:r>
    </w:p>
    <w:p>
      <w:pPr>
        <w:spacing w:after="0" w:line="170" w:lineRule="exact"/>
        <w:rPr>
          <w:rFonts w:ascii="Arial" w:cs="Arial" w:eastAsia="Arial" w:hAnsi="Arial"/>
          <w:sz w:val="18"/>
          <w:szCs w:val="18"/>
          <w:color w:val="FF0000"/>
          <w:strike w:val="1"/>
        </w:rPr>
      </w:pPr>
    </w:p>
    <w:p>
      <w:pPr>
        <w:ind w:left="-20" w:right="20" w:firstLine="436"/>
        <w:spacing w:after="0" w:line="272" w:lineRule="auto"/>
        <w:tabs>
          <w:tab w:leader="none" w:pos="655" w:val="left"/>
        </w:tabs>
        <w:numPr>
          <w:ilvl w:val="0"/>
          <w:numId w:val="188"/>
        </w:numPr>
        <w:rPr>
          <w:rFonts w:ascii="Arial" w:cs="Arial" w:eastAsia="Arial" w:hAnsi="Arial"/>
          <w:sz w:val="17"/>
          <w:szCs w:val="17"/>
          <w:color w:val="FF0000"/>
          <w:strike w:val="1"/>
        </w:rPr>
      </w:pPr>
      <w:r>
        <w:rPr>
          <w:rFonts w:ascii="Arial" w:cs="Arial" w:eastAsia="Arial" w:hAnsi="Arial"/>
          <w:sz w:val="17"/>
          <w:szCs w:val="17"/>
          <w:color w:val="FF0000"/>
          <w:strike w:val="1"/>
        </w:rPr>
        <w:t xml:space="preserve">Liens existing on property at the time of its acquisition or existing on the property of any Person at the time such Person becomes a Restricted Subsidiary, in each case after the Restatement Effective Date;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Arial" w:cs="Arial" w:eastAsia="Arial" w:hAnsi="Arial"/>
          <w:sz w:val="17"/>
          <w:szCs w:val="17"/>
          <w:u w:val="single" w:color="auto"/>
          <w:color w:val="FF0000"/>
          <w:strike w:val="1"/>
        </w:rPr>
        <w:t>Section 7.03</w:t>
      </w:r>
      <w:r>
        <w:rPr>
          <w:rFonts w:ascii="Arial" w:cs="Arial" w:eastAsia="Arial" w:hAnsi="Arial"/>
          <w:sz w:val="17"/>
          <w:szCs w:val="17"/>
          <w:color w:val="FF0000"/>
          <w:strike w:val="1"/>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80"/>
          </w:cols>
          <w:pgMar w:left="460" w:top="274" w:right="459" w:bottom="1440" w:gutter="0" w:footer="0" w:header="0"/>
        </w:sectPr>
      </w:pPr>
    </w:p>
    <w:bookmarkStart w:id="264" w:name="page265"/>
    <w:bookmarkEnd w:id="264"/>
    <w:p>
      <w:pPr>
        <w:ind w:left="664" w:hanging="224"/>
        <w:spacing w:after="0"/>
        <w:tabs>
          <w:tab w:leader="none" w:pos="664" w:val="left"/>
        </w:tabs>
        <w:numPr>
          <w:ilvl w:val="0"/>
          <w:numId w:val="189"/>
        </w:numPr>
        <w:rPr>
          <w:rFonts w:ascii="Arial" w:cs="Arial" w:eastAsia="Arial" w:hAnsi="Arial"/>
          <w:sz w:val="18"/>
          <w:szCs w:val="18"/>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from precautionary Uniform Commercial Code financing statements or similar filings</w:t>
      </w:r>
      <w:r>
        <w:rPr>
          <w:rFonts w:ascii="Arial" w:cs="Arial" w:eastAsia="Arial" w:hAnsi="Arial"/>
          <w:sz w:val="18"/>
          <w:szCs w:val="18"/>
          <w:u w:val="single" w:color="auto"/>
          <w:color w:val="0000FF"/>
        </w:rPr>
        <w:t>[reserved]</w:t>
      </w:r>
      <w:r>
        <w:rPr>
          <w:rFonts w:ascii="Arial" w:cs="Arial" w:eastAsia="Arial" w:hAnsi="Arial"/>
          <w:sz w:val="18"/>
          <w:szCs w:val="18"/>
          <w:color w:val="000000"/>
        </w:rPr>
        <w:t>;</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Liens on insurance policies and the proceeds thereof securing the financing of the premiums with respect thereto in the ordinary course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704" w:hanging="264"/>
        <w:spacing w:after="0"/>
        <w:tabs>
          <w:tab w:leader="none" w:pos="704" w:val="left"/>
        </w:tabs>
        <w:numPr>
          <w:ilvl w:val="0"/>
          <w:numId w:val="1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744" w:hanging="304"/>
        <w:spacing w:after="0"/>
        <w:tabs>
          <w:tab w:leader="none" w:pos="744" w:val="left"/>
        </w:tabs>
        <w:numPr>
          <w:ilvl w:val="0"/>
          <w:numId w:val="1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704" w:hanging="264"/>
        <w:spacing w:after="0"/>
        <w:tabs>
          <w:tab w:leader="none" w:pos="704" w:val="left"/>
        </w:tabs>
        <w:numPr>
          <w:ilvl w:val="0"/>
          <w:numId w:val="1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-1210310</wp:posOffset>
            </wp:positionV>
            <wp:extent cx="46291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-524510</wp:posOffset>
            </wp:positionV>
            <wp:extent cx="65151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-250190</wp:posOffset>
            </wp:positionV>
            <wp:extent cx="67691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23495</wp:posOffset>
            </wp:positionV>
            <wp:extent cx="65151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left="4" w:right="400" w:firstLine="436"/>
        <w:spacing w:after="0" w:line="291" w:lineRule="auto"/>
        <w:tabs>
          <w:tab w:leader="none" w:pos="699" w:val="left"/>
        </w:tabs>
        <w:numPr>
          <w:ilvl w:val="1"/>
          <w:numId w:val="19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Liens on the Collateral and, with respect to clauses (B) and (C) below, Treasury Only Collateral, securing Indebtedness permitted under Section 7.03(o) or other obligations otherwise secured pursuant to or in connection with the documents governing such Indebtedness;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w:t>
      </w:r>
    </w:p>
    <w:p>
      <w:pPr>
        <w:ind w:left="4" w:hanging="4"/>
        <w:spacing w:after="0" w:line="267" w:lineRule="auto"/>
        <w:tabs>
          <w:tab w:leader="none" w:pos="299" w:val="left"/>
        </w:tabs>
        <w:numPr>
          <w:ilvl w:val="0"/>
          <w:numId w:val="191"/>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in the case of Indebtedness permitted pursuant to Section 7.03(o)(x) and all other obligations otherwise secured pursuant to or in connection with the documents governing such Indebtedness, the representative in respect thereof shall have entered into the ABL Intercreditor Agreement as the ABL Agent, on behalf of the holders of such Indebtedness, and such Indebtedness and other obligations shall at all times be subject to the ABL Intercreditor Agreement as “ABL Obligations”; (B) in the case of Indebtedness and all other obligations permitted pursuant to Section 7.03(o)(y) or other obligations otherwise secured pursuant to or in connection with the documents governing such Indebtedness, the representative in respect thereof shall have entered into the ABL Intercreditor Agreement as the UST Tranche A Term Agent, on behalf of the holders of such Indebtedness, and such Indebtedness and other obligations shall at all times be subject to the ABL Intercreditor Agreement as “UST Tranche A Obligations”; and (C) </w:t>
      </w:r>
      <w:r>
        <w:rPr>
          <w:rFonts w:ascii="Arial" w:cs="Arial" w:eastAsia="Arial" w:hAnsi="Arial"/>
          <w:sz w:val="17"/>
          <w:szCs w:val="17"/>
          <w:color w:val="008000"/>
          <w:strike w:val="1"/>
        </w:rPr>
        <w:t>in the case of Indebtedness</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or </w:t>
      </w:r>
      <w:r>
        <w:rPr>
          <w:rFonts w:ascii="Arial" w:cs="Arial" w:eastAsia="Arial" w:hAnsi="Arial"/>
          <w:sz w:val="17"/>
          <w:szCs w:val="17"/>
          <w:color w:val="FF0000"/>
          <w:strike w:val="1"/>
        </w:rPr>
        <w:t>other obligations permitted pursuant to Section 7.03(o)(z) and all other obligations otherwise secured pursuant to or in connection with the documents</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governing such Indebtedness, the representative in respect thereof shall have entered into the ABL Intercreditor Agreement as the UST Tranche B Term Agent, on behalf of the holders of such Indebtedness, and such Indebtedness and other obligations shall at all times be subject to the ABL Intercreditor Agreement as “UST Tranche B Obligations”;</w:t>
      </w:r>
    </w:p>
    <w:p>
      <w:pPr>
        <w:spacing w:after="0" w:line="185" w:lineRule="exact"/>
        <w:rPr>
          <w:rFonts w:ascii="Arial" w:cs="Arial" w:eastAsia="Arial" w:hAnsi="Arial"/>
          <w:sz w:val="17"/>
          <w:szCs w:val="17"/>
          <w:color w:val="FF0000"/>
          <w:strike w:val="1"/>
        </w:rPr>
      </w:pPr>
    </w:p>
    <w:p>
      <w:pPr>
        <w:ind w:left="4" w:right="200" w:firstLine="436"/>
        <w:spacing w:after="0" w:line="263" w:lineRule="auto"/>
        <w:tabs>
          <w:tab w:leader="none" w:pos="739" w:val="left"/>
        </w:tabs>
        <w:numPr>
          <w:ilvl w:val="1"/>
          <w:numId w:val="191"/>
        </w:numPr>
        <w:rPr>
          <w:rFonts w:ascii="Arial" w:cs="Arial" w:eastAsia="Arial" w:hAnsi="Arial"/>
          <w:sz w:val="18"/>
          <w:szCs w:val="18"/>
          <w:color w:val="FF0000"/>
          <w:strike w:val="1"/>
        </w:rPr>
      </w:pPr>
      <w:r>
        <w:rPr>
          <w:rFonts w:ascii="Arial" w:cs="Arial" w:eastAsia="Arial" w:hAnsi="Arial"/>
          <w:sz w:val="18"/>
          <w:szCs w:val="18"/>
          <w:color w:val="008000"/>
          <w:strike w:val="1"/>
        </w:rPr>
        <w:t xml:space="preserve">Liens on the Collateral securing </w:t>
      </w:r>
      <w:r>
        <w:rPr>
          <w:rFonts w:ascii="Arial" w:cs="Arial" w:eastAsia="Arial" w:hAnsi="Arial"/>
          <w:sz w:val="18"/>
          <w:szCs w:val="18"/>
          <w:color w:val="FF0000"/>
          <w:strike w:val="1"/>
        </w:rPr>
        <w:t>Credit Agreement Refinancing Indebtedness that is Permitted Junior Priority Additional Debt and any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Permitted Refinancing of the foregoing;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any such Liens are secured on a junior lien basis to the Liens securing the Obligations pursuant to, and subject at all times to, the Junior Lien Intercreditor Agreement;</w:t>
      </w:r>
    </w:p>
    <w:p>
      <w:pPr>
        <w:spacing w:after="0" w:line="183" w:lineRule="exact"/>
        <w:rPr>
          <w:rFonts w:ascii="Arial" w:cs="Arial" w:eastAsia="Arial" w:hAnsi="Arial"/>
          <w:sz w:val="18"/>
          <w:szCs w:val="18"/>
          <w:color w:val="FF0000"/>
          <w:strike w:val="1"/>
        </w:rPr>
      </w:pPr>
    </w:p>
    <w:p>
      <w:pPr>
        <w:ind w:left="4" w:right="340" w:firstLine="436"/>
        <w:spacing w:after="0" w:line="277" w:lineRule="auto"/>
        <w:tabs>
          <w:tab w:leader="none" w:pos="699" w:val="left"/>
        </w:tabs>
        <w:numPr>
          <w:ilvl w:val="1"/>
          <w:numId w:val="191"/>
        </w:numPr>
        <w:rPr>
          <w:rFonts w:ascii="Arial" w:cs="Arial" w:eastAsia="Arial" w:hAnsi="Arial"/>
          <w:sz w:val="18"/>
          <w:szCs w:val="18"/>
          <w:color w:val="FF0000"/>
          <w:strike w:val="1"/>
        </w:rPr>
      </w:pPr>
      <w:r>
        <w:rPr>
          <w:rFonts w:ascii="Arial" w:cs="Arial" w:eastAsia="Arial" w:hAnsi="Arial"/>
          <w:sz w:val="18"/>
          <w:szCs w:val="18"/>
          <w:color w:val="FF0000"/>
          <w:strike w:val="1"/>
        </w:rPr>
        <w:t>Liens on the Equity Interests of any joint venture entity of the Borrower consisting of a transfer restriction, purchase option, call or similar right of a third party joint venture partner;</w:t>
      </w:r>
    </w:p>
    <w:p>
      <w:pPr>
        <w:spacing w:after="0" w:line="170" w:lineRule="exact"/>
        <w:rPr>
          <w:rFonts w:ascii="Arial" w:cs="Arial" w:eastAsia="Arial" w:hAnsi="Arial"/>
          <w:sz w:val="18"/>
          <w:szCs w:val="18"/>
          <w:color w:val="FF0000"/>
          <w:strike w:val="1"/>
        </w:rPr>
      </w:pPr>
    </w:p>
    <w:p>
      <w:pPr>
        <w:ind w:left="704" w:hanging="264"/>
        <w:spacing w:after="0"/>
        <w:tabs>
          <w:tab w:leader="none" w:pos="70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764" w:hanging="324"/>
        <w:spacing w:after="0"/>
        <w:tabs>
          <w:tab w:leader="none" w:pos="76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20" w:firstLine="436"/>
        <w:spacing w:after="0" w:line="263" w:lineRule="auto"/>
        <w:tabs>
          <w:tab w:leader="none" w:pos="78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Liens </w:t>
      </w:r>
      <w:r>
        <w:rPr>
          <w:rFonts w:ascii="Arial" w:cs="Arial" w:eastAsia="Arial" w:hAnsi="Arial"/>
          <w:sz w:val="18"/>
          <w:szCs w:val="18"/>
          <w:color w:val="FF0000"/>
          <w:strike w:val="1"/>
        </w:rPr>
        <w:t>(i) arising out of conditional sale, title retention, consignment or similar arrangements for the sale of goods or (ii) encumbering deposits</w:t>
      </w:r>
      <w:r>
        <w:rPr>
          <w:rFonts w:ascii="Arial" w:cs="Arial" w:eastAsia="Arial" w:hAnsi="Arial"/>
          <w:sz w:val="18"/>
          <w:szCs w:val="18"/>
          <w:color w:val="auto"/>
        </w:rPr>
        <w:t xml:space="preserve"> </w:t>
      </w:r>
      <w:r>
        <w:rPr>
          <w:rFonts w:ascii="Arial" w:cs="Arial" w:eastAsia="Arial" w:hAnsi="Arial"/>
          <w:sz w:val="18"/>
          <w:szCs w:val="18"/>
          <w:color w:val="FF0000"/>
          <w:strike w:val="1"/>
        </w:rPr>
        <w:t>made to secure obligations arising from contractual or warranty requirements</w:t>
      </w:r>
      <w:r>
        <w:rPr>
          <w:rFonts w:ascii="Arial" w:cs="Arial" w:eastAsia="Arial" w:hAnsi="Arial"/>
          <w:sz w:val="18"/>
          <w:szCs w:val="18"/>
          <w:u w:val="single" w:color="auto"/>
          <w:color w:val="0000FF"/>
          <w:strike w:val="1"/>
        </w:rPr>
        <w:t>expressly permitted to be granted pursuant to (i) the First Day Orders 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Second Day Orders or (ii) pursuant to the DIP Order</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-139700</wp:posOffset>
            </wp:positionV>
            <wp:extent cx="328295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40030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4"/>
          </w:cols>
          <w:pgMar w:left="436" w:top="274" w:right="459" w:bottom="1440" w:gutter="0" w:footer="0" w:header="0"/>
        </w:sectPr>
      </w:pPr>
    </w:p>
    <w:bookmarkStart w:id="265" w:name="page266"/>
    <w:bookmarkEnd w:id="265"/>
    <w:p>
      <w:pPr>
        <w:ind w:left="764" w:hanging="324"/>
        <w:spacing w:after="0"/>
        <w:tabs>
          <w:tab w:leader="none" w:pos="764" w:val="left"/>
        </w:tabs>
        <w:numPr>
          <w:ilvl w:val="0"/>
          <w:numId w:val="193"/>
        </w:numPr>
        <w:rPr>
          <w:rFonts w:ascii="Arial" w:cs="Arial" w:eastAsia="Arial" w:hAnsi="Arial"/>
          <w:sz w:val="18"/>
          <w:szCs w:val="18"/>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Utility</w:t>
      </w:r>
      <w:r>
        <w:rPr>
          <w:rFonts w:ascii="Arial" w:cs="Arial" w:eastAsia="Arial" w:hAnsi="Arial"/>
          <w:sz w:val="18"/>
          <w:szCs w:val="18"/>
          <w:u w:val="single" w:color="auto"/>
          <w:color w:val="0000FF"/>
        </w:rPr>
        <w:t>utility</w:t>
      </w:r>
      <w:r>
        <w:rPr>
          <w:rFonts w:ascii="Arial" w:cs="Arial" w:eastAsia="Arial" w:hAnsi="Arial"/>
          <w:sz w:val="18"/>
          <w:szCs w:val="18"/>
          <w:color w:val="FF0000"/>
        </w:rPr>
        <w:t xml:space="preserve"> </w:t>
      </w:r>
      <w:r>
        <w:rPr>
          <w:rFonts w:ascii="Arial" w:cs="Arial" w:eastAsia="Arial" w:hAnsi="Arial"/>
          <w:sz w:val="18"/>
          <w:szCs w:val="18"/>
          <w:color w:val="000000"/>
        </w:rPr>
        <w:t>and similar deposits in the ordinary course of business;</w:t>
      </w:r>
      <w:r>
        <w:rPr>
          <w:rFonts w:ascii="Arial" w:cs="Arial" w:eastAsia="Arial" w:hAnsi="Arial"/>
          <w:sz w:val="18"/>
          <w:szCs w:val="18"/>
          <w:color w:val="FF0000"/>
        </w:rPr>
        <w:t xml:space="preserve"> </w:t>
      </w:r>
      <w:r>
        <w:rPr>
          <w:rFonts w:ascii="Arial" w:cs="Arial" w:eastAsia="Arial" w:hAnsi="Arial"/>
          <w:sz w:val="18"/>
          <w:szCs w:val="18"/>
          <w:color w:val="0000FF"/>
        </w:rPr>
        <w:t>and</w:t>
      </w:r>
    </w:p>
    <w:p>
      <w:pPr>
        <w:spacing w:after="0" w:line="225" w:lineRule="exact"/>
        <w:rPr>
          <w:rFonts w:ascii="Arial" w:cs="Arial" w:eastAsia="Arial" w:hAnsi="Arial"/>
          <w:sz w:val="18"/>
          <w:szCs w:val="18"/>
          <w:color w:val="auto"/>
        </w:rPr>
      </w:pPr>
    </w:p>
    <w:p>
      <w:pPr>
        <w:ind w:left="784" w:hanging="344"/>
        <w:spacing w:after="0"/>
        <w:tabs>
          <w:tab w:leader="none" w:pos="784" w:val="left"/>
        </w:tabs>
        <w:numPr>
          <w:ilvl w:val="0"/>
          <w:numId w:val="193"/>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4" w:firstLine="436"/>
        <w:spacing w:after="0" w:line="342" w:lineRule="auto"/>
        <w:tabs>
          <w:tab w:leader="none" w:pos="769" w:val="left"/>
        </w:tabs>
        <w:numPr>
          <w:ilvl w:val="0"/>
          <w:numId w:val="193"/>
        </w:numPr>
        <w:rPr>
          <w:rFonts w:ascii="Arial" w:cs="Arial" w:eastAsia="Arial" w:hAnsi="Arial"/>
          <w:sz w:val="16"/>
          <w:szCs w:val="16"/>
          <w:color w:val="FF0000"/>
          <w:strike w:val="1"/>
        </w:rPr>
      </w:pPr>
      <w:r>
        <w:rPr>
          <w:rFonts w:ascii="Arial" w:cs="Arial" w:eastAsia="Arial" w:hAnsi="Arial"/>
          <w:sz w:val="16"/>
          <w:szCs w:val="16"/>
          <w:color w:val="FF0000"/>
          <w:strike w:val="1"/>
        </w:rPr>
        <w:t xml:space="preserve">Liens related to Sale and Leaseback Transactions </w:t>
      </w:r>
      <w:r>
        <w:rPr>
          <w:rFonts w:ascii="Arial" w:cs="Arial" w:eastAsia="Arial" w:hAnsi="Arial"/>
          <w:sz w:val="16"/>
          <w:szCs w:val="16"/>
          <w:color w:val="008000"/>
          <w:strike w:val="1"/>
        </w:rPr>
        <w:t>in an aggregate amount of $</w:t>
      </w:r>
      <w:r>
        <w:rPr>
          <w:rFonts w:ascii="Arial" w:cs="Arial" w:eastAsia="Arial" w:hAnsi="Arial"/>
          <w:sz w:val="16"/>
          <w:szCs w:val="16"/>
          <w:color w:val="FF0000"/>
          <w:strike w:val="1"/>
        </w:rPr>
        <w:t xml:space="preserve">25,000,000; </w:t>
      </w:r>
      <w:r>
        <w:rPr>
          <w:rFonts w:ascii="Arial" w:cs="Arial" w:eastAsia="Arial" w:hAnsi="Arial"/>
          <w:sz w:val="16"/>
          <w:szCs w:val="16"/>
          <w:i w:val="1"/>
          <w:iCs w:val="1"/>
          <w:color w:val="FF0000"/>
          <w:strike w:val="1"/>
        </w:rPr>
        <w:t>provided that</w:t>
      </w:r>
      <w:r>
        <w:rPr>
          <w:rFonts w:ascii="Arial" w:cs="Arial" w:eastAsia="Arial" w:hAnsi="Arial"/>
          <w:sz w:val="16"/>
          <w:szCs w:val="16"/>
          <w:color w:val="FF0000"/>
          <w:strike w:val="1"/>
        </w:rPr>
        <w:t>, as of and after the Amendment No. 3 Effective Date, this clause (ee) shall be unavailable for use under this Agreement and the dollar amount specified in this clause (ee) shall be $0;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-726440</wp:posOffset>
            </wp:positionV>
            <wp:extent cx="30861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-726440</wp:posOffset>
            </wp:positionV>
            <wp:extent cx="18859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-760730</wp:posOffset>
            </wp:positionV>
            <wp:extent cx="19367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04" w:lineRule="exact"/>
        <w:rPr>
          <w:sz w:val="20"/>
          <w:szCs w:val="20"/>
          <w:color w:val="auto"/>
        </w:rPr>
      </w:pPr>
    </w:p>
    <w:p>
      <w:pPr>
        <w:ind w:left="4" w:right="100" w:firstLine="436"/>
        <w:spacing w:after="0" w:line="257" w:lineRule="auto"/>
        <w:tabs>
          <w:tab w:leader="none" w:pos="789" w:val="left"/>
        </w:tabs>
        <w:numPr>
          <w:ilvl w:val="0"/>
          <w:numId w:val="194"/>
        </w:numPr>
        <w:rPr>
          <w:rFonts w:ascii="Arial" w:cs="Arial" w:eastAsia="Arial" w:hAnsi="Arial"/>
          <w:sz w:val="18"/>
          <w:szCs w:val="18"/>
          <w:u w:val="single" w:color="auto"/>
          <w:color w:val="0000FF"/>
        </w:rPr>
      </w:pPr>
      <w:r>
        <w:rPr>
          <w:rFonts w:ascii="Arial" w:cs="Arial" w:eastAsia="Arial" w:hAnsi="Arial"/>
          <w:sz w:val="18"/>
          <w:szCs w:val="18"/>
          <w:color w:val="FF0000"/>
          <w:strike w:val="1"/>
        </w:rPr>
        <w:t>(ff)</w:t>
      </w:r>
      <w:r>
        <w:rPr>
          <w:rFonts w:ascii="Arial" w:cs="Arial" w:eastAsia="Arial" w:hAnsi="Arial"/>
          <w:sz w:val="18"/>
          <w:szCs w:val="18"/>
          <w:color w:val="FF0000"/>
        </w:rPr>
        <w:t xml:space="preserve"> </w:t>
      </w:r>
      <w:r>
        <w:rPr>
          <w:rFonts w:ascii="Arial" w:cs="Arial" w:eastAsia="Arial" w:hAnsi="Arial"/>
          <w:sz w:val="18"/>
          <w:szCs w:val="18"/>
          <w:color w:val="000000"/>
        </w:rPr>
        <w:t>other Liens with respect to property or assets securing obligations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other than for borrowed money</w:t>
      </w:r>
      <w:r>
        <w:rPr>
          <w:rFonts w:ascii="Arial" w:cs="Arial" w:eastAsia="Arial" w:hAnsi="Arial"/>
          <w:sz w:val="18"/>
          <w:szCs w:val="18"/>
          <w:color w:val="FF0000"/>
        </w:rPr>
        <w:t xml:space="preserve"> </w:t>
      </w:r>
      <w:r>
        <w:rPr>
          <w:rFonts w:ascii="Arial" w:cs="Arial" w:eastAsia="Arial" w:hAnsi="Arial"/>
          <w:sz w:val="18"/>
          <w:szCs w:val="18"/>
          <w:color w:val="000000"/>
        </w:rPr>
        <w:t>of the Borrower or any</w:t>
      </w:r>
      <w:r>
        <w:rPr>
          <w:rFonts w:ascii="Arial" w:cs="Arial" w:eastAsia="Arial" w:hAnsi="Arial"/>
          <w:sz w:val="18"/>
          <w:szCs w:val="18"/>
          <w:color w:val="FF0000"/>
        </w:rPr>
        <w:t xml:space="preserve"> </w:t>
      </w:r>
      <w:r>
        <w:rPr>
          <w:rFonts w:ascii="Arial" w:cs="Arial" w:eastAsia="Arial" w:hAnsi="Arial"/>
          <w:sz w:val="18"/>
          <w:szCs w:val="18"/>
          <w:color w:val="FF0000"/>
          <w:strike w:val="1"/>
        </w:rPr>
        <w:t>Restricted</w:t>
      </w:r>
      <w:r>
        <w:rPr>
          <w:rFonts w:ascii="Arial" w:cs="Arial" w:eastAsia="Arial" w:hAnsi="Arial"/>
          <w:sz w:val="18"/>
          <w:szCs w:val="18"/>
          <w:color w:val="FF0000"/>
        </w:rPr>
        <w:t xml:space="preserve"> </w:t>
      </w:r>
      <w:r>
        <w:rPr>
          <w:rFonts w:ascii="Arial" w:cs="Arial" w:eastAsia="Arial" w:hAnsi="Arial"/>
          <w:sz w:val="18"/>
          <w:szCs w:val="18"/>
          <w:color w:val="000000"/>
        </w:rPr>
        <w:t xml:space="preserve">Subsidiary in an aggregate principal amount </w:t>
      </w:r>
      <w:r>
        <w:rPr>
          <w:rFonts w:ascii="Arial" w:cs="Arial" w:eastAsia="Arial" w:hAnsi="Arial"/>
          <w:sz w:val="18"/>
          <w:szCs w:val="18"/>
          <w:color w:val="FF0000"/>
          <w:strike w:val="1"/>
        </w:rPr>
        <w:t>outstanding at any time</w:t>
      </w:r>
      <w:r>
        <w:rPr>
          <w:rFonts w:ascii="Arial" w:cs="Arial" w:eastAsia="Arial" w:hAnsi="Arial"/>
          <w:sz w:val="18"/>
          <w:szCs w:val="18"/>
          <w:color w:val="000000"/>
        </w:rPr>
        <w:t xml:space="preserve"> not to exceed </w:t>
      </w:r>
      <w:r>
        <w:rPr>
          <w:rFonts w:ascii="Arial" w:cs="Arial" w:eastAsia="Arial" w:hAnsi="Arial"/>
          <w:sz w:val="18"/>
          <w:szCs w:val="18"/>
          <w:color w:val="FF0000"/>
          <w:strike w:val="1"/>
        </w:rPr>
        <w:t>$5,000,000;</w:t>
      </w:r>
      <w:r>
        <w:rPr>
          <w:rFonts w:ascii="Arial" w:cs="Arial" w:eastAsia="Arial" w:hAnsi="Arial"/>
          <w:sz w:val="18"/>
          <w:szCs w:val="18"/>
          <w:color w:val="000000"/>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000000"/>
        </w:rPr>
        <w:t xml:space="preserve"> </w:t>
      </w:r>
      <w:r>
        <w:rPr>
          <w:rFonts w:ascii="Arial" w:cs="Arial" w:eastAsia="Arial" w:hAnsi="Arial"/>
          <w:sz w:val="18"/>
          <w:szCs w:val="18"/>
          <w:color w:val="FF0000"/>
          <w:strike w:val="1"/>
        </w:rPr>
        <w:t>that such Liens do not secure Indebtedness for</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borrowed money and are not incurred in respect of any pension obligations </w:t>
      </w:r>
      <w:r>
        <w:rPr>
          <w:rFonts w:ascii="Arial" w:cs="Arial" w:eastAsia="Arial" w:hAnsi="Arial"/>
          <w:sz w:val="18"/>
          <w:szCs w:val="18"/>
          <w:color w:val="008000"/>
          <w:strike w:val="1"/>
        </w:rPr>
        <w:t>of the Borrower or any of its</w:t>
      </w:r>
      <w:r>
        <w:rPr>
          <w:rFonts w:ascii="Arial" w:cs="Arial" w:eastAsia="Arial" w:hAnsi="Arial"/>
          <w:sz w:val="18"/>
          <w:szCs w:val="18"/>
          <w:color w:val="FF0000"/>
          <w:strike w:val="1"/>
        </w:rPr>
        <w:t xml:space="preserve"> Restricted Subsidiaries.</w:t>
      </w:r>
      <w:r>
        <w:rPr>
          <w:rFonts w:ascii="Arial" w:cs="Arial" w:eastAsia="Arial" w:hAnsi="Arial"/>
          <w:sz w:val="18"/>
          <w:szCs w:val="18"/>
          <w:u w:val="single" w:color="auto"/>
          <w:color w:val="0000FF"/>
          <w:strike w:val="1"/>
        </w:rPr>
        <w:t>, together with all</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 xml:space="preserve">Investments made pursuant to Section 7.02(p) </w:t>
      </w:r>
      <w:r>
        <w:rPr>
          <w:rFonts w:ascii="Arial" w:cs="Arial" w:eastAsia="Arial" w:hAnsi="Arial"/>
          <w:sz w:val="18"/>
          <w:szCs w:val="18"/>
          <w:u w:val="single" w:color="auto"/>
          <w:color w:val="0000FF"/>
          <w:strike w:val="1"/>
        </w:rPr>
        <w:t>and Indebtedness incurred pursuant to Section 7.03(cc) of the Junior DIP Credit Agreement, $350,000 in</w:t>
      </w:r>
      <w:r>
        <w:rPr>
          <w:rFonts w:ascii="Arial" w:cs="Arial" w:eastAsia="Arial" w:hAnsi="Arial"/>
          <w:sz w:val="18"/>
          <w:szCs w:val="18"/>
          <w:u w:val="single" w:color="auto"/>
          <w:color w:val="008000"/>
          <w:strike w:val="1"/>
        </w:rPr>
        <w:t xml:space="preserve"> </w:t>
      </w:r>
      <w:r>
        <w:rPr>
          <w:rFonts w:ascii="Arial" w:cs="Arial" w:eastAsia="Arial" w:hAnsi="Arial"/>
          <w:sz w:val="18"/>
          <w:szCs w:val="18"/>
          <w:u w:val="single" w:color="auto"/>
          <w:color w:val="0000FF"/>
          <w:strike w:val="1"/>
        </w:rPr>
        <w:t>the aggregate during the term of this Agreement; and</w:t>
      </w:r>
    </w:p>
    <w:p>
      <w:pPr>
        <w:spacing w:after="0" w:line="187" w:lineRule="exact"/>
        <w:rPr>
          <w:rFonts w:ascii="Arial" w:cs="Arial" w:eastAsia="Arial" w:hAnsi="Arial"/>
          <w:sz w:val="18"/>
          <w:szCs w:val="18"/>
          <w:u w:val="single" w:color="auto"/>
          <w:color w:val="0000FF"/>
        </w:rPr>
      </w:pPr>
    </w:p>
    <w:p>
      <w:pPr>
        <w:ind w:left="764" w:hanging="324"/>
        <w:spacing w:after="0"/>
        <w:tabs>
          <w:tab w:leader="none" w:pos="764" w:val="left"/>
        </w:tabs>
        <w:numPr>
          <w:ilvl w:val="0"/>
          <w:numId w:val="1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CCAA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-798830</wp:posOffset>
            </wp:positionV>
            <wp:extent cx="18859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-798830</wp:posOffset>
            </wp:positionV>
            <wp:extent cx="145732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-524510</wp:posOffset>
            </wp:positionV>
            <wp:extent cx="80581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-387350</wp:posOffset>
            </wp:positionV>
            <wp:extent cx="69176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2425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23495</wp:posOffset>
            </wp:positionV>
            <wp:extent cx="111442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u w:val="single" w:color="auto"/>
          <w:color w:val="0000FF"/>
        </w:rPr>
        <w:t>Section 7.02</w:t>
      </w:r>
      <w:r>
        <w:rPr>
          <w:rFonts w:ascii="Arial" w:cs="Arial" w:eastAsia="Arial" w:hAnsi="Arial"/>
          <w:sz w:val="18"/>
          <w:szCs w:val="18"/>
          <w:color w:val="0000FF"/>
        </w:rPr>
        <w:t xml:space="preserve"> </w:t>
      </w:r>
      <w:r>
        <w:rPr>
          <w:rFonts w:ascii="Arial" w:cs="Arial" w:eastAsia="Arial" w:hAnsi="Arial"/>
          <w:sz w:val="18"/>
          <w:szCs w:val="18"/>
          <w:color w:val="FF0000"/>
          <w:strike w:val="1"/>
        </w:rPr>
        <w:t>Section 7.02.</w:t>
      </w:r>
      <w:r>
        <w:rPr>
          <w:rFonts w:ascii="Arial" w:cs="Arial" w:eastAsia="Arial" w:hAnsi="Arial"/>
          <w:sz w:val="18"/>
          <w:szCs w:val="18"/>
          <w:color w:val="0000FF"/>
        </w:rPr>
        <w:t xml:space="preserve"> </w:t>
      </w:r>
      <w:r>
        <w:rPr>
          <w:rFonts w:ascii="Arial" w:cs="Arial" w:eastAsia="Arial" w:hAnsi="Arial"/>
          <w:sz w:val="18"/>
          <w:szCs w:val="18"/>
          <w:i w:val="1"/>
          <w:iCs w:val="1"/>
          <w:color w:val="000000"/>
        </w:rPr>
        <w:t>Investments.</w:t>
      </w:r>
      <w:r>
        <w:rPr>
          <w:rFonts w:ascii="Arial" w:cs="Arial" w:eastAsia="Arial" w:hAnsi="Arial"/>
          <w:sz w:val="18"/>
          <w:szCs w:val="18"/>
          <w:color w:val="0000FF"/>
        </w:rPr>
        <w:t xml:space="preserve"> </w:t>
      </w:r>
      <w:r>
        <w:rPr>
          <w:rFonts w:ascii="Arial" w:cs="Arial" w:eastAsia="Arial" w:hAnsi="Arial"/>
          <w:sz w:val="18"/>
          <w:szCs w:val="18"/>
          <w:color w:val="000000"/>
        </w:rPr>
        <w:t>The Borrower shall not, nor shall it permit any</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color w:val="0000FF"/>
        </w:rPr>
        <w:t xml:space="preserve"> </w:t>
      </w:r>
      <w:r>
        <w:rPr>
          <w:rFonts w:ascii="Arial" w:cs="Arial" w:eastAsia="Arial" w:hAnsi="Arial"/>
          <w:sz w:val="18"/>
          <w:szCs w:val="18"/>
          <w:color w:val="000000"/>
        </w:rPr>
        <w:t>Subsidiary to, directly or indirectly, make or</w:t>
      </w:r>
      <w:r>
        <w:rPr>
          <w:rFonts w:ascii="Arial" w:cs="Arial" w:eastAsia="Arial" w:hAnsi="Arial"/>
          <w:sz w:val="18"/>
          <w:szCs w:val="18"/>
          <w:color w:val="0000FF"/>
        </w:rPr>
        <w:t xml:space="preserve"> </w:t>
      </w:r>
      <w:r>
        <w:rPr>
          <w:rFonts w:ascii="Arial" w:cs="Arial" w:eastAsia="Arial" w:hAnsi="Arial"/>
          <w:sz w:val="18"/>
          <w:szCs w:val="18"/>
          <w:color w:val="000000"/>
        </w:rPr>
        <w:t>hold any Investments,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0007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50" w:lineRule="exact"/>
        <w:rPr>
          <w:sz w:val="20"/>
          <w:szCs w:val="20"/>
          <w:color w:val="auto"/>
        </w:rPr>
      </w:pPr>
    </w:p>
    <w:p>
      <w:pPr>
        <w:ind w:left="4" w:right="500" w:firstLine="436"/>
        <w:spacing w:after="0" w:line="277" w:lineRule="auto"/>
        <w:tabs>
          <w:tab w:leader="none" w:pos="68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Investments by the Borrower or any of the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in cash or Cash Equivalents </w:t>
      </w:r>
      <w:r>
        <w:rPr>
          <w:rFonts w:ascii="Arial" w:cs="Arial" w:eastAsia="Arial" w:hAnsi="Arial"/>
          <w:sz w:val="18"/>
          <w:szCs w:val="18"/>
          <w:color w:val="0000FF"/>
        </w:rPr>
        <w:t>in accordance with the Approved Budget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(subject to Permitted Variances)</w:t>
      </w:r>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ind w:left="4" w:right="60" w:firstLine="436"/>
        <w:spacing w:after="0" w:line="286" w:lineRule="auto"/>
        <w:tabs>
          <w:tab w:leader="none" w:pos="699" w:val="left"/>
        </w:tabs>
        <w:numPr>
          <w:ilvl w:val="1"/>
          <w:numId w:val="195"/>
        </w:numPr>
        <w:rPr>
          <w:rFonts w:ascii="Arial" w:cs="Arial" w:eastAsia="Arial" w:hAnsi="Arial"/>
          <w:sz w:val="16"/>
          <w:szCs w:val="16"/>
          <w:color w:val="FF0000"/>
          <w:strike w:val="1"/>
        </w:rPr>
      </w:pPr>
      <w:r>
        <w:rPr>
          <w:rFonts w:ascii="Arial" w:cs="Arial" w:eastAsia="Arial" w:hAnsi="Arial"/>
          <w:sz w:val="16"/>
          <w:szCs w:val="16"/>
          <w:color w:val="FF0000"/>
          <w:strike w:val="1"/>
        </w:rPr>
        <w:t xml:space="preserve">loans or advances to officers, directors and employees of </w:t>
      </w:r>
      <w:r>
        <w:rPr>
          <w:rFonts w:ascii="Arial" w:cs="Arial" w:eastAsia="Arial" w:hAnsi="Arial"/>
          <w:sz w:val="16"/>
          <w:szCs w:val="16"/>
          <w:color w:val="008000"/>
          <w:strike w:val="1"/>
        </w:rPr>
        <w:t>any Loan Party or any of its</w:t>
      </w:r>
      <w:r>
        <w:rPr>
          <w:rFonts w:ascii="Arial" w:cs="Arial" w:eastAsia="Arial" w:hAnsi="Arial"/>
          <w:sz w:val="16"/>
          <w:szCs w:val="16"/>
          <w:color w:val="FF0000"/>
          <w:strike w:val="1"/>
        </w:rPr>
        <w:t xml:space="preserve"> Restricted Subsidiaries (i) for reasonable and customary business-related travel, entertainment, relocation and analogous ordinary business purposes, in each case, consistent with past practice (including pursuant to use of any credit cards, credit card processing services, debit cards, stored value cards, purchase cards (including so-called “procurement cards” or “P-cards”) or other similar cash management services), (ii) in connection with such Person’s purchase of Equity Interests of the Borrower and</w:t>
      </w:r>
    </w:p>
    <w:p>
      <w:pPr>
        <w:spacing w:after="0" w:line="1" w:lineRule="exact"/>
        <w:rPr>
          <w:rFonts w:ascii="Arial" w:cs="Arial" w:eastAsia="Arial" w:hAnsi="Arial"/>
          <w:sz w:val="16"/>
          <w:szCs w:val="16"/>
          <w:color w:val="FF0000"/>
          <w:strike w:val="1"/>
        </w:rPr>
      </w:pPr>
    </w:p>
    <w:p>
      <w:pPr>
        <w:ind w:left="4" w:right="540" w:hanging="4"/>
        <w:spacing w:after="0" w:line="260" w:lineRule="auto"/>
        <w:tabs>
          <w:tab w:leader="none" w:pos="319" w:val="left"/>
        </w:tabs>
        <w:numPr>
          <w:ilvl w:val="0"/>
          <w:numId w:val="19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for any other corporate purposes not described in the foregoing clauses (i) and (ii);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the aggregate principal amount of loans and advances outstanding at any time under this </w:t>
      </w:r>
      <w:r>
        <w:rPr>
          <w:rFonts w:ascii="Arial" w:cs="Arial" w:eastAsia="Arial" w:hAnsi="Arial"/>
          <w:sz w:val="18"/>
          <w:szCs w:val="18"/>
          <w:u w:val="single" w:color="auto"/>
          <w:color w:val="FF0000"/>
          <w:strike w:val="1"/>
        </w:rPr>
        <w:t>Section 7.02(b)(ii)</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(iii)</w:t>
      </w:r>
      <w:r>
        <w:rPr>
          <w:rFonts w:ascii="Arial" w:cs="Arial" w:eastAsia="Arial" w:hAnsi="Arial"/>
          <w:sz w:val="18"/>
          <w:szCs w:val="18"/>
          <w:color w:val="FF0000"/>
          <w:strike w:val="1"/>
        </w:rPr>
        <w:t xml:space="preserve"> shall not exceed $2,000,000;</w:t>
      </w:r>
    </w:p>
    <w:p>
      <w:pPr>
        <w:spacing w:after="0" w:line="185" w:lineRule="exact"/>
        <w:rPr>
          <w:rFonts w:ascii="Arial" w:cs="Arial" w:eastAsia="Arial" w:hAnsi="Arial"/>
          <w:sz w:val="18"/>
          <w:szCs w:val="18"/>
          <w:color w:val="FF0000"/>
          <w:strike w:val="1"/>
        </w:rPr>
      </w:pPr>
    </w:p>
    <w:p>
      <w:pPr>
        <w:ind w:left="704" w:hanging="264"/>
        <w:spacing w:after="0"/>
        <w:tabs>
          <w:tab w:leader="none" w:pos="704" w:val="left"/>
        </w:tabs>
        <w:numPr>
          <w:ilvl w:val="1"/>
          <w:numId w:val="19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4" w:firstLine="436"/>
        <w:spacing w:after="0" w:line="275" w:lineRule="auto"/>
        <w:tabs>
          <w:tab w:leader="none" w:pos="68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Investments (i) by </w:t>
      </w:r>
      <w:r>
        <w:rPr>
          <w:rFonts w:ascii="Arial" w:cs="Arial" w:eastAsia="Arial" w:hAnsi="Arial"/>
          <w:sz w:val="17"/>
          <w:szCs w:val="17"/>
          <w:color w:val="FF0000"/>
          <w:strike w:val="1"/>
        </w:rPr>
        <w:t>the Borrower or any Restricted Subsidiary in any Loan Party (or any newly formed wholly owned Restricted Subsidiary that</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is not an Excluded Subsidiary and is to become a Loan Party in accordance with </w:t>
      </w:r>
      <w:r>
        <w:rPr>
          <w:rFonts w:ascii="Arial" w:cs="Arial" w:eastAsia="Arial" w:hAnsi="Arial"/>
          <w:sz w:val="17"/>
          <w:szCs w:val="17"/>
          <w:u w:val="single" w:color="auto"/>
          <w:color w:val="FF0000"/>
          <w:strike w:val="1"/>
        </w:rPr>
        <w:t>Section 6.11</w:t>
      </w:r>
      <w:r>
        <w:rPr>
          <w:rFonts w:ascii="Arial" w:cs="Arial" w:eastAsia="Arial" w:hAnsi="Arial"/>
          <w:sz w:val="17"/>
          <w:szCs w:val="17"/>
          <w:color w:val="FF0000"/>
          <w:strike w:val="1"/>
        </w:rPr>
        <w:t>), (ii) by any Restricted Subsidiary that is not a Loan Party in any other Restricted Subsidiary that is not a Loan Party and (iii</w:t>
      </w:r>
      <w:r>
        <w:rPr>
          <w:rFonts w:ascii="Arial" w:cs="Arial" w:eastAsia="Arial" w:hAnsi="Arial"/>
          <w:sz w:val="17"/>
          <w:szCs w:val="17"/>
          <w:u w:val="single" w:color="auto"/>
          <w:color w:val="0000FF"/>
          <w:strike w:val="1"/>
        </w:rPr>
        <w:t>and among Loan Parties and (ii</w:t>
      </w:r>
      <w:r>
        <w:rPr>
          <w:rFonts w:ascii="Arial" w:cs="Arial" w:eastAsia="Arial" w:hAnsi="Arial"/>
          <w:sz w:val="17"/>
          <w:szCs w:val="17"/>
          <w:color w:val="000000"/>
          <w:strike w:val="1"/>
        </w:rPr>
        <w:t>) by any Loan Party in a</w:t>
      </w:r>
      <w:r>
        <w:rPr>
          <w:rFonts w:ascii="Arial" w:cs="Arial" w:eastAsia="Arial" w:hAnsi="Arial"/>
          <w:sz w:val="17"/>
          <w:szCs w:val="17"/>
          <w:color w:val="FF0000"/>
          <w:strike w:val="1"/>
        </w:rPr>
        <w:t xml:space="preserve"> Restricted </w:t>
      </w:r>
      <w:r>
        <w:rPr>
          <w:rFonts w:ascii="Arial" w:cs="Arial" w:eastAsia="Arial" w:hAnsi="Arial"/>
          <w:sz w:val="17"/>
          <w:szCs w:val="17"/>
          <w:color w:val="000000"/>
          <w:strike w:val="1"/>
        </w:rPr>
        <w:t>Subsidiary that is</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not a Loan Party; </w:t>
      </w:r>
      <w:r>
        <w:rPr>
          <w:rFonts w:ascii="Arial" w:cs="Arial" w:eastAsia="Arial" w:hAnsi="Arial"/>
          <w:sz w:val="17"/>
          <w:szCs w:val="17"/>
          <w:i w:val="1"/>
          <w:iCs w:val="1"/>
          <w:color w:val="000000"/>
          <w:strike w:val="1"/>
        </w:rPr>
        <w:t>provided</w:t>
      </w:r>
      <w:r>
        <w:rPr>
          <w:rFonts w:ascii="Arial" w:cs="Arial" w:eastAsia="Arial" w:hAnsi="Arial"/>
          <w:sz w:val="17"/>
          <w:szCs w:val="17"/>
          <w:color w:val="FF0000"/>
          <w:strike w:val="1"/>
        </w:rPr>
        <w:t>,</w:t>
      </w:r>
      <w:r>
        <w:rPr>
          <w:rFonts w:ascii="Arial" w:cs="Arial" w:eastAsia="Arial" w:hAnsi="Arial"/>
          <w:sz w:val="17"/>
          <w:szCs w:val="17"/>
          <w:color w:val="000000"/>
          <w:strike w:val="1"/>
        </w:rPr>
        <w:t xml:space="preserve"> that the aggregate amount of Investments </w:t>
      </w:r>
      <w:r>
        <w:rPr>
          <w:rFonts w:ascii="Arial" w:cs="Arial" w:eastAsia="Arial" w:hAnsi="Arial"/>
          <w:sz w:val="17"/>
          <w:szCs w:val="17"/>
          <w:color w:val="FF0000"/>
          <w:strike w:val="1"/>
        </w:rPr>
        <w:t>at any time outstanding</w:t>
      </w:r>
      <w:r>
        <w:rPr>
          <w:rFonts w:ascii="Arial" w:cs="Arial" w:eastAsia="Arial" w:hAnsi="Arial"/>
          <w:sz w:val="17"/>
          <w:szCs w:val="17"/>
          <w:color w:val="000000"/>
          <w:strike w:val="1"/>
        </w:rPr>
        <w:t xml:space="preserve"> under this clause (</w:t>
      </w:r>
      <w:r>
        <w:rPr>
          <w:rFonts w:ascii="Arial" w:cs="Arial" w:eastAsia="Arial" w:hAnsi="Arial"/>
          <w:sz w:val="17"/>
          <w:szCs w:val="17"/>
          <w:color w:val="FF0000"/>
          <w:strike w:val="1"/>
        </w:rPr>
        <w:t>iii</w:t>
      </w:r>
      <w:r>
        <w:rPr>
          <w:rFonts w:ascii="Arial" w:cs="Arial" w:eastAsia="Arial" w:hAnsi="Arial"/>
          <w:sz w:val="17"/>
          <w:szCs w:val="17"/>
          <w:u w:val="single" w:color="auto"/>
          <w:color w:val="0000FF"/>
          <w:strike w:val="1"/>
        </w:rPr>
        <w:t>ii</w:t>
      </w:r>
      <w:r>
        <w:rPr>
          <w:rFonts w:ascii="Arial" w:cs="Arial" w:eastAsia="Arial" w:hAnsi="Arial"/>
          <w:sz w:val="17"/>
          <w:szCs w:val="17"/>
          <w:color w:val="000000"/>
          <w:strike w:val="1"/>
        </w:rPr>
        <w:t xml:space="preserve">) shall not exceed </w:t>
      </w:r>
      <w:r>
        <w:rPr>
          <w:rFonts w:ascii="Arial" w:cs="Arial" w:eastAsia="Arial" w:hAnsi="Arial"/>
          <w:sz w:val="17"/>
          <w:szCs w:val="17"/>
          <w:color w:val="FF0000"/>
          <w:strike w:val="1"/>
        </w:rPr>
        <w:t>as of and after the</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 xml:space="preserve">Amendment No. 3 Effective Date, </w:t>
      </w:r>
      <w:r>
        <w:rPr>
          <w:rFonts w:ascii="Arial" w:cs="Arial" w:eastAsia="Arial" w:hAnsi="Arial"/>
          <w:sz w:val="17"/>
          <w:szCs w:val="17"/>
          <w:color w:val="000000"/>
          <w:strike w:val="1"/>
        </w:rPr>
        <w:t>$</w:t>
      </w:r>
      <w:r>
        <w:rPr>
          <w:rFonts w:ascii="Arial" w:cs="Arial" w:eastAsia="Arial" w:hAnsi="Arial"/>
          <w:sz w:val="17"/>
          <w:szCs w:val="17"/>
          <w:u w:val="single" w:color="auto"/>
          <w:color w:val="0000FF"/>
          <w:strike w:val="1"/>
        </w:rPr>
        <w:t>3</w:t>
      </w:r>
      <w:r>
        <w:rPr>
          <w:rFonts w:ascii="Arial" w:cs="Arial" w:eastAsia="Arial" w:hAnsi="Arial"/>
          <w:sz w:val="17"/>
          <w:szCs w:val="17"/>
          <w:color w:val="000000"/>
          <w:strike w:val="1"/>
        </w:rPr>
        <w:t>5</w:t>
      </w:r>
      <w:r>
        <w:rPr>
          <w:rFonts w:ascii="Arial" w:cs="Arial" w:eastAsia="Arial" w:hAnsi="Arial"/>
          <w:sz w:val="17"/>
          <w:szCs w:val="17"/>
          <w:color w:val="FF0000"/>
          <w:strike w:val="1"/>
        </w:rPr>
        <w:t>,00</w:t>
      </w:r>
      <w:r>
        <w:rPr>
          <w:rFonts w:ascii="Arial" w:cs="Arial" w:eastAsia="Arial" w:hAnsi="Arial"/>
          <w:sz w:val="17"/>
          <w:szCs w:val="17"/>
          <w:color w:val="000000"/>
          <w:strike w:val="1"/>
        </w:rPr>
        <w:t>0,000</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during the term of this Agreement;</w:t>
      </w:r>
    </w:p>
    <w:p>
      <w:pPr>
        <w:spacing w:after="0" w:line="176" w:lineRule="exact"/>
        <w:rPr>
          <w:rFonts w:ascii="Arial" w:cs="Arial" w:eastAsia="Arial" w:hAnsi="Arial"/>
          <w:sz w:val="17"/>
          <w:szCs w:val="17"/>
          <w:color w:val="auto"/>
        </w:rPr>
      </w:pPr>
    </w:p>
    <w:p>
      <w:pPr>
        <w:ind w:left="4" w:right="140" w:firstLine="436"/>
        <w:spacing w:after="0" w:line="277"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or other credits to suppliers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-2616835</wp:posOffset>
            </wp:positionV>
            <wp:extent cx="190309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-2651125</wp:posOffset>
            </wp:positionV>
            <wp:extent cx="190373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9037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-2479675</wp:posOffset>
            </wp:positionV>
            <wp:extent cx="145732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-1245235</wp:posOffset>
            </wp:positionV>
            <wp:extent cx="65151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-696595</wp:posOffset>
            </wp:positionV>
            <wp:extent cx="1431925"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-559435</wp:posOffset>
            </wp:positionV>
            <wp:extent cx="6032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-422275</wp:posOffset>
            </wp:positionV>
            <wp:extent cx="212598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8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4"/>
          </w:cols>
          <w:pgMar w:left="436" w:top="274" w:right="479" w:bottom="1440" w:gutter="0" w:footer="0" w:header="0"/>
        </w:sectPr>
      </w:pPr>
    </w:p>
    <w:bookmarkStart w:id="266" w:name="page267"/>
    <w:bookmarkEnd w:id="266"/>
    <w:p>
      <w:pPr>
        <w:ind w:left="4" w:right="40" w:firstLine="436"/>
        <w:spacing w:after="0" w:line="287" w:lineRule="auto"/>
        <w:tabs>
          <w:tab w:leader="none" w:pos="689" w:val="left"/>
        </w:tabs>
        <w:numPr>
          <w:ilvl w:val="1"/>
          <w:numId w:val="197"/>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(i) existing or contemplated on the Restatement Effective Date and set forth on </w:t>
      </w:r>
      <w:r>
        <w:rPr>
          <w:rFonts w:ascii="Arial" w:cs="Arial" w:eastAsia="Arial" w:hAnsi="Arial"/>
          <w:sz w:val="16"/>
          <w:szCs w:val="16"/>
          <w:u w:val="single" w:color="auto"/>
          <w:color w:val="FF0000"/>
          <w:strike w:val="1"/>
        </w:rPr>
        <w:t>Schedule 7.02(e)</w:t>
      </w:r>
      <w:r>
        <w:rPr>
          <w:rFonts w:ascii="Arial" w:cs="Arial" w:eastAsia="Arial" w:hAnsi="Arial"/>
          <w:sz w:val="16"/>
          <w:szCs w:val="16"/>
          <w:color w:val="FF0000"/>
          <w:strike w:val="1"/>
        </w:rPr>
        <w:t xml:space="preserve"> (including unused commitments) and any modification, replacement, renewal or extension thereof and (ii) existing on the Restatement Effective Date by the Borrower or any other Restricted Subsidiary in any Restricted Subsidiary and any modification, replacement, renewal or extension thereof; provided, that in the case of clause</w:t>
      </w:r>
    </w:p>
    <w:p>
      <w:pPr>
        <w:spacing w:after="0" w:line="2" w:lineRule="exact"/>
        <w:rPr>
          <w:rFonts w:ascii="Arial" w:cs="Arial" w:eastAsia="Arial" w:hAnsi="Arial"/>
          <w:sz w:val="16"/>
          <w:szCs w:val="16"/>
          <w:color w:val="FF0000"/>
          <w:strike w:val="1"/>
        </w:rPr>
      </w:pPr>
    </w:p>
    <w:p>
      <w:pPr>
        <w:ind w:left="4" w:right="60" w:hanging="4"/>
        <w:spacing w:after="0" w:line="255" w:lineRule="auto"/>
        <w:tabs>
          <w:tab w:leader="none" w:pos="219" w:val="left"/>
        </w:tabs>
        <w:numPr>
          <w:ilvl w:val="0"/>
          <w:numId w:val="19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and clause (ii) the amount of the original Investment is not increased except by the terms of such original Investment as set forth on Schedule 7.02(e) or as otherwise permitted by this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(and in such case made in reliance on the other paragraph of this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so permitting such modification, replacement, renewal or extension thereof);</w:t>
      </w:r>
    </w:p>
    <w:p>
      <w:pPr>
        <w:spacing w:after="0" w:line="81" w:lineRule="exact"/>
        <w:rPr>
          <w:rFonts w:ascii="Arial" w:cs="Arial" w:eastAsia="Arial" w:hAnsi="Arial"/>
          <w:sz w:val="18"/>
          <w:szCs w:val="18"/>
          <w:color w:val="FF0000"/>
          <w:strike w:val="1"/>
        </w:rPr>
      </w:pPr>
    </w:p>
    <w:p>
      <w:pPr>
        <w:ind w:left="684" w:hanging="244"/>
        <w:spacing w:after="0"/>
        <w:tabs>
          <w:tab w:leader="none" w:pos="684" w:val="left"/>
        </w:tabs>
        <w:numPr>
          <w:ilvl w:val="1"/>
          <w:numId w:val="1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Investments existing on the Petition Date and set forth on Schedule 7.02(e);</w:t>
      </w:r>
    </w:p>
    <w:p>
      <w:pPr>
        <w:spacing w:after="0" w:line="225" w:lineRule="exact"/>
        <w:rPr>
          <w:rFonts w:ascii="Arial" w:cs="Arial" w:eastAsia="Arial" w:hAnsi="Arial"/>
          <w:sz w:val="18"/>
          <w:szCs w:val="18"/>
          <w:u w:val="single" w:color="auto"/>
          <w:color w:val="0000FF"/>
        </w:rPr>
      </w:pPr>
    </w:p>
    <w:p>
      <w:pPr>
        <w:ind w:left="664" w:hanging="224"/>
        <w:spacing w:after="0"/>
        <w:tabs>
          <w:tab w:leader="none" w:pos="66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Investments in Swap Contracts </w:t>
      </w:r>
      <w:r>
        <w:rPr>
          <w:rFonts w:ascii="Arial" w:cs="Arial" w:eastAsia="Arial" w:hAnsi="Arial"/>
          <w:sz w:val="18"/>
          <w:szCs w:val="18"/>
          <w:color w:val="FF0000"/>
          <w:strike w:val="1"/>
        </w:rPr>
        <w:t>permitted under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7.03;</w:t>
      </w:r>
      <w:r>
        <w:rPr>
          <w:rFonts w:ascii="Arial" w:cs="Arial" w:eastAsia="Arial" w:hAnsi="Arial"/>
          <w:sz w:val="18"/>
          <w:szCs w:val="18"/>
          <w:color w:val="auto"/>
        </w:rPr>
        <w:t xml:space="preserve"> </w:t>
      </w:r>
      <w:r>
        <w:rPr>
          <w:rFonts w:ascii="Arial" w:cs="Arial" w:eastAsia="Arial" w:hAnsi="Arial"/>
          <w:sz w:val="18"/>
          <w:szCs w:val="18"/>
          <w:color w:val="0000FF"/>
        </w:rPr>
        <w:t>as in effect immediately prior to the Petition Date.</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1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704" w:hanging="264"/>
        <w:spacing w:after="0"/>
        <w:tabs>
          <w:tab w:leader="none" w:pos="704" w:val="left"/>
        </w:tabs>
        <w:numPr>
          <w:ilvl w:val="1"/>
          <w:numId w:val="1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-798830</wp:posOffset>
            </wp:positionV>
            <wp:extent cx="360870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3608705" cy="825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-524510</wp:posOffset>
            </wp:positionV>
            <wp:extent cx="232283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232283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-558800</wp:posOffset>
            </wp:positionV>
            <wp:extent cx="23202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23202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-250190</wp:posOffset>
            </wp:positionV>
            <wp:extent cx="65151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23495</wp:posOffset>
            </wp:positionV>
            <wp:extent cx="65151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left="704" w:hanging="264"/>
        <w:spacing w:after="0"/>
        <w:tabs>
          <w:tab w:leader="none" w:pos="704" w:val="left"/>
        </w:tabs>
        <w:numPr>
          <w:ilvl w:val="1"/>
          <w:numId w:val="199"/>
        </w:numPr>
        <w:rPr>
          <w:rFonts w:ascii="Arial" w:cs="Arial" w:eastAsia="Arial" w:hAnsi="Arial"/>
          <w:sz w:val="18"/>
          <w:szCs w:val="18"/>
          <w:color w:val="FF0000"/>
          <w:strike w:val="1"/>
        </w:rPr>
      </w:pPr>
      <w:r>
        <w:rPr>
          <w:rFonts w:ascii="Arial" w:cs="Arial" w:eastAsia="Arial" w:hAnsi="Arial"/>
          <w:sz w:val="18"/>
          <w:szCs w:val="18"/>
          <w:color w:val="FF0000"/>
          <w:strike w:val="1"/>
        </w:rPr>
        <w:t xml:space="preserve">promissory notes and other non-cash consideration received in connection with Dispositions permitted by </w:t>
      </w:r>
      <w:r>
        <w:rPr>
          <w:rFonts w:ascii="Arial" w:cs="Arial" w:eastAsia="Arial" w:hAnsi="Arial"/>
          <w:sz w:val="18"/>
          <w:szCs w:val="18"/>
          <w:u w:val="single" w:color="auto"/>
          <w:color w:val="FF0000"/>
          <w:strike w:val="1"/>
        </w:rPr>
        <w:t>Section 7.05;</w:t>
      </w:r>
    </w:p>
    <w:p>
      <w:pPr>
        <w:spacing w:after="0" w:line="225" w:lineRule="exact"/>
        <w:rPr>
          <w:rFonts w:ascii="Arial" w:cs="Arial" w:eastAsia="Arial" w:hAnsi="Arial"/>
          <w:sz w:val="18"/>
          <w:szCs w:val="18"/>
          <w:color w:val="FF0000"/>
          <w:strike w:val="1"/>
        </w:rPr>
      </w:pPr>
    </w:p>
    <w:p>
      <w:pPr>
        <w:ind w:left="4" w:firstLine="436"/>
        <w:spacing w:after="0" w:line="283" w:lineRule="auto"/>
        <w:tabs>
          <w:tab w:leader="none" w:pos="699" w:val="left"/>
        </w:tabs>
        <w:numPr>
          <w:ilvl w:val="1"/>
          <w:numId w:val="199"/>
        </w:numPr>
        <w:rPr>
          <w:rFonts w:ascii="Arial" w:cs="Arial" w:eastAsia="Arial" w:hAnsi="Arial"/>
          <w:sz w:val="16"/>
          <w:szCs w:val="16"/>
          <w:color w:val="FF0000"/>
          <w:strike w:val="1"/>
        </w:rPr>
      </w:pPr>
      <w:r>
        <w:rPr>
          <w:rFonts w:ascii="Arial" w:cs="Arial" w:eastAsia="Arial" w:hAnsi="Arial"/>
          <w:sz w:val="16"/>
          <w:szCs w:val="16"/>
          <w:color w:val="FF0000"/>
          <w:strike w:val="1"/>
        </w:rPr>
        <w:t xml:space="preserve">any acquisition by the Borrower or any Restricted Subsidiary of all or substantially all the assets of, or all the Equity Interests (other than directors’ qualifying shares, shares issued to foreign nationals as required by applicable law or any options for Equity Interests that cannot, as a matter of law, be cancelled, redeemed or otherwise extinguished without the express agreement of the holder thereof at or prior to acquisition) in, a Person or division, business unit or line of business of a Person (or any subsequent investment made in a Person, division, business unit or line of business previously acquired in a Permitted Acquisition), in each case in a single transaction or series of related transactions, if (i) no Event of Default shall have occurred and be continuing or would result therefrom at the time of entering in the agreement to consummate such acquisition; (ii) all transactions related thereto shall be consummated in all material respects in accordance with applicable Laws; (iii) as of the most recently ended fiscal quarter for which financial statements of the Borrower and the target are available, (A) the Borrower and the Restricted Subsidiaries shall be in compliance, on a Pro Forma Basis, with the covenant set forth in </w:t>
      </w:r>
      <w:r>
        <w:rPr>
          <w:rFonts w:ascii="Arial" w:cs="Arial" w:eastAsia="Arial" w:hAnsi="Arial"/>
          <w:sz w:val="16"/>
          <w:szCs w:val="16"/>
          <w:u w:val="single" w:color="auto"/>
          <w:color w:val="FF0000"/>
          <w:strike w:val="1"/>
        </w:rPr>
        <w:t>Section 7.10</w:t>
      </w:r>
      <w:r>
        <w:rPr>
          <w:rFonts w:ascii="Arial" w:cs="Arial" w:eastAsia="Arial" w:hAnsi="Arial"/>
          <w:sz w:val="16"/>
          <w:szCs w:val="16"/>
          <w:color w:val="FF0000"/>
          <w:strike w:val="1"/>
        </w:rPr>
        <w:t xml:space="preserve"> and (B) the Total Leverage Ratio, on a Pro Forma Basis, for the Test Period most recently ended shall not be greater than 3.00:1.00, in each case, after giving effect to such acquisition or investment and any related transactions; (iv) any acquired or newly formed Restricted Subsidiary shall not be liable for any Indebtedness except for Indebtedness otherwise permitted by </w:t>
      </w:r>
      <w:r>
        <w:rPr>
          <w:rFonts w:ascii="Arial" w:cs="Arial" w:eastAsia="Arial" w:hAnsi="Arial"/>
          <w:sz w:val="16"/>
          <w:szCs w:val="16"/>
          <w:u w:val="single" w:color="auto"/>
          <w:color w:val="FF0000"/>
          <w:strike w:val="1"/>
        </w:rPr>
        <w:t>Section 7.03;</w:t>
      </w:r>
    </w:p>
    <w:p>
      <w:pPr>
        <w:spacing w:after="0" w:line="3" w:lineRule="exact"/>
        <w:rPr>
          <w:rFonts w:ascii="Arial" w:cs="Arial" w:eastAsia="Arial" w:hAnsi="Arial"/>
          <w:sz w:val="16"/>
          <w:szCs w:val="16"/>
          <w:color w:val="FF0000"/>
          <w:strike w:val="1"/>
        </w:rPr>
      </w:pPr>
    </w:p>
    <w:p>
      <w:pPr>
        <w:ind w:left="4" w:right="60" w:hanging="4"/>
        <w:spacing w:after="0" w:line="268" w:lineRule="auto"/>
        <w:tabs>
          <w:tab w:leader="none" w:pos="259" w:val="left"/>
        </w:tabs>
        <w:numPr>
          <w:ilvl w:val="0"/>
          <w:numId w:val="200"/>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to the extent required by the Collateral and Guarantee Requirement, (A) the property, assets and businesses acquired in such purchase or other acquisition shall constitute Collateral and (B) any such newly created or acquired Subsidiary (other than an Excluded Subsidiary) shall become a Guarantor, in each case, to the extent required by and in accordance with </w:t>
      </w:r>
      <w:r>
        <w:rPr>
          <w:rFonts w:ascii="Arial" w:cs="Arial" w:eastAsia="Arial" w:hAnsi="Arial"/>
          <w:sz w:val="17"/>
          <w:szCs w:val="17"/>
          <w:u w:val="single" w:color="auto"/>
          <w:color w:val="FF0000"/>
          <w:strike w:val="1"/>
        </w:rPr>
        <w:t>Section 6.11;</w:t>
      </w:r>
      <w:r>
        <w:rPr>
          <w:rFonts w:ascii="Arial" w:cs="Arial" w:eastAsia="Arial" w:hAnsi="Arial"/>
          <w:sz w:val="17"/>
          <w:szCs w:val="17"/>
          <w:color w:val="FF0000"/>
          <w:strike w:val="1"/>
        </w:rPr>
        <w:t xml:space="preserve"> (vi) the businesses acquired in such purchase or other acquisition shall be in compliance with </w:t>
      </w:r>
      <w:r>
        <w:rPr>
          <w:rFonts w:ascii="Arial" w:cs="Arial" w:eastAsia="Arial" w:hAnsi="Arial"/>
          <w:sz w:val="17"/>
          <w:szCs w:val="17"/>
          <w:u w:val="single" w:color="auto"/>
          <w:color w:val="FF0000"/>
          <w:strike w:val="1"/>
        </w:rPr>
        <w:t>Section 7.07;</w:t>
      </w:r>
      <w:r>
        <w:rPr>
          <w:rFonts w:ascii="Arial" w:cs="Arial" w:eastAsia="Arial" w:hAnsi="Arial"/>
          <w:sz w:val="17"/>
          <w:szCs w:val="17"/>
          <w:color w:val="FF0000"/>
          <w:strike w:val="1"/>
        </w:rPr>
        <w:t xml:space="preserve"> and (vii) the Borrower shall have delivered to the Administrative Agent a certificate of a Responsible Officer of the Borrower certifying that the conditions set forth in the preceding clauses (i) through (v) have been satisfied (any such acquisition, a “</w:t>
      </w:r>
      <w:r>
        <w:rPr>
          <w:rFonts w:ascii="Arial" w:cs="Arial" w:eastAsia="Arial" w:hAnsi="Arial"/>
          <w:sz w:val="17"/>
          <w:szCs w:val="17"/>
          <w:b w:val="1"/>
          <w:bCs w:val="1"/>
          <w:color w:val="FF0000"/>
          <w:strike w:val="1"/>
        </w:rPr>
        <w:t>Permitted</w:t>
      </w:r>
      <w:r>
        <w:rPr>
          <w:rFonts w:ascii="Arial" w:cs="Arial" w:eastAsia="Arial" w:hAnsi="Arial"/>
          <w:sz w:val="17"/>
          <w:szCs w:val="17"/>
          <w:color w:val="FF0000"/>
          <w:strike w:val="1"/>
        </w:rPr>
        <w:t xml:space="preserve"> </w:t>
      </w:r>
      <w:r>
        <w:rPr>
          <w:rFonts w:ascii="Arial" w:cs="Arial" w:eastAsia="Arial" w:hAnsi="Arial"/>
          <w:sz w:val="17"/>
          <w:szCs w:val="17"/>
          <w:b w:val="1"/>
          <w:bCs w:val="1"/>
          <w:color w:val="FF0000"/>
          <w:strike w:val="1"/>
        </w:rPr>
        <w:t>Acquisition</w:t>
      </w: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 xml:space="preserve"> </w:t>
      </w:r>
      <w:r>
        <w:rPr>
          <w:rFonts w:ascii="Arial" w:cs="Arial" w:eastAsia="Arial" w:hAnsi="Arial"/>
          <w:sz w:val="17"/>
          <w:szCs w:val="17"/>
          <w:i w:val="1"/>
          <w:iCs w:val="1"/>
          <w:color w:val="FF0000"/>
          <w:strike w:val="1"/>
        </w:rPr>
        <w:t>provided</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that the aggregate amount of Investments made by Loan Parties pursuant to this Section 7.02(h) in assets that are not (or do not</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 xml:space="preserve">become) owned by a Loan Party or in Equity Interests in Persons that do not become Loan Parties upon consummation of such Permitted Acquisition shall not exceed $15,000,000 at any time outstanding; </w:t>
      </w:r>
      <w:r>
        <w:rPr>
          <w:rFonts w:ascii="Arial" w:cs="Arial" w:eastAsia="Arial" w:hAnsi="Arial"/>
          <w:sz w:val="17"/>
          <w:szCs w:val="17"/>
          <w:i w:val="1"/>
          <w:iCs w:val="1"/>
          <w:color w:val="FF0000"/>
          <w:strike w:val="1"/>
        </w:rPr>
        <w:t>provided, further</w:t>
      </w:r>
      <w:r>
        <w:rPr>
          <w:rFonts w:ascii="Arial" w:cs="Arial" w:eastAsia="Arial" w:hAnsi="Arial"/>
          <w:sz w:val="17"/>
          <w:szCs w:val="17"/>
          <w:color w:val="FF0000"/>
          <w:strike w:val="1"/>
        </w:rPr>
        <w:t>, that notwithstanding anything to the contrary, as of and after the Amendment No. 3 Effective Date, this clause (h) shall be unavailable under this Agreement and no Permitted Acquisitions may be made (and Permitted Acquisitions shall be disregarded in any reference in any other term or provision herein);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4"/>
          </w:cols>
          <w:pgMar w:left="436" w:top="274" w:right="459" w:bottom="1440" w:gutter="0" w:footer="0" w:header="0"/>
        </w:sectPr>
      </w:pPr>
    </w:p>
    <w:bookmarkStart w:id="267" w:name="page268"/>
    <w:bookmarkEnd w:id="267"/>
    <w:p>
      <w:pPr>
        <w:ind w:left="-20" w:right="740" w:firstLine="436"/>
        <w:spacing w:after="0" w:line="277" w:lineRule="auto"/>
        <w:tabs>
          <w:tab w:leader="none" w:pos="6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in the ordinary course of business consisting of UCC Article 3 endorsements for collection or deposit and UCC Article 4 customary trade arrangements with customers consistent with past practices;</w:t>
      </w:r>
    </w:p>
    <w:p>
      <w:pPr>
        <w:spacing w:after="0" w:line="170" w:lineRule="exact"/>
        <w:rPr>
          <w:rFonts w:ascii="Arial" w:cs="Arial" w:eastAsia="Arial" w:hAnsi="Arial"/>
          <w:sz w:val="18"/>
          <w:szCs w:val="18"/>
          <w:color w:val="auto"/>
        </w:rPr>
      </w:pPr>
    </w:p>
    <w:p>
      <w:pPr>
        <w:ind w:left="-20" w:right="320" w:firstLine="436"/>
        <w:spacing w:after="0" w:line="277" w:lineRule="auto"/>
        <w:tabs>
          <w:tab w:leader="none" w:pos="6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advances of payroll payments to employees </w:t>
      </w:r>
      <w:r>
        <w:rPr>
          <w:rFonts w:ascii="Arial" w:cs="Arial" w:eastAsia="Arial" w:hAnsi="Arial"/>
          <w:sz w:val="18"/>
          <w:szCs w:val="18"/>
          <w:u w:val="single" w:color="auto"/>
          <w:color w:val="0000FF"/>
        </w:rPr>
        <w:t>(other than senior management)</w:t>
      </w:r>
      <w:r>
        <w:rPr>
          <w:rFonts w:ascii="Arial" w:cs="Arial" w:eastAsia="Arial" w:hAnsi="Arial"/>
          <w:sz w:val="18"/>
          <w:szCs w:val="18"/>
          <w:color w:val="auto"/>
        </w:rPr>
        <w:t xml:space="preserve"> in the ordinary course of business;</w:t>
      </w:r>
    </w:p>
    <w:p>
      <w:pPr>
        <w:spacing w:after="0" w:line="225" w:lineRule="exact"/>
        <w:rPr>
          <w:rFonts w:ascii="Arial" w:cs="Arial" w:eastAsia="Arial" w:hAnsi="Arial"/>
          <w:sz w:val="18"/>
          <w:szCs w:val="18"/>
          <w:color w:val="auto"/>
        </w:rPr>
      </w:pPr>
    </w:p>
    <w:p>
      <w:pPr>
        <w:ind w:left="640" w:hanging="224"/>
        <w:spacing w:after="0"/>
        <w:tabs>
          <w:tab w:leader="none" w:pos="640" w:val="left"/>
        </w:tabs>
        <w:numPr>
          <w:ilvl w:val="0"/>
          <w:numId w:val="20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720" w:hanging="304"/>
        <w:spacing w:after="0"/>
        <w:tabs>
          <w:tab w:leader="none" w:pos="720" w:val="left"/>
        </w:tabs>
        <w:numPr>
          <w:ilvl w:val="0"/>
          <w:numId w:val="20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25" w:lineRule="exact"/>
        <w:rPr>
          <w:rFonts w:ascii="Arial" w:cs="Arial" w:eastAsia="Arial" w:hAnsi="Arial"/>
          <w:sz w:val="18"/>
          <w:szCs w:val="18"/>
          <w:u w:val="single" w:color="auto"/>
          <w:color w:val="0000FF"/>
        </w:rPr>
      </w:pPr>
    </w:p>
    <w:p>
      <w:pPr>
        <w:ind w:left="680" w:hanging="264"/>
        <w:spacing w:after="0"/>
        <w:tabs>
          <w:tab w:leader="none" w:pos="680" w:val="left"/>
        </w:tabs>
        <w:numPr>
          <w:ilvl w:val="0"/>
          <w:numId w:val="20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-798830</wp:posOffset>
            </wp:positionV>
            <wp:extent cx="148272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-524510</wp:posOffset>
            </wp:positionV>
            <wp:extent cx="62547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-250190</wp:posOffset>
            </wp:positionV>
            <wp:extent cx="68580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23495</wp:posOffset>
            </wp:positionV>
            <wp:extent cx="65151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left="-20" w:right="420" w:firstLine="436"/>
        <w:spacing w:after="0" w:line="277" w:lineRule="auto"/>
        <w:tabs>
          <w:tab w:leader="none" w:pos="635" w:val="left"/>
        </w:tabs>
        <w:numPr>
          <w:ilvl w:val="0"/>
          <w:numId w:val="202"/>
        </w:numPr>
        <w:rPr>
          <w:rFonts w:ascii="Arial" w:cs="Arial" w:eastAsia="Arial" w:hAnsi="Arial"/>
          <w:sz w:val="18"/>
          <w:szCs w:val="18"/>
          <w:color w:val="FF0000"/>
          <w:strike w:val="1"/>
        </w:rPr>
      </w:pPr>
      <w:r>
        <w:rPr>
          <w:rFonts w:ascii="Arial" w:cs="Arial" w:eastAsia="Arial" w:hAnsi="Arial"/>
          <w:sz w:val="18"/>
          <w:szCs w:val="18"/>
          <w:color w:val="FF0000"/>
          <w:strike w:val="1"/>
        </w:rPr>
        <w:t>Investments to the extent that payment for such Investments is made with Equity Interests (other than Disqualified Equity Interests) of the Borrower or the Net Proceeds received from the issuance thereof;</w:t>
      </w:r>
    </w:p>
    <w:p>
      <w:pPr>
        <w:spacing w:after="0" w:line="170" w:lineRule="exact"/>
        <w:rPr>
          <w:rFonts w:ascii="Arial" w:cs="Arial" w:eastAsia="Arial" w:hAnsi="Arial"/>
          <w:sz w:val="18"/>
          <w:szCs w:val="18"/>
          <w:color w:val="FF0000"/>
          <w:strike w:val="1"/>
        </w:rPr>
      </w:pPr>
    </w:p>
    <w:p>
      <w:pPr>
        <w:ind w:left="-20" w:right="160" w:firstLine="436"/>
        <w:spacing w:after="0" w:line="257" w:lineRule="auto"/>
        <w:tabs>
          <w:tab w:leader="none" w:pos="725" w:val="left"/>
        </w:tabs>
        <w:numPr>
          <w:ilvl w:val="0"/>
          <w:numId w:val="20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Investments of a Restricted Subsidiary acquired after the Restatement Effective Date pursuant to a Permitted Acquisition or of a corporation merged or amalgamated or consolidated into the Borrower or merged, amalgamated or consolidated with a Restricted Subsidiary, in each case in accordance with this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Section 7.04</w:t>
      </w:r>
      <w:r>
        <w:rPr>
          <w:rFonts w:ascii="Arial" w:cs="Arial" w:eastAsia="Arial" w:hAnsi="Arial"/>
          <w:sz w:val="18"/>
          <w:szCs w:val="18"/>
          <w:color w:val="FF0000"/>
          <w:strike w:val="1"/>
        </w:rPr>
        <w:t xml:space="preserve"> after the Restatement Effective Date, to the extent that such Investments were not made in contemplation of or in connection with such acquisition, merger, amalgamation or consolidation and were in existence on the date of such acquisition, merger or consolidation;</w:t>
      </w:r>
    </w:p>
    <w:p>
      <w:pPr>
        <w:spacing w:after="0" w:line="187" w:lineRule="exact"/>
        <w:rPr>
          <w:rFonts w:ascii="Arial" w:cs="Arial" w:eastAsia="Arial" w:hAnsi="Arial"/>
          <w:sz w:val="18"/>
          <w:szCs w:val="18"/>
          <w:color w:val="FF0000"/>
          <w:strike w:val="1"/>
        </w:rPr>
      </w:pPr>
    </w:p>
    <w:p>
      <w:pPr>
        <w:ind w:left="-20" w:right="40" w:firstLine="436"/>
        <w:spacing w:after="0" w:line="308" w:lineRule="auto"/>
        <w:tabs>
          <w:tab w:leader="none" w:pos="675" w:val="left"/>
        </w:tabs>
        <w:numPr>
          <w:ilvl w:val="0"/>
          <w:numId w:val="202"/>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Investments made by any Restricted Subsidiary that is not a Loan Party to the extent such Investments are financed with the proceeds received by such Restricted Subsidiary from an Investment in such Restricted Subsidiary made pursuant to </w:t>
      </w:r>
      <w:r>
        <w:rPr>
          <w:rFonts w:ascii="Arial" w:cs="Arial" w:eastAsia="Arial" w:hAnsi="Arial"/>
          <w:sz w:val="17"/>
          <w:szCs w:val="17"/>
          <w:u w:val="single" w:color="auto"/>
          <w:color w:val="FF0000"/>
          <w:strike w:val="1"/>
        </w:rPr>
        <w:t>Section 7.02(c)(iii)</w:t>
      </w:r>
      <w:r>
        <w:rPr>
          <w:rFonts w:ascii="Arial" w:cs="Arial" w:eastAsia="Arial" w:hAnsi="Arial"/>
          <w:sz w:val="17"/>
          <w:szCs w:val="17"/>
          <w:color w:val="FF0000"/>
          <w:strike w:val="1"/>
        </w:rPr>
        <w:t xml:space="preserve"> or </w:t>
      </w:r>
      <w:r>
        <w:rPr>
          <w:rFonts w:ascii="Arial" w:cs="Arial" w:eastAsia="Arial" w:hAnsi="Arial"/>
          <w:sz w:val="17"/>
          <w:szCs w:val="17"/>
          <w:u w:val="single" w:color="auto"/>
          <w:color w:val="FF0000"/>
          <w:strike w:val="1"/>
        </w:rPr>
        <w:t>Section 7.02(p);</w:t>
      </w:r>
    </w:p>
    <w:p>
      <w:pPr>
        <w:spacing w:after="0" w:line="146" w:lineRule="exact"/>
        <w:rPr>
          <w:rFonts w:ascii="Arial" w:cs="Arial" w:eastAsia="Arial" w:hAnsi="Arial"/>
          <w:sz w:val="17"/>
          <w:szCs w:val="17"/>
          <w:color w:val="FF0000"/>
          <w:strike w:val="1"/>
        </w:rPr>
      </w:pPr>
    </w:p>
    <w:p>
      <w:pPr>
        <w:ind w:left="-20" w:right="40" w:firstLine="436"/>
        <w:spacing w:after="0" w:line="263"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Guarantees by the Borrower or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of operating leases (other than Capitalized Leases) or of other obligations that do not constitute Indebtedness, in each case, which leases or other obligations are entered into by the Borrower or any Guarantor in the ordinary course of business;</w:t>
      </w:r>
    </w:p>
    <w:p>
      <w:pPr>
        <w:spacing w:after="0" w:line="183" w:lineRule="exact"/>
        <w:rPr>
          <w:rFonts w:ascii="Arial" w:cs="Arial" w:eastAsia="Arial" w:hAnsi="Arial"/>
          <w:sz w:val="18"/>
          <w:szCs w:val="18"/>
          <w:color w:val="auto"/>
        </w:rPr>
      </w:pPr>
    </w:p>
    <w:p>
      <w:pPr>
        <w:ind w:left="-20" w:firstLine="436"/>
        <w:spacing w:after="0" w:line="269" w:lineRule="auto"/>
        <w:tabs>
          <w:tab w:leader="none" w:pos="675" w:val="left"/>
        </w:tabs>
        <w:numPr>
          <w:ilvl w:val="0"/>
          <w:numId w:val="202"/>
        </w:numPr>
        <w:rPr>
          <w:rFonts w:ascii="Arial" w:cs="Arial" w:eastAsia="Arial" w:hAnsi="Arial"/>
          <w:sz w:val="17"/>
          <w:szCs w:val="17"/>
          <w:color w:val="FF0000"/>
          <w:strike w:val="1"/>
        </w:rPr>
      </w:pPr>
      <w:r>
        <w:rPr>
          <w:rFonts w:ascii="Arial" w:cs="Arial" w:eastAsia="Arial" w:hAnsi="Arial"/>
          <w:sz w:val="17"/>
          <w:szCs w:val="17"/>
          <w:color w:val="FF0000"/>
          <w:strike w:val="1"/>
        </w:rPr>
        <w:t xml:space="preserve">other Investments (not including Permitted Acquisitions) in an aggregate amount outstanding pursuant to this clause (p) at any time not to exceed (x) together with (I) the aggregate amount of Restricted Payments made under sub-clause (x) of </w:t>
      </w:r>
      <w:r>
        <w:rPr>
          <w:rFonts w:ascii="Arial" w:cs="Arial" w:eastAsia="Arial" w:hAnsi="Arial"/>
          <w:sz w:val="17"/>
          <w:szCs w:val="17"/>
          <w:u w:val="single" w:color="auto"/>
          <w:color w:val="FF0000"/>
          <w:strike w:val="1"/>
        </w:rPr>
        <w:t>Section 7.06(e)</w:t>
      </w:r>
      <w:r>
        <w:rPr>
          <w:rFonts w:ascii="Arial" w:cs="Arial" w:eastAsia="Arial" w:hAnsi="Arial"/>
          <w:sz w:val="17"/>
          <w:szCs w:val="17"/>
          <w:color w:val="FF0000"/>
          <w:strike w:val="1"/>
        </w:rPr>
        <w:t xml:space="preserve"> and (II) the aggregate amount of prepayments, redemptions, purchases, defeasances and other payments made pursuant to sub-clause (x) of </w:t>
      </w:r>
      <w:r>
        <w:rPr>
          <w:rFonts w:ascii="Arial" w:cs="Arial" w:eastAsia="Arial" w:hAnsi="Arial"/>
          <w:sz w:val="17"/>
          <w:szCs w:val="17"/>
          <w:u w:val="single" w:color="auto"/>
          <w:color w:val="FF0000"/>
          <w:strike w:val="1"/>
        </w:rPr>
        <w:t>Section 7.13(a)(vi),</w:t>
      </w:r>
      <w:r>
        <w:rPr>
          <w:rFonts w:ascii="Arial" w:cs="Arial" w:eastAsia="Arial" w:hAnsi="Arial"/>
          <w:sz w:val="17"/>
          <w:szCs w:val="17"/>
          <w:color w:val="FF0000"/>
          <w:strike w:val="1"/>
        </w:rPr>
        <w:t xml:space="preserve"> $5,000,000 plus, (y) the portion, if any, of the Cumulative Credit on the date of such election that the Borrower elects to apply to this subclause (y);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with respect to any Investment made pursuant to this </w:t>
      </w:r>
      <w:r>
        <w:rPr>
          <w:rFonts w:ascii="Arial" w:cs="Arial" w:eastAsia="Arial" w:hAnsi="Arial"/>
          <w:sz w:val="17"/>
          <w:szCs w:val="17"/>
          <w:u w:val="single" w:color="auto"/>
          <w:color w:val="FF0000"/>
          <w:strike w:val="1"/>
        </w:rPr>
        <w:t>Section 7.02(p)</w:t>
      </w:r>
      <w:r>
        <w:rPr>
          <w:rFonts w:ascii="Arial" w:cs="Arial" w:eastAsia="Arial" w:hAnsi="Arial"/>
          <w:sz w:val="17"/>
          <w:szCs w:val="17"/>
          <w:color w:val="FF0000"/>
          <w:strike w:val="1"/>
        </w:rPr>
        <w:t>, (A) no Event of Default shall have occurred and be continuing or would result from the making of any such Investment and (B) with respect to Investments made in reliance on this subclause (y) (i) other than Investments made in Restricted Subsidiaries organized under the laws of Canada or Mexico or, in each case, any political subdivision thereof, on a Pro Forma Basis after giving effect thereto the Total Leverage Ratio is equal to or less than 2.00:1.00 or (ii) with respect to Investments in Restricted Subsidiaries organized under the laws of Canada or Mexico or, in each case, any political subdivision thereof, on a Pro Forma Basis after giving effect thereto the Total Leverage Ratio is equal to or less than 4.00:1.00;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80"/>
          </w:cols>
          <w:pgMar w:left="460" w:top="274" w:right="459" w:bottom="1440" w:gutter="0" w:footer="0" w:header="0"/>
        </w:sectPr>
      </w:pPr>
    </w:p>
    <w:bookmarkStart w:id="268" w:name="page269"/>
    <w:bookmarkEnd w:id="268"/>
    <w:p>
      <w:pPr>
        <w:ind w:right="420" w:firstLine="436"/>
        <w:spacing w:after="0" w:line="342" w:lineRule="auto"/>
        <w:tabs>
          <w:tab w:leader="none" w:pos="695" w:val="left"/>
        </w:tabs>
        <w:numPr>
          <w:ilvl w:val="0"/>
          <w:numId w:val="20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Investments </w:t>
      </w:r>
      <w:r>
        <w:rPr>
          <w:rFonts w:ascii="Arial" w:cs="Arial" w:eastAsia="Arial" w:hAnsi="Arial"/>
          <w:sz w:val="16"/>
          <w:szCs w:val="16"/>
          <w:u w:val="single" w:color="auto"/>
          <w:color w:val="008000"/>
        </w:rPr>
        <w:t>in an aggregate amount not to exceed,</w:t>
      </w:r>
      <w:r>
        <w:rPr>
          <w:rFonts w:ascii="Arial" w:cs="Arial" w:eastAsia="Arial" w:hAnsi="Arial"/>
          <w:sz w:val="16"/>
          <w:szCs w:val="16"/>
          <w:u w:val="single" w:color="auto"/>
          <w:color w:val="0000FF"/>
        </w:rPr>
        <w:t xml:space="preserve"> together with all Liens incurred pursuant to Section 7.01(dd) and Indebtedness incurred pursuant to Section 7.03(cc) of the Junior DIP Credit Agreement, $350,000 </w:t>
      </w:r>
      <w:r>
        <w:rPr>
          <w:rFonts w:ascii="Arial" w:cs="Arial" w:eastAsia="Arial" w:hAnsi="Arial"/>
          <w:sz w:val="16"/>
          <w:szCs w:val="16"/>
          <w:u w:val="single" w:color="auto"/>
          <w:color w:val="008000"/>
        </w:rPr>
        <w:t>in the aggregate during the term of this Agreement</w:t>
      </w:r>
      <w:r>
        <w:rPr>
          <w:rFonts w:ascii="Arial" w:cs="Arial" w:eastAsia="Arial" w:hAnsi="Arial"/>
          <w:sz w:val="16"/>
          <w:szCs w:val="16"/>
          <w:u w:val="single" w:color="auto"/>
          <w:color w:val="0000FF"/>
        </w:rPr>
        <w:t>;</w:t>
      </w:r>
    </w:p>
    <w:p>
      <w:pPr>
        <w:spacing w:after="0" w:line="123" w:lineRule="exact"/>
        <w:rPr>
          <w:rFonts w:ascii="Arial" w:cs="Arial" w:eastAsia="Arial" w:hAnsi="Arial"/>
          <w:sz w:val="16"/>
          <w:szCs w:val="16"/>
          <w:u w:val="single" w:color="auto"/>
          <w:color w:val="0000FF"/>
        </w:rPr>
      </w:pPr>
    </w:p>
    <w:p>
      <w:pPr>
        <w:ind w:right="60" w:firstLine="436"/>
        <w:spacing w:after="0" w:line="263" w:lineRule="auto"/>
        <w:tabs>
          <w:tab w:leader="none" w:pos="695" w:val="left"/>
        </w:tabs>
        <w:numPr>
          <w:ilvl w:val="0"/>
          <w:numId w:val="203"/>
        </w:numPr>
        <w:rPr>
          <w:rFonts w:ascii="Arial" w:cs="Arial" w:eastAsia="Arial" w:hAnsi="Arial"/>
          <w:sz w:val="18"/>
          <w:szCs w:val="18"/>
          <w:color w:val="auto"/>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make lease, utility and other similar deposits or any other advance or deposit permitted by this Agreement</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in the ordinary course of</w:t>
      </w:r>
      <w:r>
        <w:rPr>
          <w:rFonts w:ascii="Arial" w:cs="Arial" w:eastAsia="Arial" w:hAnsi="Arial"/>
          <w:sz w:val="18"/>
          <w:szCs w:val="18"/>
          <w:color w:val="FF0000"/>
        </w:rPr>
        <w:t xml:space="preserve"> </w:t>
      </w:r>
      <w:r>
        <w:rPr>
          <w:rFonts w:ascii="Arial" w:cs="Arial" w:eastAsia="Arial" w:hAnsi="Arial"/>
          <w:sz w:val="18"/>
          <w:szCs w:val="18"/>
          <w:color w:val="000000"/>
        </w:rPr>
        <w:t xml:space="preserve">business </w:t>
      </w:r>
      <w:r>
        <w:rPr>
          <w:rFonts w:ascii="Arial" w:cs="Arial" w:eastAsia="Arial" w:hAnsi="Arial"/>
          <w:sz w:val="18"/>
          <w:szCs w:val="18"/>
          <w:color w:val="FF0000"/>
          <w:strike w:val="1"/>
        </w:rPr>
        <w:t>or (ii) make prepayments and deposits to suppliers in the ordinary course of business</w:t>
      </w:r>
      <w:r>
        <w:rPr>
          <w:rFonts w:ascii="Arial" w:cs="Arial" w:eastAsia="Arial" w:hAnsi="Arial"/>
          <w:sz w:val="18"/>
          <w:szCs w:val="18"/>
          <w:u w:val="single" w:color="auto"/>
          <w:color w:val="0000FF"/>
        </w:rPr>
        <w:t>and in accordance with the Approved Budget (subject to</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Permitted Variances)</w:t>
      </w:r>
      <w:r>
        <w:rPr>
          <w:rFonts w:ascii="Arial" w:cs="Arial" w:eastAsia="Arial" w:hAnsi="Arial"/>
          <w:sz w:val="18"/>
          <w:szCs w:val="18"/>
          <w:color w:val="000000"/>
        </w:rPr>
        <w:t>;</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FF0000"/>
        </w:rPr>
        <w:t>to the extent constituting Investments, capital expenditures otherwise permitted under this Agreement</w:t>
      </w:r>
      <w:r>
        <w:rPr>
          <w:rFonts w:ascii="Arial" w:cs="Arial" w:eastAsia="Arial" w:hAnsi="Arial"/>
          <w:sz w:val="18"/>
          <w:szCs w:val="18"/>
          <w:u w:val="single" w:color="auto"/>
          <w:color w:val="0000FF"/>
        </w:rPr>
        <w:t>[reserved]</w:t>
      </w:r>
      <w:r>
        <w:rPr>
          <w:rFonts w:ascii="Arial" w:cs="Arial" w:eastAsia="Arial" w:hAnsi="Arial"/>
          <w:sz w:val="18"/>
          <w:szCs w:val="18"/>
          <w:color w:val="000000"/>
        </w:rPr>
        <w:t>;</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Investments in </w:t>
      </w:r>
      <w:r>
        <w:rPr>
          <w:rFonts w:ascii="Arial" w:cs="Arial" w:eastAsia="Arial" w:hAnsi="Arial"/>
          <w:sz w:val="18"/>
          <w:szCs w:val="18"/>
          <w:color w:val="FF0000"/>
          <w:strike w:val="1"/>
        </w:rPr>
        <w:t>d</w:t>
      </w:r>
      <w:r>
        <w:rPr>
          <w:rFonts w:ascii="Arial" w:cs="Arial" w:eastAsia="Arial" w:hAnsi="Arial"/>
          <w:sz w:val="18"/>
          <w:szCs w:val="18"/>
          <w:u w:val="single" w:color="auto"/>
          <w:color w:val="0000FF"/>
        </w:rPr>
        <w:t>D</w:t>
      </w:r>
      <w:r>
        <w:rPr>
          <w:rFonts w:ascii="Arial" w:cs="Arial" w:eastAsia="Arial" w:hAnsi="Arial"/>
          <w:sz w:val="18"/>
          <w:szCs w:val="18"/>
          <w:color w:val="auto"/>
        </w:rPr>
        <w:t xml:space="preserve">eposit </w:t>
      </w:r>
      <w:r>
        <w:rPr>
          <w:rFonts w:ascii="Arial" w:cs="Arial" w:eastAsia="Arial" w:hAnsi="Arial"/>
          <w:sz w:val="18"/>
          <w:szCs w:val="18"/>
          <w:color w:val="FF0000"/>
          <w:strike w:val="1"/>
        </w:rPr>
        <w:t>a</w:t>
      </w:r>
      <w:r>
        <w:rPr>
          <w:rFonts w:ascii="Arial" w:cs="Arial" w:eastAsia="Arial" w:hAnsi="Arial"/>
          <w:sz w:val="18"/>
          <w:szCs w:val="18"/>
          <w:u w:val="single" w:color="auto"/>
          <w:color w:val="0000FF"/>
        </w:rPr>
        <w:t>A</w:t>
      </w:r>
      <w:r>
        <w:rPr>
          <w:rFonts w:ascii="Arial" w:cs="Arial" w:eastAsia="Arial" w:hAnsi="Arial"/>
          <w:sz w:val="18"/>
          <w:szCs w:val="18"/>
          <w:color w:val="auto"/>
        </w:rPr>
        <w:t xml:space="preserve">ccounts or </w:t>
      </w:r>
      <w:r>
        <w:rPr>
          <w:rFonts w:ascii="Arial" w:cs="Arial" w:eastAsia="Arial" w:hAnsi="Arial"/>
          <w:sz w:val="18"/>
          <w:szCs w:val="18"/>
          <w:color w:val="FF0000"/>
          <w:strike w:val="1"/>
        </w:rPr>
        <w:t>s</w:t>
      </w:r>
      <w:r>
        <w:rPr>
          <w:rFonts w:ascii="Arial" w:cs="Arial" w:eastAsia="Arial" w:hAnsi="Arial"/>
          <w:sz w:val="18"/>
          <w:szCs w:val="18"/>
          <w:u w:val="single" w:color="auto"/>
          <w:color w:val="0000FF"/>
        </w:rPr>
        <w:t>S</w:t>
      </w:r>
      <w:r>
        <w:rPr>
          <w:rFonts w:ascii="Arial" w:cs="Arial" w:eastAsia="Arial" w:hAnsi="Arial"/>
          <w:sz w:val="18"/>
          <w:szCs w:val="18"/>
          <w:color w:val="auto"/>
        </w:rPr>
        <w:t xml:space="preserve">ecurities </w:t>
      </w:r>
      <w:r>
        <w:rPr>
          <w:rFonts w:ascii="Arial" w:cs="Arial" w:eastAsia="Arial" w:hAnsi="Arial"/>
          <w:sz w:val="18"/>
          <w:szCs w:val="18"/>
          <w:color w:val="FF0000"/>
          <w:strike w:val="1"/>
        </w:rPr>
        <w:t>a</w:t>
      </w:r>
      <w:r>
        <w:rPr>
          <w:rFonts w:ascii="Arial" w:cs="Arial" w:eastAsia="Arial" w:hAnsi="Arial"/>
          <w:sz w:val="18"/>
          <w:szCs w:val="18"/>
          <w:u w:val="single" w:color="auto"/>
          <w:color w:val="0000FF"/>
        </w:rPr>
        <w:t>A</w:t>
      </w:r>
      <w:r>
        <w:rPr>
          <w:rFonts w:ascii="Arial" w:cs="Arial" w:eastAsia="Arial" w:hAnsi="Arial"/>
          <w:sz w:val="18"/>
          <w:szCs w:val="18"/>
          <w:color w:val="auto"/>
        </w:rPr>
        <w:t>ccounts opened in the ordinarya course of business;</w:t>
      </w:r>
    </w:p>
    <w:p>
      <w:pPr>
        <w:spacing w:after="0" w:line="225" w:lineRule="exact"/>
        <w:rPr>
          <w:rFonts w:ascii="Arial" w:cs="Arial" w:eastAsia="Arial" w:hAnsi="Arial"/>
          <w:sz w:val="18"/>
          <w:szCs w:val="18"/>
          <w:color w:val="auto"/>
        </w:rPr>
      </w:pPr>
    </w:p>
    <w:p>
      <w:pPr>
        <w:ind w:right="600" w:firstLine="436"/>
        <w:spacing w:after="0" w:line="27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FF0000"/>
          <w:strike w:val="1"/>
        </w:rPr>
        <w:t xml:space="preserve">repurchase, retirement or repayment of any Indebtedness to the extent not otherwise prohibited by this Agreement, including, without limitation, acquisitions of Term Loans pursuant to </w:t>
      </w:r>
      <w:r>
        <w:rPr>
          <w:rFonts w:ascii="Arial" w:cs="Arial" w:eastAsia="Arial" w:hAnsi="Arial"/>
          <w:sz w:val="18"/>
          <w:szCs w:val="18"/>
          <w:u w:val="single" w:color="auto"/>
          <w:color w:val="FF0000"/>
          <w:strike w:val="1"/>
        </w:rPr>
        <w:t>Section 10.04</w:t>
      </w:r>
      <w:r>
        <w:rPr>
          <w:rFonts w:ascii="Arial" w:cs="Arial" w:eastAsia="Arial" w:hAnsi="Arial"/>
          <w:sz w:val="18"/>
          <w:szCs w:val="18"/>
          <w:u w:val="single" w:color="auto"/>
          <w:color w:val="0000FF"/>
          <w:strike w:val="1"/>
        </w:rPr>
        <w:t>[reserved]</w:t>
      </w:r>
      <w:r>
        <w:rPr>
          <w:rFonts w:ascii="Arial" w:cs="Arial" w:eastAsia="Arial" w:hAnsi="Arial"/>
          <w:sz w:val="18"/>
          <w:szCs w:val="18"/>
          <w:color w:val="000000"/>
          <w:strike w:val="1"/>
        </w:rPr>
        <w: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color w:val="0000FF"/>
        </w:rPr>
        <w:t>and</w:t>
      </w:r>
    </w:p>
    <w:p>
      <w:pPr>
        <w:spacing w:after="0" w:line="225"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Investments consisting of or resulting from (i) Indebtedness permitted under Section 7.03 </w:t>
      </w:r>
      <w:r>
        <w:rPr>
          <w:rFonts w:ascii="Arial" w:cs="Arial" w:eastAsia="Arial" w:hAnsi="Arial"/>
          <w:sz w:val="18"/>
          <w:szCs w:val="18"/>
          <w:color w:val="0000FF"/>
        </w:rPr>
        <w:t>of the Junior DIP Credit Agreement</w:t>
      </w:r>
      <w:r>
        <w:rPr>
          <w:rFonts w:ascii="Arial" w:cs="Arial" w:eastAsia="Arial" w:hAnsi="Arial"/>
          <w:sz w:val="18"/>
          <w:szCs w:val="18"/>
          <w:color w:val="auto"/>
        </w:rPr>
        <w:t xml:space="preserve">, (ii)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(iii) Restricted Payments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(iv) Dispositions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(v) fundamental changes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color w:val="0000FF"/>
        </w:rPr>
        <w:t>and</w:t>
      </w:r>
    </w:p>
    <w:p>
      <w:pPr>
        <w:spacing w:after="0" w:line="183" w:lineRule="exact"/>
        <w:rPr>
          <w:rFonts w:ascii="Arial" w:cs="Arial" w:eastAsia="Arial" w:hAnsi="Arial"/>
          <w:sz w:val="18"/>
          <w:szCs w:val="18"/>
          <w:color w:val="auto"/>
        </w:rPr>
      </w:pPr>
    </w:p>
    <w:p>
      <w:pPr>
        <w:ind w:left="740" w:hanging="304"/>
        <w:spacing w:after="0"/>
        <w:tabs>
          <w:tab w:leader="none" w:pos="7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Investments </w:t>
      </w:r>
      <w:r>
        <w:rPr>
          <w:rFonts w:ascii="Arial" w:cs="Arial" w:eastAsia="Arial" w:hAnsi="Arial"/>
          <w:sz w:val="17"/>
          <w:szCs w:val="17"/>
          <w:color w:val="FF0000"/>
          <w:strike w:val="1"/>
        </w:rPr>
        <w:t>solely to the extent such Investments reflect an increase in the value of Investments otherwise permitted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-2712085</wp:posOffset>
            </wp:positionV>
            <wp:extent cx="6351905"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-2574925</wp:posOffset>
            </wp:positionV>
            <wp:extent cx="6231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-2300605</wp:posOffset>
            </wp:positionV>
            <wp:extent cx="2540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-2163445</wp:posOffset>
            </wp:positionV>
            <wp:extent cx="258000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-2026285</wp:posOffset>
            </wp:positionV>
            <wp:extent cx="95123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-1837690</wp:posOffset>
            </wp:positionV>
            <wp:extent cx="467360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4673600"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-1751965</wp:posOffset>
            </wp:positionV>
            <wp:extent cx="46291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-1477645</wp:posOffset>
            </wp:positionV>
            <wp:extent cx="8572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-1477645</wp:posOffset>
            </wp:positionV>
            <wp:extent cx="7683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-1477645</wp:posOffset>
            </wp:positionV>
            <wp:extent cx="6032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-1477645</wp:posOffset>
            </wp:positionV>
            <wp:extent cx="7683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-1066165</wp:posOffset>
            </wp:positionV>
            <wp:extent cx="46291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-791845</wp:posOffset>
            </wp:positionV>
            <wp:extent cx="19685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-826135</wp:posOffset>
            </wp:positionV>
            <wp:extent cx="19367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-517525</wp:posOffset>
            </wp:positionV>
            <wp:extent cx="1671955"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-551815</wp:posOffset>
            </wp:positionV>
            <wp:extent cx="166878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66878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-243205</wp:posOffset>
            </wp:positionV>
            <wp:extent cx="18859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-277495</wp:posOffset>
            </wp:positionV>
            <wp:extent cx="19367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expressly permitted to be made pursuant to (i) the First Day Orders or Second Day Orders, or (ii) the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14605</wp:posOffset>
            </wp:positionV>
            <wp:extent cx="513461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191" w:lineRule="exact"/>
        <w:rPr>
          <w:sz w:val="20"/>
          <w:szCs w:val="20"/>
          <w:color w:val="auto"/>
        </w:rPr>
      </w:pPr>
    </w:p>
    <w:p>
      <w:pPr>
        <w:ind w:right="200" w:firstLine="436"/>
        <w:spacing w:after="0" w:line="263" w:lineRule="auto"/>
        <w:tabs>
          <w:tab w:leader="none" w:pos="695" w:val="left"/>
        </w:tabs>
        <w:numPr>
          <w:ilvl w:val="0"/>
          <w:numId w:val="20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loans and advances to Borrower in lieu of, and not in excess of the amount of (after giving effect to any other such loans or advances or Restricted Payments in respect thereof), Restricted Payments to the extent permitted to be made in accordance with </w:t>
      </w:r>
      <w:r>
        <w:rPr>
          <w:rFonts w:ascii="Arial" w:cs="Arial" w:eastAsia="Arial" w:hAnsi="Arial"/>
          <w:sz w:val="18"/>
          <w:szCs w:val="18"/>
          <w:u w:val="single" w:color="auto"/>
          <w:color w:val="FF0000"/>
          <w:strike w:val="1"/>
        </w:rPr>
        <w:t>Section 7.06</w:t>
      </w:r>
      <w:r>
        <w:rPr>
          <w:rFonts w:ascii="Arial" w:cs="Arial" w:eastAsia="Arial" w:hAnsi="Arial"/>
          <w:sz w:val="18"/>
          <w:szCs w:val="18"/>
          <w:color w:val="FF0000"/>
          <w:strike w:val="1"/>
        </w:rPr>
        <w:t xml:space="preserve"> (other than </w:t>
      </w:r>
      <w:r>
        <w:rPr>
          <w:rFonts w:ascii="Arial" w:cs="Arial" w:eastAsia="Arial" w:hAnsi="Arial"/>
          <w:sz w:val="18"/>
          <w:szCs w:val="18"/>
          <w:u w:val="single" w:color="auto"/>
          <w:color w:val="FF0000"/>
          <w:strike w:val="1"/>
        </w:rPr>
        <w:t>Section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7.06(i))</w:t>
      </w:r>
      <w:r>
        <w:rPr>
          <w:rFonts w:ascii="Arial" w:cs="Arial" w:eastAsia="Arial" w:hAnsi="Arial"/>
          <w:sz w:val="18"/>
          <w:szCs w:val="18"/>
          <w:color w:val="FF0000"/>
          <w:strike w:val="1"/>
        </w:rPr>
        <w:t>; and</w:t>
      </w:r>
    </w:p>
    <w:p>
      <w:pPr>
        <w:spacing w:after="0" w:line="183" w:lineRule="exact"/>
        <w:rPr>
          <w:rFonts w:ascii="Arial" w:cs="Arial" w:eastAsia="Arial" w:hAnsi="Arial"/>
          <w:sz w:val="18"/>
          <w:szCs w:val="18"/>
          <w:color w:val="FF0000"/>
          <w:strike w:val="1"/>
        </w:rPr>
      </w:pPr>
    </w:p>
    <w:p>
      <w:pPr>
        <w:ind w:firstLine="436"/>
        <w:spacing w:after="0" w:line="263" w:lineRule="auto"/>
        <w:tabs>
          <w:tab w:leader="none" w:pos="695" w:val="left"/>
        </w:tabs>
        <w:numPr>
          <w:ilvl w:val="0"/>
          <w:numId w:val="204"/>
        </w:numPr>
        <w:rPr>
          <w:rFonts w:ascii="Arial" w:cs="Arial" w:eastAsia="Arial" w:hAnsi="Arial"/>
          <w:sz w:val="18"/>
          <w:szCs w:val="18"/>
          <w:color w:val="FF0000"/>
          <w:strike w:val="1"/>
        </w:rPr>
      </w:pPr>
      <w:r>
        <w:rPr>
          <w:rFonts w:ascii="Arial" w:cs="Arial" w:eastAsia="Arial" w:hAnsi="Arial"/>
          <w:sz w:val="18"/>
          <w:szCs w:val="18"/>
          <w:color w:val="FF0000"/>
          <w:strike w:val="1"/>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Section 7.03 </w:t>
      </w:r>
      <w:r>
        <w:rPr>
          <w:rFonts w:ascii="Arial" w:cs="Arial" w:eastAsia="Arial" w:hAnsi="Arial"/>
          <w:sz w:val="18"/>
          <w:szCs w:val="18"/>
          <w:color w:val="FF0000"/>
          <w:strike w:val="1"/>
        </w:rPr>
        <w:t>Section 7.03.</w:t>
      </w:r>
      <w:r>
        <w:rPr>
          <w:rFonts w:ascii="Arial" w:cs="Arial" w:eastAsia="Arial" w:hAnsi="Arial"/>
          <w:sz w:val="18"/>
          <w:szCs w:val="18"/>
          <w:u w:val="single" w:color="auto"/>
          <w:color w:val="0000FF"/>
        </w:rPr>
        <w:t xml:space="preserve"> </w:t>
      </w:r>
      <w:r>
        <w:rPr>
          <w:rFonts w:ascii="Arial" w:cs="Arial" w:eastAsia="Arial" w:hAnsi="Arial"/>
          <w:sz w:val="18"/>
          <w:szCs w:val="18"/>
          <w:i w:val="1"/>
          <w:iCs w:val="1"/>
          <w:color w:val="FF0000"/>
          <w:strike w:val="1"/>
        </w:rPr>
        <w:t>Indebtedness</w:t>
      </w:r>
      <w:r>
        <w:rPr>
          <w:rFonts w:ascii="Arial" w:cs="Arial" w:eastAsia="Arial" w:hAnsi="Arial"/>
          <w:sz w:val="18"/>
          <w:szCs w:val="18"/>
          <w:i w:val="1"/>
          <w:iCs w:val="1"/>
          <w:u w:val="single" w:color="auto"/>
          <w:color w:val="0000FF"/>
        </w:rPr>
        <w:t>[Reserved]</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0007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23495</wp:posOffset>
            </wp:positionV>
            <wp:extent cx="53149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5" w:lineRule="exact"/>
        <w:rPr>
          <w:sz w:val="20"/>
          <w:szCs w:val="20"/>
          <w:color w:val="auto"/>
        </w:rPr>
      </w:pPr>
    </w:p>
    <w:p>
      <w:pPr>
        <w:ind w:right="520" w:firstLine="436"/>
        <w:spacing w:after="0" w:line="277" w:lineRule="auto"/>
        <w:tabs>
          <w:tab w:leader="none" w:pos="530" w:val="left"/>
        </w:tabs>
        <w:numPr>
          <w:ilvl w:val="0"/>
          <w:numId w:val="20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Borrower shall </w:t>
      </w:r>
      <w:r>
        <w:rPr>
          <w:rFonts w:ascii="Arial" w:cs="Arial" w:eastAsia="Arial" w:hAnsi="Arial"/>
          <w:sz w:val="18"/>
          <w:szCs w:val="18"/>
          <w:u w:val="single" w:color="auto"/>
          <w:color w:val="008000"/>
          <w:strike w:val="1"/>
        </w:rPr>
        <w:t>not, nor shall it permit any</w:t>
      </w:r>
      <w:r>
        <w:rPr>
          <w:rFonts w:ascii="Arial" w:cs="Arial" w:eastAsia="Arial" w:hAnsi="Arial"/>
          <w:sz w:val="18"/>
          <w:szCs w:val="18"/>
          <w:color w:val="FF0000"/>
          <w:strike w:val="1"/>
        </w:rPr>
        <w:t xml:space="preserve"> Restricted Subsidiary to, directly or indirectly, create, incur, assume or suffer to exist any Indebtedness,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-147955</wp:posOffset>
            </wp:positionV>
            <wp:extent cx="124269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(a) Indebtedness of any Loan Party under the Loan Documents;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860"/>
          </w:cols>
          <w:pgMar w:left="440" w:top="274" w:right="599" w:bottom="1440" w:gutter="0" w:footer="0" w:header="0"/>
        </w:sectPr>
      </w:pPr>
    </w:p>
    <w:bookmarkStart w:id="269" w:name="page270"/>
    <w:bookmarkEnd w:id="269"/>
    <w:p>
      <w:pPr>
        <w:ind w:left="704" w:hanging="264"/>
        <w:spacing w:after="0"/>
        <w:tabs>
          <w:tab w:leader="none" w:pos="704" w:val="left"/>
        </w:tabs>
        <w:numPr>
          <w:ilvl w:val="1"/>
          <w:numId w:val="206"/>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Indebtedness outstanding on the Restatement Effective Date and listed on </w:t>
      </w:r>
      <w:r>
        <w:rPr>
          <w:rFonts w:ascii="Arial" w:cs="Arial" w:eastAsia="Arial" w:hAnsi="Arial"/>
          <w:sz w:val="16"/>
          <w:szCs w:val="16"/>
          <w:u w:val="single" w:color="auto"/>
          <w:color w:val="FF0000"/>
          <w:strike w:val="1"/>
        </w:rPr>
        <w:t>Schedule 7.03(b)</w:t>
      </w:r>
      <w:r>
        <w:rPr>
          <w:rFonts w:ascii="Arial" w:cs="Arial" w:eastAsia="Arial" w:hAnsi="Arial"/>
          <w:sz w:val="16"/>
          <w:szCs w:val="16"/>
          <w:color w:val="FF0000"/>
          <w:strike w:val="1"/>
        </w:rPr>
        <w:t xml:space="preserve"> and any Permitted Refinancing thereof and</w:t>
      </w:r>
    </w:p>
    <w:p>
      <w:pPr>
        <w:spacing w:after="0" w:line="46" w:lineRule="exact"/>
        <w:rPr>
          <w:rFonts w:ascii="Arial" w:cs="Arial" w:eastAsia="Arial" w:hAnsi="Arial"/>
          <w:sz w:val="16"/>
          <w:szCs w:val="16"/>
          <w:color w:val="FF0000"/>
          <w:strike w:val="1"/>
        </w:rPr>
      </w:pPr>
    </w:p>
    <w:p>
      <w:pPr>
        <w:ind w:left="4" w:right="100" w:hanging="4"/>
        <w:spacing w:after="0" w:line="253" w:lineRule="auto"/>
        <w:tabs>
          <w:tab w:leader="none" w:pos="269" w:val="left"/>
        </w:tabs>
        <w:numPr>
          <w:ilvl w:val="0"/>
          <w:numId w:val="20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intercompany Indebtedness outstanding on the Restatement Effective Date and any Permitted Refinancing thereof;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(x) any intercompany Indebtedness shall be evidenced by an Intercompany Note and (y) any intercompany Indebtedness of any Loan Party owed to any Person that is not a Loan Party shall be unsecured and subordinated to the Obligations pursuant to the subordination provisions reasonably acceptable to the Required Lenders;</w:t>
      </w:r>
    </w:p>
    <w:p>
      <w:pPr>
        <w:spacing w:after="0" w:line="192" w:lineRule="exact"/>
        <w:rPr>
          <w:rFonts w:ascii="Arial" w:cs="Arial" w:eastAsia="Arial" w:hAnsi="Arial"/>
          <w:sz w:val="18"/>
          <w:szCs w:val="18"/>
          <w:color w:val="FF0000"/>
          <w:strike w:val="1"/>
        </w:rPr>
      </w:pPr>
    </w:p>
    <w:p>
      <w:pPr>
        <w:ind w:left="4" w:right="80" w:firstLine="436"/>
        <w:spacing w:after="0" w:line="290" w:lineRule="auto"/>
        <w:tabs>
          <w:tab w:leader="none" w:pos="689" w:val="left"/>
        </w:tabs>
        <w:numPr>
          <w:ilvl w:val="1"/>
          <w:numId w:val="207"/>
        </w:numPr>
        <w:rPr>
          <w:rFonts w:ascii="Arial" w:cs="Arial" w:eastAsia="Arial" w:hAnsi="Arial"/>
          <w:sz w:val="16"/>
          <w:szCs w:val="16"/>
          <w:color w:val="FF0000"/>
          <w:strike w:val="1"/>
        </w:rPr>
      </w:pPr>
      <w:r>
        <w:rPr>
          <w:rFonts w:ascii="Arial" w:cs="Arial" w:eastAsia="Arial" w:hAnsi="Arial"/>
          <w:sz w:val="16"/>
          <w:szCs w:val="16"/>
          <w:color w:val="FF0000"/>
          <w:strike w:val="1"/>
        </w:rPr>
        <w:t xml:space="preserve">Guarantees by the Borrower and any Restricted Subsidiary in respect of Indebtedness of the Borrower or any Restricted Subsidiary of the Borrower otherwise permitted hereunder;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 no Guarantee by any Restricted Subsidiary of any ABL Facility Indebtedness, any UST Tranche A Facility Indebtedness, any UST Tranche B Facility Indebtedness, any Junior Financing, any Permitted Additional Debt or any Permitted Refinancing of any of the foregoing shall be permitted unless such guaranteeing party shall have also provided a Guarantee of the Obligations on the terms set forth herein (</w:t>
      </w:r>
      <w:r>
        <w:rPr>
          <w:rFonts w:ascii="Arial" w:cs="Arial" w:eastAsia="Arial" w:hAnsi="Arial"/>
          <w:sz w:val="16"/>
          <w:szCs w:val="16"/>
          <w:i w:val="1"/>
          <w:iCs w:val="1"/>
          <w:color w:val="FF0000"/>
          <w:strike w:val="1"/>
        </w:rPr>
        <w:t>provided further</w:t>
      </w:r>
      <w:r>
        <w:rPr>
          <w:rFonts w:ascii="Arial" w:cs="Arial" w:eastAsia="Arial" w:hAnsi="Arial"/>
          <w:sz w:val="16"/>
          <w:szCs w:val="16"/>
          <w:color w:val="FF0000"/>
          <w:strike w:val="1"/>
        </w:rPr>
        <w:t xml:space="preserve"> that, clause (i) shall not apply in the case of a Guarantee by any Foreign Subsidiary that is not a Loan Party of any Indebtedness of another Foreign Subsidiary that is not a Loan Party), and (ii) if the Indebtedness being Guaranteed is Junior Financing that is, or is required by this Agreement to be, Subordinated Indebtedness, such Guarantee shall be subordinated to the Guarantee of the Obligations on terms (taken as a whole) at least as favorable to the Lenders as those contained in the subordination of such Junior Financing;</w:t>
      </w:r>
    </w:p>
    <w:p>
      <w:pPr>
        <w:spacing w:after="0" w:line="165" w:lineRule="exact"/>
        <w:rPr>
          <w:rFonts w:ascii="Arial" w:cs="Arial" w:eastAsia="Arial" w:hAnsi="Arial"/>
          <w:sz w:val="16"/>
          <w:szCs w:val="16"/>
          <w:color w:val="FF0000"/>
          <w:strike w:val="1"/>
        </w:rPr>
      </w:pPr>
    </w:p>
    <w:p>
      <w:pPr>
        <w:ind w:left="4" w:firstLine="436"/>
        <w:spacing w:after="0" w:line="275" w:lineRule="auto"/>
        <w:tabs>
          <w:tab w:leader="none" w:pos="699" w:val="left"/>
        </w:tabs>
        <w:numPr>
          <w:ilvl w:val="1"/>
          <w:numId w:val="207"/>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Indebtedness (other than Indebtedness permitted under </w:t>
      </w:r>
      <w:r>
        <w:rPr>
          <w:rFonts w:ascii="Arial" w:cs="Arial" w:eastAsia="Arial" w:hAnsi="Arial"/>
          <w:sz w:val="17"/>
          <w:szCs w:val="17"/>
          <w:u w:val="single" w:color="auto"/>
          <w:color w:val="FF0000"/>
          <w:strike w:val="1"/>
        </w:rPr>
        <w:t>Section 7.03(b)</w:t>
      </w:r>
      <w:r>
        <w:rPr>
          <w:rFonts w:ascii="Arial" w:cs="Arial" w:eastAsia="Arial" w:hAnsi="Arial"/>
          <w:sz w:val="17"/>
          <w:szCs w:val="17"/>
          <w:color w:val="FF0000"/>
          <w:strike w:val="1"/>
        </w:rPr>
        <w:t xml:space="preserve">) of the Borrower or any Restricted Subsidiary owing to any Loan Party or any other Restricted Subsidiary (or consisting of a Guaranty on behalf </w:t>
      </w:r>
      <w:r>
        <w:rPr>
          <w:rFonts w:ascii="Arial" w:cs="Arial" w:eastAsia="Arial" w:hAnsi="Arial"/>
          <w:sz w:val="17"/>
          <w:szCs w:val="17"/>
          <w:color w:val="008000"/>
          <w:strike w:val="1"/>
        </w:rPr>
        <w:t>of any Loan Party or any</w:t>
      </w:r>
      <w:r>
        <w:rPr>
          <w:rFonts w:ascii="Arial" w:cs="Arial" w:eastAsia="Arial" w:hAnsi="Arial"/>
          <w:sz w:val="17"/>
          <w:szCs w:val="17"/>
          <w:color w:val="FF0000"/>
          <w:strike w:val="1"/>
        </w:rPr>
        <w:t xml:space="preserve"> other Restricted Subsidiary) to the extent constituting an Investment permitted by </w:t>
      </w:r>
      <w:r>
        <w:rPr>
          <w:rFonts w:ascii="Arial" w:cs="Arial" w:eastAsia="Arial" w:hAnsi="Arial"/>
          <w:sz w:val="17"/>
          <w:szCs w:val="17"/>
          <w:u w:val="single" w:color="auto"/>
          <w:color w:val="FF0000"/>
          <w:strike w:val="1"/>
        </w:rPr>
        <w:t>Section 7.02</w:t>
      </w:r>
      <w:r>
        <w:rPr>
          <w:rFonts w:ascii="Arial" w:cs="Arial" w:eastAsia="Arial" w:hAnsi="Arial"/>
          <w:sz w:val="17"/>
          <w:szCs w:val="17"/>
          <w:color w:val="FF0000"/>
          <w:strike w:val="1"/>
        </w:rPr>
        <w:t xml:space="preserve"> (other than clause (v) thereof);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(x) all such Indebtedness shall be evidenced by an Intercompany Note and (y) all such Indebtedness of any Loan Party owed to any Person that is not a Loan Party shall be unsecured and subordinated to the Obligations pursuant to the subordination provisions reasonably acceptable to the Required Lenders;</w:t>
      </w:r>
    </w:p>
    <w:p>
      <w:pPr>
        <w:spacing w:after="0" w:line="176" w:lineRule="exact"/>
        <w:rPr>
          <w:rFonts w:ascii="Arial" w:cs="Arial" w:eastAsia="Arial" w:hAnsi="Arial"/>
          <w:sz w:val="17"/>
          <w:szCs w:val="17"/>
          <w:color w:val="FF0000"/>
          <w:strike w:val="1"/>
        </w:rPr>
      </w:pPr>
    </w:p>
    <w:p>
      <w:pPr>
        <w:ind w:left="4" w:right="140" w:firstLine="436"/>
        <w:spacing w:after="0" w:line="259" w:lineRule="auto"/>
        <w:tabs>
          <w:tab w:leader="none" w:pos="689" w:val="left"/>
        </w:tabs>
        <w:numPr>
          <w:ilvl w:val="1"/>
          <w:numId w:val="207"/>
        </w:numPr>
        <w:rPr>
          <w:rFonts w:ascii="Arial" w:cs="Arial" w:eastAsia="Arial" w:hAnsi="Arial"/>
          <w:sz w:val="18"/>
          <w:szCs w:val="18"/>
          <w:color w:val="FF0000"/>
          <w:strike w:val="1"/>
        </w:rPr>
      </w:pPr>
      <w:r>
        <w:rPr>
          <w:rFonts w:ascii="Arial" w:cs="Arial" w:eastAsia="Arial" w:hAnsi="Arial"/>
          <w:sz w:val="18"/>
          <w:szCs w:val="18"/>
          <w:color w:val="FF0000"/>
          <w:strike w:val="1"/>
        </w:rPr>
        <w:t>Attributable Indebtedness and other Indebtedness of the Borrower or any Restricted Subsidiary (including Capitalized Leases) financing an acquisition, construction, repair, replacement, lease or improvement of a fixed or capital asset incurred prior to or within 270 days after the acquisition, lease or improvement of the applicable asset in an aggregate amount (together with any Permitted Refinancings thereof) not to exceed $25,000,000 at any time outstanding;</w:t>
      </w:r>
    </w:p>
    <w:p>
      <w:pPr>
        <w:spacing w:after="0" w:line="186" w:lineRule="exact"/>
        <w:rPr>
          <w:rFonts w:ascii="Arial" w:cs="Arial" w:eastAsia="Arial" w:hAnsi="Arial"/>
          <w:sz w:val="18"/>
          <w:szCs w:val="18"/>
          <w:color w:val="FF0000"/>
          <w:strike w:val="1"/>
        </w:rPr>
      </w:pPr>
    </w:p>
    <w:p>
      <w:pPr>
        <w:ind w:left="4" w:right="160" w:firstLine="436"/>
        <w:spacing w:after="0" w:line="277" w:lineRule="auto"/>
        <w:tabs>
          <w:tab w:leader="none" w:pos="669" w:val="left"/>
        </w:tabs>
        <w:numPr>
          <w:ilvl w:val="1"/>
          <w:numId w:val="207"/>
        </w:numPr>
        <w:rPr>
          <w:rFonts w:ascii="Arial" w:cs="Arial" w:eastAsia="Arial" w:hAnsi="Arial"/>
          <w:sz w:val="18"/>
          <w:szCs w:val="18"/>
          <w:color w:val="FF0000"/>
          <w:strike w:val="1"/>
        </w:rPr>
      </w:pPr>
      <w:r>
        <w:rPr>
          <w:rFonts w:ascii="Arial" w:cs="Arial" w:eastAsia="Arial" w:hAnsi="Arial"/>
          <w:sz w:val="18"/>
          <w:szCs w:val="18"/>
          <w:color w:val="FF0000"/>
          <w:strike w:val="1"/>
        </w:rPr>
        <w:t>Indebtedness in respect of Swap Contracts designed to hedge against the Borrower’s or any Restricted Subsidiary’s exposure to interest rates, foreign exchange rates or commodities (including fuel) pricing risks incurred not for speculative purposes;</w:t>
      </w:r>
    </w:p>
    <w:p>
      <w:pPr>
        <w:spacing w:after="0" w:line="170" w:lineRule="exact"/>
        <w:rPr>
          <w:rFonts w:ascii="Arial" w:cs="Arial" w:eastAsia="Arial" w:hAnsi="Arial"/>
          <w:sz w:val="18"/>
          <w:szCs w:val="18"/>
          <w:color w:val="FF0000"/>
          <w:strike w:val="1"/>
        </w:rPr>
      </w:pPr>
    </w:p>
    <w:p>
      <w:pPr>
        <w:ind w:left="4" w:right="20" w:firstLine="436"/>
        <w:spacing w:after="0" w:line="286" w:lineRule="auto"/>
        <w:tabs>
          <w:tab w:leader="none" w:pos="699" w:val="left"/>
        </w:tabs>
        <w:numPr>
          <w:ilvl w:val="1"/>
          <w:numId w:val="207"/>
        </w:numPr>
        <w:rPr>
          <w:rFonts w:ascii="Arial" w:cs="Arial" w:eastAsia="Arial" w:hAnsi="Arial"/>
          <w:sz w:val="16"/>
          <w:szCs w:val="16"/>
          <w:color w:val="FF0000"/>
          <w:strike w:val="1"/>
        </w:rPr>
      </w:pPr>
      <w:r>
        <w:rPr>
          <w:rFonts w:ascii="Arial" w:cs="Arial" w:eastAsia="Arial" w:hAnsi="Arial"/>
          <w:sz w:val="16"/>
          <w:szCs w:val="16"/>
          <w:color w:val="FF0000"/>
          <w:strike w:val="1"/>
        </w:rPr>
        <w:t xml:space="preserve">Indebtedness of the Borrower or any Restricted Subsidiary assumed in connection with any Permitted Acquisition or other Investment permitted hereunder,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(w) such Indebtedness is not incurred in contemplation of such Permitted Acquisition or Investment, and any Permitted Refinancing thereof, (x) such Indebtedness and all Indebtedness resulting from a Permitted Refinancing thereof is unsecured (except for Liens permitted by </w:t>
      </w:r>
      <w:r>
        <w:rPr>
          <w:rFonts w:ascii="Arial" w:cs="Arial" w:eastAsia="Arial" w:hAnsi="Arial"/>
          <w:sz w:val="16"/>
          <w:szCs w:val="16"/>
          <w:u w:val="single" w:color="auto"/>
          <w:color w:val="FF0000"/>
          <w:strike w:val="1"/>
        </w:rPr>
        <w:t>Section 7.01(s)</w:t>
      </w:r>
      <w:r>
        <w:rPr>
          <w:rFonts w:ascii="Arial" w:cs="Arial" w:eastAsia="Arial" w:hAnsi="Arial"/>
          <w:sz w:val="16"/>
          <w:szCs w:val="16"/>
          <w:color w:val="FF0000"/>
          <w:strike w:val="1"/>
        </w:rPr>
        <w:t>), and (y) both immediately prior and after giving effect thereto, (1) no Event of Default shall exist or result therefrom, and</w:t>
      </w:r>
    </w:p>
    <w:p>
      <w:pPr>
        <w:spacing w:after="0" w:line="1" w:lineRule="exact"/>
        <w:rPr>
          <w:rFonts w:ascii="Arial" w:cs="Arial" w:eastAsia="Arial" w:hAnsi="Arial"/>
          <w:sz w:val="16"/>
          <w:szCs w:val="16"/>
          <w:color w:val="FF0000"/>
          <w:strike w:val="1"/>
        </w:rPr>
      </w:pPr>
    </w:p>
    <w:p>
      <w:pPr>
        <w:ind w:left="4" w:right="120"/>
        <w:spacing w:after="0" w:line="260" w:lineRule="auto"/>
        <w:rPr>
          <w:rFonts w:ascii="Arial" w:cs="Arial" w:eastAsia="Arial" w:hAnsi="Arial"/>
          <w:sz w:val="16"/>
          <w:szCs w:val="16"/>
          <w:color w:val="FF0000"/>
          <w:strike w:val="1"/>
        </w:rPr>
      </w:pPr>
      <w:r>
        <w:rPr>
          <w:rFonts w:ascii="Arial" w:cs="Arial" w:eastAsia="Arial" w:hAnsi="Arial"/>
          <w:sz w:val="18"/>
          <w:szCs w:val="18"/>
          <w:color w:val="FF0000"/>
          <w:strike w:val="1"/>
        </w:rPr>
        <w:t>(2) immediately after giving effect to the related Permitted Acquisition or Investment and the assumption of Indebtedness, the Total Leverage Ratio, on a Pro Forma Basis, for the Test Period most recently ended shall not be greater than 3.00:1.00;</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4"/>
          </w:cols>
          <w:pgMar w:left="436" w:top="274" w:right="459" w:bottom="1440" w:gutter="0" w:footer="0" w:header="0"/>
        </w:sectPr>
      </w:pPr>
    </w:p>
    <w:bookmarkStart w:id="270" w:name="page271"/>
    <w:bookmarkEnd w:id="270"/>
    <w:p>
      <w:pPr>
        <w:ind w:left="4" w:right="220" w:firstLine="436"/>
        <w:spacing w:after="0" w:line="308" w:lineRule="auto"/>
        <w:tabs>
          <w:tab w:leader="none" w:pos="699" w:val="left"/>
        </w:tabs>
        <w:numPr>
          <w:ilvl w:val="1"/>
          <w:numId w:val="208"/>
        </w:numPr>
        <w:rPr>
          <w:rFonts w:ascii="Arial" w:cs="Arial" w:eastAsia="Arial" w:hAnsi="Arial"/>
          <w:sz w:val="17"/>
          <w:szCs w:val="17"/>
          <w:color w:val="FF0000"/>
          <w:strike w:val="1"/>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representing deferred compensation to employees of the Borrower or any of its Restricted Subsidiaries incurred in the ordinary course of business and other obligations and liabilities arising under employee benefit plans in the ordinary course of business;</w:t>
      </w:r>
    </w:p>
    <w:p>
      <w:pPr>
        <w:spacing w:after="0" w:line="146" w:lineRule="exact"/>
        <w:rPr>
          <w:rFonts w:ascii="Arial" w:cs="Arial" w:eastAsia="Arial" w:hAnsi="Arial"/>
          <w:sz w:val="17"/>
          <w:szCs w:val="17"/>
          <w:color w:val="FF0000"/>
          <w:strike w:val="1"/>
        </w:rPr>
      </w:pPr>
    </w:p>
    <w:p>
      <w:pPr>
        <w:ind w:left="4" w:right="300" w:firstLine="436"/>
        <w:spacing w:after="0" w:line="263" w:lineRule="auto"/>
        <w:tabs>
          <w:tab w:leader="none" w:pos="659" w:val="left"/>
        </w:tabs>
        <w:numPr>
          <w:ilvl w:val="1"/>
          <w:numId w:val="20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Indebtedness consisting of unsecured promissory notes issued by the Borrower or any of its Restricted Subsidiaries to current or former officers, managers, consultants, directors and employees, their respective estates, spouses or former spouses to finance the purchase or redemption of Equity Interests of the Borrower permitted by </w:t>
      </w:r>
      <w:r>
        <w:rPr>
          <w:rFonts w:ascii="Arial" w:cs="Arial" w:eastAsia="Arial" w:hAnsi="Arial"/>
          <w:sz w:val="18"/>
          <w:szCs w:val="18"/>
          <w:u w:val="single" w:color="auto"/>
          <w:color w:val="FF0000"/>
          <w:strike w:val="1"/>
        </w:rPr>
        <w:t>Section 7.06;</w:t>
      </w:r>
    </w:p>
    <w:p>
      <w:pPr>
        <w:spacing w:after="0" w:line="183" w:lineRule="exact"/>
        <w:rPr>
          <w:rFonts w:ascii="Arial" w:cs="Arial" w:eastAsia="Arial" w:hAnsi="Arial"/>
          <w:sz w:val="18"/>
          <w:szCs w:val="18"/>
          <w:color w:val="FF0000"/>
          <w:strike w:val="1"/>
        </w:rPr>
      </w:pPr>
    </w:p>
    <w:p>
      <w:pPr>
        <w:ind w:left="4" w:right="80" w:firstLine="436"/>
        <w:spacing w:after="0" w:line="263" w:lineRule="auto"/>
        <w:tabs>
          <w:tab w:leader="none" w:pos="659" w:val="left"/>
        </w:tabs>
        <w:numPr>
          <w:ilvl w:val="1"/>
          <w:numId w:val="208"/>
        </w:numPr>
        <w:rPr>
          <w:rFonts w:ascii="Arial" w:cs="Arial" w:eastAsia="Arial" w:hAnsi="Arial"/>
          <w:sz w:val="18"/>
          <w:szCs w:val="18"/>
          <w:color w:val="FF0000"/>
          <w:strike w:val="1"/>
        </w:rPr>
      </w:pPr>
      <w:r>
        <w:rPr>
          <w:rFonts w:ascii="Arial" w:cs="Arial" w:eastAsia="Arial" w:hAnsi="Arial"/>
          <w:sz w:val="18"/>
          <w:szCs w:val="18"/>
          <w:color w:val="FF0000"/>
          <w:strike w:val="1"/>
        </w:rPr>
        <w:t>Indebtedness incurred by the Borrower or any of its Restricted Subsidiaries in a Permitted Acquisition, any other Investment expressly permitted hereunder or any Disposition expressly permitted hereunder, in each case, constituting indemnification obligations or obligations in respect of purchase price (including earnouts and holdbacks) or other similar adjustments;</w:t>
      </w:r>
    </w:p>
    <w:p>
      <w:pPr>
        <w:spacing w:after="0" w:line="183" w:lineRule="exact"/>
        <w:rPr>
          <w:rFonts w:ascii="Arial" w:cs="Arial" w:eastAsia="Arial" w:hAnsi="Arial"/>
          <w:sz w:val="18"/>
          <w:szCs w:val="18"/>
          <w:color w:val="FF0000"/>
          <w:strike w:val="1"/>
        </w:rPr>
      </w:pPr>
    </w:p>
    <w:p>
      <w:pPr>
        <w:ind w:left="4" w:right="40" w:firstLine="436"/>
        <w:spacing w:after="0" w:line="263" w:lineRule="auto"/>
        <w:tabs>
          <w:tab w:leader="none" w:pos="699" w:val="left"/>
        </w:tabs>
        <w:numPr>
          <w:ilvl w:val="1"/>
          <w:numId w:val="208"/>
        </w:numPr>
        <w:rPr>
          <w:rFonts w:ascii="Arial" w:cs="Arial" w:eastAsia="Arial" w:hAnsi="Arial"/>
          <w:sz w:val="18"/>
          <w:szCs w:val="18"/>
          <w:color w:val="FF0000"/>
          <w:strike w:val="1"/>
        </w:rPr>
      </w:pPr>
      <w:r>
        <w:rPr>
          <w:rFonts w:ascii="Arial" w:cs="Arial" w:eastAsia="Arial" w:hAnsi="Arial"/>
          <w:sz w:val="18"/>
          <w:szCs w:val="18"/>
          <w:color w:val="FF0000"/>
          <w:strike w:val="1"/>
        </w:rPr>
        <w:t>Indebtedness in respect of treasury, depository, credit card, debit card and cash management services or automated clearinghouse transfer of funds, overdraft or any similar services incurred in the ordinary course of business or any similar cash management services relating or secured pursuant to the ABL Facility and any hedges related to the ABL Facility;</w:t>
      </w:r>
    </w:p>
    <w:p>
      <w:pPr>
        <w:spacing w:after="0" w:line="183" w:lineRule="exact"/>
        <w:rPr>
          <w:rFonts w:ascii="Arial" w:cs="Arial" w:eastAsia="Arial" w:hAnsi="Arial"/>
          <w:sz w:val="18"/>
          <w:szCs w:val="18"/>
          <w:color w:val="FF0000"/>
          <w:strike w:val="1"/>
        </w:rPr>
      </w:pPr>
    </w:p>
    <w:p>
      <w:pPr>
        <w:ind w:left="4" w:right="580" w:firstLine="436"/>
        <w:spacing w:after="0" w:line="277" w:lineRule="auto"/>
        <w:tabs>
          <w:tab w:leader="none" w:pos="659" w:val="left"/>
        </w:tabs>
        <w:numPr>
          <w:ilvl w:val="1"/>
          <w:numId w:val="208"/>
        </w:numPr>
        <w:rPr>
          <w:rFonts w:ascii="Arial" w:cs="Arial" w:eastAsia="Arial" w:hAnsi="Arial"/>
          <w:sz w:val="18"/>
          <w:szCs w:val="18"/>
          <w:color w:val="FF0000"/>
          <w:strike w:val="1"/>
        </w:rPr>
      </w:pPr>
      <w:r>
        <w:rPr>
          <w:rFonts w:ascii="Arial" w:cs="Arial" w:eastAsia="Arial" w:hAnsi="Arial"/>
          <w:sz w:val="18"/>
          <w:szCs w:val="18"/>
          <w:color w:val="FF0000"/>
          <w:strike w:val="1"/>
        </w:rPr>
        <w:t>Indebtedness consisting of the financing of insurance premiums or take-or-pay obligations contained in supply arrangements that do not constitute Guarantees, in each case, in the ordinary course of business;</w:t>
      </w:r>
    </w:p>
    <w:p>
      <w:pPr>
        <w:spacing w:after="0" w:line="170" w:lineRule="exact"/>
        <w:rPr>
          <w:rFonts w:ascii="Arial" w:cs="Arial" w:eastAsia="Arial" w:hAnsi="Arial"/>
          <w:sz w:val="18"/>
          <w:szCs w:val="18"/>
          <w:color w:val="FF0000"/>
          <w:strike w:val="1"/>
        </w:rPr>
      </w:pPr>
    </w:p>
    <w:p>
      <w:pPr>
        <w:ind w:left="744" w:hanging="304"/>
        <w:spacing w:after="0"/>
        <w:tabs>
          <w:tab w:leader="none" w:pos="744" w:val="left"/>
        </w:tabs>
        <w:numPr>
          <w:ilvl w:val="1"/>
          <w:numId w:val="208"/>
        </w:numPr>
        <w:rPr>
          <w:rFonts w:ascii="Arial" w:cs="Arial" w:eastAsia="Arial" w:hAnsi="Arial"/>
          <w:sz w:val="17"/>
          <w:szCs w:val="17"/>
          <w:color w:val="FF0000"/>
          <w:strike w:val="1"/>
        </w:rPr>
      </w:pPr>
      <w:r>
        <w:rPr>
          <w:rFonts w:ascii="Arial" w:cs="Arial" w:eastAsia="Arial" w:hAnsi="Arial"/>
          <w:sz w:val="17"/>
          <w:szCs w:val="17"/>
          <w:color w:val="FF0000"/>
          <w:strike w:val="1"/>
        </w:rPr>
        <w:t>Indebtedness incurred by the Borrower or any of its Restricted Subsidiaries in respect of letters of credit, bank guarantees, bankers’</w:t>
      </w:r>
    </w:p>
    <w:p>
      <w:pPr>
        <w:spacing w:after="0" w:line="34" w:lineRule="exact"/>
        <w:rPr>
          <w:rFonts w:ascii="Arial" w:cs="Arial" w:eastAsia="Arial" w:hAnsi="Arial"/>
          <w:sz w:val="17"/>
          <w:szCs w:val="17"/>
          <w:color w:val="FF0000"/>
          <w:strike w:val="1"/>
        </w:rPr>
      </w:pPr>
    </w:p>
    <w:p>
      <w:pPr>
        <w:ind w:left="4" w:right="120"/>
        <w:spacing w:after="0" w:line="302" w:lineRule="auto"/>
        <w:rPr>
          <w:rFonts w:ascii="Arial" w:cs="Arial" w:eastAsia="Arial" w:hAnsi="Arial"/>
          <w:sz w:val="17"/>
          <w:szCs w:val="17"/>
          <w:color w:val="FF0000"/>
          <w:strike w:val="1"/>
        </w:rPr>
      </w:pPr>
      <w:r>
        <w:rPr>
          <w:rFonts w:ascii="Arial" w:cs="Arial" w:eastAsia="Arial" w:hAnsi="Arial"/>
          <w:sz w:val="16"/>
          <w:szCs w:val="16"/>
          <w:color w:val="FF0000"/>
          <w:strike w:val="1"/>
        </w:rPr>
        <w:t>acceptances or similar instruments issued or created in the ordinary course of business and not in connection with the borrowing of money, including in respect of workers compensation claims, health, disability or other employee benefits or property, casualty or liability insurance or self-insurance or other Indebtedness incurred in the ordinary course of business with respect to reimbursement-type obligations regarding workers compensation claims;</w:t>
      </w:r>
    </w:p>
    <w:p>
      <w:pPr>
        <w:spacing w:after="0" w:line="155" w:lineRule="exact"/>
        <w:rPr>
          <w:rFonts w:ascii="Arial" w:cs="Arial" w:eastAsia="Arial" w:hAnsi="Arial"/>
          <w:sz w:val="17"/>
          <w:szCs w:val="17"/>
          <w:color w:val="FF0000"/>
          <w:strike w:val="1"/>
        </w:rPr>
      </w:pPr>
    </w:p>
    <w:p>
      <w:pPr>
        <w:ind w:left="4" w:right="40" w:firstLine="436"/>
        <w:spacing w:after="0" w:line="259" w:lineRule="auto"/>
        <w:tabs>
          <w:tab w:leader="none" w:pos="699" w:val="left"/>
        </w:tabs>
        <w:numPr>
          <w:ilvl w:val="1"/>
          <w:numId w:val="208"/>
        </w:numPr>
        <w:rPr>
          <w:rFonts w:ascii="Arial" w:cs="Arial" w:eastAsia="Arial" w:hAnsi="Arial"/>
          <w:sz w:val="18"/>
          <w:szCs w:val="18"/>
          <w:color w:val="FF0000"/>
          <w:strike w:val="1"/>
        </w:rPr>
      </w:pPr>
      <w:r>
        <w:rPr>
          <w:rFonts w:ascii="Arial" w:cs="Arial" w:eastAsia="Arial" w:hAnsi="Arial"/>
          <w:sz w:val="18"/>
          <w:szCs w:val="18"/>
          <w:color w:val="FF0000"/>
          <w:strike w:val="1"/>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 and not in connection with the borrowing of money or Swap Contracts;</w:t>
      </w:r>
    </w:p>
    <w:p>
      <w:pPr>
        <w:spacing w:after="0" w:line="186" w:lineRule="exact"/>
        <w:rPr>
          <w:rFonts w:ascii="Arial" w:cs="Arial" w:eastAsia="Arial" w:hAnsi="Arial"/>
          <w:sz w:val="18"/>
          <w:szCs w:val="18"/>
          <w:color w:val="FF0000"/>
          <w:strike w:val="1"/>
        </w:rPr>
      </w:pPr>
    </w:p>
    <w:p>
      <w:pPr>
        <w:jc w:val="both"/>
        <w:ind w:left="4" w:right="340" w:firstLine="436"/>
        <w:spacing w:after="0" w:line="291" w:lineRule="auto"/>
        <w:tabs>
          <w:tab w:leader="none" w:pos="699" w:val="left"/>
        </w:tabs>
        <w:numPr>
          <w:ilvl w:val="1"/>
          <w:numId w:val="208"/>
        </w:numPr>
        <w:rPr>
          <w:rFonts w:ascii="Arial" w:cs="Arial" w:eastAsia="Arial" w:hAnsi="Arial"/>
          <w:sz w:val="16"/>
          <w:szCs w:val="16"/>
          <w:color w:val="FF0000"/>
          <w:strike w:val="1"/>
        </w:rPr>
      </w:pPr>
      <w:r>
        <w:rPr>
          <w:rFonts w:ascii="Arial" w:cs="Arial" w:eastAsia="Arial" w:hAnsi="Arial"/>
          <w:sz w:val="16"/>
          <w:szCs w:val="16"/>
          <w:color w:val="FF0000"/>
          <w:strike w:val="1"/>
        </w:rPr>
        <w:t xml:space="preserve">(x) (i) ABL Facility Indebtedness and (ii) any Permitted Refinancing thereof, in each case, of the Loan Parties;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aggregate principal amount outstanding at any time of all such Indebtedness under clauses (i) and (ii) of this </w:t>
      </w:r>
      <w:r>
        <w:rPr>
          <w:rFonts w:ascii="Arial" w:cs="Arial" w:eastAsia="Arial" w:hAnsi="Arial"/>
          <w:sz w:val="16"/>
          <w:szCs w:val="16"/>
          <w:u w:val="single" w:color="auto"/>
          <w:color w:val="FF0000"/>
          <w:strike w:val="1"/>
        </w:rPr>
        <w:t>Section 7.03(o)(x)</w:t>
      </w:r>
      <w:r>
        <w:rPr>
          <w:rFonts w:ascii="Arial" w:cs="Arial" w:eastAsia="Arial" w:hAnsi="Arial"/>
          <w:sz w:val="16"/>
          <w:szCs w:val="16"/>
          <w:color w:val="FF0000"/>
          <w:strike w:val="1"/>
        </w:rPr>
        <w:t xml:space="preserve"> shall not exceed $500,000,000,</w:t>
      </w:r>
    </w:p>
    <w:p>
      <w:pPr>
        <w:ind w:left="4" w:hanging="4"/>
        <w:spacing w:after="0" w:line="252" w:lineRule="auto"/>
        <w:tabs>
          <w:tab w:leader="none" w:pos="259" w:val="left"/>
        </w:tabs>
        <w:numPr>
          <w:ilvl w:val="0"/>
          <w:numId w:val="209"/>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 UST Tranche A Facility Indebtedness and (ii) any Permitted Refinancing thereof, in each case, of the Loan Parties; and (z) (i) UST Tranche B Facility Indebtedness and (ii) any Permitted Refinancing thereof, in each case, of the Loan Parties,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the aggregate principal amount outstanding (excluding interest paid-in-kind or otherwise capitalized to principal) at any time of all such Indebtedness under clauses (i) and (ii) of this </w:t>
      </w:r>
      <w:r>
        <w:rPr>
          <w:rFonts w:ascii="Arial" w:cs="Arial" w:eastAsia="Arial" w:hAnsi="Arial"/>
          <w:sz w:val="18"/>
          <w:szCs w:val="18"/>
          <w:u w:val="single" w:color="auto"/>
          <w:color w:val="FF0000"/>
          <w:strike w:val="1"/>
        </w:rPr>
        <w:t xml:space="preserve">Section 7.03(o)(z) </w:t>
      </w:r>
      <w:r>
        <w:rPr>
          <w:rFonts w:ascii="Arial" w:cs="Arial" w:eastAsia="Arial" w:hAnsi="Arial"/>
          <w:sz w:val="18"/>
          <w:szCs w:val="18"/>
          <w:color w:val="FF0000"/>
          <w:strike w:val="1"/>
        </w:rPr>
        <w:t>shall not exceed $400,000,000;</w:t>
      </w:r>
      <w:r>
        <w:rPr>
          <w:rFonts w:ascii="Arial" w:cs="Arial" w:eastAsia="Arial" w:hAnsi="Arial"/>
          <w:sz w:val="18"/>
          <w:szCs w:val="18"/>
          <w:u w:val="single" w:color="auto"/>
          <w:color w:val="FF0000"/>
          <w:strike w:val="1"/>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that the aggregate principal amount outstanding (excluding interest paid-in-kind or otherwise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capitalized to principal) at any time of all such Indebtedness under </w:t>
      </w:r>
      <w:r>
        <w:rPr>
          <w:rFonts w:ascii="Arial" w:cs="Arial" w:eastAsia="Arial" w:hAnsi="Arial"/>
          <w:sz w:val="18"/>
          <w:szCs w:val="18"/>
          <w:u w:val="single" w:color="auto"/>
          <w:color w:val="FF0000"/>
          <w:strike w:val="1"/>
        </w:rPr>
        <w:t>Section 7.03(o)(y)</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Section 7.03(o)(z)</w:t>
      </w:r>
      <w:r>
        <w:rPr>
          <w:rFonts w:ascii="Arial" w:cs="Arial" w:eastAsia="Arial" w:hAnsi="Arial"/>
          <w:sz w:val="18"/>
          <w:szCs w:val="18"/>
          <w:color w:val="FF0000"/>
          <w:strike w:val="1"/>
        </w:rPr>
        <w:t>, on a combined basis, shall not exceed $700,000,000;</w:t>
      </w:r>
    </w:p>
    <w:p>
      <w:pPr>
        <w:spacing w:after="0" w:line="193" w:lineRule="exact"/>
        <w:rPr>
          <w:rFonts w:ascii="Arial" w:cs="Arial" w:eastAsia="Arial" w:hAnsi="Arial"/>
          <w:sz w:val="18"/>
          <w:szCs w:val="18"/>
          <w:color w:val="FF0000"/>
          <w:strike w:val="1"/>
        </w:rPr>
      </w:pPr>
    </w:p>
    <w:p>
      <w:pPr>
        <w:ind w:left="704" w:hanging="264"/>
        <w:spacing w:after="0"/>
        <w:tabs>
          <w:tab w:leader="none" w:pos="704" w:val="left"/>
        </w:tabs>
        <w:numPr>
          <w:ilvl w:val="1"/>
          <w:numId w:val="209"/>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4"/>
          </w:cols>
          <w:pgMar w:left="436" w:top="274" w:right="439" w:bottom="1440" w:gutter="0" w:footer="0" w:header="0"/>
        </w:sectPr>
      </w:pPr>
    </w:p>
    <w:bookmarkStart w:id="271" w:name="page272"/>
    <w:bookmarkEnd w:id="271"/>
    <w:p>
      <w:pPr>
        <w:ind w:left="-60" w:right="860" w:firstLine="436"/>
        <w:spacing w:after="0" w:line="277" w:lineRule="auto"/>
        <w:tabs>
          <w:tab w:leader="none" w:pos="635"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Credit Agreement Refinancing Indebtedness (other than any Credit Agreement Refinancing Indebtedness incurred pursuant to a Refinancing Amendment) and (ii) any Permitted Refinancing thereof;</w:t>
      </w:r>
    </w:p>
    <w:p>
      <w:pPr>
        <w:spacing w:after="0" w:line="170" w:lineRule="exact"/>
        <w:rPr>
          <w:rFonts w:ascii="Arial" w:cs="Arial" w:eastAsia="Arial" w:hAnsi="Arial"/>
          <w:sz w:val="18"/>
          <w:szCs w:val="18"/>
          <w:color w:val="FF0000"/>
          <w:strike w:val="1"/>
        </w:rPr>
      </w:pPr>
    </w:p>
    <w:p>
      <w:pPr>
        <w:ind w:left="600" w:hanging="224"/>
        <w:spacing w:after="0"/>
        <w:tabs>
          <w:tab w:leader="none" w:pos="60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20" w:hanging="244"/>
        <w:spacing w:after="0"/>
        <w:tabs>
          <w:tab w:leader="none" w:pos="62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0" w:right="180" w:firstLine="436"/>
        <w:spacing w:after="0" w:line="277" w:lineRule="auto"/>
        <w:tabs>
          <w:tab w:leader="none" w:pos="595"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all premiums (if any), interest (including post-petition interest and interest paid in kind), fees, expenses, charges and additional or contingent interest on obligations described in clauses (a) through (q) above and (u) through (ff) below;</w:t>
      </w:r>
    </w:p>
    <w:p>
      <w:pPr>
        <w:spacing w:after="0" w:line="170" w:lineRule="exact"/>
        <w:rPr>
          <w:rFonts w:ascii="Arial" w:cs="Arial" w:eastAsia="Arial" w:hAnsi="Arial"/>
          <w:sz w:val="18"/>
          <w:szCs w:val="18"/>
          <w:color w:val="FF0000"/>
          <w:strike w:val="1"/>
        </w:rPr>
      </w:pPr>
    </w:p>
    <w:p>
      <w:pPr>
        <w:ind w:left="640" w:hanging="264"/>
        <w:spacing w:after="0"/>
        <w:tabs>
          <w:tab w:leader="none" w:pos="64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40" w:hanging="264"/>
        <w:spacing w:after="0"/>
        <w:tabs>
          <w:tab w:leader="none" w:pos="64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80" w:hanging="304"/>
        <w:spacing w:after="0"/>
        <w:tabs>
          <w:tab w:leader="none" w:pos="68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0" w:firstLine="436"/>
        <w:spacing w:after="0" w:line="277" w:lineRule="auto"/>
        <w:tabs>
          <w:tab w:leader="none" w:pos="635"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Indebtedness in respect of taxes, assessments or governmental charges to the extent that payment thereof shall not at the time be required to be made hereunder;</w:t>
      </w:r>
    </w:p>
    <w:p>
      <w:pPr>
        <w:spacing w:after="0" w:line="170" w:lineRule="exact"/>
        <w:rPr>
          <w:rFonts w:ascii="Arial" w:cs="Arial" w:eastAsia="Arial" w:hAnsi="Arial"/>
          <w:sz w:val="18"/>
          <w:szCs w:val="18"/>
          <w:color w:val="FF0000"/>
          <w:strike w:val="1"/>
        </w:rPr>
      </w:pPr>
    </w:p>
    <w:p>
      <w:pPr>
        <w:ind w:left="640" w:hanging="264"/>
        <w:spacing w:after="0"/>
        <w:tabs>
          <w:tab w:leader="none" w:pos="64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20" w:hanging="244"/>
        <w:spacing w:after="0"/>
        <w:tabs>
          <w:tab w:leader="none" w:pos="620" w:val="left"/>
        </w:tabs>
        <w:numPr>
          <w:ilvl w:val="0"/>
          <w:numId w:val="210"/>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sz w:val="20"/>
          <w:szCs w:val="20"/>
          <w:color w:val="auto"/>
        </w:rPr>
      </w:pPr>
    </w:p>
    <w:p>
      <w:pPr>
        <w:ind w:left="-60" w:firstLine="436"/>
        <w:spacing w:after="0" w:line="263" w:lineRule="auto"/>
        <w:tabs>
          <w:tab w:leader="none" w:pos="705" w:val="left"/>
        </w:tabs>
        <w:numPr>
          <w:ilvl w:val="0"/>
          <w:numId w:val="21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Indebtedness in respect of Sale and Leaseback Transactions </w:t>
      </w:r>
      <w:r>
        <w:rPr>
          <w:rFonts w:ascii="Arial" w:cs="Arial" w:eastAsia="Arial" w:hAnsi="Arial"/>
          <w:sz w:val="18"/>
          <w:szCs w:val="18"/>
          <w:color w:val="008000"/>
          <w:strike w:val="1"/>
        </w:rPr>
        <w:t>in an amount not to exceed $</w:t>
      </w:r>
      <w:r>
        <w:rPr>
          <w:rFonts w:ascii="Arial" w:cs="Arial" w:eastAsia="Arial" w:hAnsi="Arial"/>
          <w:sz w:val="18"/>
          <w:szCs w:val="18"/>
          <w:color w:val="FF0000"/>
          <w:strike w:val="1"/>
        </w:rPr>
        <w:t xml:space="preserve">25,000,000 at any time outstanding;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as of and after the Amendment No. 3 Effective Date, this clause (aa) shall be unavailable for use under this Agreement and the dollar amount specified in this clause (aa) shall be $0;</w:t>
      </w:r>
    </w:p>
    <w:p>
      <w:pPr>
        <w:spacing w:after="0" w:line="183" w:lineRule="exact"/>
        <w:rPr>
          <w:rFonts w:ascii="Arial" w:cs="Arial" w:eastAsia="Arial" w:hAnsi="Arial"/>
          <w:sz w:val="18"/>
          <w:szCs w:val="18"/>
          <w:color w:val="FF0000"/>
          <w:strike w:val="1"/>
        </w:rPr>
      </w:pPr>
    </w:p>
    <w:p>
      <w:pPr>
        <w:ind w:left="720" w:hanging="344"/>
        <w:spacing w:after="0"/>
        <w:tabs>
          <w:tab w:leader="none" w:pos="720" w:val="left"/>
        </w:tabs>
        <w:numPr>
          <w:ilvl w:val="0"/>
          <w:numId w:val="21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Indebtedness in respect of Investments not prohibited by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(other than clause (v) thereof);</w:t>
      </w:r>
    </w:p>
    <w:p>
      <w:pPr>
        <w:spacing w:after="0" w:line="225" w:lineRule="exact"/>
        <w:rPr>
          <w:rFonts w:ascii="Arial" w:cs="Arial" w:eastAsia="Arial" w:hAnsi="Arial"/>
          <w:sz w:val="18"/>
          <w:szCs w:val="18"/>
          <w:color w:val="FF0000"/>
          <w:strike w:val="1"/>
        </w:rPr>
      </w:pPr>
    </w:p>
    <w:p>
      <w:pPr>
        <w:ind w:left="700" w:hanging="324"/>
        <w:spacing w:after="0"/>
        <w:tabs>
          <w:tab w:leader="none" w:pos="700" w:val="left"/>
        </w:tabs>
        <w:numPr>
          <w:ilvl w:val="0"/>
          <w:numId w:val="211"/>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jc w:val="both"/>
        <w:ind w:left="-60" w:firstLine="436"/>
        <w:spacing w:after="0" w:line="263" w:lineRule="auto"/>
        <w:tabs>
          <w:tab w:leader="none" w:pos="725" w:val="left"/>
        </w:tabs>
        <w:numPr>
          <w:ilvl w:val="0"/>
          <w:numId w:val="211"/>
        </w:numPr>
        <w:rPr>
          <w:rFonts w:ascii="Arial" w:cs="Arial" w:eastAsia="Arial" w:hAnsi="Arial"/>
          <w:sz w:val="18"/>
          <w:szCs w:val="18"/>
          <w:color w:val="FF0000"/>
          <w:strike w:val="1"/>
        </w:rPr>
      </w:pPr>
      <w:r>
        <w:rPr>
          <w:rFonts w:ascii="Arial" w:cs="Arial" w:eastAsia="Arial" w:hAnsi="Arial"/>
          <w:sz w:val="18"/>
          <w:szCs w:val="18"/>
          <w:color w:val="FF0000"/>
          <w:strike w:val="1"/>
        </w:rPr>
        <w:t>Indebtedness incurred in respect of credit cards, credit card processing services, debit cards, stored value cards, purchase cards (including so-called “procurement cards” or “P-cards”) or other similar cash management services, in each case, incurred in the ordinary course of business consistent with past practice;</w:t>
      </w:r>
    </w:p>
    <w:p>
      <w:pPr>
        <w:spacing w:after="0" w:line="183" w:lineRule="exact"/>
        <w:rPr>
          <w:rFonts w:ascii="Arial" w:cs="Arial" w:eastAsia="Arial" w:hAnsi="Arial"/>
          <w:sz w:val="18"/>
          <w:szCs w:val="18"/>
          <w:color w:val="FF0000"/>
          <w:strike w:val="1"/>
        </w:rPr>
      </w:pPr>
    </w:p>
    <w:p>
      <w:pPr>
        <w:ind w:left="700" w:hanging="324"/>
        <w:spacing w:after="0"/>
        <w:tabs>
          <w:tab w:leader="none" w:pos="700" w:val="left"/>
        </w:tabs>
        <w:numPr>
          <w:ilvl w:val="0"/>
          <w:numId w:val="211"/>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0" w:right="240" w:firstLine="436"/>
        <w:spacing w:after="0" w:line="263" w:lineRule="auto"/>
        <w:tabs>
          <w:tab w:leader="none" w:pos="662" w:val="left"/>
        </w:tabs>
        <w:numPr>
          <w:ilvl w:val="0"/>
          <w:numId w:val="211"/>
        </w:numPr>
        <w:rPr>
          <w:rFonts w:ascii="Arial" w:cs="Arial" w:eastAsia="Arial" w:hAnsi="Arial"/>
          <w:sz w:val="18"/>
          <w:szCs w:val="18"/>
          <w:color w:val="FF0000"/>
          <w:strike w:val="1"/>
        </w:rPr>
      </w:pPr>
      <w:r>
        <w:rPr>
          <w:rFonts w:ascii="Arial" w:cs="Arial" w:eastAsia="Arial" w:hAnsi="Arial"/>
          <w:sz w:val="18"/>
          <w:szCs w:val="18"/>
          <w:color w:val="FF0000"/>
          <w:strike w:val="1"/>
        </w:rPr>
        <w:t>other Indebtedness of the Borrower or any of its Restricted Subsidiaries</w:t>
      </w:r>
      <w:r>
        <w:rPr>
          <w:rFonts w:ascii="Arial" w:cs="Arial" w:eastAsia="Arial" w:hAnsi="Arial"/>
          <w:sz w:val="18"/>
          <w:szCs w:val="18"/>
          <w:color w:val="008000"/>
          <w:strike w:val="1"/>
        </w:rPr>
        <w:t>, in an aggregate principal amount</w:t>
      </w:r>
      <w:r>
        <w:rPr>
          <w:rFonts w:ascii="Arial" w:cs="Arial" w:eastAsia="Arial" w:hAnsi="Arial"/>
          <w:sz w:val="18"/>
          <w:szCs w:val="18"/>
          <w:color w:val="FF0000"/>
          <w:strike w:val="1"/>
        </w:rPr>
        <w:t xml:space="preserve"> at any time outstanding not to exceed $30,000,000;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the aggregate principal amount of Indebtedness of Restricted Subsidiaries that are not Guarantors permitted under this </w:t>
      </w:r>
      <w:r>
        <w:rPr>
          <w:rFonts w:ascii="Arial" w:cs="Arial" w:eastAsia="Arial" w:hAnsi="Arial"/>
          <w:sz w:val="18"/>
          <w:szCs w:val="18"/>
          <w:u w:val="single" w:color="auto"/>
          <w:color w:val="FF0000"/>
          <w:strike w:val="1"/>
        </w:rPr>
        <w:t>Section 7.03(ff)</w:t>
      </w:r>
      <w:r>
        <w:rPr>
          <w:rFonts w:ascii="Arial" w:cs="Arial" w:eastAsia="Arial" w:hAnsi="Arial"/>
          <w:sz w:val="18"/>
          <w:szCs w:val="18"/>
          <w:color w:val="FF0000"/>
          <w:strike w:val="1"/>
        </w:rPr>
        <w:t xml:space="preserve"> at any time outstanding shall not exceed $5,000,000; and</w:t>
      </w:r>
    </w:p>
    <w:p>
      <w:pPr>
        <w:spacing w:after="0" w:line="183" w:lineRule="exact"/>
        <w:rPr>
          <w:rFonts w:ascii="Arial" w:cs="Arial" w:eastAsia="Arial" w:hAnsi="Arial"/>
          <w:sz w:val="18"/>
          <w:szCs w:val="18"/>
          <w:color w:val="FF0000"/>
          <w:strike w:val="1"/>
        </w:rPr>
      </w:pPr>
    </w:p>
    <w:p>
      <w:pPr>
        <w:ind w:left="-60" w:right="580" w:firstLine="436"/>
        <w:spacing w:after="0" w:line="342" w:lineRule="auto"/>
        <w:tabs>
          <w:tab w:leader="none" w:pos="725" w:val="left"/>
        </w:tabs>
        <w:numPr>
          <w:ilvl w:val="0"/>
          <w:numId w:val="211"/>
        </w:numPr>
        <w:rPr>
          <w:rFonts w:ascii="Arial" w:cs="Arial" w:eastAsia="Arial" w:hAnsi="Arial"/>
          <w:sz w:val="16"/>
          <w:szCs w:val="16"/>
          <w:color w:val="FF0000"/>
          <w:strike w:val="1"/>
        </w:rPr>
      </w:pPr>
      <w:r>
        <w:rPr>
          <w:rFonts w:ascii="Arial" w:cs="Arial" w:eastAsia="Arial" w:hAnsi="Arial"/>
          <w:sz w:val="16"/>
          <w:szCs w:val="16"/>
          <w:color w:val="FF0000"/>
          <w:strike w:val="1"/>
        </w:rPr>
        <w:t>obligations, charges or liabilities incurred in the ordinary course of business (and not representing Indebtedness for borrowed money) outstanding as of the Amendment No. 2 Effective Date and identified to the Lenders in the schedule delivered to the Lenders on July 5, 2020.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00"/>
          </w:cols>
          <w:pgMar w:left="500" w:top="274" w:right="499" w:bottom="1440" w:gutter="0" w:footer="0" w:header="0"/>
        </w:sectPr>
      </w:pPr>
    </w:p>
    <w:bookmarkStart w:id="272" w:name="page273"/>
    <w:bookmarkEnd w:id="272"/>
    <w:p>
      <w:pPr>
        <w:jc w:val="both"/>
        <w:ind w:right="40" w:firstLine="440"/>
        <w:spacing w:after="0" w:line="25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7.04</w:t>
      </w:r>
      <w:r>
        <w:rPr>
          <w:rFonts w:ascii="Arial" w:cs="Arial" w:eastAsia="Arial" w:hAnsi="Arial"/>
          <w:sz w:val="18"/>
          <w:szCs w:val="18"/>
          <w:color w:val="0000FF"/>
        </w:rPr>
        <w:t xml:space="preserve"> </w:t>
      </w:r>
      <w:r>
        <w:rPr>
          <w:rFonts w:ascii="Arial" w:cs="Arial" w:eastAsia="Arial" w:hAnsi="Arial"/>
          <w:sz w:val="18"/>
          <w:szCs w:val="18"/>
          <w:color w:val="FF0000"/>
          <w:strike w:val="1"/>
        </w:rPr>
        <w:t>Section 7.04.</w:t>
      </w:r>
      <w:r>
        <w:rPr>
          <w:rFonts w:ascii="Arial" w:cs="Arial" w:eastAsia="Arial" w:hAnsi="Arial"/>
          <w:sz w:val="18"/>
          <w:szCs w:val="18"/>
          <w:color w:val="0000FF"/>
        </w:rPr>
        <w:t xml:space="preserve"> </w:t>
      </w:r>
      <w:r>
        <w:rPr>
          <w:rFonts w:ascii="Arial" w:cs="Arial" w:eastAsia="Arial" w:hAnsi="Arial"/>
          <w:sz w:val="18"/>
          <w:szCs w:val="18"/>
          <w:i w:val="1"/>
          <w:iCs w:val="1"/>
          <w:color w:val="000000"/>
        </w:rPr>
        <w:t>Fundamental Changes.</w:t>
      </w:r>
      <w:r>
        <w:rPr>
          <w:rFonts w:ascii="Arial" w:cs="Arial" w:eastAsia="Arial" w:hAnsi="Arial"/>
          <w:sz w:val="18"/>
          <w:szCs w:val="18"/>
          <w:color w:val="0000FF"/>
        </w:rPr>
        <w:t xml:space="preserve"> </w:t>
      </w:r>
      <w:r>
        <w:rPr>
          <w:rFonts w:ascii="Arial" w:cs="Arial" w:eastAsia="Arial" w:hAnsi="Arial"/>
          <w:sz w:val="18"/>
          <w:szCs w:val="18"/>
          <w:color w:val="000000"/>
        </w:rPr>
        <w:t>The Borrower shall not, nor shall it permit any</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color w:val="0000FF"/>
        </w:rPr>
        <w:t xml:space="preserve"> </w:t>
      </w:r>
      <w:r>
        <w:rPr>
          <w:rFonts w:ascii="Arial" w:cs="Arial" w:eastAsia="Arial" w:hAnsi="Arial"/>
          <w:sz w:val="18"/>
          <w:szCs w:val="18"/>
          <w:color w:val="000000"/>
        </w:rPr>
        <w:t>Subsidiary to, directly or indirectly,</w:t>
      </w:r>
      <w:r>
        <w:rPr>
          <w:rFonts w:ascii="Arial" w:cs="Arial" w:eastAsia="Arial" w:hAnsi="Arial"/>
          <w:sz w:val="18"/>
          <w:szCs w:val="18"/>
          <w:color w:val="0000FF"/>
        </w:rPr>
        <w:t xml:space="preserve"> </w:t>
      </w:r>
      <w:r>
        <w:rPr>
          <w:rFonts w:ascii="Arial" w:cs="Arial" w:eastAsia="Arial" w:hAnsi="Arial"/>
          <w:sz w:val="18"/>
          <w:szCs w:val="18"/>
          <w:color w:val="000000"/>
        </w:rPr>
        <w:t xml:space="preserve">merge, dissolve, liquidate, consolidate with or into another Person, or Dispose of (whether in one transaction or in a series of related transactions) all or substantially all of its assets (whether now owned or hereafter acquired) to or in favor of any Person, except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(i)</w:t>
      </w:r>
      <w:r>
        <w:rPr>
          <w:rFonts w:ascii="Arial" w:cs="Arial" w:eastAsia="Arial" w:hAnsi="Arial"/>
          <w:sz w:val="18"/>
          <w:szCs w:val="18"/>
          <w:color w:val="000000"/>
        </w:rPr>
        <w:t xml:space="preserve"> </w:t>
      </w:r>
      <w:r>
        <w:rPr>
          <w:rFonts w:ascii="Arial" w:cs="Arial" w:eastAsia="Arial" w:hAnsi="Arial"/>
          <w:sz w:val="18"/>
          <w:szCs w:val="18"/>
          <w:u w:val="single" w:color="auto"/>
          <w:color w:val="00C000"/>
        </w:rPr>
        <w:t>with the prior written consent of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Lenders (ii) as permitted by Section 7.05 and (iii) pursuant to (A) the First Day Orders or Second Day Orders, (B) the Bidding Procedures Order, (C) the DIP Order or (D) the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56578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-273685</wp:posOffset>
            </wp:positionV>
            <wp:extent cx="17741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7801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78308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8" w:lineRule="exact"/>
        <w:rPr>
          <w:sz w:val="20"/>
          <w:szCs w:val="20"/>
          <w:color w:val="auto"/>
        </w:rPr>
      </w:pPr>
    </w:p>
    <w:p>
      <w:pPr>
        <w:ind w:right="140" w:firstLine="436"/>
        <w:spacing w:after="0" w:line="254" w:lineRule="auto"/>
        <w:tabs>
          <w:tab w:leader="none" w:pos="685" w:val="left"/>
        </w:tabs>
        <w:numPr>
          <w:ilvl w:val="0"/>
          <w:numId w:val="21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any Restricted Subsidiary may merge, amalgamate or consolidate with (i) the Borrower (including a merger, the purpose of which is to reorganize the Borrower into a new jurisdiction);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(w) no Event of Default exists or would result therefrom, (x) the Borrower shall be the continuing or surviving Person, (y) such transaction does not result in the Borrower ceasing to be organized under the laws of the United States, any State thereof or the District of Columbia and (z) such transaction does not have an adverse effect in any material respect on the perfection or priority of the Liens granted under the Collateral Documents or (ii) one or more other Restricted Subsidiaries; </w:t>
      </w:r>
      <w:r>
        <w:rPr>
          <w:rFonts w:ascii="Arial" w:cs="Arial" w:eastAsia="Arial" w:hAnsi="Arial"/>
          <w:sz w:val="18"/>
          <w:szCs w:val="18"/>
          <w:i w:val="1"/>
          <w:iCs w:val="1"/>
          <w:color w:val="FF0000"/>
          <w:strike w:val="1"/>
        </w:rPr>
        <w:t>provided</w:t>
      </w:r>
      <w:r>
        <w:rPr>
          <w:rFonts w:ascii="Arial" w:cs="Arial" w:eastAsia="Arial" w:hAnsi="Arial"/>
          <w:sz w:val="18"/>
          <w:szCs w:val="18"/>
          <w:color w:val="008000"/>
          <w:strike w:val="1"/>
        </w:rPr>
        <w:t>, in the case of this clause (ii),</w:t>
      </w:r>
      <w:r>
        <w:rPr>
          <w:rFonts w:ascii="Arial" w:cs="Arial" w:eastAsia="Arial" w:hAnsi="Arial"/>
          <w:sz w:val="18"/>
          <w:szCs w:val="18"/>
          <w:color w:val="FF0000"/>
          <w:strike w:val="1"/>
        </w:rPr>
        <w:t xml:space="preserve"> that when such transaction involves a Loan Party, a Loan Party shall be the continuing or surviving Person except to the extent otherwise constituting an Investment permitted by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w:t>
      </w:r>
    </w:p>
    <w:p>
      <w:pPr>
        <w:spacing w:after="0" w:line="194" w:lineRule="exact"/>
        <w:rPr>
          <w:rFonts w:ascii="Arial" w:cs="Arial" w:eastAsia="Arial" w:hAnsi="Arial"/>
          <w:sz w:val="18"/>
          <w:szCs w:val="18"/>
          <w:color w:val="FF0000"/>
          <w:strike w:val="1"/>
        </w:rPr>
      </w:pPr>
    </w:p>
    <w:p>
      <w:pPr>
        <w:ind w:firstLine="436"/>
        <w:spacing w:after="0" w:line="254" w:lineRule="auto"/>
        <w:tabs>
          <w:tab w:leader="none" w:pos="695" w:val="left"/>
        </w:tabs>
        <w:numPr>
          <w:ilvl w:val="0"/>
          <w:numId w:val="21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 any Restricted Subsidiary that is not a Loan Party may merge, amalgamate or consolidate with or into any other Restricted Subsidiary that is not a Loan Party and (ii) any Restricted Subsidiary may liquidate or dissolve or change its legal form if the Borrower determines in good faith that such action is in the best interest of the Borrower and the Restricted Subsidiaries and is not disadvantageous to the Lenders in any material respect (it being understood that (other than a transaction constituting a permitted Investment under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or involving an Excluded Subsidiary) in the case of any liquidation or dissolution of a Guarantor, such Guarantor shall transfer its assets to a Loan Party, and in the case of any change in legal form, a Restricted Subsidiary that is a Guarantor will remain a Guarantor and such transaction shall not have an adverse effect on the perfection or priority of the Liens granted under the Collateral Documents);</w:t>
      </w:r>
    </w:p>
    <w:p>
      <w:pPr>
        <w:spacing w:after="0" w:line="194" w:lineRule="exact"/>
        <w:rPr>
          <w:rFonts w:ascii="Arial" w:cs="Arial" w:eastAsia="Arial" w:hAnsi="Arial"/>
          <w:sz w:val="18"/>
          <w:szCs w:val="18"/>
          <w:color w:val="FF0000"/>
          <w:strike w:val="1"/>
        </w:rPr>
      </w:pPr>
    </w:p>
    <w:p>
      <w:pPr>
        <w:ind w:right="140" w:firstLine="436"/>
        <w:spacing w:after="0" w:line="259" w:lineRule="auto"/>
        <w:tabs>
          <w:tab w:leader="none" w:pos="685" w:val="left"/>
        </w:tabs>
        <w:numPr>
          <w:ilvl w:val="0"/>
          <w:numId w:val="21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any Restricted Subsidiary may Dispose of all or substantially all of its assets (upon voluntary liquidation or otherwise) to the Borrower or to another Restricted Subsidiary;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if the transferor in such a transaction is a Guarantor, then (i) the transferee must be a Guarantor or the Borrower or (ii) to the extent constituting an Investment, such Investment must be a permitted Investment in or Indebtedness of a Restricted Subsidiary which is not a Loan Party in accordance with </w:t>
      </w:r>
      <w:r>
        <w:rPr>
          <w:rFonts w:ascii="Arial" w:cs="Arial" w:eastAsia="Arial" w:hAnsi="Arial"/>
          <w:sz w:val="18"/>
          <w:szCs w:val="18"/>
          <w:u w:val="single" w:color="auto"/>
          <w:color w:val="FF0000"/>
          <w:strike w:val="1"/>
        </w:rPr>
        <w:t>Sections 7.02</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7.03</w:t>
      </w:r>
      <w:r>
        <w:rPr>
          <w:rFonts w:ascii="Arial" w:cs="Arial" w:eastAsia="Arial" w:hAnsi="Arial"/>
          <w:sz w:val="18"/>
          <w:szCs w:val="18"/>
          <w:color w:val="FF0000"/>
          <w:strike w:val="1"/>
        </w:rPr>
        <w:t>, respectively;</w:t>
      </w:r>
    </w:p>
    <w:p>
      <w:pPr>
        <w:spacing w:after="0" w:line="186" w:lineRule="exact"/>
        <w:rPr>
          <w:rFonts w:ascii="Arial" w:cs="Arial" w:eastAsia="Arial" w:hAnsi="Arial"/>
          <w:sz w:val="18"/>
          <w:szCs w:val="18"/>
          <w:color w:val="FF0000"/>
          <w:strike w:val="1"/>
        </w:rPr>
      </w:pPr>
    </w:p>
    <w:p>
      <w:pPr>
        <w:ind w:right="40" w:firstLine="436"/>
        <w:spacing w:after="0" w:line="288" w:lineRule="auto"/>
        <w:tabs>
          <w:tab w:leader="none" w:pos="695" w:val="left"/>
        </w:tabs>
        <w:numPr>
          <w:ilvl w:val="0"/>
          <w:numId w:val="21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so long as no Event of Default exists or would result therefrom, the Borrower may merge with any other Person;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 the Borrower shall be the continuing or surviving corporation or (ii) if the Person formed by or surviving any such merger or consolidation is not the Borrower (any such Person, the “</w:t>
      </w:r>
      <w:r>
        <w:rPr>
          <w:rFonts w:ascii="Arial" w:cs="Arial" w:eastAsia="Arial" w:hAnsi="Arial"/>
          <w:sz w:val="16"/>
          <w:szCs w:val="16"/>
          <w:b w:val="1"/>
          <w:bCs w:val="1"/>
          <w:color w:val="FF0000"/>
          <w:strike w:val="1"/>
        </w:rPr>
        <w:t>Successor Borrower</w:t>
      </w:r>
      <w:r>
        <w:rPr>
          <w:rFonts w:ascii="Arial" w:cs="Arial" w:eastAsia="Arial" w:hAnsi="Arial"/>
          <w:sz w:val="16"/>
          <w:szCs w:val="16"/>
          <w:color w:val="FF0000"/>
          <w:strike w:val="1"/>
        </w:rPr>
        <w:t xml:space="preserve">”), (A) the Successor Borrower shall be an entity organized or existing under the Laws of the United States, any state thereof or the District of Columbia and such transaction shall not have an adverse effect in any material respect on the perfection or priority of the Liens granted under the Collateral Documents, (B) the Successor Borrower shall expressly assume all the obligations of the Borrower </w:t>
      </w:r>
      <w:r>
        <w:rPr>
          <w:rFonts w:ascii="Arial" w:cs="Arial" w:eastAsia="Arial" w:hAnsi="Arial"/>
          <w:sz w:val="16"/>
          <w:szCs w:val="16"/>
          <w:color w:val="00C000"/>
          <w:strike w:val="1"/>
        </w:rPr>
        <w:t>under this</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 xml:space="preserve">Agreement and the other Loan Documents to which </w:t>
      </w:r>
      <w:r>
        <w:rPr>
          <w:rFonts w:ascii="Arial" w:cs="Arial" w:eastAsia="Arial" w:hAnsi="Arial"/>
          <w:sz w:val="16"/>
          <w:szCs w:val="16"/>
          <w:color w:val="FF0000"/>
          <w:strike w:val="1"/>
        </w:rPr>
        <w:t>the Borrower is a party pursuant to a supplement hereto or thereto in form reasonably satisfactory</w:t>
      </w:r>
      <w:r>
        <w:rPr>
          <w:rFonts w:ascii="Arial" w:cs="Arial" w:eastAsia="Arial" w:hAnsi="Arial"/>
          <w:sz w:val="16"/>
          <w:szCs w:val="16"/>
          <w:color w:val="00C000"/>
          <w:strike w:val="1"/>
        </w:rPr>
        <w:t xml:space="preserve"> to the Administrative Agent and the </w:t>
      </w:r>
      <w:r>
        <w:rPr>
          <w:rFonts w:ascii="Arial" w:cs="Arial" w:eastAsia="Arial" w:hAnsi="Arial"/>
          <w:sz w:val="16"/>
          <w:szCs w:val="16"/>
          <w:color w:val="FF0000"/>
          <w:strike w:val="1"/>
        </w:rPr>
        <w:t>Borrower, (C) each Guarantor, unless it is the other party to such merger or consolidation, shall have confirmed that its</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Guarantee shall apply to the Successor Borrower’s obligations under the Loan Documents, (D) each Guarantor, unless it is the other party to such merger or consolidation, shall have by a supplement to the Security Agreement and other applicable Collateral Documents confirmed that the collateral granted by it to secure its obligations thereunder shall apply to secure its and the Successor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440" w:top="274" w:right="439" w:bottom="1440" w:gutter="0" w:footer="0" w:header="0"/>
        </w:sectPr>
      </w:pPr>
    </w:p>
    <w:bookmarkStart w:id="273" w:name="page274"/>
    <w:bookmarkEnd w:id="273"/>
    <w:p>
      <w:pPr>
        <w:spacing w:after="0" w:line="289"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Borrower’s obligations under the Loan Documents, (E) if reasonably requested by the Collateral Agent, each mortgagor of a Mortgaged Property, unless it is the other party to such merger or consolidation, shall have by an amendment to or restatement of the applicable Mortgage (or other instrument reasonably satisfactory to the Collateral Agent) confirmed that the collateral granted by it to secure its obligations thereunder shall apply to secure its and the Successor Borrower’s obligations under the Loan Documents, and (F) the Borrower shall have delivered to the Administrative Agent an officer’s certificate and an opinion, each stating that such merger or consolidation and such supplement to this Agreement or any Collateral Document comply with this Agreement; </w:t>
      </w:r>
      <w:r>
        <w:rPr>
          <w:rFonts w:ascii="Arial" w:cs="Arial" w:eastAsia="Arial" w:hAnsi="Arial"/>
          <w:sz w:val="16"/>
          <w:szCs w:val="16"/>
          <w:i w:val="1"/>
          <w:iCs w:val="1"/>
          <w:color w:val="FF0000"/>
          <w:strike w:val="1"/>
        </w:rPr>
        <w:t>provided further</w:t>
      </w:r>
      <w:r>
        <w:rPr>
          <w:rFonts w:ascii="Arial" w:cs="Arial" w:eastAsia="Arial" w:hAnsi="Arial"/>
          <w:sz w:val="16"/>
          <w:szCs w:val="16"/>
          <w:color w:val="FF0000"/>
          <w:strike w:val="1"/>
        </w:rPr>
        <w:t xml:space="preserve">, that if the foregoing are satisfied (or waived), the Successor Borrower will succeed to, and be substituted for, the Borrower under this Agreement; </w:t>
      </w:r>
      <w:r>
        <w:rPr>
          <w:rFonts w:ascii="Arial" w:cs="Arial" w:eastAsia="Arial" w:hAnsi="Arial"/>
          <w:sz w:val="16"/>
          <w:szCs w:val="16"/>
          <w:i w:val="1"/>
          <w:iCs w:val="1"/>
          <w:color w:val="FF0000"/>
          <w:strike w:val="1"/>
        </w:rPr>
        <w:t>provided further</w:t>
      </w:r>
      <w:r>
        <w:rPr>
          <w:rFonts w:ascii="Arial" w:cs="Arial" w:eastAsia="Arial" w:hAnsi="Arial"/>
          <w:sz w:val="16"/>
          <w:szCs w:val="16"/>
          <w:color w:val="FF0000"/>
          <w:strike w:val="1"/>
        </w:rPr>
        <w:t xml:space="preserve"> that the Borrower agrees to provide any documentation and other information about the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w:t>
      </w:r>
    </w:p>
    <w:p>
      <w:pPr>
        <w:spacing w:after="0" w:line="166" w:lineRule="exact"/>
        <w:rPr>
          <w:sz w:val="20"/>
          <w:szCs w:val="20"/>
          <w:color w:val="auto"/>
        </w:rPr>
      </w:pPr>
    </w:p>
    <w:p>
      <w:pPr>
        <w:ind w:right="560" w:firstLine="436"/>
        <w:spacing w:after="0" w:line="279" w:lineRule="auto"/>
        <w:tabs>
          <w:tab w:leader="none" w:pos="685" w:val="left"/>
        </w:tabs>
        <w:numPr>
          <w:ilvl w:val="0"/>
          <w:numId w:val="213"/>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any Restricted Subsidiary may merge, amalgamate or consolidate with any other Person (other than the Borrower) in order to effect an Investment permitted pursuant to </w:t>
      </w:r>
      <w:r>
        <w:rPr>
          <w:rFonts w:ascii="Arial" w:cs="Arial" w:eastAsia="Arial" w:hAnsi="Arial"/>
          <w:sz w:val="17"/>
          <w:szCs w:val="17"/>
          <w:u w:val="single" w:color="auto"/>
          <w:color w:val="FF0000"/>
          <w:strike w:val="1"/>
        </w:rPr>
        <w:t>Section 7.02</w:t>
      </w:r>
      <w:r>
        <w:rPr>
          <w:rFonts w:ascii="Arial" w:cs="Arial" w:eastAsia="Arial" w:hAnsi="Arial"/>
          <w:sz w:val="17"/>
          <w:szCs w:val="17"/>
          <w:color w:val="FF0000"/>
          <w:strike w:val="1"/>
        </w:rPr>
        <w:t xml:space="preserve">;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either (x) the continuing or surviving Person shall be a Restricted Subsidiary, which together with each of its Restricted Subsidiaries, shall have complied with the requirements of </w:t>
      </w:r>
      <w:r>
        <w:rPr>
          <w:rFonts w:ascii="Arial" w:cs="Arial" w:eastAsia="Arial" w:hAnsi="Arial"/>
          <w:sz w:val="17"/>
          <w:szCs w:val="17"/>
          <w:u w:val="single" w:color="auto"/>
          <w:color w:val="FF0000"/>
          <w:strike w:val="1"/>
        </w:rPr>
        <w:t>Section 6.11</w:t>
      </w:r>
      <w:r>
        <w:rPr>
          <w:rFonts w:ascii="Arial" w:cs="Arial" w:eastAsia="Arial" w:hAnsi="Arial"/>
          <w:sz w:val="17"/>
          <w:szCs w:val="17"/>
          <w:color w:val="FF0000"/>
          <w:strike w:val="1"/>
        </w:rPr>
        <w:t xml:space="preserve"> to the extent required pursuant to the Collateral and Guarantee Requirement or (y) the transaction shall otherwise constitute a permitted Investment;</w:t>
      </w:r>
    </w:p>
    <w:p>
      <w:pPr>
        <w:spacing w:after="0" w:line="171" w:lineRule="exact"/>
        <w:rPr>
          <w:rFonts w:ascii="Arial" w:cs="Arial" w:eastAsia="Arial" w:hAnsi="Arial"/>
          <w:sz w:val="17"/>
          <w:szCs w:val="17"/>
          <w:color w:val="FF0000"/>
          <w:strike w:val="1"/>
        </w:rPr>
      </w:pPr>
    </w:p>
    <w:p>
      <w:pPr>
        <w:ind w:right="660" w:firstLine="436"/>
        <w:spacing w:after="0" w:line="277" w:lineRule="auto"/>
        <w:tabs>
          <w:tab w:leader="none" w:pos="665" w:val="left"/>
        </w:tabs>
        <w:numPr>
          <w:ilvl w:val="0"/>
          <w:numId w:val="21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any Restricted Subsidiary may effect a merger, dissolution, liquidation or consolidation, the purpose of which is to effect a Disposition permitted pursuant to </w:t>
      </w:r>
      <w:r>
        <w:rPr>
          <w:rFonts w:ascii="Arial" w:cs="Arial" w:eastAsia="Arial" w:hAnsi="Arial"/>
          <w:sz w:val="18"/>
          <w:szCs w:val="18"/>
          <w:u w:val="single" w:color="auto"/>
          <w:color w:val="FF0000"/>
          <w:strike w:val="1"/>
        </w:rPr>
        <w:t>Section 7.05</w:t>
      </w:r>
      <w:r>
        <w:rPr>
          <w:rFonts w:ascii="Arial" w:cs="Arial" w:eastAsia="Arial" w:hAnsi="Arial"/>
          <w:sz w:val="18"/>
          <w:szCs w:val="18"/>
          <w:color w:val="FF0000"/>
          <w:strike w:val="1"/>
        </w:rPr>
        <w:t>; and</w:t>
      </w:r>
    </w:p>
    <w:p>
      <w:pPr>
        <w:spacing w:after="0" w:line="170" w:lineRule="exact"/>
        <w:rPr>
          <w:rFonts w:ascii="Arial" w:cs="Arial" w:eastAsia="Arial" w:hAnsi="Arial"/>
          <w:sz w:val="18"/>
          <w:szCs w:val="18"/>
          <w:color w:val="FF0000"/>
          <w:strike w:val="1"/>
        </w:rPr>
      </w:pPr>
    </w:p>
    <w:p>
      <w:pPr>
        <w:ind w:right="160" w:firstLine="436"/>
        <w:spacing w:after="0" w:line="277" w:lineRule="auto"/>
        <w:tabs>
          <w:tab w:leader="none" w:pos="695" w:val="left"/>
        </w:tabs>
        <w:numPr>
          <w:ilvl w:val="0"/>
          <w:numId w:val="21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any Restricted Subsidiary may Dispose of all or substantially all of its assets (upon voluntary liquidation or otherwise) to the extent that such Disposition (or series of related Dispositions) is not prohibited under </w:t>
      </w:r>
      <w:r>
        <w:rPr>
          <w:rFonts w:ascii="Arial" w:cs="Arial" w:eastAsia="Arial" w:hAnsi="Arial"/>
          <w:sz w:val="18"/>
          <w:szCs w:val="18"/>
          <w:u w:val="single" w:color="auto"/>
          <w:color w:val="FF0000"/>
          <w:strike w:val="1"/>
        </w:rPr>
        <w:t>Section 7.05</w:t>
      </w:r>
      <w:r>
        <w:rPr>
          <w:rFonts w:ascii="Arial" w:cs="Arial" w:eastAsia="Arial" w:hAnsi="Arial"/>
          <w:sz w:val="18"/>
          <w:szCs w:val="18"/>
          <w:color w:val="FF0000"/>
          <w:strike w:val="1"/>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Section 7.05</w:t>
      </w:r>
      <w:r>
        <w:rPr>
          <w:rFonts w:ascii="Arial" w:cs="Arial" w:eastAsia="Arial" w:hAnsi="Arial"/>
          <w:sz w:val="16"/>
          <w:szCs w:val="16"/>
          <w:color w:val="0000FF"/>
        </w:rPr>
        <w:t xml:space="preserve"> </w:t>
      </w:r>
      <w:r>
        <w:rPr>
          <w:rFonts w:ascii="Arial" w:cs="Arial" w:eastAsia="Arial" w:hAnsi="Arial"/>
          <w:sz w:val="16"/>
          <w:szCs w:val="16"/>
          <w:color w:val="FF0000"/>
          <w:strike w:val="1"/>
        </w:rPr>
        <w:t>Section 7.05.</w:t>
      </w:r>
      <w:r>
        <w:rPr>
          <w:rFonts w:ascii="Arial" w:cs="Arial" w:eastAsia="Arial" w:hAnsi="Arial"/>
          <w:sz w:val="16"/>
          <w:szCs w:val="16"/>
          <w:color w:val="0000FF"/>
        </w:rPr>
        <w:t xml:space="preserve"> </w:t>
      </w:r>
      <w:r>
        <w:rPr>
          <w:rFonts w:ascii="Arial" w:cs="Arial" w:eastAsia="Arial" w:hAnsi="Arial"/>
          <w:sz w:val="16"/>
          <w:szCs w:val="16"/>
          <w:i w:val="1"/>
          <w:iCs w:val="1"/>
          <w:color w:val="000000"/>
        </w:rPr>
        <w:t>Dispositions.</w:t>
      </w:r>
      <w:r>
        <w:rPr>
          <w:rFonts w:ascii="Arial" w:cs="Arial" w:eastAsia="Arial" w:hAnsi="Arial"/>
          <w:sz w:val="16"/>
          <w:szCs w:val="16"/>
          <w:color w:val="0000FF"/>
        </w:rPr>
        <w:t xml:space="preserve"> </w:t>
      </w:r>
      <w:r>
        <w:rPr>
          <w:rFonts w:ascii="Arial" w:cs="Arial" w:eastAsia="Arial" w:hAnsi="Arial"/>
          <w:sz w:val="16"/>
          <w:szCs w:val="16"/>
          <w:color w:val="000000"/>
        </w:rPr>
        <w:t>The Borrower shall not, nor shall it permit any</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rPr>
        <w:t xml:space="preserve"> </w:t>
      </w:r>
      <w:r>
        <w:rPr>
          <w:rFonts w:ascii="Arial" w:cs="Arial" w:eastAsia="Arial" w:hAnsi="Arial"/>
          <w:sz w:val="16"/>
          <w:szCs w:val="16"/>
          <w:color w:val="000000"/>
        </w:rPr>
        <w:t>Subsidiary to, directly or indirectly, make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Disposition </w:t>
      </w:r>
      <w:r>
        <w:rPr>
          <w:rFonts w:ascii="Arial" w:cs="Arial" w:eastAsia="Arial" w:hAnsi="Arial"/>
          <w:sz w:val="18"/>
          <w:szCs w:val="18"/>
          <w:u w:val="single" w:color="auto"/>
          <w:color w:val="0000FF"/>
        </w:rPr>
        <w:t>(including, without limitation, abandoning any assets) in respect of B-2 Priority Collateral</w:t>
      </w:r>
      <w:r>
        <w:rPr>
          <w:rFonts w:ascii="Arial" w:cs="Arial" w:eastAsia="Arial" w:hAnsi="Arial"/>
          <w:sz w:val="18"/>
          <w:szCs w:val="18"/>
          <w:color w:val="auto"/>
        </w:rPr>
        <w: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0007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14605</wp:posOffset>
            </wp:positionV>
            <wp:extent cx="41490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83" w:lineRule="exact"/>
        <w:rPr>
          <w:sz w:val="20"/>
          <w:szCs w:val="20"/>
          <w:color w:val="auto"/>
        </w:rPr>
      </w:pPr>
    </w:p>
    <w:p>
      <w:pPr>
        <w:ind w:right="20" w:firstLine="436"/>
        <w:spacing w:after="0" w:line="257" w:lineRule="auto"/>
        <w:tabs>
          <w:tab w:leader="none" w:pos="685" w:val="left"/>
        </w:tabs>
        <w:numPr>
          <w:ilvl w:val="0"/>
          <w:numId w:val="214"/>
        </w:numPr>
        <w:rPr>
          <w:rFonts w:ascii="Arial" w:cs="Arial" w:eastAsia="Arial" w:hAnsi="Arial"/>
          <w:sz w:val="18"/>
          <w:szCs w:val="18"/>
          <w:color w:val="FF0000"/>
          <w:strike w:val="1"/>
        </w:rPr>
      </w:pPr>
      <w:r>
        <w:rPr>
          <w:rFonts w:ascii="Arial" w:cs="Arial" w:eastAsia="Arial" w:hAnsi="Arial"/>
          <w:sz w:val="18"/>
          <w:szCs w:val="18"/>
          <w:color w:val="FF0000"/>
          <w:strike w:val="1"/>
        </w:rPr>
        <w:t>(i) Dispositions (including abandonment) of obsolete or worn out property, whether now owned or hereafter acquired, in the ordinary course of business, (ii) Dispositions (including abandonment) in the ordinary course of business of surplus property or property no longer used or useful in the conduct of the business of the Borrower or any of the Restricted Subsidiaries, (iii) Dispositions of immaterial assets (considered in the aggregate) in the ordinary course of business and (iv) Dispositions to landlords of improvements made to leased real property pursuant to customary terms of leases entered into in the ordinary course of business;</w:t>
      </w:r>
    </w:p>
    <w:p>
      <w:pPr>
        <w:spacing w:after="0" w:line="188" w:lineRule="exact"/>
        <w:rPr>
          <w:sz w:val="20"/>
          <w:szCs w:val="20"/>
          <w:color w:val="auto"/>
        </w:rPr>
      </w:pPr>
    </w:p>
    <w:p>
      <w:pPr>
        <w:ind w:left="680" w:hanging="244"/>
        <w:spacing w:after="0"/>
        <w:tabs>
          <w:tab w:leader="none" w:pos="680" w:val="left"/>
        </w:tabs>
        <w:numPr>
          <w:ilvl w:val="0"/>
          <w:numId w:val="215"/>
        </w:numPr>
        <w:rPr>
          <w:rFonts w:ascii="Arial" w:cs="Arial" w:eastAsia="Arial" w:hAnsi="Arial"/>
          <w:sz w:val="18"/>
          <w:szCs w:val="18"/>
          <w:u w:val="single" w:color="auto"/>
          <w:color w:val="0000FF"/>
        </w:rPr>
      </w:pPr>
      <w:r>
        <w:rPr>
          <w:rFonts w:ascii="Arial" w:cs="Arial" w:eastAsia="Arial" w:hAnsi="Arial"/>
          <w:sz w:val="18"/>
          <w:szCs w:val="18"/>
          <w:u w:val="single" w:color="auto"/>
          <w:color w:val="00C000"/>
        </w:rPr>
        <w:t xml:space="preserve">Dispositions of cash and Cash Equivalents </w:t>
      </w:r>
      <w:r>
        <w:rPr>
          <w:rFonts w:ascii="Arial" w:cs="Arial" w:eastAsia="Arial" w:hAnsi="Arial"/>
          <w:sz w:val="18"/>
          <w:szCs w:val="18"/>
          <w:u w:val="single" w:color="auto"/>
          <w:color w:val="0000FF"/>
        </w:rPr>
        <w:t>in accordance with the Approved Budget (subject to Permitted Variances);</w:t>
      </w:r>
    </w:p>
    <w:p>
      <w:pPr>
        <w:spacing w:after="0" w:line="225" w:lineRule="exact"/>
        <w:rPr>
          <w:rFonts w:ascii="Arial" w:cs="Arial" w:eastAsia="Arial" w:hAnsi="Arial"/>
          <w:sz w:val="18"/>
          <w:szCs w:val="18"/>
          <w:u w:val="single" w:color="auto"/>
          <w:color w:val="0000FF"/>
        </w:rPr>
      </w:pPr>
    </w:p>
    <w:p>
      <w:pPr>
        <w:ind w:right="120" w:firstLine="436"/>
        <w:spacing w:after="0" w:line="293" w:lineRule="auto"/>
        <w:tabs>
          <w:tab w:leader="none" w:pos="6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Dispositions of property to the extent </w:t>
      </w:r>
      <w:r>
        <w:rPr>
          <w:rFonts w:ascii="Arial" w:cs="Arial" w:eastAsia="Arial" w:hAnsi="Arial"/>
          <w:sz w:val="16"/>
          <w:szCs w:val="16"/>
          <w:color w:val="FF0000"/>
          <w:strike w:val="1"/>
        </w:rPr>
        <w:t>that</w:t>
      </w:r>
      <w:r>
        <w:rPr>
          <w:rFonts w:ascii="Arial" w:cs="Arial" w:eastAsia="Arial" w:hAnsi="Arial"/>
          <w:sz w:val="16"/>
          <w:szCs w:val="16"/>
          <w:color w:val="auto"/>
        </w:rPr>
        <w:t xml:space="preserve"> (i) such </w:t>
      </w:r>
      <w:r>
        <w:rPr>
          <w:rFonts w:ascii="Arial" w:cs="Arial" w:eastAsia="Arial" w:hAnsi="Arial"/>
          <w:sz w:val="16"/>
          <w:szCs w:val="16"/>
          <w:color w:val="FF0000"/>
          <w:strike w:val="1"/>
        </w:rPr>
        <w:t>property or an interest therein is exchanged for credit against the purchase price of similar</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replacement property, (ii) the proceeds of such Disposition are promptly applied to the purchase price of such replacement property, or (iii) such property is swapped in exchange for services or other assets of comparable or greater value or usefulness to the business of the Borrower and the Subsidiaries as whole, as determined </w:t>
      </w:r>
      <w:r>
        <w:rPr>
          <w:rFonts w:ascii="Arial" w:cs="Arial" w:eastAsia="Arial" w:hAnsi="Arial"/>
          <w:sz w:val="16"/>
          <w:szCs w:val="16"/>
          <w:color w:val="008000"/>
          <w:strike w:val="1"/>
        </w:rPr>
        <w:t>in good faith by the management of the Borrower</w:t>
      </w:r>
      <w:r>
        <w:rPr>
          <w:rFonts w:ascii="Arial" w:cs="Arial" w:eastAsia="Arial" w:hAnsi="Arial"/>
          <w:sz w:val="16"/>
          <w:szCs w:val="16"/>
          <w:color w:val="FF0000"/>
          <w:strike w:val="1"/>
        </w:rPr>
        <w:t>;</w:t>
      </w:r>
      <w:r>
        <w:rPr>
          <w:rFonts w:ascii="Arial" w:cs="Arial" w:eastAsia="Arial" w:hAnsi="Arial"/>
          <w:sz w:val="16"/>
          <w:szCs w:val="16"/>
          <w:u w:val="single" w:color="auto"/>
          <w:color w:val="0000FF"/>
          <w:strike w:val="1"/>
        </w:rPr>
        <w:t>Disposition is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for no less than the fair market value of such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property</w:t>
      </w:r>
      <w:r>
        <w:rPr>
          <w:rFonts w:ascii="Arial" w:cs="Arial" w:eastAsia="Arial" w:hAnsi="Arial"/>
          <w:sz w:val="16"/>
          <w:szCs w:val="16"/>
          <w:u w:val="single" w:color="auto"/>
          <w:color w:val="0000FF"/>
          <w:strike w:val="1"/>
        </w:rPr>
        <w:t>, (ii) except pursuant to a credit bid by the Lenders (or the Administrative Agent on behalf of the Lenders), 100% of the proceeds thereof are</w:t>
      </w:r>
      <w:r>
        <w:rPr>
          <w:rFonts w:ascii="Arial" w:cs="Arial" w:eastAsia="Arial" w:hAnsi="Arial"/>
          <w:sz w:val="16"/>
          <w:szCs w:val="16"/>
          <w:u w:val="single" w:color="auto"/>
          <w:color w:val="008000"/>
          <w:strike w:val="1"/>
        </w:rPr>
        <w:t xml:space="preserve"> in the form of cash or Cash Equivalents</w:t>
      </w:r>
      <w:r>
        <w:rPr>
          <w:rFonts w:ascii="Arial" w:cs="Arial" w:eastAsia="Arial" w:hAnsi="Arial"/>
          <w:sz w:val="16"/>
          <w:szCs w:val="16"/>
          <w:u w:val="single" w:color="auto"/>
          <w:color w:val="0000FF"/>
          <w:strike w:val="1"/>
        </w:rPr>
        <w:t>, (iii) [reserved] and (iv) such Disposition is in accordance with the Bidding Procedures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-974725</wp:posOffset>
            </wp:positionV>
            <wp:extent cx="55206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-288925</wp:posOffset>
            </wp:positionV>
            <wp:extent cx="27006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27006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9176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601789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6017895" cy="8890"/>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0"/>
          </w:cols>
          <w:pgMar w:left="440" w:top="274" w:right="459" w:bottom="1440" w:gutter="0" w:footer="0" w:header="0"/>
        </w:sectPr>
      </w:pPr>
    </w:p>
    <w:bookmarkStart w:id="274" w:name="page275"/>
    <w:bookmarkEnd w:id="274"/>
    <w:p>
      <w:pPr>
        <w:ind w:left="4" w:right="160" w:firstLine="436"/>
        <w:spacing w:after="0" w:line="257" w:lineRule="auto"/>
        <w:tabs>
          <w:tab w:leader="none" w:pos="6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Dispositions of property to </w:t>
      </w:r>
      <w:r>
        <w:rPr>
          <w:rFonts w:ascii="Arial" w:cs="Arial" w:eastAsia="Arial" w:hAnsi="Arial"/>
          <w:sz w:val="18"/>
          <w:szCs w:val="18"/>
          <w:u w:val="single" w:color="auto"/>
          <w:color w:val="0000FF"/>
        </w:rPr>
        <w:t>and among Loan Parties or from a non-Loan Party to a Loan Party;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that any transfer of any property by</w:t>
      </w:r>
      <w:r>
        <w:rPr>
          <w:rFonts w:ascii="Arial" w:cs="Arial" w:eastAsia="Arial" w:hAnsi="Arial"/>
          <w:sz w:val="18"/>
          <w:szCs w:val="18"/>
          <w:color w:val="auto"/>
        </w:rPr>
        <w:t xml:space="preserve"> the Borrower or any </w:t>
      </w:r>
      <w:r>
        <w:rPr>
          <w:rFonts w:ascii="Arial" w:cs="Arial" w:eastAsia="Arial" w:hAnsi="Arial"/>
          <w:sz w:val="18"/>
          <w:szCs w:val="18"/>
          <w:color w:val="FF0000"/>
          <w:strike w:val="1"/>
        </w:rPr>
        <w:t>Restricted</w:t>
      </w:r>
      <w:r>
        <w:rPr>
          <w:rFonts w:ascii="Arial" w:cs="Arial" w:eastAsia="Arial" w:hAnsi="Arial"/>
          <w:sz w:val="18"/>
          <w:szCs w:val="18"/>
          <w:u w:val="single" w:color="auto"/>
          <w:color w:val="0000FF"/>
        </w:rPr>
        <w:t>Domestic</w:t>
      </w:r>
      <w:r>
        <w:rPr>
          <w:rFonts w:ascii="Arial" w:cs="Arial" w:eastAsia="Arial" w:hAnsi="Arial"/>
          <w:sz w:val="18"/>
          <w:szCs w:val="18"/>
          <w:color w:val="auto"/>
        </w:rPr>
        <w:t xml:space="preserve"> Subsidiary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 if the transferor of such property is a Loan Party (i) the transferee thereof must be a</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Loan Party and if such property constitutes Collateral, it shall continue to constitute Collateral after such Disposition or (ii) if such transaction constitutes an Investment, such transaction is permitted under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w:t>
      </w:r>
      <w:r>
        <w:rPr>
          <w:rFonts w:ascii="Arial" w:cs="Arial" w:eastAsia="Arial" w:hAnsi="Arial"/>
          <w:sz w:val="18"/>
          <w:szCs w:val="18"/>
          <w:color w:val="0000FF"/>
          <w:strike w:val="1"/>
        </w:rPr>
        <w:t>of the Borrower to a Foreign Subsidiary of the Borrower after the Petition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Date shall require the prior written consent of the Lenders;</w:t>
      </w:r>
    </w:p>
    <w:p>
      <w:pPr>
        <w:spacing w:after="0" w:line="187" w:lineRule="exact"/>
        <w:rPr>
          <w:rFonts w:ascii="Arial" w:cs="Arial" w:eastAsia="Arial" w:hAnsi="Arial"/>
          <w:sz w:val="18"/>
          <w:szCs w:val="18"/>
          <w:color w:val="auto"/>
        </w:rPr>
      </w:pPr>
    </w:p>
    <w:p>
      <w:pPr>
        <w:ind w:left="704" w:hanging="264"/>
        <w:spacing w:after="0"/>
        <w:tabs>
          <w:tab w:leader="none" w:pos="704" w:val="left"/>
        </w:tabs>
        <w:numPr>
          <w:ilvl w:val="0"/>
          <w:numId w:val="216"/>
        </w:numPr>
        <w:rPr>
          <w:rFonts w:ascii="Arial" w:cs="Arial" w:eastAsia="Arial" w:hAnsi="Arial"/>
          <w:sz w:val="18"/>
          <w:szCs w:val="18"/>
          <w:color w:val="FF0000"/>
          <w:strike w:val="1"/>
        </w:rPr>
      </w:pPr>
      <w:r>
        <w:rPr>
          <w:rFonts w:ascii="Arial" w:cs="Arial" w:eastAsia="Arial" w:hAnsi="Arial"/>
          <w:sz w:val="18"/>
          <w:szCs w:val="18"/>
          <w:color w:val="008000"/>
          <w:strike w:val="1"/>
        </w:rPr>
        <w:t>Dispositions of cash and Cash Equivalents</w:t>
      </w:r>
      <w:r>
        <w:rPr>
          <w:rFonts w:ascii="Arial" w:cs="Arial" w:eastAsia="Arial" w:hAnsi="Arial"/>
          <w:sz w:val="18"/>
          <w:szCs w:val="18"/>
          <w:color w:val="FF0000"/>
          <w:strike w:val="1"/>
        </w:rPr>
        <w:t>;</w:t>
      </w:r>
    </w:p>
    <w:p>
      <w:pPr>
        <w:spacing w:after="0" w:line="225" w:lineRule="exact"/>
        <w:rPr>
          <w:rFonts w:ascii="Arial" w:cs="Arial" w:eastAsia="Arial" w:hAnsi="Arial"/>
          <w:sz w:val="18"/>
          <w:szCs w:val="18"/>
          <w:color w:val="FF0000"/>
          <w:strike w:val="1"/>
        </w:rPr>
      </w:pPr>
    </w:p>
    <w:p>
      <w:pPr>
        <w:ind w:left="4" w:right="60" w:firstLine="436"/>
        <w:spacing w:after="0" w:line="263" w:lineRule="auto"/>
        <w:tabs>
          <w:tab w:leader="none" w:pos="689" w:val="left"/>
        </w:tabs>
        <w:numPr>
          <w:ilvl w:val="0"/>
          <w:numId w:val="216"/>
        </w:numPr>
        <w:rPr>
          <w:rFonts w:ascii="Arial" w:cs="Arial" w:eastAsia="Arial" w:hAnsi="Arial"/>
          <w:sz w:val="18"/>
          <w:szCs w:val="18"/>
          <w:color w:val="FF0000"/>
          <w:strike w:val="1"/>
        </w:rPr>
      </w:pPr>
      <w:r>
        <w:rPr>
          <w:rFonts w:ascii="Arial" w:cs="Arial" w:eastAsia="Arial" w:hAnsi="Arial"/>
          <w:sz w:val="18"/>
          <w:szCs w:val="18"/>
          <w:color w:val="FF0000"/>
          <w:strike w:val="1"/>
        </w:rPr>
        <w:t>leases, subleases, licenses, sublicenses (including the provision of software under an open source license) or any abandonment thereof, in each case (i) in the ordinary course of business and (ii) without interfering in any material respect with the business of the Borrower or any of its Restricted Subsidiaries;</w:t>
      </w:r>
    </w:p>
    <w:p>
      <w:pPr>
        <w:spacing w:after="0" w:line="183" w:lineRule="exact"/>
        <w:rPr>
          <w:rFonts w:ascii="Arial" w:cs="Arial" w:eastAsia="Arial" w:hAnsi="Arial"/>
          <w:sz w:val="18"/>
          <w:szCs w:val="18"/>
          <w:color w:val="FF0000"/>
          <w:strike w:val="1"/>
        </w:rPr>
      </w:pPr>
    </w:p>
    <w:p>
      <w:pPr>
        <w:ind w:left="664" w:hanging="224"/>
        <w:spacing w:after="0"/>
        <w:tabs>
          <w:tab w:leader="none" w:pos="664" w:val="left"/>
        </w:tabs>
        <w:numPr>
          <w:ilvl w:val="0"/>
          <w:numId w:val="216"/>
        </w:numPr>
        <w:rPr>
          <w:rFonts w:ascii="Arial" w:cs="Arial" w:eastAsia="Arial" w:hAnsi="Arial"/>
          <w:sz w:val="18"/>
          <w:szCs w:val="18"/>
          <w:color w:val="FF0000"/>
          <w:strike w:val="1"/>
        </w:rPr>
      </w:pPr>
      <w:r>
        <w:rPr>
          <w:rFonts w:ascii="Arial" w:cs="Arial" w:eastAsia="Arial" w:hAnsi="Arial"/>
          <w:sz w:val="18"/>
          <w:szCs w:val="18"/>
          <w:color w:val="008000"/>
          <w:strike w:val="1"/>
        </w:rPr>
        <w:t>transfers of property subject to Casualty Events upon the receipt (where practical) of the Net Proceeds of such Casualty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-1621790</wp:posOffset>
            </wp:positionV>
            <wp:extent cx="514350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-1484630</wp:posOffset>
            </wp:positionV>
            <wp:extent cx="43688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-1210310</wp:posOffset>
            </wp:positionV>
            <wp:extent cx="340296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-1244600</wp:posOffset>
            </wp:positionV>
            <wp:extent cx="340423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34042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-1073150</wp:posOffset>
            </wp:positionV>
            <wp:extent cx="268287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5" w:lineRule="exact"/>
        <w:rPr>
          <w:sz w:val="20"/>
          <w:szCs w:val="20"/>
          <w:color w:val="auto"/>
        </w:rPr>
      </w:pPr>
    </w:p>
    <w:p>
      <w:pPr>
        <w:ind w:left="4" w:right="200" w:firstLine="436"/>
        <w:spacing w:after="0" w:line="277" w:lineRule="auto"/>
        <w:tabs>
          <w:tab w:leader="none" w:pos="699" w:val="left"/>
        </w:tabs>
        <w:numPr>
          <w:ilvl w:val="0"/>
          <w:numId w:val="217"/>
        </w:numPr>
        <w:rPr>
          <w:rFonts w:ascii="Arial" w:cs="Arial" w:eastAsia="Arial" w:hAnsi="Arial"/>
          <w:sz w:val="18"/>
          <w:szCs w:val="18"/>
          <w:u w:val="single" w:color="auto"/>
          <w:color w:val="0000FF"/>
        </w:rPr>
      </w:pPr>
      <w:r>
        <w:rPr>
          <w:rFonts w:ascii="Arial" w:cs="Arial" w:eastAsia="Arial" w:hAnsi="Arial"/>
          <w:sz w:val="18"/>
          <w:szCs w:val="18"/>
          <w:color w:val="FF0000"/>
          <w:strike w:val="1"/>
        </w:rPr>
        <w:t>(g)</w:t>
      </w:r>
      <w:r>
        <w:rPr>
          <w:rFonts w:ascii="Arial" w:cs="Arial" w:eastAsia="Arial" w:hAnsi="Arial"/>
          <w:sz w:val="18"/>
          <w:szCs w:val="18"/>
          <w:color w:val="FF0000"/>
        </w:rPr>
        <w:t xml:space="preserve"> </w:t>
      </w:r>
      <w:r>
        <w:rPr>
          <w:rFonts w:ascii="Arial" w:cs="Arial" w:eastAsia="Arial" w:hAnsi="Arial"/>
          <w:sz w:val="18"/>
          <w:szCs w:val="18"/>
          <w:color w:val="000000"/>
        </w:rPr>
        <w:t>Dispositions (including write-offs, discounts, and compromises</w:t>
      </w:r>
      <w:r>
        <w:rPr>
          <w:rFonts w:ascii="Arial" w:cs="Arial" w:eastAsia="Arial" w:hAnsi="Arial"/>
          <w:sz w:val="18"/>
          <w:szCs w:val="18"/>
          <w:color w:val="FF0000"/>
        </w:rPr>
        <w:t xml:space="preserve"> in clause (b) above</w:t>
      </w:r>
      <w:r>
        <w:rPr>
          <w:rFonts w:ascii="Arial" w:cs="Arial" w:eastAsia="Arial" w:hAnsi="Arial"/>
          <w:sz w:val="18"/>
          <w:szCs w:val="18"/>
          <w:color w:val="000000"/>
        </w:rPr>
        <w:t>) or discounts without recourse of accounts receivable</w:t>
      </w:r>
      <w:r>
        <w:rPr>
          <w:rFonts w:ascii="Arial" w:cs="Arial" w:eastAsia="Arial" w:hAnsi="Arial"/>
          <w:sz w:val="18"/>
          <w:szCs w:val="18"/>
          <w:color w:val="FF0000"/>
        </w:rPr>
        <w:t xml:space="preserve"> </w:t>
      </w:r>
      <w:r>
        <w:rPr>
          <w:rFonts w:ascii="Arial" w:cs="Arial" w:eastAsia="Arial" w:hAnsi="Arial"/>
          <w:sz w:val="18"/>
          <w:szCs w:val="18"/>
          <w:color w:val="000000"/>
        </w:rPr>
        <w:t>and related assets in connection with the compromise or collection thereof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12827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-233680</wp:posOffset>
            </wp:positionV>
            <wp:extent cx="89471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150" w:lineRule="exact"/>
        <w:rPr>
          <w:sz w:val="20"/>
          <w:szCs w:val="20"/>
          <w:color w:val="auto"/>
        </w:rPr>
      </w:pPr>
    </w:p>
    <w:p>
      <w:pPr>
        <w:ind w:left="704" w:hanging="264"/>
        <w:spacing w:after="0"/>
        <w:tabs>
          <w:tab w:leader="none" w:pos="704" w:val="left"/>
        </w:tabs>
        <w:numPr>
          <w:ilvl w:val="0"/>
          <w:numId w:val="218"/>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64" w:hanging="224"/>
        <w:spacing w:after="0"/>
        <w:tabs>
          <w:tab w:leader="none" w:pos="664" w:val="left"/>
        </w:tabs>
        <w:numPr>
          <w:ilvl w:val="0"/>
          <w:numId w:val="218"/>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4" w:right="40" w:firstLine="436"/>
        <w:spacing w:after="0" w:line="308" w:lineRule="auto"/>
        <w:tabs>
          <w:tab w:leader="none" w:pos="659" w:val="left"/>
        </w:tabs>
        <w:numPr>
          <w:ilvl w:val="0"/>
          <w:numId w:val="218"/>
        </w:numPr>
        <w:rPr>
          <w:rFonts w:ascii="Arial" w:cs="Arial" w:eastAsia="Arial" w:hAnsi="Arial"/>
          <w:sz w:val="17"/>
          <w:szCs w:val="17"/>
          <w:color w:val="FF0000"/>
          <w:strike w:val="1"/>
        </w:rPr>
      </w:pPr>
      <w:r>
        <w:rPr>
          <w:rFonts w:ascii="Arial" w:cs="Arial" w:eastAsia="Arial" w:hAnsi="Arial"/>
          <w:sz w:val="17"/>
          <w:szCs w:val="17"/>
          <w:color w:val="FF0000"/>
          <w:strike w:val="1"/>
        </w:rPr>
        <w:t>Dispositions of Investments in joint ventures or other non-wholly owned Subsidiaries to the extent required by, or made pursuant to, customary buy/sell arrangements between the joint venture parties set forth in joint venture arrangements and similar binding arrangements;</w:t>
      </w:r>
    </w:p>
    <w:p>
      <w:pPr>
        <w:spacing w:after="0" w:line="146" w:lineRule="exact"/>
        <w:rPr>
          <w:sz w:val="20"/>
          <w:szCs w:val="20"/>
          <w:color w:val="auto"/>
        </w:rPr>
      </w:pPr>
    </w:p>
    <w:p>
      <w:pPr>
        <w:ind w:left="684" w:hanging="244"/>
        <w:spacing w:after="0"/>
        <w:tabs>
          <w:tab w:leader="none" w:pos="684" w:val="left"/>
        </w:tabs>
        <w:numPr>
          <w:ilvl w:val="0"/>
          <w:numId w:val="219"/>
        </w:numPr>
        <w:rPr>
          <w:rFonts w:ascii="Arial" w:cs="Arial" w:eastAsia="Arial" w:hAnsi="Arial"/>
          <w:sz w:val="18"/>
          <w:szCs w:val="18"/>
          <w:u w:val="single" w:color="auto"/>
          <w:color w:val="0000FF"/>
        </w:rPr>
      </w:pPr>
      <w:r>
        <w:rPr>
          <w:rFonts w:ascii="Arial" w:cs="Arial" w:eastAsia="Arial" w:hAnsi="Arial"/>
          <w:sz w:val="18"/>
          <w:szCs w:val="18"/>
          <w:color w:val="FF0000"/>
          <w:strike w:val="1"/>
        </w:rPr>
        <w:t>(k)</w:t>
      </w:r>
      <w:r>
        <w:rPr>
          <w:rFonts w:ascii="Arial" w:cs="Arial" w:eastAsia="Arial" w:hAnsi="Arial"/>
          <w:sz w:val="18"/>
          <w:szCs w:val="18"/>
          <w:color w:val="FF0000"/>
        </w:rPr>
        <w:t xml:space="preserve"> </w:t>
      </w:r>
      <w:r>
        <w:rPr>
          <w:rFonts w:ascii="Arial" w:cs="Arial" w:eastAsia="Arial" w:hAnsi="Arial"/>
          <w:sz w:val="18"/>
          <w:szCs w:val="18"/>
          <w:color w:val="000000"/>
        </w:rPr>
        <w:t>the unwinding of any Swap Contract or cash management agreement</w:t>
      </w:r>
      <w:r>
        <w:rPr>
          <w:rFonts w:ascii="Arial" w:cs="Arial" w:eastAsia="Arial" w:hAnsi="Arial"/>
          <w:sz w:val="18"/>
          <w:szCs w:val="18"/>
          <w:u w:val="single" w:color="auto"/>
          <w:color w:val="0000FF"/>
        </w:rPr>
        <w:t>, in each case, in effect on the Petition Date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12001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23495</wp:posOffset>
            </wp:positionV>
            <wp:extent cx="197993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5" w:lineRule="exact"/>
        <w:rPr>
          <w:sz w:val="20"/>
          <w:szCs w:val="20"/>
          <w:color w:val="auto"/>
        </w:rPr>
      </w:pPr>
    </w:p>
    <w:p>
      <w:pPr>
        <w:ind w:left="4" w:right="20" w:firstLine="436"/>
        <w:spacing w:after="0" w:line="284" w:lineRule="auto"/>
        <w:tabs>
          <w:tab w:leader="none" w:pos="699" w:val="left"/>
        </w:tabs>
        <w:numPr>
          <w:ilvl w:val="1"/>
          <w:numId w:val="22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Dispositions of property not otherwise permitted under this </w:t>
      </w:r>
      <w:r>
        <w:rPr>
          <w:rFonts w:ascii="Arial" w:cs="Arial" w:eastAsia="Arial" w:hAnsi="Arial"/>
          <w:sz w:val="16"/>
          <w:szCs w:val="16"/>
          <w:u w:val="single" w:color="auto"/>
          <w:color w:val="FF0000"/>
          <w:strike w:val="1"/>
        </w:rPr>
        <w:t>Section 7.05;</w:t>
      </w:r>
      <w:r>
        <w:rPr>
          <w:rFonts w:ascii="Arial" w:cs="Arial" w:eastAsia="Arial" w:hAnsi="Arial"/>
          <w:sz w:val="16"/>
          <w:szCs w:val="16"/>
          <w:color w:val="FF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 at the time of such Disposition (other than any such Disposition made pursuant to a legally binding commitment entered into at a time when no Event of Default exists), no Event of Default shall exist or would result from such Disposition, (ii) any prepayment required to be made in connection with the receipt of Net Proceeds in respect of such Disposition pursuant to Section 2.13 shall be made in accordance therewith, (iii) the Borrower or any of the Restricted Subsidiaries shall receive not less than 75% of the consideration for such Disposition </w:t>
      </w:r>
      <w:r>
        <w:rPr>
          <w:rFonts w:ascii="Arial" w:cs="Arial" w:eastAsia="Arial" w:hAnsi="Arial"/>
          <w:sz w:val="16"/>
          <w:szCs w:val="16"/>
          <w:color w:val="008000"/>
          <w:strike w:val="1"/>
        </w:rPr>
        <w:t>in the form of cash or Cash Equivalents</w:t>
      </w:r>
      <w:r>
        <w:rPr>
          <w:rFonts w:ascii="Arial" w:cs="Arial" w:eastAsia="Arial" w:hAnsi="Arial"/>
          <w:sz w:val="16"/>
          <w:szCs w:val="16"/>
          <w:color w:val="FF0000"/>
          <w:strike w:val="1"/>
        </w:rPr>
        <w:t xml:space="preserve"> (in each case, free and clear of all Liens at the time received, other than nonconsensual Liens permitted by Section 7.01 and Liens permitted by Section 7.01(a), (c), (d), (f), (i), (j), (k), (l), (o), (p), (v), (w), (z), (aa), (bb), (cc) and (ee), (iv) any portion of the consideration for such Disposition that is not in the form of cash or Cash Equivalents shall become Collateral,</w:t>
      </w:r>
    </w:p>
    <w:p>
      <w:pPr>
        <w:spacing w:after="0" w:line="2" w:lineRule="exact"/>
        <w:rPr>
          <w:rFonts w:ascii="Arial" w:cs="Arial" w:eastAsia="Arial" w:hAnsi="Arial"/>
          <w:sz w:val="16"/>
          <w:szCs w:val="16"/>
          <w:color w:val="FF0000"/>
          <w:strike w:val="1"/>
        </w:rPr>
      </w:pPr>
    </w:p>
    <w:p>
      <w:pPr>
        <w:ind w:left="264" w:hanging="264"/>
        <w:spacing w:after="0"/>
        <w:tabs>
          <w:tab w:leader="none" w:pos="264" w:val="left"/>
        </w:tabs>
        <w:numPr>
          <w:ilvl w:val="0"/>
          <w:numId w:val="221"/>
        </w:numPr>
        <w:rPr>
          <w:rFonts w:ascii="Arial" w:cs="Arial" w:eastAsia="Arial" w:hAnsi="Arial"/>
          <w:sz w:val="16"/>
          <w:szCs w:val="16"/>
          <w:color w:val="FF0000"/>
          <w:strike w:val="1"/>
        </w:rPr>
      </w:pPr>
      <w:r>
        <w:rPr>
          <w:rFonts w:ascii="Arial" w:cs="Arial" w:eastAsia="Arial" w:hAnsi="Arial"/>
          <w:sz w:val="16"/>
          <w:szCs w:val="16"/>
          <w:color w:val="FF0000"/>
          <w:strike w:val="1"/>
        </w:rPr>
        <w:t>this Section 7.05(l) shall not permit the Disposition of all or substantially all of the assets of the Borrower and its Subsidiaries (taken as a whole), and</w:t>
      </w:r>
    </w:p>
    <w:p>
      <w:pPr>
        <w:spacing w:after="0" w:line="32" w:lineRule="exact"/>
        <w:rPr>
          <w:rFonts w:ascii="Arial" w:cs="Arial" w:eastAsia="Arial" w:hAnsi="Arial"/>
          <w:sz w:val="16"/>
          <w:szCs w:val="16"/>
          <w:color w:val="FF0000"/>
          <w:strike w:val="1"/>
        </w:rPr>
      </w:pPr>
    </w:p>
    <w:p>
      <w:pPr>
        <w:ind w:left="4" w:right="160" w:hanging="4"/>
        <w:spacing w:after="0" w:line="255" w:lineRule="auto"/>
        <w:tabs>
          <w:tab w:leader="none" w:pos="309" w:val="left"/>
        </w:tabs>
        <w:numPr>
          <w:ilvl w:val="0"/>
          <w:numId w:val="221"/>
        </w:numPr>
        <w:rPr>
          <w:rFonts w:ascii="Arial" w:cs="Arial" w:eastAsia="Arial" w:hAnsi="Arial"/>
          <w:sz w:val="18"/>
          <w:szCs w:val="18"/>
          <w:color w:val="FF0000"/>
          <w:strike w:val="1"/>
        </w:rPr>
      </w:pPr>
      <w:r>
        <w:rPr>
          <w:rFonts w:ascii="Arial" w:cs="Arial" w:eastAsia="Arial" w:hAnsi="Arial"/>
          <w:sz w:val="18"/>
          <w:szCs w:val="18"/>
          <w:color w:val="FF0000"/>
          <w:strike w:val="1"/>
        </w:rPr>
        <w:t>from and after the Amendment No. 3 Effective Date (A) no Dispositions shall be permitted under this Section 7.05(l) except for Dispositions of Specified Amendment No. 3 Real Properties to the extent (x) the buyer therefor is a bona fide third party and (y) the Disposition of such Real Property shall be made for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-906780</wp:posOffset>
            </wp:positionV>
            <wp:extent cx="1868805"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4"/>
          </w:cols>
          <w:pgMar w:left="436" w:top="274" w:right="459" w:bottom="1440" w:gutter="0" w:footer="0" w:header="0"/>
        </w:sectPr>
      </w:pPr>
    </w:p>
    <w:bookmarkStart w:id="275" w:name="page276"/>
    <w:bookmarkEnd w:id="275"/>
    <w:p>
      <w:pPr>
        <w:ind w:left="4" w:right="60"/>
        <w:spacing w:after="0" w:line="259"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not less than the amount specified for such Specified Amendment No. 3 Real Properties to or by the Required Lenders (as applicable) as of the Amendment No. 3 Effective Date (subject in each case, to customary purchase price adjustments and working capital adjustments) and (B) 100% of the Net Proceeds of each Disposition permitted under the foregoing clause (vi)(A) shall be applied to the prepayment of the Term Loans in accordance with Section 2.13(a)(ii) without giving effect to any thresholds or reinvestment rights;</w:t>
      </w:r>
    </w:p>
    <w:p>
      <w:pPr>
        <w:spacing w:after="0" w:line="187" w:lineRule="exact"/>
        <w:rPr>
          <w:sz w:val="20"/>
          <w:szCs w:val="20"/>
          <w:color w:val="auto"/>
        </w:rPr>
      </w:pPr>
    </w:p>
    <w:p>
      <w:pPr>
        <w:ind w:left="4" w:right="300" w:firstLine="436"/>
        <w:spacing w:after="0" w:line="277" w:lineRule="auto"/>
        <w:tabs>
          <w:tab w:leader="none" w:pos="669" w:val="left"/>
        </w:tabs>
        <w:numPr>
          <w:ilvl w:val="0"/>
          <w:numId w:val="222"/>
        </w:numPr>
        <w:rPr>
          <w:rFonts w:ascii="Arial" w:cs="Arial" w:eastAsia="Arial" w:hAnsi="Arial"/>
          <w:sz w:val="18"/>
          <w:szCs w:val="18"/>
          <w:u w:val="single" w:color="auto"/>
          <w:color w:val="0000FF"/>
        </w:rPr>
      </w:pPr>
      <w:r>
        <w:rPr>
          <w:rFonts w:ascii="Arial" w:cs="Arial" w:eastAsia="Arial" w:hAnsi="Arial"/>
          <w:sz w:val="18"/>
          <w:szCs w:val="18"/>
          <w:color w:val="FF0000"/>
          <w:strike w:val="1"/>
        </w:rPr>
        <w:t>(m)</w:t>
      </w:r>
      <w:r>
        <w:rPr>
          <w:rFonts w:ascii="Arial" w:cs="Arial" w:eastAsia="Arial" w:hAnsi="Arial"/>
          <w:sz w:val="18"/>
          <w:szCs w:val="18"/>
          <w:color w:val="FF0000"/>
        </w:rPr>
        <w:t xml:space="preserve"> </w:t>
      </w:r>
      <w:r>
        <w:rPr>
          <w:rFonts w:ascii="Arial" w:cs="Arial" w:eastAsia="Arial" w:hAnsi="Arial"/>
          <w:sz w:val="18"/>
          <w:szCs w:val="18"/>
          <w:color w:val="000000"/>
        </w:rPr>
        <w:t>the Disposition of</w:t>
      </w:r>
      <w:r>
        <w:rPr>
          <w:rFonts w:ascii="Arial" w:cs="Arial" w:eastAsia="Arial" w:hAnsi="Arial"/>
          <w:sz w:val="18"/>
          <w:szCs w:val="18"/>
          <w:color w:val="FF0000"/>
        </w:rPr>
        <w:t xml:space="preserve"> </w:t>
      </w:r>
      <w:r>
        <w:rPr>
          <w:rFonts w:ascii="Arial" w:cs="Arial" w:eastAsia="Arial" w:hAnsi="Arial"/>
          <w:sz w:val="18"/>
          <w:szCs w:val="18"/>
          <w:color w:val="FF0000"/>
          <w:strike w:val="1"/>
        </w:rPr>
        <w:t>an</w:t>
      </w:r>
      <w:r>
        <w:rPr>
          <w:rFonts w:ascii="Arial" w:cs="Arial" w:eastAsia="Arial" w:hAnsi="Arial"/>
          <w:sz w:val="18"/>
          <w:szCs w:val="18"/>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account receivable in connection with the collection or compromise thereof in the ordinary course of business</w:t>
      </w:r>
      <w:r>
        <w:rPr>
          <w:rFonts w:ascii="Arial" w:cs="Arial" w:eastAsia="Arial" w:hAnsi="Arial"/>
          <w:sz w:val="18"/>
          <w:szCs w:val="18"/>
          <w:color w:val="FF0000"/>
        </w:rPr>
        <w:t xml:space="preserve">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and</w:t>
      </w:r>
      <w:r>
        <w:rPr>
          <w:rFonts w:ascii="Arial" w:cs="Arial" w:eastAsia="Arial" w:hAnsi="Arial"/>
          <w:sz w:val="18"/>
          <w:szCs w:val="18"/>
          <w:color w:val="FF0000"/>
        </w:rPr>
        <w:t xml:space="preserve"> </w:t>
      </w:r>
      <w:r>
        <w:rPr>
          <w:rFonts w:ascii="Arial" w:cs="Arial" w:eastAsia="Arial" w:hAnsi="Arial"/>
          <w:sz w:val="18"/>
          <w:szCs w:val="18"/>
          <w:color w:val="000000"/>
        </w:rPr>
        <w:t>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11112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-147955</wp:posOffset>
            </wp:positionV>
            <wp:extent cx="16256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-10795</wp:posOffset>
            </wp:positionV>
            <wp:extent cx="16256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50" w:lineRule="exact"/>
        <w:rPr>
          <w:sz w:val="20"/>
          <w:szCs w:val="20"/>
          <w:color w:val="auto"/>
        </w:rPr>
      </w:pPr>
    </w:p>
    <w:p>
      <w:pPr>
        <w:ind w:left="704" w:hanging="264"/>
        <w:spacing w:after="0"/>
        <w:tabs>
          <w:tab w:leader="none" w:pos="704" w:val="left"/>
        </w:tabs>
        <w:numPr>
          <w:ilvl w:val="0"/>
          <w:numId w:val="223"/>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4" w:firstLine="436"/>
        <w:spacing w:after="0" w:line="263" w:lineRule="auto"/>
        <w:tabs>
          <w:tab w:leader="none" w:pos="699" w:val="left"/>
        </w:tabs>
        <w:numPr>
          <w:ilvl w:val="0"/>
          <w:numId w:val="22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dispositions from and after the Restatement Effective Date of non-core or obsolete assets acquired in connection with any Permitted Acquisition or other permitted Investments;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from and after the Amendment No. 3 Effective Date, no Dispositions shall be permitted under this clause (o);</w:t>
      </w:r>
    </w:p>
    <w:p>
      <w:pPr>
        <w:spacing w:after="0" w:line="184" w:lineRule="exact"/>
        <w:rPr>
          <w:sz w:val="20"/>
          <w:szCs w:val="20"/>
          <w:color w:val="auto"/>
        </w:rPr>
      </w:pPr>
    </w:p>
    <w:p>
      <w:pPr>
        <w:ind w:left="704" w:hanging="264"/>
        <w:spacing w:after="0"/>
        <w:tabs>
          <w:tab w:leader="none" w:pos="704" w:val="left"/>
        </w:tabs>
        <w:numPr>
          <w:ilvl w:val="1"/>
          <w:numId w:val="224"/>
        </w:numPr>
        <w:rPr>
          <w:rFonts w:ascii="Arial" w:cs="Arial" w:eastAsia="Arial" w:hAnsi="Arial"/>
          <w:sz w:val="18"/>
          <w:szCs w:val="18"/>
          <w:u w:val="single" w:color="auto"/>
          <w:color w:val="0000FF"/>
        </w:rPr>
      </w:pPr>
      <w:r>
        <w:rPr>
          <w:rFonts w:ascii="Arial" w:cs="Arial" w:eastAsia="Arial" w:hAnsi="Arial"/>
          <w:sz w:val="18"/>
          <w:szCs w:val="18"/>
          <w:color w:val="FF0000"/>
          <w:strike w:val="1"/>
        </w:rPr>
        <w:t>(p)</w:t>
      </w:r>
      <w:r>
        <w:rPr>
          <w:rFonts w:ascii="Arial" w:cs="Arial" w:eastAsia="Arial" w:hAnsi="Arial"/>
          <w:sz w:val="18"/>
          <w:szCs w:val="18"/>
          <w:color w:val="FF0000"/>
        </w:rPr>
        <w:t xml:space="preserve"> </w:t>
      </w:r>
      <w:r>
        <w:rPr>
          <w:rFonts w:ascii="Arial" w:cs="Arial" w:eastAsia="Arial" w:hAnsi="Arial"/>
          <w:sz w:val="18"/>
          <w:szCs w:val="18"/>
          <w:color w:val="000000"/>
        </w:rPr>
        <w:t>the incurrence of Liens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making of Investments</w:t>
      </w:r>
      <w:r>
        <w:rPr>
          <w:rFonts w:ascii="Arial" w:cs="Arial" w:eastAsia="Arial" w:hAnsi="Arial"/>
          <w:sz w:val="18"/>
          <w:szCs w:val="18"/>
          <w:color w:val="FF0000"/>
        </w:rPr>
        <w:t xml:space="preserve"> </w:t>
      </w:r>
      <w:r>
        <w:rPr>
          <w:rFonts w:ascii="Arial" w:cs="Arial" w:eastAsia="Arial" w:hAnsi="Arial"/>
          <w:sz w:val="18"/>
          <w:szCs w:val="18"/>
          <w:color w:val="000000"/>
        </w:rPr>
        <w:t>permitted hereunder;</w:t>
      </w:r>
    </w:p>
    <w:p>
      <w:pPr>
        <w:spacing w:after="0" w:line="225" w:lineRule="exact"/>
        <w:rPr>
          <w:rFonts w:ascii="Arial" w:cs="Arial" w:eastAsia="Arial" w:hAnsi="Arial"/>
          <w:sz w:val="18"/>
          <w:szCs w:val="18"/>
          <w:u w:val="single" w:color="auto"/>
          <w:color w:val="0000FF"/>
        </w:rPr>
      </w:pPr>
    </w:p>
    <w:p>
      <w:pPr>
        <w:ind w:left="704" w:hanging="264"/>
        <w:spacing w:after="0"/>
        <w:tabs>
          <w:tab w:leader="none" w:pos="704" w:val="left"/>
        </w:tabs>
        <w:numPr>
          <w:ilvl w:val="1"/>
          <w:numId w:val="224"/>
        </w:numPr>
        <w:rPr>
          <w:rFonts w:ascii="Arial" w:cs="Arial" w:eastAsia="Arial" w:hAnsi="Arial"/>
          <w:sz w:val="18"/>
          <w:szCs w:val="18"/>
          <w:u w:val="single" w:color="auto"/>
          <w:color w:val="0000FF"/>
        </w:rPr>
      </w:pPr>
      <w:r>
        <w:rPr>
          <w:rFonts w:ascii="Arial" w:cs="Arial" w:eastAsia="Arial" w:hAnsi="Arial"/>
          <w:sz w:val="18"/>
          <w:szCs w:val="18"/>
          <w:u w:val="single" w:color="auto"/>
          <w:color w:val="008000"/>
        </w:rPr>
        <w:t>transfers of property subject to Casualty Events upon the receipt (where practical) of the Net Proceeds of such Casualty Event;</w:t>
      </w:r>
    </w:p>
    <w:p>
      <w:pPr>
        <w:spacing w:after="0" w:line="225" w:lineRule="exact"/>
        <w:rPr>
          <w:rFonts w:ascii="Arial" w:cs="Arial" w:eastAsia="Arial" w:hAnsi="Arial"/>
          <w:sz w:val="18"/>
          <w:szCs w:val="18"/>
          <w:u w:val="single" w:color="auto"/>
          <w:color w:val="0000FF"/>
        </w:rPr>
      </w:pPr>
    </w:p>
    <w:p>
      <w:pPr>
        <w:ind w:left="664" w:hanging="224"/>
        <w:spacing w:after="0"/>
        <w:tabs>
          <w:tab w:leader="none" w:pos="664" w:val="left"/>
        </w:tabs>
        <w:numPr>
          <w:ilvl w:val="1"/>
          <w:numId w:val="22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Dispositions (including the abandonment thereof) of immaterial assets (i) in an aggregate amount not exceeding $250,000 during the term or</w:t>
      </w:r>
    </w:p>
    <w:p>
      <w:pPr>
        <w:spacing w:after="0" w:line="46" w:lineRule="exact"/>
        <w:rPr>
          <w:rFonts w:ascii="Arial" w:cs="Arial" w:eastAsia="Arial" w:hAnsi="Arial"/>
          <w:sz w:val="16"/>
          <w:szCs w:val="16"/>
          <w:u w:val="single" w:color="auto"/>
          <w:color w:val="0000FF"/>
        </w:rPr>
      </w:pPr>
    </w:p>
    <w:p>
      <w:pPr>
        <w:ind w:left="264" w:hanging="264"/>
        <w:spacing w:after="0"/>
        <w:tabs>
          <w:tab w:leader="none" w:pos="264" w:val="left"/>
        </w:tabs>
        <w:numPr>
          <w:ilvl w:val="0"/>
          <w:numId w:val="2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subject to Chapter 11 Orders satisfactory to the Lenders; and</w:t>
      </w:r>
    </w:p>
    <w:p>
      <w:pPr>
        <w:spacing w:after="0" w:line="210" w:lineRule="exact"/>
        <w:rPr>
          <w:rFonts w:ascii="Arial" w:cs="Arial" w:eastAsia="Arial" w:hAnsi="Arial"/>
          <w:sz w:val="18"/>
          <w:szCs w:val="18"/>
          <w:u w:val="single" w:color="auto"/>
          <w:color w:val="0000FF"/>
        </w:rPr>
      </w:pPr>
    </w:p>
    <w:p>
      <w:pPr>
        <w:ind w:left="4" w:right="580" w:firstLine="436"/>
        <w:spacing w:after="0" w:line="263" w:lineRule="auto"/>
        <w:tabs>
          <w:tab w:leader="none" w:pos="659" w:val="left"/>
        </w:tabs>
        <w:numPr>
          <w:ilvl w:val="1"/>
          <w:numId w:val="2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Dispositions (i) made in connection with the First Day Orders or Second Day Orders, (ii) made in connection with the DIP Order or the Bidding Procedures Order, (iii) made in connection with the Canadian Orders, or (iv) consented to by the Junior DIP Lenders and, to the extent involving B-2 Priority Collateral,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-1236980</wp:posOffset>
            </wp:positionV>
            <wp:extent cx="12827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-1236980</wp:posOffset>
            </wp:positionV>
            <wp:extent cx="120015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-962660</wp:posOffset>
            </wp:positionV>
            <wp:extent cx="594042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-688340</wp:posOffset>
            </wp:positionV>
            <wp:extent cx="655764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-551180</wp:posOffset>
            </wp:positionV>
            <wp:extent cx="294005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-276860</wp:posOffset>
            </wp:positionV>
            <wp:extent cx="6326505"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54050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1170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4" w:lineRule="exact"/>
        <w:rPr>
          <w:sz w:val="20"/>
          <w:szCs w:val="20"/>
          <w:color w:val="auto"/>
        </w:rPr>
      </w:pPr>
    </w:p>
    <w:p>
      <w:pPr>
        <w:ind w:left="4" w:firstLine="436"/>
        <w:spacing w:after="0" w:line="277" w:lineRule="auto"/>
        <w:tabs>
          <w:tab w:leader="none" w:pos="699" w:val="left"/>
        </w:tabs>
        <w:numPr>
          <w:ilvl w:val="0"/>
          <w:numId w:val="226"/>
        </w:numPr>
        <w:rPr>
          <w:rFonts w:ascii="Arial" w:cs="Arial" w:eastAsia="Arial" w:hAnsi="Arial"/>
          <w:sz w:val="18"/>
          <w:szCs w:val="18"/>
          <w:color w:val="FF0000"/>
          <w:strike w:val="1"/>
        </w:rPr>
      </w:pPr>
      <w:r>
        <w:rPr>
          <w:rFonts w:ascii="Arial" w:cs="Arial" w:eastAsia="Arial" w:hAnsi="Arial"/>
          <w:sz w:val="18"/>
          <w:szCs w:val="18"/>
          <w:color w:val="FF0000"/>
          <w:strike w:val="1"/>
        </w:rPr>
        <w:t>sales or dispositions of Equity Interests of any Subsidiary (other than the Borrower) in order to qualify members of the governing body of such Subsidiary if required by applicable law;</w:t>
      </w:r>
    </w:p>
    <w:p>
      <w:pPr>
        <w:spacing w:after="0" w:line="170" w:lineRule="exact"/>
        <w:rPr>
          <w:rFonts w:ascii="Arial" w:cs="Arial" w:eastAsia="Arial" w:hAnsi="Arial"/>
          <w:sz w:val="18"/>
          <w:szCs w:val="18"/>
          <w:color w:val="FF0000"/>
          <w:strike w:val="1"/>
        </w:rPr>
      </w:pPr>
    </w:p>
    <w:p>
      <w:pPr>
        <w:ind w:left="664" w:hanging="224"/>
        <w:spacing w:after="0"/>
        <w:tabs>
          <w:tab w:leader="none" w:pos="664" w:val="left"/>
        </w:tabs>
        <w:numPr>
          <w:ilvl w:val="0"/>
          <w:numId w:val="226"/>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684" w:hanging="244"/>
        <w:spacing w:after="0"/>
        <w:tabs>
          <w:tab w:leader="none" w:pos="684" w:val="left"/>
        </w:tabs>
        <w:numPr>
          <w:ilvl w:val="0"/>
          <w:numId w:val="22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Restricted Payments made pursuant to </w:t>
      </w:r>
      <w:r>
        <w:rPr>
          <w:rFonts w:ascii="Arial" w:cs="Arial" w:eastAsia="Arial" w:hAnsi="Arial"/>
          <w:sz w:val="18"/>
          <w:szCs w:val="18"/>
          <w:u w:val="single" w:color="auto"/>
          <w:color w:val="FF0000"/>
          <w:strike w:val="1"/>
        </w:rPr>
        <w:t>Section 7.06</w:t>
      </w:r>
      <w:r>
        <w:rPr>
          <w:rFonts w:ascii="Arial" w:cs="Arial" w:eastAsia="Arial" w:hAnsi="Arial"/>
          <w:sz w:val="18"/>
          <w:szCs w:val="18"/>
          <w:color w:val="FF0000"/>
          <w:strike w:val="1"/>
        </w:rPr>
        <w:t>;</w:t>
      </w:r>
    </w:p>
    <w:p>
      <w:pPr>
        <w:spacing w:after="0" w:line="225" w:lineRule="exact"/>
        <w:rPr>
          <w:rFonts w:ascii="Arial" w:cs="Arial" w:eastAsia="Arial" w:hAnsi="Arial"/>
          <w:sz w:val="18"/>
          <w:szCs w:val="18"/>
          <w:color w:val="FF0000"/>
          <w:strike w:val="1"/>
        </w:rPr>
      </w:pPr>
    </w:p>
    <w:p>
      <w:pPr>
        <w:jc w:val="both"/>
        <w:ind w:left="4" w:firstLine="436"/>
        <w:spacing w:after="0" w:line="263" w:lineRule="auto"/>
        <w:tabs>
          <w:tab w:leader="none" w:pos="659" w:val="left"/>
        </w:tabs>
        <w:numPr>
          <w:ilvl w:val="0"/>
          <w:numId w:val="22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Sale and Leaseback Transactions in an aggregate principal amount not to exceed $25,000,000 during the term of this Agreement;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from and after the Amendment No. 3 Effective Date, this clause (t) shall be unavailable for use under this Agreement and the dollar-amount specified in the clause (t) shall be $0; and</w:t>
      </w:r>
    </w:p>
    <w:p>
      <w:pPr>
        <w:spacing w:after="0" w:line="183" w:lineRule="exact"/>
        <w:rPr>
          <w:rFonts w:ascii="Arial" w:cs="Arial" w:eastAsia="Arial" w:hAnsi="Arial"/>
          <w:sz w:val="18"/>
          <w:szCs w:val="18"/>
          <w:color w:val="FF0000"/>
          <w:strike w:val="1"/>
        </w:rPr>
      </w:pPr>
    </w:p>
    <w:p>
      <w:pPr>
        <w:ind w:left="704" w:hanging="264"/>
        <w:spacing w:after="0"/>
        <w:tabs>
          <w:tab w:leader="none" w:pos="704" w:val="left"/>
        </w:tabs>
        <w:numPr>
          <w:ilvl w:val="0"/>
          <w:numId w:val="226"/>
        </w:numPr>
        <w:rPr>
          <w:rFonts w:ascii="Arial" w:cs="Arial" w:eastAsia="Arial" w:hAnsi="Arial"/>
          <w:sz w:val="18"/>
          <w:szCs w:val="18"/>
          <w:color w:val="FF0000"/>
          <w:strike w:val="1"/>
        </w:rPr>
      </w:pPr>
      <w:r>
        <w:rPr>
          <w:rFonts w:ascii="Arial" w:cs="Arial" w:eastAsia="Arial" w:hAnsi="Arial"/>
          <w:sz w:val="18"/>
          <w:szCs w:val="18"/>
          <w:color w:val="FF0000"/>
          <w:strike w:val="1"/>
        </w:rPr>
        <w:t>other Dispositions consented to by the Required Lenders in their sole discretion.</w:t>
      </w:r>
    </w:p>
    <w:p>
      <w:pPr>
        <w:spacing w:after="0" w:line="225"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i w:val="1"/>
          <w:iCs w:val="1"/>
          <w:color w:val="FF0000"/>
          <w:strike w:val="1"/>
        </w:rPr>
        <w:t xml:space="preserve">provided </w:t>
      </w:r>
      <w:r>
        <w:rPr>
          <w:rFonts w:ascii="Arial" w:cs="Arial" w:eastAsia="Arial" w:hAnsi="Arial"/>
          <w:sz w:val="17"/>
          <w:szCs w:val="17"/>
          <w:color w:val="FF0000"/>
          <w:strike w:val="1"/>
        </w:rPr>
        <w:t>that any Disposition of any property pursuant to this</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FF0000"/>
          <w:strike w:val="1"/>
        </w:rPr>
        <w:t>Section 7.05</w:t>
      </w:r>
      <w:r>
        <w:rPr>
          <w:rFonts w:ascii="Arial" w:cs="Arial" w:eastAsia="Arial" w:hAnsi="Arial"/>
          <w:sz w:val="17"/>
          <w:szCs w:val="17"/>
          <w:i w:val="1"/>
          <w:iCs w:val="1"/>
          <w:color w:val="FF0000"/>
          <w:strike w:val="1"/>
        </w:rPr>
        <w:t xml:space="preserve"> </w:t>
      </w:r>
      <w:r>
        <w:rPr>
          <w:rFonts w:ascii="Arial" w:cs="Arial" w:eastAsia="Arial" w:hAnsi="Arial"/>
          <w:sz w:val="17"/>
          <w:szCs w:val="17"/>
          <w:color w:val="FF0000"/>
          <w:strike w:val="1"/>
        </w:rPr>
        <w:t>(except pursuant to</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FF0000"/>
          <w:strike w:val="1"/>
        </w:rPr>
        <w:t>Sections 7.05(a), (c), (e), (f), (g), (i), (j), (k), (m),</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FF0000"/>
          <w:strike w:val="1"/>
        </w:rPr>
        <w:t xml:space="preserve">(n), (o), (p), (q), (r) </w:t>
      </w:r>
      <w:r>
        <w:rPr>
          <w:rFonts w:ascii="Arial" w:cs="Arial" w:eastAsia="Arial" w:hAnsi="Arial"/>
          <w:sz w:val="17"/>
          <w:szCs w:val="17"/>
          <w:color w:val="FF0000"/>
          <w:strike w:val="1"/>
        </w:rPr>
        <w:t>and</w:t>
      </w:r>
      <w:r>
        <w:rPr>
          <w:rFonts w:ascii="Arial" w:cs="Arial" w:eastAsia="Arial" w:hAnsi="Arial"/>
          <w:sz w:val="17"/>
          <w:szCs w:val="17"/>
          <w:u w:val="single" w:color="auto"/>
          <w:color w:val="FF0000"/>
          <w:strike w:val="1"/>
        </w:rPr>
        <w:t xml:space="preserve"> (s) </w:t>
      </w:r>
      <w:r>
        <w:rPr>
          <w:rFonts w:ascii="Arial" w:cs="Arial" w:eastAsia="Arial" w:hAnsi="Arial"/>
          <w:sz w:val="17"/>
          <w:szCs w:val="17"/>
          <w:color w:val="FF0000"/>
          <w:strike w:val="1"/>
        </w:rPr>
        <w:t>and except for Dispositions from a Loan Party to any other Loan Party) shall be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008000"/>
          <w:strike w:val="1"/>
        </w:rPr>
        <w:t>for no less than the fair market value of such</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008000"/>
          <w:strike w:val="1"/>
        </w:rPr>
        <w:t xml:space="preserve">property </w:t>
      </w:r>
      <w:r>
        <w:rPr>
          <w:rFonts w:ascii="Arial" w:cs="Arial" w:eastAsia="Arial" w:hAnsi="Arial"/>
          <w:sz w:val="17"/>
          <w:szCs w:val="17"/>
          <w:color w:val="FF0000"/>
          <w:strike w:val="1"/>
        </w:rPr>
        <w:t>at the time of such Disposition. To the extent any Collateral is Disposed of as expressly permitted by this Section 7.05 to any Person other than</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a Loan Party, such Collateral shall be automatically sold free and clear of the Liens created by the Loan Documents, and, if requested by the Borrower, upon the certification delivered to the Administrative Agent by the Borrower that such Disposition is permitted by</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84"/>
          </w:cols>
          <w:pgMar w:left="436" w:top="274" w:right="479" w:bottom="1440" w:gutter="0" w:footer="0" w:header="0"/>
        </w:sectPr>
      </w:pPr>
    </w:p>
    <w:bookmarkStart w:id="276" w:name="page277"/>
    <w:bookmarkEnd w:id="276"/>
    <w:p>
      <w:pPr>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the Administrative Agent or the Collateral Agent, as applicable, shall be authorized to take, and shall take, any actions reasonably requested by the Borrower in order to effect the foregoing (at the Borrower’s expense) and/or to expressly subordinate any Lien in favor of the Collateral Agent on such Collateral that is disposed of.</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FF0000"/>
          <w:strike w:val="1"/>
        </w:rPr>
        <w:t>Notwithstanding anything herein to the contrary in this Agreement, (i) as of and after the Amendment No. 3 Effective Date, the Borrower shall not, nor shall it permit any Restricted Subsidiary to, directly or indirectly, make any Disposition of Real Property (other than (a) Dispositions of Specified Amendment No. 3 Real Properties pursuant to Section 7.05(l), (b) leases of Real Property entered into in the ordinary course of business (excluding Sale and Leaseback Transactions) and (c) transfers of property subject to condemnation and Casualty Events), (ii) after the Amendment No. 2 Effective Date, the Borrower shall not, nor shall it permit any Restricted Subsidiary to, Dispose of Specified Rolling Stock with an aggregate fair market value in excess of $5,000,000 in any fiscal year without the prior consent of the Required Lenders, (iii) any Disposition of Rolling Stock shall be for no less than the fair market value of such property at the time of such Disposition, and (iv) during the Specified Rolling Stock Prepayment Period, all Net Proceeds from any Disposition of Specified Rolling Stock in excess of the Specified Rolling Stock Reinvestment Threshold in any fiscal year shall be applied to prepay the Term Loans in accordance with Section 2.13(a)(ii).</w:t>
      </w:r>
    </w:p>
    <w:p>
      <w:pPr>
        <w:spacing w:after="0" w:line="18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u w:val="single" w:color="auto"/>
          <w:color w:val="0000FF"/>
        </w:rPr>
        <w:t>Section 7.06</w:t>
      </w:r>
      <w:r>
        <w:rPr>
          <w:rFonts w:ascii="Arial" w:cs="Arial" w:eastAsia="Arial" w:hAnsi="Arial"/>
          <w:sz w:val="18"/>
          <w:szCs w:val="18"/>
          <w:color w:val="0000FF"/>
        </w:rPr>
        <w:t xml:space="preserve"> </w:t>
      </w:r>
      <w:r>
        <w:rPr>
          <w:rFonts w:ascii="Arial" w:cs="Arial" w:eastAsia="Arial" w:hAnsi="Arial"/>
          <w:sz w:val="18"/>
          <w:szCs w:val="18"/>
          <w:color w:val="FF0000"/>
          <w:strike w:val="1"/>
        </w:rPr>
        <w:t>Section 7.06.</w:t>
      </w:r>
      <w:r>
        <w:rPr>
          <w:rFonts w:ascii="Arial" w:cs="Arial" w:eastAsia="Arial" w:hAnsi="Arial"/>
          <w:sz w:val="18"/>
          <w:szCs w:val="18"/>
          <w:color w:val="0000FF"/>
        </w:rPr>
        <w:t xml:space="preserve"> </w:t>
      </w:r>
      <w:r>
        <w:rPr>
          <w:rFonts w:ascii="Arial" w:cs="Arial" w:eastAsia="Arial" w:hAnsi="Arial"/>
          <w:sz w:val="18"/>
          <w:szCs w:val="18"/>
          <w:i w:val="1"/>
          <w:iCs w:val="1"/>
          <w:color w:val="000000"/>
        </w:rPr>
        <w:t>Restricted Payments.</w:t>
      </w:r>
      <w:r>
        <w:rPr>
          <w:rFonts w:ascii="Arial" w:cs="Arial" w:eastAsia="Arial" w:hAnsi="Arial"/>
          <w:sz w:val="18"/>
          <w:szCs w:val="18"/>
          <w:color w:val="0000FF"/>
        </w:rPr>
        <w:t xml:space="preserve"> </w:t>
      </w:r>
      <w:r>
        <w:rPr>
          <w:rFonts w:ascii="Arial" w:cs="Arial" w:eastAsia="Arial" w:hAnsi="Arial"/>
          <w:sz w:val="18"/>
          <w:szCs w:val="18"/>
          <w:color w:val="000000"/>
        </w:rPr>
        <w:t>The Borrower shall not, nor shall it permit any</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color w:val="0000FF"/>
        </w:rPr>
        <w:t xml:space="preserve"> </w:t>
      </w:r>
      <w:r>
        <w:rPr>
          <w:rFonts w:ascii="Arial" w:cs="Arial" w:eastAsia="Arial" w:hAnsi="Arial"/>
          <w:sz w:val="18"/>
          <w:szCs w:val="18"/>
          <w:color w:val="000000"/>
        </w:rPr>
        <w:t>Subsidiary to, directly or indirectly,</w:t>
      </w:r>
      <w:r>
        <w:rPr>
          <w:rFonts w:ascii="Arial" w:cs="Arial" w:eastAsia="Arial" w:hAnsi="Arial"/>
          <w:sz w:val="18"/>
          <w:szCs w:val="18"/>
          <w:color w:val="0000FF"/>
        </w:rPr>
        <w:t xml:space="preserve"> </w:t>
      </w:r>
      <w:r>
        <w:rPr>
          <w:rFonts w:ascii="Arial" w:cs="Arial" w:eastAsia="Arial" w:hAnsi="Arial"/>
          <w:sz w:val="18"/>
          <w:szCs w:val="18"/>
          <w:color w:val="000000"/>
        </w:rPr>
        <w:t>declare or make, directly or indirectly, any Restricted Payment, except</w:t>
      </w:r>
      <w:r>
        <w:rPr>
          <w:rFonts w:ascii="Arial" w:cs="Arial" w:eastAsia="Arial" w:hAnsi="Arial"/>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0007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50" w:lineRule="exact"/>
        <w:rPr>
          <w:sz w:val="20"/>
          <w:szCs w:val="20"/>
          <w:color w:val="auto"/>
        </w:rPr>
      </w:pPr>
    </w:p>
    <w:p>
      <w:pPr>
        <w:ind w:right="100" w:firstLine="436"/>
        <w:spacing w:after="0" w:line="255" w:lineRule="auto"/>
        <w:tabs>
          <w:tab w:leader="none" w:pos="685" w:val="left"/>
        </w:tabs>
        <w:numPr>
          <w:ilvl w:val="0"/>
          <w:numId w:val="227"/>
        </w:numPr>
        <w:rPr>
          <w:rFonts w:ascii="Arial" w:cs="Arial" w:eastAsia="Arial" w:hAnsi="Arial"/>
          <w:sz w:val="18"/>
          <w:szCs w:val="18"/>
          <w:color w:val="FF0000"/>
          <w:strike w:val="1"/>
        </w:rPr>
      </w:pPr>
      <w:r>
        <w:rPr>
          <w:rFonts w:ascii="Arial" w:cs="Arial" w:eastAsia="Arial" w:hAnsi="Arial"/>
          <w:sz w:val="18"/>
          <w:szCs w:val="18"/>
          <w:color w:val="0000FF"/>
        </w:rPr>
        <w:t xml:space="preserve">(a) </w:t>
      </w:r>
      <w:r>
        <w:rPr>
          <w:rFonts w:ascii="Arial" w:cs="Arial" w:eastAsia="Arial" w:hAnsi="Arial"/>
          <w:sz w:val="18"/>
          <w:szCs w:val="18"/>
          <w:color w:val="000000"/>
        </w:rPr>
        <w:t>each</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color w:val="0000FF"/>
        </w:rPr>
        <w:t xml:space="preserve"> </w:t>
      </w:r>
      <w:r>
        <w:rPr>
          <w:rFonts w:ascii="Arial" w:cs="Arial" w:eastAsia="Arial" w:hAnsi="Arial"/>
          <w:sz w:val="18"/>
          <w:szCs w:val="18"/>
          <w:color w:val="000000"/>
        </w:rPr>
        <w:t>Subsidiary may make Restricted Payments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w:t>
      </w:r>
      <w:r>
        <w:rPr>
          <w:rFonts w:ascii="Arial" w:cs="Arial" w:eastAsia="Arial" w:hAnsi="Arial"/>
          <w:sz w:val="18"/>
          <w:szCs w:val="18"/>
          <w:color w:val="0000FF"/>
        </w:rPr>
        <w:t xml:space="preserve"> </w:t>
      </w:r>
      <w:r>
        <w:rPr>
          <w:rFonts w:ascii="Arial" w:cs="Arial" w:eastAsia="Arial" w:hAnsi="Arial"/>
          <w:sz w:val="18"/>
          <w:szCs w:val="18"/>
          <w:color w:val="000000"/>
        </w:rPr>
        <w:t>the Borrower or any other</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u w:val="single" w:color="auto"/>
          <w:color w:val="0000FF"/>
        </w:rPr>
        <w:t>Domestic Subsidiary or Canadian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Subsidiary and (ii) any other</w:t>
      </w:r>
      <w:r>
        <w:rPr>
          <w:rFonts w:ascii="Arial" w:cs="Arial" w:eastAsia="Arial" w:hAnsi="Arial"/>
          <w:sz w:val="18"/>
          <w:szCs w:val="18"/>
          <w:color w:val="0000FF"/>
        </w:rPr>
        <w:t xml:space="preserve"> </w:t>
      </w:r>
      <w:r>
        <w:rPr>
          <w:rFonts w:ascii="Arial" w:cs="Arial" w:eastAsia="Arial" w:hAnsi="Arial"/>
          <w:sz w:val="18"/>
          <w:szCs w:val="18"/>
          <w:color w:val="000000"/>
        </w:rPr>
        <w:t>Subsidiary (and, in the case of a Restricted Payment by a non-wholly owned</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color w:val="0000FF"/>
        </w:rPr>
        <w:t xml:space="preserve"> </w:t>
      </w:r>
      <w:r>
        <w:rPr>
          <w:rFonts w:ascii="Arial" w:cs="Arial" w:eastAsia="Arial" w:hAnsi="Arial"/>
          <w:sz w:val="18"/>
          <w:szCs w:val="18"/>
          <w:color w:val="000000"/>
        </w:rPr>
        <w:t>Subsidiary, to the Borrower and</w:t>
      </w:r>
      <w:r>
        <w:rPr>
          <w:rFonts w:ascii="Arial" w:cs="Arial" w:eastAsia="Arial" w:hAnsi="Arial"/>
          <w:sz w:val="18"/>
          <w:szCs w:val="18"/>
          <w:color w:val="0000FF"/>
        </w:rPr>
        <w:t xml:space="preserve"> </w:t>
      </w:r>
      <w:r>
        <w:rPr>
          <w:rFonts w:ascii="Arial" w:cs="Arial" w:eastAsia="Arial" w:hAnsi="Arial"/>
          <w:sz w:val="18"/>
          <w:szCs w:val="18"/>
          <w:color w:val="000000"/>
        </w:rPr>
        <w:t xml:space="preserve">any other </w:t>
      </w:r>
      <w:r>
        <w:rPr>
          <w:rFonts w:ascii="Arial" w:cs="Arial" w:eastAsia="Arial" w:hAnsi="Arial"/>
          <w:sz w:val="18"/>
          <w:szCs w:val="18"/>
          <w:color w:val="FF0000"/>
          <w:strike w:val="1"/>
        </w:rPr>
        <w:t>Restricted</w:t>
      </w:r>
      <w:r>
        <w:rPr>
          <w:rFonts w:ascii="Arial" w:cs="Arial" w:eastAsia="Arial" w:hAnsi="Arial"/>
          <w:sz w:val="18"/>
          <w:szCs w:val="18"/>
          <w:color w:val="000000"/>
        </w:rPr>
        <w:t xml:space="preserve"> Subsidiary and to each other owner of Equity Interests of such </w:t>
      </w:r>
      <w:r>
        <w:rPr>
          <w:rFonts w:ascii="Arial" w:cs="Arial" w:eastAsia="Arial" w:hAnsi="Arial"/>
          <w:sz w:val="18"/>
          <w:szCs w:val="18"/>
          <w:color w:val="FF0000"/>
          <w:strike w:val="1"/>
        </w:rPr>
        <w:t>Restricted</w:t>
      </w:r>
      <w:r>
        <w:rPr>
          <w:rFonts w:ascii="Arial" w:cs="Arial" w:eastAsia="Arial" w:hAnsi="Arial"/>
          <w:sz w:val="18"/>
          <w:szCs w:val="18"/>
          <w:color w:val="000000"/>
        </w:rPr>
        <w:t xml:space="preserve"> Subsidiary based on their relative ownership interests of the relevant class of Equity Interests)</w:t>
      </w:r>
      <w:r>
        <w:rPr>
          <w:rFonts w:ascii="Arial" w:cs="Arial" w:eastAsia="Arial" w:hAnsi="Arial"/>
          <w:sz w:val="18"/>
          <w:szCs w:val="18"/>
          <w:color w:val="FF0000"/>
          <w:strike w:val="1"/>
        </w:rPr>
        <w:t>;</w:t>
      </w:r>
      <w:r>
        <w:rPr>
          <w:rFonts w:ascii="Arial" w:cs="Arial" w:eastAsia="Arial" w:hAnsi="Arial"/>
          <w:sz w:val="18"/>
          <w:szCs w:val="18"/>
          <w:u w:val="single" w:color="auto"/>
          <w:color w:val="008000"/>
        </w:rPr>
        <w:t>, in the case of this clause (ii),</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solely if required to comply with this Agreement and (b) payments of directors fees</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included and as permitted by the Approved Budget (subject to Permitted Variances</w:t>
      </w:r>
      <w:r>
        <w:rPr>
          <w:rFonts w:ascii="Arial" w:cs="Arial" w:eastAsia="Arial" w:hAnsi="Arial"/>
          <w:sz w:val="18"/>
          <w:szCs w:val="18"/>
          <w:u w:val="single" w:color="auto"/>
          <w:color w:val="008000"/>
        </w:rPr>
        <w:t>), in each case other than</w:t>
      </w:r>
      <w:r>
        <w:rPr>
          <w:rFonts w:ascii="Arial" w:cs="Arial" w:eastAsia="Arial" w:hAnsi="Arial"/>
          <w:sz w:val="18"/>
          <w:szCs w:val="18"/>
          <w:u w:val="single" w:color="auto"/>
          <w:color w:val="0000FF"/>
        </w:rPr>
        <w:t xml:space="preserve"> UST Adequate Protection Payments pursuant to the UST Adequate Protection Order.</w:t>
      </w:r>
    </w:p>
    <w:p>
      <w:pPr>
        <w:spacing w:after="0" w:line="192" w:lineRule="exact"/>
        <w:rPr>
          <w:rFonts w:ascii="Arial" w:cs="Arial" w:eastAsia="Arial" w:hAnsi="Arial"/>
          <w:sz w:val="18"/>
          <w:szCs w:val="18"/>
          <w:color w:val="FF0000"/>
          <w:strike w:val="1"/>
        </w:rPr>
      </w:pPr>
    </w:p>
    <w:p>
      <w:pPr>
        <w:ind w:right="140" w:firstLine="436"/>
        <w:spacing w:after="0" w:line="342" w:lineRule="auto"/>
        <w:tabs>
          <w:tab w:leader="none" w:pos="695" w:val="left"/>
        </w:tabs>
        <w:numPr>
          <w:ilvl w:val="0"/>
          <w:numId w:val="227"/>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Borrower and each Restricted Subsidiary may declare and make dividend payments or other Restricted Payments payable solely in the Equity Interests (other than Disqualified Equity Interests unless such Disqualified Equity Interests would be permitted by </w:t>
      </w:r>
      <w:r>
        <w:rPr>
          <w:rFonts w:ascii="Arial" w:cs="Arial" w:eastAsia="Arial" w:hAnsi="Arial"/>
          <w:sz w:val="16"/>
          <w:szCs w:val="16"/>
          <w:u w:val="single" w:color="auto"/>
          <w:color w:val="FF0000"/>
          <w:strike w:val="1"/>
        </w:rPr>
        <w:t>Section 7.03</w:t>
      </w:r>
      <w:r>
        <w:rPr>
          <w:rFonts w:ascii="Arial" w:cs="Arial" w:eastAsia="Arial" w:hAnsi="Arial"/>
          <w:sz w:val="16"/>
          <w:szCs w:val="16"/>
          <w:color w:val="FF0000"/>
          <w:strike w:val="1"/>
        </w:rPr>
        <w:t>) of such Person;</w:t>
      </w:r>
    </w:p>
    <w:p>
      <w:pPr>
        <w:spacing w:after="0" w:line="123" w:lineRule="exact"/>
        <w:rPr>
          <w:rFonts w:ascii="Arial" w:cs="Arial" w:eastAsia="Arial" w:hAnsi="Arial"/>
          <w:sz w:val="16"/>
          <w:szCs w:val="16"/>
          <w:color w:val="FF0000"/>
          <w:strike w:val="1"/>
        </w:rPr>
      </w:pPr>
    </w:p>
    <w:p>
      <w:pPr>
        <w:ind w:right="120" w:firstLine="436"/>
        <w:spacing w:after="0" w:line="275" w:lineRule="auto"/>
        <w:tabs>
          <w:tab w:leader="none" w:pos="685" w:val="left"/>
        </w:tabs>
        <w:numPr>
          <w:ilvl w:val="0"/>
          <w:numId w:val="227"/>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 repurchases of Equity Interests in the Borrower deemed to occur upon the exercise of stock options or warrants or the settlement or vesting of other equity awards if such Equity Interests represent a portion of the exercise price of such options or warrants, (ii) cash payments in lieu of the issuance of fractional shares in connection with the exercise of stock options, warrants or other securities convertible into or exchangeable for Equity Interests of the Borrower or (iii) Restricted Payments made in respect of any other transaction involving fractional shares;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i w:val="1"/>
          <w:iCs w:val="1"/>
          <w:color w:val="FF0000"/>
          <w:strike w:val="1"/>
        </w:rPr>
        <w:t>however</w:t>
      </w:r>
      <w:r>
        <w:rPr>
          <w:rFonts w:ascii="Arial" w:cs="Arial" w:eastAsia="Arial" w:hAnsi="Arial"/>
          <w:sz w:val="17"/>
          <w:szCs w:val="17"/>
          <w:color w:val="FF0000"/>
          <w:strike w:val="1"/>
        </w:rPr>
        <w:t>, that any such cash payment shall not be for the purpose of evading the limitations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-1927225</wp:posOffset>
            </wp:positionV>
            <wp:extent cx="18859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-1961515</wp:posOffset>
            </wp:positionV>
            <wp:extent cx="18415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-1927225</wp:posOffset>
            </wp:positionV>
            <wp:extent cx="13716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-1927225</wp:posOffset>
            </wp:positionV>
            <wp:extent cx="153416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-1790065</wp:posOffset>
            </wp:positionV>
            <wp:extent cx="130302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-1515745</wp:posOffset>
            </wp:positionV>
            <wp:extent cx="52031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-1378585</wp:posOffset>
            </wp:positionV>
            <wp:extent cx="660082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220281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FF0000"/>
          <w:strike w:val="1"/>
        </w:rPr>
        <w:t>(d)the Borrower may pay for the repurchase, retirement or other acquisition or retirement for value of Equity Interests of the Borrower held by any present or former employee, officer, director or consultant of the Borrower or any Restricted Subsidiary or equity based awards held by such Persons, in each case, upon the death, disability, retirement or termination of employment of any such Person or pursuant to any employee or director equity plan, employee or director stock option plan or any other employee or director benefit plan or any agreement (including any stock subscription or shareholder agreement) with any employee, director, officer or consultant of the Borrower or any Restricted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20"/>
          </w:cols>
          <w:pgMar w:left="440" w:top="274" w:right="439" w:bottom="1440" w:gutter="0" w:footer="0" w:header="0"/>
        </w:sectPr>
      </w:pPr>
    </w:p>
    <w:bookmarkStart w:id="277" w:name="page278"/>
    <w:bookmarkEnd w:id="277"/>
    <w:p>
      <w:pPr>
        <w:spacing w:after="0" w:line="254"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Subsidiary;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the aggregate amount of Restricted Payments made pursuant to this clause (d) shall not exceed (i) $7,500,000 in any fiscal year plus (ii) the then applicable Cumulative Credit plus (iii) the proceeds of any key man insurance policies;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further</w:t>
      </w:r>
      <w:r>
        <w:rPr>
          <w:rFonts w:ascii="Arial" w:cs="Arial" w:eastAsia="Arial" w:hAnsi="Arial"/>
          <w:sz w:val="18"/>
          <w:szCs w:val="18"/>
          <w:color w:val="FF0000"/>
          <w:strike w:val="1"/>
        </w:rPr>
        <w:t>, that to the extent that the aggregate amount of Restricted Payments made by the Borrower and the Restricted Subsidiaries pursuant to this clause (d) in any fiscal year is less than the amount set forth above, 100% of the amount of such difference may be carried forward and used to make such Restricted Payments pursuant to this clause (d) in the next two succeeding fiscal years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any such amount carried forward shall be deemed to be used to make such Restricted Payments in any fiscal year after the amount set forth above for such fiscal year shall be deemed to be used to make such Restricted Payments for such fiscal year);</w:t>
      </w:r>
    </w:p>
    <w:p>
      <w:pPr>
        <w:spacing w:after="0" w:line="195" w:lineRule="exact"/>
        <w:rPr>
          <w:sz w:val="20"/>
          <w:szCs w:val="20"/>
          <w:color w:val="auto"/>
        </w:rPr>
      </w:pPr>
    </w:p>
    <w:p>
      <w:pPr>
        <w:ind w:right="100" w:firstLine="436"/>
        <w:spacing w:after="0" w:line="254" w:lineRule="auto"/>
        <w:tabs>
          <w:tab w:leader="none" w:pos="685"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Borrower may make Restricted Payments </w:t>
      </w:r>
      <w:r>
        <w:rPr>
          <w:rFonts w:ascii="Arial" w:cs="Arial" w:eastAsia="Arial" w:hAnsi="Arial"/>
          <w:sz w:val="18"/>
          <w:szCs w:val="18"/>
          <w:color w:val="008000"/>
          <w:strike w:val="1"/>
        </w:rPr>
        <w:t>in an aggregate amount not to exceed</w:t>
      </w:r>
      <w:r>
        <w:rPr>
          <w:rFonts w:ascii="Arial" w:cs="Arial" w:eastAsia="Arial" w:hAnsi="Arial"/>
          <w:sz w:val="18"/>
          <w:szCs w:val="18"/>
          <w:color w:val="FF0000"/>
          <w:strike w:val="1"/>
        </w:rPr>
        <w:t xml:space="preserve"> (x) together with (I) the aggregate amount of Investments made under sub-clause (x) of </w:t>
      </w:r>
      <w:r>
        <w:rPr>
          <w:rFonts w:ascii="Arial" w:cs="Arial" w:eastAsia="Arial" w:hAnsi="Arial"/>
          <w:sz w:val="18"/>
          <w:szCs w:val="18"/>
          <w:u w:val="single" w:color="auto"/>
          <w:color w:val="FF0000"/>
          <w:strike w:val="1"/>
        </w:rPr>
        <w:t>Section 7.02(p)</w:t>
      </w:r>
      <w:r>
        <w:rPr>
          <w:rFonts w:ascii="Arial" w:cs="Arial" w:eastAsia="Arial" w:hAnsi="Arial"/>
          <w:sz w:val="18"/>
          <w:szCs w:val="18"/>
          <w:color w:val="FF0000"/>
          <w:strike w:val="1"/>
        </w:rPr>
        <w:t xml:space="preserve"> and (II) the aggregate amount of prepayments, redemptions, purchases, defeasances and other payments made pursuant to sub-clause (x) of </w:t>
      </w:r>
      <w:r>
        <w:rPr>
          <w:rFonts w:ascii="Arial" w:cs="Arial" w:eastAsia="Arial" w:hAnsi="Arial"/>
          <w:sz w:val="18"/>
          <w:szCs w:val="18"/>
          <w:u w:val="single" w:color="auto"/>
          <w:color w:val="FF0000"/>
          <w:strike w:val="1"/>
        </w:rPr>
        <w:t>Section 7.13(a)(vi)</w:t>
      </w:r>
      <w:r>
        <w:rPr>
          <w:rFonts w:ascii="Arial" w:cs="Arial" w:eastAsia="Arial" w:hAnsi="Arial"/>
          <w:sz w:val="18"/>
          <w:szCs w:val="18"/>
          <w:color w:val="FF0000"/>
          <w:strike w:val="1"/>
        </w:rPr>
        <w:t xml:space="preserve">, $5,000,000, plus (y) the portion, if any, of the Cumulative Credit on such date that the Borrower elects to apply to this subclause (y);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(A) with respect to any Restricted Payment made pursuant to this </w:t>
      </w:r>
      <w:r>
        <w:rPr>
          <w:rFonts w:ascii="Arial" w:cs="Arial" w:eastAsia="Arial" w:hAnsi="Arial"/>
          <w:sz w:val="18"/>
          <w:szCs w:val="18"/>
          <w:u w:val="single" w:color="auto"/>
          <w:color w:val="FF0000"/>
          <w:strike w:val="1"/>
        </w:rPr>
        <w:t>Section 7.06(e)</w:t>
      </w:r>
      <w:r>
        <w:rPr>
          <w:rFonts w:ascii="Arial" w:cs="Arial" w:eastAsia="Arial" w:hAnsi="Arial"/>
          <w:sz w:val="18"/>
          <w:szCs w:val="18"/>
          <w:color w:val="FF0000"/>
          <w:strike w:val="1"/>
        </w:rPr>
        <w:t>, (1) no Event of Default has occurred and is continuing or would result therefrom and (2) on a Pro Forma Basis after giving effect thereto the Total Leverage Ratio is equal to or less than 2.00:1.00, and (B) no Restricted Payments shall be permitted under this clause (e) from and after the Amendment No. 3 Effective Date;</w:t>
      </w:r>
    </w:p>
    <w:p>
      <w:pPr>
        <w:spacing w:after="0" w:line="302" w:lineRule="exact"/>
        <w:rPr>
          <w:rFonts w:ascii="Arial" w:cs="Arial" w:eastAsia="Arial" w:hAnsi="Arial"/>
          <w:sz w:val="18"/>
          <w:szCs w:val="18"/>
          <w:color w:val="FF0000"/>
          <w:strike w:val="1"/>
        </w:rPr>
      </w:pPr>
    </w:p>
    <w:p>
      <w:pPr>
        <w:ind w:left="660" w:hanging="224"/>
        <w:spacing w:after="0"/>
        <w:tabs>
          <w:tab w:leader="none" w:pos="660"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left="700" w:hanging="264"/>
        <w:spacing w:after="0"/>
        <w:tabs>
          <w:tab w:leader="none" w:pos="700"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rFonts w:ascii="Arial" w:cs="Arial" w:eastAsia="Arial" w:hAnsi="Arial"/>
          <w:sz w:val="18"/>
          <w:szCs w:val="18"/>
          <w:color w:val="FF0000"/>
          <w:strike w:val="1"/>
        </w:rPr>
      </w:pPr>
    </w:p>
    <w:p>
      <w:pPr>
        <w:ind w:right="140" w:firstLine="436"/>
        <w:spacing w:after="0" w:line="277" w:lineRule="auto"/>
        <w:tabs>
          <w:tab w:leader="none" w:pos="695"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Restricted Subsidiaries may make a Restricted Payment in connection with the acquisition of additional Equity Interests in any Restricted Subsidiary from minority shareholders (in accordance with </w:t>
      </w:r>
      <w:r>
        <w:rPr>
          <w:rFonts w:ascii="Arial" w:cs="Arial" w:eastAsia="Arial" w:hAnsi="Arial"/>
          <w:sz w:val="18"/>
          <w:szCs w:val="18"/>
          <w:u w:val="single" w:color="auto"/>
          <w:color w:val="FF0000"/>
          <w:strike w:val="1"/>
        </w:rPr>
        <w:t>Section 7.08</w:t>
      </w:r>
      <w:r>
        <w:rPr>
          <w:rFonts w:ascii="Arial" w:cs="Arial" w:eastAsia="Arial" w:hAnsi="Arial"/>
          <w:sz w:val="18"/>
          <w:szCs w:val="18"/>
          <w:color w:val="FF0000"/>
          <w:strike w:val="1"/>
        </w:rPr>
        <w:t>, if applicable);</w:t>
      </w:r>
    </w:p>
    <w:p>
      <w:pPr>
        <w:spacing w:after="0" w:line="170" w:lineRule="exact"/>
        <w:rPr>
          <w:rFonts w:ascii="Arial" w:cs="Arial" w:eastAsia="Arial" w:hAnsi="Arial"/>
          <w:sz w:val="18"/>
          <w:szCs w:val="18"/>
          <w:color w:val="FF0000"/>
          <w:strike w:val="1"/>
        </w:rPr>
      </w:pPr>
    </w:p>
    <w:p>
      <w:pPr>
        <w:ind w:right="60" w:firstLine="436"/>
        <w:spacing w:after="0" w:line="259" w:lineRule="auto"/>
        <w:tabs>
          <w:tab w:leader="none" w:pos="655"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Restricted Payments made (i) in respect of working capital adjustments or purchase price adjustments pursuant to any Permitted Acquisition or other permitted Investments </w:t>
      </w:r>
      <w:r>
        <w:rPr>
          <w:rFonts w:ascii="Arial" w:cs="Arial" w:eastAsia="Arial" w:hAnsi="Arial"/>
          <w:sz w:val="18"/>
          <w:szCs w:val="18"/>
          <w:color w:val="008000"/>
          <w:strike w:val="1"/>
        </w:rPr>
        <w:t>(other than pursuant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Section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7.02(x))</w:t>
      </w:r>
      <w:r>
        <w:rPr>
          <w:rFonts w:ascii="Arial" w:cs="Arial" w:eastAsia="Arial" w:hAnsi="Arial"/>
          <w:sz w:val="18"/>
          <w:szCs w:val="18"/>
          <w:color w:val="FF0000"/>
          <w:strike w:val="1"/>
        </w:rPr>
        <w:t xml:space="preserve"> and (ii) to satisfy indemnity and other similar obligations under the Permitted Acquisitions or other permitted Investments;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no Restricted Payments shall be permitted under this clause from and after the Amendment No. 3 Effective Date;</w:t>
      </w:r>
    </w:p>
    <w:p>
      <w:pPr>
        <w:spacing w:after="0" w:line="294" w:lineRule="exact"/>
        <w:rPr>
          <w:rFonts w:ascii="Arial" w:cs="Arial" w:eastAsia="Arial" w:hAnsi="Arial"/>
          <w:sz w:val="18"/>
          <w:szCs w:val="18"/>
          <w:color w:val="FF0000"/>
          <w:strike w:val="1"/>
        </w:rPr>
      </w:pPr>
    </w:p>
    <w:p>
      <w:pPr>
        <w:ind w:left="660" w:hanging="224"/>
        <w:spacing w:after="0"/>
        <w:tabs>
          <w:tab w:leader="none" w:pos="660"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[reserved]; and</w:t>
      </w:r>
    </w:p>
    <w:p>
      <w:pPr>
        <w:spacing w:after="0" w:line="117" w:lineRule="exact"/>
        <w:rPr>
          <w:rFonts w:ascii="Arial" w:cs="Arial" w:eastAsia="Arial" w:hAnsi="Arial"/>
          <w:sz w:val="18"/>
          <w:szCs w:val="18"/>
          <w:color w:val="FF0000"/>
          <w:strike w:val="1"/>
        </w:rPr>
      </w:pPr>
    </w:p>
    <w:p>
      <w:pPr>
        <w:ind w:right="100" w:firstLine="436"/>
        <w:spacing w:after="0" w:line="277" w:lineRule="auto"/>
        <w:tabs>
          <w:tab w:leader="none" w:pos="695"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Restricted Payments in respect of transactions related to (i) fundamental changes permitted under </w:t>
      </w:r>
      <w:r>
        <w:rPr>
          <w:rFonts w:ascii="Arial" w:cs="Arial" w:eastAsia="Arial" w:hAnsi="Arial"/>
          <w:sz w:val="18"/>
          <w:szCs w:val="18"/>
          <w:u w:val="single" w:color="auto"/>
          <w:color w:val="FF0000"/>
          <w:strike w:val="1"/>
        </w:rPr>
        <w:t>Section 7.04</w:t>
      </w:r>
      <w:r>
        <w:rPr>
          <w:rFonts w:ascii="Arial" w:cs="Arial" w:eastAsia="Arial" w:hAnsi="Arial"/>
          <w:sz w:val="18"/>
          <w:szCs w:val="18"/>
          <w:color w:val="FF0000"/>
          <w:strike w:val="1"/>
        </w:rPr>
        <w:t xml:space="preserve"> and (ii) Investments permitted under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 xml:space="preserve"> (other than clause (v) thereof).</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7.07</w:t>
      </w:r>
      <w:r>
        <w:rPr>
          <w:rFonts w:ascii="Arial" w:cs="Arial" w:eastAsia="Arial" w:hAnsi="Arial"/>
          <w:sz w:val="18"/>
          <w:szCs w:val="18"/>
          <w:color w:val="0000FF"/>
        </w:rPr>
        <w:t xml:space="preserve"> </w:t>
      </w:r>
      <w:r>
        <w:rPr>
          <w:rFonts w:ascii="Arial" w:cs="Arial" w:eastAsia="Arial" w:hAnsi="Arial"/>
          <w:sz w:val="18"/>
          <w:szCs w:val="18"/>
          <w:color w:val="FF0000"/>
          <w:strike w:val="1"/>
        </w:rPr>
        <w:t>Section 7.07.</w:t>
      </w:r>
      <w:r>
        <w:rPr>
          <w:rFonts w:ascii="Arial" w:cs="Arial" w:eastAsia="Arial" w:hAnsi="Arial"/>
          <w:sz w:val="18"/>
          <w:szCs w:val="18"/>
          <w:color w:val="0000FF"/>
        </w:rPr>
        <w:t xml:space="preserve"> </w:t>
      </w:r>
      <w:r>
        <w:rPr>
          <w:rFonts w:ascii="Arial" w:cs="Arial" w:eastAsia="Arial" w:hAnsi="Arial"/>
          <w:sz w:val="18"/>
          <w:szCs w:val="18"/>
          <w:i w:val="1"/>
          <w:iCs w:val="1"/>
          <w:color w:val="FF0000"/>
          <w:strike w:val="1"/>
        </w:rPr>
        <w:t>Change in Nature of Business;</w:t>
      </w:r>
      <w:r>
        <w:rPr>
          <w:rFonts w:ascii="Arial" w:cs="Arial" w:eastAsia="Arial" w:hAnsi="Arial"/>
          <w:sz w:val="18"/>
          <w:szCs w:val="18"/>
          <w:color w:val="0000FF"/>
        </w:rPr>
        <w:t xml:space="preserve"> </w:t>
      </w:r>
      <w:r>
        <w:rPr>
          <w:rFonts w:ascii="Arial" w:cs="Arial" w:eastAsia="Arial" w:hAnsi="Arial"/>
          <w:sz w:val="18"/>
          <w:szCs w:val="18"/>
          <w:i w:val="1"/>
          <w:iCs w:val="1"/>
          <w:color w:val="000000"/>
        </w:rPr>
        <w:t>Organization Documents</w:t>
      </w:r>
      <w:r>
        <w:rPr>
          <w:rFonts w:ascii="Arial" w:cs="Arial" w:eastAsia="Arial" w:hAnsi="Arial"/>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0007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97" w:lineRule="exact"/>
        <w:rPr>
          <w:sz w:val="20"/>
          <w:szCs w:val="20"/>
          <w:color w:val="auto"/>
        </w:rPr>
      </w:pPr>
    </w:p>
    <w:p>
      <w:pPr>
        <w:jc w:val="both"/>
        <w:ind w:right="120" w:firstLine="436"/>
        <w:spacing w:after="0" w:line="311" w:lineRule="auto"/>
        <w:tabs>
          <w:tab w:leader="none" w:pos="685" w:val="left"/>
        </w:tabs>
        <w:numPr>
          <w:ilvl w:val="0"/>
          <w:numId w:val="229"/>
        </w:numPr>
        <w:rPr>
          <w:rFonts w:ascii="Arial" w:cs="Arial" w:eastAsia="Arial" w:hAnsi="Arial"/>
          <w:sz w:val="16"/>
          <w:szCs w:val="16"/>
          <w:color w:val="FF0000"/>
          <w:strike w:val="1"/>
        </w:rPr>
      </w:pPr>
      <w:r>
        <w:rPr>
          <w:rFonts w:ascii="Arial" w:cs="Arial" w:eastAsia="Arial" w:hAnsi="Arial"/>
          <w:sz w:val="16"/>
          <w:szCs w:val="16"/>
          <w:color w:val="FF0000"/>
          <w:strike w:val="1"/>
        </w:rPr>
        <w:t>The Borrower shall not, nor shall the Borrower permit any of the Restricted Subsidiaries to, directly or indirectly, engage in any material line of business substantially different from those lines of business conducted by the Borrower and the Restricted Subsidiaries on the Restatement Effective Date or any business reasonably related, complementary, synergistic or ancillary thereto or reasonable extensions thereof.</w:t>
      </w:r>
    </w:p>
    <w:p>
      <w:pPr>
        <w:spacing w:after="0" w:line="148" w:lineRule="exact"/>
        <w:rPr>
          <w:rFonts w:ascii="Arial" w:cs="Arial" w:eastAsia="Arial" w:hAnsi="Arial"/>
          <w:sz w:val="16"/>
          <w:szCs w:val="16"/>
          <w:color w:val="FF0000"/>
          <w:strike w:val="1"/>
        </w:rPr>
      </w:pPr>
    </w:p>
    <w:p>
      <w:pPr>
        <w:ind w:right="180" w:firstLine="436"/>
        <w:spacing w:after="0" w:line="286" w:lineRule="auto"/>
        <w:tabs>
          <w:tab w:leader="none" w:pos="695" w:val="left"/>
        </w:tabs>
        <w:numPr>
          <w:ilvl w:val="0"/>
          <w:numId w:val="229"/>
        </w:numPr>
        <w:rPr>
          <w:rFonts w:ascii="Arial" w:cs="Arial" w:eastAsia="Arial" w:hAnsi="Arial"/>
          <w:sz w:val="17"/>
          <w:szCs w:val="17"/>
          <w:color w:val="FF0000"/>
          <w:strike w:val="1"/>
        </w:rPr>
      </w:pPr>
      <w:r>
        <w:rPr>
          <w:rFonts w:ascii="Arial" w:cs="Arial" w:eastAsia="Arial" w:hAnsi="Arial"/>
          <w:sz w:val="17"/>
          <w:szCs w:val="17"/>
          <w:color w:val="FF0000"/>
          <w:strike w:val="1"/>
        </w:rPr>
        <w:t>The</w:t>
      </w:r>
      <w:r>
        <w:rPr>
          <w:rFonts w:ascii="Arial" w:cs="Arial" w:eastAsia="Arial" w:hAnsi="Arial"/>
          <w:sz w:val="17"/>
          <w:szCs w:val="17"/>
          <w:u w:val="single" w:color="auto"/>
          <w:color w:val="0000FF"/>
        </w:rPr>
        <w:t>. Except as required by the Bankruptcy Code, the</w:t>
      </w:r>
      <w:r>
        <w:rPr>
          <w:rFonts w:ascii="Arial" w:cs="Arial" w:eastAsia="Arial" w:hAnsi="Arial"/>
          <w:sz w:val="17"/>
          <w:szCs w:val="17"/>
          <w:color w:val="FF0000"/>
        </w:rPr>
        <w:t xml:space="preserve"> </w:t>
      </w:r>
      <w:r>
        <w:rPr>
          <w:rFonts w:ascii="Arial" w:cs="Arial" w:eastAsia="Arial" w:hAnsi="Arial"/>
          <w:sz w:val="17"/>
          <w:szCs w:val="17"/>
          <w:color w:val="000000"/>
        </w:rPr>
        <w:t>Borrower shall not, nor shall the Borrower permit any of the</w:t>
      </w:r>
      <w:r>
        <w:rPr>
          <w:rFonts w:ascii="Arial" w:cs="Arial" w:eastAsia="Arial" w:hAnsi="Arial"/>
          <w:sz w:val="17"/>
          <w:szCs w:val="17"/>
          <w:color w:val="FF0000"/>
        </w:rPr>
        <w:t xml:space="preserve"> </w:t>
      </w:r>
      <w:r>
        <w:rPr>
          <w:rFonts w:ascii="Arial" w:cs="Arial" w:eastAsia="Arial" w:hAnsi="Arial"/>
          <w:sz w:val="17"/>
          <w:szCs w:val="17"/>
          <w:color w:val="FF0000"/>
          <w:strike w:val="1"/>
        </w:rPr>
        <w:t>Restricted</w:t>
      </w:r>
      <w:r>
        <w:rPr>
          <w:rFonts w:ascii="Arial" w:cs="Arial" w:eastAsia="Arial" w:hAnsi="Arial"/>
          <w:sz w:val="17"/>
          <w:szCs w:val="17"/>
          <w:color w:val="FF0000"/>
        </w:rPr>
        <w:t xml:space="preserve"> </w:t>
      </w:r>
      <w:r>
        <w:rPr>
          <w:rFonts w:ascii="Arial" w:cs="Arial" w:eastAsia="Arial" w:hAnsi="Arial"/>
          <w:sz w:val="17"/>
          <w:szCs w:val="17"/>
          <w:color w:val="000000"/>
        </w:rPr>
        <w:t>Subsidiaries to,</w:t>
      </w:r>
      <w:r>
        <w:rPr>
          <w:rFonts w:ascii="Arial" w:cs="Arial" w:eastAsia="Arial" w:hAnsi="Arial"/>
          <w:sz w:val="17"/>
          <w:szCs w:val="17"/>
          <w:color w:val="FF0000"/>
        </w:rPr>
        <w:t xml:space="preserve"> </w:t>
      </w:r>
      <w:r>
        <w:rPr>
          <w:rFonts w:ascii="Arial" w:cs="Arial" w:eastAsia="Arial" w:hAnsi="Arial"/>
          <w:sz w:val="17"/>
          <w:szCs w:val="17"/>
          <w:color w:val="000000"/>
        </w:rPr>
        <w:t xml:space="preserve">amend, restate, supplement or otherwise modify </w:t>
      </w:r>
      <w:r>
        <w:rPr>
          <w:rFonts w:ascii="Arial" w:cs="Arial" w:eastAsia="Arial" w:hAnsi="Arial"/>
          <w:sz w:val="17"/>
          <w:szCs w:val="17"/>
          <w:color w:val="FF0000"/>
        </w:rPr>
        <w:t>to</w:t>
      </w:r>
      <w:r>
        <w:rPr>
          <w:rFonts w:ascii="Arial" w:cs="Arial" w:eastAsia="Arial" w:hAnsi="Arial"/>
          <w:sz w:val="17"/>
          <w:szCs w:val="17"/>
          <w:color w:val="000000"/>
        </w:rPr>
        <w:t xml:space="preserve">, or waive </w:t>
      </w:r>
      <w:r>
        <w:rPr>
          <w:rFonts w:ascii="Arial" w:cs="Arial" w:eastAsia="Arial" w:hAnsi="Arial"/>
          <w:sz w:val="17"/>
          <w:szCs w:val="17"/>
          <w:color w:val="FF0000"/>
          <w:strike w:val="1"/>
        </w:rPr>
        <w:t>of</w:t>
      </w:r>
      <w:r>
        <w:rPr>
          <w:rFonts w:ascii="Arial" w:cs="Arial" w:eastAsia="Arial" w:hAnsi="Arial"/>
          <w:sz w:val="17"/>
          <w:szCs w:val="17"/>
          <w:color w:val="000000"/>
        </w:rPr>
        <w:t xml:space="preserve"> any of its rights under, its Organization Documents to the extent </w:t>
      </w:r>
      <w:r>
        <w:rPr>
          <w:rFonts w:ascii="Arial" w:cs="Arial" w:eastAsia="Arial" w:hAnsi="Arial"/>
          <w:sz w:val="17"/>
          <w:szCs w:val="17"/>
          <w:color w:val="FF0000"/>
          <w:strike w:val="1"/>
        </w:rPr>
        <w:t>any of the foregoing</w:t>
      </w:r>
      <w:r>
        <w:rPr>
          <w:rFonts w:ascii="Arial" w:cs="Arial" w:eastAsia="Arial" w:hAnsi="Arial"/>
          <w:sz w:val="17"/>
          <w:szCs w:val="17"/>
          <w:color w:val="000000"/>
        </w:rPr>
        <w:t xml:space="preserve"> </w:t>
      </w:r>
      <w:r>
        <w:rPr>
          <w:rFonts w:ascii="Arial" w:cs="Arial" w:eastAsia="Arial" w:hAnsi="Arial"/>
          <w:sz w:val="17"/>
          <w:szCs w:val="17"/>
          <w:color w:val="FF0000"/>
          <w:strike w:val="1"/>
        </w:rPr>
        <w:t>could reasonably be expected to be</w:t>
      </w:r>
      <w:r>
        <w:rPr>
          <w:rFonts w:ascii="Arial" w:cs="Arial" w:eastAsia="Arial" w:hAnsi="Arial"/>
          <w:sz w:val="17"/>
          <w:szCs w:val="17"/>
          <w:u w:val="single" w:color="auto"/>
          <w:color w:val="0000FF"/>
        </w:rPr>
        <w:t>adverse in any</w:t>
      </w:r>
      <w:r>
        <w:rPr>
          <w:rFonts w:ascii="Arial" w:cs="Arial" w:eastAsia="Arial" w:hAnsi="Arial"/>
          <w:sz w:val="17"/>
          <w:szCs w:val="17"/>
          <w:color w:val="FF0000"/>
        </w:rPr>
        <w:t xml:space="preserve"> </w:t>
      </w:r>
      <w:r>
        <w:rPr>
          <w:rFonts w:ascii="Arial" w:cs="Arial" w:eastAsia="Arial" w:hAnsi="Arial"/>
          <w:sz w:val="17"/>
          <w:szCs w:val="17"/>
          <w:color w:val="000000"/>
        </w:rPr>
        <w:t>material</w:t>
      </w:r>
      <w:r>
        <w:rPr>
          <w:rFonts w:ascii="Arial" w:cs="Arial" w:eastAsia="Arial" w:hAnsi="Arial"/>
          <w:sz w:val="17"/>
          <w:szCs w:val="17"/>
          <w:color w:val="FF0000"/>
        </w:rPr>
        <w:t xml:space="preserve"> </w:t>
      </w:r>
      <w:r>
        <w:rPr>
          <w:rFonts w:ascii="Arial" w:cs="Arial" w:eastAsia="Arial" w:hAnsi="Arial"/>
          <w:sz w:val="17"/>
          <w:szCs w:val="17"/>
          <w:color w:val="FF0000"/>
          <w:strike w:val="1"/>
        </w:rPr>
        <w:t>and adverse</w:t>
      </w:r>
      <w:r>
        <w:rPr>
          <w:rFonts w:ascii="Arial" w:cs="Arial" w:eastAsia="Arial" w:hAnsi="Arial"/>
          <w:sz w:val="17"/>
          <w:szCs w:val="17"/>
          <w:u w:val="single" w:color="auto"/>
          <w:color w:val="0000FF"/>
        </w:rPr>
        <w:t>respect</w:t>
      </w:r>
      <w:r>
        <w:rPr>
          <w:rFonts w:ascii="Arial" w:cs="Arial" w:eastAsia="Arial" w:hAnsi="Arial"/>
          <w:sz w:val="17"/>
          <w:szCs w:val="17"/>
          <w:color w:val="FF0000"/>
        </w:rPr>
        <w:t xml:space="preserve"> </w:t>
      </w:r>
      <w:r>
        <w:rPr>
          <w:rFonts w:ascii="Arial" w:cs="Arial" w:eastAsia="Arial" w:hAnsi="Arial"/>
          <w:sz w:val="17"/>
          <w:szCs w:val="17"/>
          <w:color w:val="000000"/>
        </w:rPr>
        <w:t>to the Lenders (in their capacities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-288290</wp:posOffset>
            </wp:positionV>
            <wp:extent cx="224599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-236855</wp:posOffset>
            </wp:positionV>
            <wp:extent cx="117475"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17475"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-13970</wp:posOffset>
            </wp:positionV>
            <wp:extent cx="66040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-13970</wp:posOffset>
            </wp:positionV>
            <wp:extent cx="3257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0"/>
          </w:cols>
          <w:pgMar w:left="440" w:top="274" w:right="459" w:bottom="1440" w:gutter="0" w:footer="0" w:header="0"/>
        </w:sectPr>
      </w:pPr>
    </w:p>
    <w:bookmarkStart w:id="278" w:name="page279"/>
    <w:bookmarkEnd w:id="278"/>
    <w:p>
      <w:pPr>
        <w:ind w:right="40" w:firstLine="440"/>
        <w:spacing w:after="0" w:line="284"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7.08</w:t>
      </w:r>
      <w:r>
        <w:rPr>
          <w:rFonts w:ascii="Arial" w:cs="Arial" w:eastAsia="Arial" w:hAnsi="Arial"/>
          <w:sz w:val="16"/>
          <w:szCs w:val="16"/>
          <w:color w:val="0000FF"/>
        </w:rPr>
        <w:t xml:space="preserve"> </w:t>
      </w:r>
      <w:r>
        <w:rPr>
          <w:rFonts w:ascii="Arial" w:cs="Arial" w:eastAsia="Arial" w:hAnsi="Arial"/>
          <w:sz w:val="16"/>
          <w:szCs w:val="16"/>
          <w:color w:val="FF0000"/>
          <w:strike w:val="1"/>
        </w:rPr>
        <w:t>Section 7.08.</w:t>
      </w:r>
      <w:r>
        <w:rPr>
          <w:rFonts w:ascii="Arial" w:cs="Arial" w:eastAsia="Arial" w:hAnsi="Arial"/>
          <w:sz w:val="16"/>
          <w:szCs w:val="16"/>
          <w:color w:val="0000FF"/>
        </w:rPr>
        <w:t xml:space="preserve"> </w:t>
      </w:r>
      <w:r>
        <w:rPr>
          <w:rFonts w:ascii="Arial" w:cs="Arial" w:eastAsia="Arial" w:hAnsi="Arial"/>
          <w:sz w:val="16"/>
          <w:szCs w:val="16"/>
          <w:i w:val="1"/>
          <w:iCs w:val="1"/>
          <w:color w:val="000000"/>
        </w:rPr>
        <w:t>Transactions with Affiliates</w:t>
      </w:r>
      <w:r>
        <w:rPr>
          <w:rFonts w:ascii="Arial" w:cs="Arial" w:eastAsia="Arial" w:hAnsi="Arial"/>
          <w:sz w:val="16"/>
          <w:szCs w:val="16"/>
          <w:color w:val="000000"/>
        </w:rPr>
        <w:t>. The Borrower shall not, nor shall it permit any</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rPr>
        <w:t xml:space="preserve"> </w:t>
      </w:r>
      <w:r>
        <w:rPr>
          <w:rFonts w:ascii="Arial" w:cs="Arial" w:eastAsia="Arial" w:hAnsi="Arial"/>
          <w:sz w:val="16"/>
          <w:szCs w:val="16"/>
          <w:color w:val="000000"/>
        </w:rPr>
        <w:t>Subsidiary to, directly or</w:t>
      </w:r>
      <w:r>
        <w:rPr>
          <w:rFonts w:ascii="Arial" w:cs="Arial" w:eastAsia="Arial" w:hAnsi="Arial"/>
          <w:sz w:val="16"/>
          <w:szCs w:val="16"/>
          <w:color w:val="0000FF"/>
        </w:rPr>
        <w:t xml:space="preserve"> </w:t>
      </w:r>
      <w:r>
        <w:rPr>
          <w:rFonts w:ascii="Arial" w:cs="Arial" w:eastAsia="Arial" w:hAnsi="Arial"/>
          <w:sz w:val="16"/>
          <w:szCs w:val="16"/>
          <w:color w:val="000000"/>
        </w:rPr>
        <w:t xml:space="preserve">indirectly, enter into any transaction of any kind with any of its Affiliates, whether or not in the ordinary course of business, other than (a) transactions between or among Loan Parties or any entity that becomes a Loan Party as a result of such transaction and transactions between or among </w:t>
      </w:r>
      <w:r>
        <w:rPr>
          <w:rFonts w:ascii="Arial" w:cs="Arial" w:eastAsia="Arial" w:hAnsi="Arial"/>
          <w:sz w:val="16"/>
          <w:szCs w:val="16"/>
          <w:color w:val="FF0000"/>
          <w:strike w:val="1"/>
        </w:rPr>
        <w:t>Restricted</w:t>
      </w:r>
      <w:r>
        <w:rPr>
          <w:rFonts w:ascii="Arial" w:cs="Arial" w:eastAsia="Arial" w:hAnsi="Arial"/>
          <w:sz w:val="16"/>
          <w:szCs w:val="16"/>
          <w:color w:val="000000"/>
        </w:rPr>
        <w:t xml:space="preserve"> Subsidiaries that are not Loan Parties, (b) </w:t>
      </w:r>
      <w:r>
        <w:rPr>
          <w:rFonts w:ascii="Arial" w:cs="Arial" w:eastAsia="Arial" w:hAnsi="Arial"/>
          <w:sz w:val="16"/>
          <w:szCs w:val="16"/>
          <w:color w:val="FF0000"/>
        </w:rPr>
        <w:t>on terms (taken as a whole) substantially not less favorable to the Borrower in any material respect or such</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Restricted Subsidiary as would be obtainable by the Borrower or such Restricted Subsidiary at the time in a comparable arm’s-length transaction with a Person other than an Affiliate, (c) the Transactions and the payment of fees and expenses (including Transaction Expenses) as part </w:t>
      </w:r>
      <w:r>
        <w:rPr>
          <w:rFonts w:ascii="Arial" w:cs="Arial" w:eastAsia="Arial" w:hAnsi="Arial"/>
          <w:sz w:val="16"/>
          <w:szCs w:val="16"/>
          <w:color w:val="008000"/>
          <w:strike w:val="1"/>
        </w:rPr>
        <w:t>of or in connection</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with </w:t>
      </w:r>
      <w:r>
        <w:rPr>
          <w:rFonts w:ascii="Arial" w:cs="Arial" w:eastAsia="Arial" w:hAnsi="Arial"/>
          <w:sz w:val="16"/>
          <w:szCs w:val="16"/>
          <w:color w:val="FF0000"/>
          <w:strike w:val="1"/>
        </w:rPr>
        <w:t>the Transactions, (d) the issuance of Equity Interests or equity based awards to any officer, director, employee or consultant of the Borrower or any</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of its Restricted Subsidiaries in the ordinary course of business, (e</w:t>
      </w:r>
      <w:r>
        <w:rPr>
          <w:rFonts w:ascii="Arial" w:cs="Arial" w:eastAsia="Arial" w:hAnsi="Arial"/>
          <w:sz w:val="16"/>
          <w:szCs w:val="16"/>
          <w:u w:val="single" w:color="auto"/>
          <w:color w:val="0000FF"/>
          <w:strike w:val="1"/>
        </w:rPr>
        <w:t>to the extent pursuant to the Approved Budget (subject to Permitted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-950595</wp:posOffset>
            </wp:positionV>
            <wp:extent cx="60007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-624840</wp:posOffset>
            </wp:positionV>
            <wp:extent cx="490855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4908550" cy="8890"/>
                    </a:xfrm>
                    <a:prstGeom prst="rect">
                      <a:avLst/>
                    </a:prstGeom>
                    <a:noFill/>
                  </pic:spPr>
                </pic:pic>
              </a:graphicData>
            </a:graphic>
          </wp:anchor>
        </w:drawing>
      </w:r>
    </w:p>
    <w:p>
      <w:pPr>
        <w:spacing w:after="0" w:line="267" w:lineRule="auto"/>
        <w:rPr>
          <w:sz w:val="20"/>
          <w:szCs w:val="20"/>
          <w:color w:val="auto"/>
        </w:rPr>
      </w:pPr>
      <w:r>
        <w:rPr>
          <w:rFonts w:ascii="Arial" w:cs="Arial" w:eastAsia="Arial" w:hAnsi="Arial"/>
          <w:sz w:val="17"/>
          <w:szCs w:val="17"/>
          <w:u w:val="single" w:color="auto"/>
          <w:color w:val="0000FF"/>
        </w:rPr>
        <w:t>(i</w:t>
      </w:r>
      <w:r>
        <w:rPr>
          <w:rFonts w:ascii="Arial" w:cs="Arial" w:eastAsia="Arial" w:hAnsi="Arial"/>
          <w:sz w:val="17"/>
          <w:szCs w:val="17"/>
          <w:color w:val="000000"/>
        </w:rPr>
        <w:t>) Investments made pursuant to Section 7.02</w:t>
      </w:r>
      <w:r>
        <w:rPr>
          <w:rFonts w:ascii="Arial" w:cs="Arial" w:eastAsia="Arial" w:hAnsi="Arial"/>
          <w:sz w:val="17"/>
          <w:szCs w:val="17"/>
          <w:color w:val="FF0000"/>
          <w:strike w:val="1"/>
        </w:rPr>
        <w:t>, Indebtedness incurred pursuant to</w:t>
      </w:r>
      <w:r>
        <w:rPr>
          <w:rFonts w:ascii="Arial" w:cs="Arial" w:eastAsia="Arial" w:hAnsi="Arial"/>
          <w:sz w:val="17"/>
          <w:szCs w:val="17"/>
          <w:color w:val="0000FF"/>
        </w:rPr>
        <w:t xml:space="preserve"> </w:t>
      </w:r>
      <w:r>
        <w:rPr>
          <w:rFonts w:ascii="Arial" w:cs="Arial" w:eastAsia="Arial" w:hAnsi="Arial"/>
          <w:sz w:val="17"/>
          <w:szCs w:val="17"/>
          <w:u w:val="single" w:color="auto"/>
          <w:color w:val="FF0000"/>
          <w:strike w:val="1"/>
        </w:rPr>
        <w:t>Section 7.03</w:t>
      </w:r>
      <w:r>
        <w:rPr>
          <w:rFonts w:ascii="Arial" w:cs="Arial" w:eastAsia="Arial" w:hAnsi="Arial"/>
          <w:sz w:val="17"/>
          <w:szCs w:val="17"/>
          <w:color w:val="0000FF"/>
        </w:rPr>
        <w:t xml:space="preserve"> </w:t>
      </w:r>
      <w:r>
        <w:rPr>
          <w:rFonts w:ascii="Arial" w:cs="Arial" w:eastAsia="Arial" w:hAnsi="Arial"/>
          <w:sz w:val="17"/>
          <w:szCs w:val="17"/>
          <w:color w:val="000000"/>
        </w:rPr>
        <w:t>and Restricted Payments permitted under Section 7.06,</w:t>
      </w:r>
      <w:r>
        <w:rPr>
          <w:rFonts w:ascii="Arial" w:cs="Arial" w:eastAsia="Arial" w:hAnsi="Arial"/>
          <w:sz w:val="17"/>
          <w:szCs w:val="17"/>
          <w:color w:val="0000FF"/>
        </w:rPr>
        <w:t xml:space="preserve"> </w:t>
      </w:r>
      <w:r>
        <w:rPr>
          <w:rFonts w:ascii="Arial" w:cs="Arial" w:eastAsia="Arial" w:hAnsi="Arial"/>
          <w:sz w:val="17"/>
          <w:szCs w:val="17"/>
          <w:color w:val="000000"/>
        </w:rPr>
        <w:t>(</w:t>
      </w:r>
      <w:r>
        <w:rPr>
          <w:rFonts w:ascii="Arial" w:cs="Arial" w:eastAsia="Arial" w:hAnsi="Arial"/>
          <w:sz w:val="17"/>
          <w:szCs w:val="17"/>
          <w:color w:val="FF0000"/>
          <w:strike w:val="1"/>
        </w:rPr>
        <w:t>f</w:t>
      </w:r>
      <w:r>
        <w:rPr>
          <w:rFonts w:ascii="Arial" w:cs="Arial" w:eastAsia="Arial" w:hAnsi="Arial"/>
          <w:sz w:val="17"/>
          <w:szCs w:val="17"/>
          <w:u w:val="single" w:color="auto"/>
          <w:color w:val="0000FF"/>
        </w:rPr>
        <w:t>ii</w:t>
      </w:r>
      <w:r>
        <w:rPr>
          <w:rFonts w:ascii="Arial" w:cs="Arial" w:eastAsia="Arial" w:hAnsi="Arial"/>
          <w:sz w:val="17"/>
          <w:szCs w:val="17"/>
          <w:color w:val="000000"/>
        </w:rPr>
        <w:t xml:space="preserve">) customary employment, consulting and severance arrangements between the Borrower and the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and their respective officers and employees in the ordinary course of business and transactions pursuant </w:t>
      </w:r>
      <w:r>
        <w:rPr>
          <w:rFonts w:ascii="Arial" w:cs="Arial" w:eastAsia="Arial" w:hAnsi="Arial"/>
          <w:sz w:val="17"/>
          <w:szCs w:val="17"/>
          <w:color w:val="FF0000"/>
          <w:strike w:val="1"/>
        </w:rPr>
        <w:t>to stock option plans and</w:t>
      </w:r>
      <w:r>
        <w:rPr>
          <w:rFonts w:ascii="Arial" w:cs="Arial" w:eastAsia="Arial" w:hAnsi="Arial"/>
          <w:sz w:val="17"/>
          <w:szCs w:val="17"/>
          <w:color w:val="000000"/>
        </w:rPr>
        <w:t xml:space="preserve"> employee benefit plans and similar arrangements in the ordinary course of business </w:t>
      </w:r>
      <w:r>
        <w:rPr>
          <w:rFonts w:ascii="Arial" w:cs="Arial" w:eastAsia="Arial" w:hAnsi="Arial"/>
          <w:sz w:val="17"/>
          <w:szCs w:val="17"/>
          <w:color w:val="0000FF"/>
        </w:rPr>
        <w:t>to the extent permitted under the DIP Order</w:t>
      </w:r>
      <w:r>
        <w:rPr>
          <w:rFonts w:ascii="Arial" w:cs="Arial" w:eastAsia="Arial" w:hAnsi="Arial"/>
          <w:sz w:val="17"/>
          <w:szCs w:val="17"/>
          <w:color w:val="000000"/>
        </w:rPr>
        <w:t>, (</w:t>
      </w:r>
      <w:r>
        <w:rPr>
          <w:rFonts w:ascii="Arial" w:cs="Arial" w:eastAsia="Arial" w:hAnsi="Arial"/>
          <w:sz w:val="17"/>
          <w:szCs w:val="17"/>
          <w:color w:val="FF0000"/>
          <w:strike w:val="1"/>
        </w:rPr>
        <w:t>h</w:t>
      </w:r>
      <w:r>
        <w:rPr>
          <w:rFonts w:ascii="Arial" w:cs="Arial" w:eastAsia="Arial" w:hAnsi="Arial"/>
          <w:sz w:val="17"/>
          <w:szCs w:val="17"/>
          <w:u w:val="single" w:color="auto"/>
          <w:color w:val="0000FF"/>
        </w:rPr>
        <w:t>iii</w:t>
      </w:r>
      <w:r>
        <w:rPr>
          <w:rFonts w:ascii="Arial" w:cs="Arial" w:eastAsia="Arial" w:hAnsi="Arial"/>
          <w:sz w:val="17"/>
          <w:szCs w:val="17"/>
          <w:color w:val="000000"/>
        </w:rPr>
        <w:t xml:space="preserve"> ) the payment of customary fees and reasonable out of pocket costs to, and customary indemnities provided on behalf of, directors, officers, employees and consultants of the Borrower and the </w:t>
      </w:r>
      <w:r>
        <w:rPr>
          <w:rFonts w:ascii="Arial" w:cs="Arial" w:eastAsia="Arial" w:hAnsi="Arial"/>
          <w:sz w:val="17"/>
          <w:szCs w:val="17"/>
          <w:color w:val="FF0000"/>
          <w:strike w:val="1"/>
        </w:rPr>
        <w:t>Restricted</w:t>
      </w:r>
      <w:r>
        <w:rPr>
          <w:rFonts w:ascii="Arial" w:cs="Arial" w:eastAsia="Arial" w:hAnsi="Arial"/>
          <w:sz w:val="17"/>
          <w:szCs w:val="17"/>
          <w:color w:val="000000"/>
        </w:rPr>
        <w:t xml:space="preserve"> Subsidiaries in the ordinary course of business, (</w:t>
      </w:r>
      <w:r>
        <w:rPr>
          <w:rFonts w:ascii="Arial" w:cs="Arial" w:eastAsia="Arial" w:hAnsi="Arial"/>
          <w:sz w:val="17"/>
          <w:szCs w:val="17"/>
          <w:color w:val="FF0000"/>
          <w:strike w:val="1"/>
        </w:rPr>
        <w:t>i) [reserved], (j) transactions pursuant to registration rights agreements and similar arrangements, (k) transactions in</w:t>
      </w:r>
      <w:r>
        <w:rPr>
          <w:rFonts w:ascii="Arial" w:cs="Arial" w:eastAsia="Arial" w:hAnsi="Arial"/>
          <w:sz w:val="17"/>
          <w:szCs w:val="17"/>
          <w:color w:val="000000"/>
        </w:rPr>
        <w:t xml:space="preserve"> </w:t>
      </w:r>
      <w:r>
        <w:rPr>
          <w:rFonts w:ascii="Arial" w:cs="Arial" w:eastAsia="Arial" w:hAnsi="Arial"/>
          <w:sz w:val="17"/>
          <w:szCs w:val="17"/>
          <w:color w:val="FF0000"/>
          <w:strike w:val="1"/>
        </w:rPr>
        <w:t xml:space="preserve">which the Borrower or any Restricted Subsidiary, as the case may be, delivers to the Administrative Agent and the Required Lenders a letter from an independent financial advisor stating that such transaction is fair to the Borrower or such Restricted Subsidiary from a financial point of view or meets the requirements of clause (b) of this </w:t>
      </w:r>
      <w:r>
        <w:rPr>
          <w:rFonts w:ascii="Arial" w:cs="Arial" w:eastAsia="Arial" w:hAnsi="Arial"/>
          <w:sz w:val="17"/>
          <w:szCs w:val="17"/>
          <w:u w:val="single" w:color="auto"/>
          <w:color w:val="FF0000"/>
          <w:strike w:val="1"/>
        </w:rPr>
        <w:t>Section 7.08</w:t>
      </w:r>
      <w:r>
        <w:rPr>
          <w:rFonts w:ascii="Arial" w:cs="Arial" w:eastAsia="Arial" w:hAnsi="Arial"/>
          <w:sz w:val="17"/>
          <w:szCs w:val="17"/>
          <w:color w:val="FF0000"/>
          <w:strike w:val="1"/>
        </w:rPr>
        <w:t xml:space="preserve"> and (l</w:t>
      </w:r>
      <w:r>
        <w:rPr>
          <w:rFonts w:ascii="Arial" w:cs="Arial" w:eastAsia="Arial" w:hAnsi="Arial"/>
          <w:sz w:val="17"/>
          <w:szCs w:val="17"/>
          <w:u w:val="single" w:color="auto"/>
          <w:color w:val="0000FF"/>
          <w:strike w:val="1"/>
        </w:rPr>
        <w:t>iv</w:t>
      </w:r>
      <w:r>
        <w:rPr>
          <w:rFonts w:ascii="Arial" w:cs="Arial" w:eastAsia="Arial" w:hAnsi="Arial"/>
          <w:sz w:val="17"/>
          <w:szCs w:val="17"/>
          <w:color w:val="000000"/>
          <w:strike w:val="1"/>
        </w:rPr>
        <w:t>) transactions pursuant to agreements in existence on the</w:t>
      </w:r>
      <w:r>
        <w:rPr>
          <w:rFonts w:ascii="Arial" w:cs="Arial" w:eastAsia="Arial" w:hAnsi="Arial"/>
          <w:sz w:val="17"/>
          <w:szCs w:val="17"/>
          <w:color w:val="FF0000"/>
          <w:strike w:val="1"/>
        </w:rPr>
        <w:t xml:space="preserve"> Restatement Effective</w:t>
      </w:r>
      <w:r>
        <w:rPr>
          <w:rFonts w:ascii="Arial" w:cs="Arial" w:eastAsia="Arial" w:hAnsi="Arial"/>
          <w:sz w:val="17"/>
          <w:szCs w:val="17"/>
          <w:u w:val="single" w:color="auto"/>
          <w:color w:val="0000FF"/>
          <w:strike w:val="1"/>
        </w:rPr>
        <w:t>Postpetition B-2 Facility Closing</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Date and set forth on Schedule 7.08</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or any amendment thereto to the extent such an amendment (taken as a whole) is not adverse to</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the Lenders in any material respect.</w:t>
      </w:r>
      <w:r>
        <w:rPr>
          <w:rFonts w:ascii="Arial" w:cs="Arial" w:eastAsia="Arial" w:hAnsi="Arial"/>
          <w:sz w:val="17"/>
          <w:szCs w:val="17"/>
          <w:u w:val="single" w:color="auto"/>
          <w:color w:val="0000FF"/>
          <w:strike w:val="1"/>
        </w:rPr>
        <w:t>, (v) transactions made in connection with the First Day Orders or Second Day Orders, (vi) pursuant to the Approved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Budget (subject to Permitted Variances), and (vii) transactions made pursuant to the DIP Order or otherwise permitted hereunder and under the Junior DIP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-1786255</wp:posOffset>
            </wp:positionV>
            <wp:extent cx="363474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-1649095</wp:posOffset>
            </wp:positionV>
            <wp:extent cx="6858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-1511935</wp:posOffset>
            </wp:positionV>
            <wp:extent cx="6032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-1271905</wp:posOffset>
            </wp:positionV>
            <wp:extent cx="2267585" cy="4318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2267585" cy="4318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-551815</wp:posOffset>
            </wp:positionV>
            <wp:extent cx="9461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-551815</wp:posOffset>
            </wp:positionV>
            <wp:extent cx="68580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82296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-500380</wp:posOffset>
            </wp:positionV>
            <wp:extent cx="439102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4391025"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-277495</wp:posOffset>
            </wp:positionV>
            <wp:extent cx="534924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-140335</wp:posOffset>
            </wp:positionV>
            <wp:extent cx="684911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1028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7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u w:val="single" w:color="auto"/>
          <w:color w:val="0000FF"/>
        </w:rPr>
        <w:t>Section 7.09</w:t>
      </w:r>
      <w:r>
        <w:rPr>
          <w:rFonts w:ascii="Arial" w:cs="Arial" w:eastAsia="Arial" w:hAnsi="Arial"/>
          <w:sz w:val="16"/>
          <w:szCs w:val="16"/>
          <w:color w:val="0000FF"/>
        </w:rPr>
        <w:t xml:space="preserve"> </w:t>
      </w:r>
      <w:r>
        <w:rPr>
          <w:rFonts w:ascii="Arial" w:cs="Arial" w:eastAsia="Arial" w:hAnsi="Arial"/>
          <w:sz w:val="16"/>
          <w:szCs w:val="16"/>
          <w:color w:val="FF0000"/>
          <w:strike w:val="1"/>
        </w:rPr>
        <w:t>Section 7.09.</w:t>
      </w:r>
      <w:r>
        <w:rPr>
          <w:rFonts w:ascii="Arial" w:cs="Arial" w:eastAsia="Arial" w:hAnsi="Arial"/>
          <w:sz w:val="16"/>
          <w:szCs w:val="16"/>
          <w:color w:val="0000FF"/>
        </w:rPr>
        <w:t xml:space="preserve"> </w:t>
      </w:r>
      <w:r>
        <w:rPr>
          <w:rFonts w:ascii="Arial" w:cs="Arial" w:eastAsia="Arial" w:hAnsi="Arial"/>
          <w:sz w:val="16"/>
          <w:szCs w:val="16"/>
          <w:i w:val="1"/>
          <w:iCs w:val="1"/>
          <w:color w:val="000000"/>
        </w:rPr>
        <w:t>Burdensome Agreements</w:t>
      </w:r>
      <w:r>
        <w:rPr>
          <w:rFonts w:ascii="Arial" w:cs="Arial" w:eastAsia="Arial" w:hAnsi="Arial"/>
          <w:sz w:val="16"/>
          <w:szCs w:val="16"/>
          <w:color w:val="000000"/>
        </w:rPr>
        <w:t>. The Borrower shall not, nor shall it permit any</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rPr>
        <w:t xml:space="preserve"> </w:t>
      </w:r>
      <w:r>
        <w:rPr>
          <w:rFonts w:ascii="Arial" w:cs="Arial" w:eastAsia="Arial" w:hAnsi="Arial"/>
          <w:sz w:val="16"/>
          <w:szCs w:val="16"/>
          <w:color w:val="000000"/>
        </w:rPr>
        <w:t>Subsidiary to, directly or indirectly,</w:t>
      </w:r>
      <w:r>
        <w:rPr>
          <w:rFonts w:ascii="Arial" w:cs="Arial" w:eastAsia="Arial" w:hAnsi="Arial"/>
          <w:sz w:val="16"/>
          <w:szCs w:val="16"/>
          <w:color w:val="0000FF"/>
        </w:rPr>
        <w:t xml:space="preserve"> </w:t>
      </w:r>
      <w:r>
        <w:rPr>
          <w:rFonts w:ascii="Arial" w:cs="Arial" w:eastAsia="Arial" w:hAnsi="Arial"/>
          <w:sz w:val="16"/>
          <w:szCs w:val="16"/>
          <w:color w:val="000000"/>
        </w:rPr>
        <w:t xml:space="preserve">enter into or permit to exist any Contractual Obligation </w:t>
      </w:r>
      <w:r>
        <w:rPr>
          <w:rFonts w:ascii="Arial" w:cs="Arial" w:eastAsia="Arial" w:hAnsi="Arial"/>
          <w:sz w:val="16"/>
          <w:szCs w:val="16"/>
          <w:color w:val="FF0000"/>
          <w:strike w:val="1"/>
        </w:rPr>
        <w:t>(other than (i) this Agreement or any other Loan Document, (ii) any ABL Facility</w:t>
      </w:r>
      <w:r>
        <w:rPr>
          <w:rFonts w:ascii="Arial" w:cs="Arial" w:eastAsia="Arial" w:hAnsi="Arial"/>
          <w:sz w:val="16"/>
          <w:szCs w:val="16"/>
          <w:color w:val="000000"/>
        </w:rPr>
        <w:t xml:space="preserve"> </w:t>
      </w:r>
      <w:r>
        <w:rPr>
          <w:rFonts w:ascii="Arial" w:cs="Arial" w:eastAsia="Arial" w:hAnsi="Arial"/>
          <w:sz w:val="16"/>
          <w:szCs w:val="16"/>
          <w:color w:val="FF0000"/>
          <w:strike w:val="1"/>
        </w:rPr>
        <w:t>Documentation, (iii) any UST Tranche A Facility Documentation, (iv) any UST Tranche B Facility Documentation, (v) any documents governing Credit Agreement Refinancing Indebtedness or a Permitted Refinancing of (ii)-(v) or (vi) any Treasury Equity Documents or documents governing Treasury Equity</w:t>
      </w:r>
      <w:r>
        <w:rPr>
          <w:rFonts w:ascii="Arial" w:cs="Arial" w:eastAsia="Arial" w:hAnsi="Arial"/>
          <w:sz w:val="16"/>
          <w:szCs w:val="16"/>
          <w:u w:val="single" w:color="auto"/>
          <w:color w:val="0000FF"/>
          <w:strike w:val="1"/>
        </w:rPr>
        <w:t>after the Postpetition B-2 Facility Closing Date (other than the Loan Documents, the Junior DIP Loan Documents, pursuant to the Prepetition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Indebtedness, or agreements entered into as permitted by the First Day Orders or Second Day Orders, the DIP Order or the Bidding Procedures Order, in each case, to the extent such orders are acceptable to the Lenders</w:t>
      </w:r>
      <w:r>
        <w:rPr>
          <w:rFonts w:ascii="Arial" w:cs="Arial" w:eastAsia="Arial" w:hAnsi="Arial"/>
          <w:sz w:val="16"/>
          <w:szCs w:val="16"/>
          <w:color w:val="000000"/>
          <w:strike w:val="1"/>
        </w:rPr>
        <w:t>) that limits the ability of (a) any</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Subsidiary that is not a Guarantor to make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Restricted Payments to the Borrower or any Guarantor or to make or repay loans or advances to or otherwise transfer assets to or make Investments in the Borrower or any </w:t>
      </w:r>
      <w:r>
        <w:rPr>
          <w:rFonts w:ascii="Arial" w:cs="Arial" w:eastAsia="Arial" w:hAnsi="Arial"/>
          <w:sz w:val="16"/>
          <w:szCs w:val="16"/>
          <w:color w:val="FF0000"/>
          <w:strike w:val="1"/>
        </w:rPr>
        <w:t>Restricted</w:t>
      </w:r>
      <w:r>
        <w:rPr>
          <w:rFonts w:ascii="Arial" w:cs="Arial" w:eastAsia="Arial" w:hAnsi="Arial"/>
          <w:sz w:val="16"/>
          <w:szCs w:val="16"/>
          <w:color w:val="000000"/>
          <w:strike w:val="1"/>
        </w:rPr>
        <w:t xml:space="preserve"> Subsidiary that is a Guarantor or (b) any Loan Party to create, incur, assume or suffer to exist Liens on property of such Person to secure the Obligations; provided that the foregoing clauses (a) and (b) shall not apply to Contractual Obligations which </w:t>
      </w:r>
      <w:r>
        <w:rPr>
          <w:rFonts w:ascii="Arial" w:cs="Arial" w:eastAsia="Arial" w:hAnsi="Arial"/>
          <w:sz w:val="16"/>
          <w:szCs w:val="16"/>
          <w:color w:val="FF0000"/>
          <w:strike w:val="1"/>
        </w:rPr>
        <w:t>(i) (x)</w:t>
      </w:r>
      <w:r>
        <w:rPr>
          <w:rFonts w:ascii="Arial" w:cs="Arial" w:eastAsia="Arial" w:hAnsi="Arial"/>
          <w:sz w:val="16"/>
          <w:szCs w:val="16"/>
          <w:color w:val="000000"/>
          <w:strike w:val="1"/>
        </w:rPr>
        <w:t xml:space="preserve"> exist on the </w:t>
      </w:r>
      <w:r>
        <w:rPr>
          <w:rFonts w:ascii="Arial" w:cs="Arial" w:eastAsia="Arial" w:hAnsi="Arial"/>
          <w:sz w:val="16"/>
          <w:szCs w:val="16"/>
          <w:color w:val="FF0000"/>
          <w:strike w:val="1"/>
        </w:rPr>
        <w:t>Restatement Effective</w:t>
      </w:r>
      <w:r>
        <w:rPr>
          <w:rFonts w:ascii="Arial" w:cs="Arial" w:eastAsia="Arial" w:hAnsi="Arial"/>
          <w:sz w:val="16"/>
          <w:szCs w:val="16"/>
          <w:u w:val="single" w:color="auto"/>
          <w:color w:val="0000FF"/>
          <w:strike w:val="1"/>
        </w:rPr>
        <w:t>Petition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Date and</w:t>
      </w:r>
      <w:r>
        <w:rPr>
          <w:rFonts w:ascii="Arial" w:cs="Arial" w:eastAsia="Arial" w:hAnsi="Arial"/>
          <w:sz w:val="16"/>
          <w:szCs w:val="16"/>
          <w:color w:val="FF0000"/>
          <w:strike w:val="1"/>
        </w:rPr>
        <w:t xml:space="preserve"> (to the extent not otherwise permitted by this </w:t>
      </w:r>
      <w:r>
        <w:rPr>
          <w:rFonts w:ascii="Arial" w:cs="Arial" w:eastAsia="Arial" w:hAnsi="Arial"/>
          <w:sz w:val="16"/>
          <w:szCs w:val="16"/>
          <w:u w:val="single" w:color="auto"/>
          <w:color w:val="FF0000"/>
          <w:strike w:val="1"/>
        </w:rPr>
        <w:t>Section 7.09</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are listed on Schedule 7.09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-1381125</wp:posOffset>
            </wp:positionV>
            <wp:extent cx="565785"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-832485</wp:posOffset>
            </wp:positionV>
            <wp:extent cx="646366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-695325</wp:posOffset>
            </wp:positionV>
            <wp:extent cx="697801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-558165</wp:posOffset>
            </wp:positionV>
            <wp:extent cx="296608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-9525</wp:posOffset>
            </wp:positionV>
            <wp:extent cx="351155"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40" w:top="274" w:right="479" w:bottom="1440" w:gutter="0" w:footer="0" w:header="0"/>
        </w:sectPr>
      </w:pPr>
    </w:p>
    <w:bookmarkStart w:id="279" w:name="page280"/>
    <w:bookmarkEnd w:id="279"/>
    <w:p>
      <w:pPr>
        <w:spacing w:after="0" w:line="284"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in any material respect (as determined in good faith by the Borrower), (ii) are binding on a Restricted Subsidiary at the time such Restricted Subsidiary first becomes a Restricted Subsidiary, so long as such Contractual Obligations were not entered into in contemplation of such Person becoming a Restricted Subsidiary, (iii) represent Indebtedness of a Restricted Subsidiary which is not a Loan Party which is permitted by </w:t>
      </w:r>
      <w:r>
        <w:rPr>
          <w:rFonts w:ascii="Arial" w:cs="Arial" w:eastAsia="Arial" w:hAnsi="Arial"/>
          <w:sz w:val="16"/>
          <w:szCs w:val="16"/>
          <w:u w:val="single" w:color="auto"/>
          <w:color w:val="FF0000"/>
          <w:strike w:val="1"/>
        </w:rPr>
        <w:t>Section 7.03</w:t>
      </w:r>
      <w:r>
        <w:rPr>
          <w:rFonts w:ascii="Arial" w:cs="Arial" w:eastAsia="Arial" w:hAnsi="Arial"/>
          <w:sz w:val="16"/>
          <w:szCs w:val="16"/>
          <w:color w:val="FF0000"/>
          <w:strike w:val="1"/>
        </w:rPr>
        <w:t xml:space="preserve">, (iv) arise in connection with any Disposition permitted by </w:t>
      </w:r>
      <w:r>
        <w:rPr>
          <w:rFonts w:ascii="Arial" w:cs="Arial" w:eastAsia="Arial" w:hAnsi="Arial"/>
          <w:sz w:val="16"/>
          <w:szCs w:val="16"/>
          <w:u w:val="single" w:color="auto"/>
          <w:color w:val="FF0000"/>
          <w:strike w:val="1"/>
        </w:rPr>
        <w:t xml:space="preserve">Section 7.04 </w:t>
      </w:r>
      <w:r>
        <w:rPr>
          <w:rFonts w:ascii="Arial" w:cs="Arial" w:eastAsia="Arial" w:hAnsi="Arial"/>
          <w:sz w:val="16"/>
          <w:szCs w:val="16"/>
          <w:color w:val="FF0000"/>
          <w:strike w:val="1"/>
        </w:rPr>
        <w:t>or</w:t>
      </w:r>
      <w:r>
        <w:rPr>
          <w:rFonts w:ascii="Arial" w:cs="Arial" w:eastAsia="Arial" w:hAnsi="Arial"/>
          <w:sz w:val="16"/>
          <w:szCs w:val="16"/>
          <w:u w:val="single" w:color="auto"/>
          <w:color w:val="FF0000"/>
          <w:strike w:val="1"/>
        </w:rPr>
        <w:t xml:space="preserve"> 7.05 </w:t>
      </w:r>
      <w:r>
        <w:rPr>
          <w:rFonts w:ascii="Arial" w:cs="Arial" w:eastAsia="Arial" w:hAnsi="Arial"/>
          <w:sz w:val="16"/>
          <w:szCs w:val="16"/>
          <w:color w:val="FF0000"/>
          <w:strike w:val="1"/>
        </w:rPr>
        <w:t>and relate solely to the assets or Person subject to such Disposition, (v) are customary provisions in joint venture agreements and</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 xml:space="preserve">other similar agreements applicable to joint ventures or other non-wholly owned Subsidiaries permitted under </w:t>
      </w:r>
      <w:r>
        <w:rPr>
          <w:rFonts w:ascii="Arial" w:cs="Arial" w:eastAsia="Arial" w:hAnsi="Arial"/>
          <w:sz w:val="16"/>
          <w:szCs w:val="16"/>
          <w:u w:val="single" w:color="auto"/>
          <w:color w:val="FF0000"/>
          <w:strike w:val="1"/>
        </w:rPr>
        <w:t>Section 7.02</w:t>
      </w:r>
      <w:r>
        <w:rPr>
          <w:rFonts w:ascii="Arial" w:cs="Arial" w:eastAsia="Arial" w:hAnsi="Arial"/>
          <w:sz w:val="16"/>
          <w:szCs w:val="16"/>
          <w:color w:val="FF0000"/>
          <w:strike w:val="1"/>
        </w:rPr>
        <w:t xml:space="preserve"> and applicable solely to such joint venture or other non-wholly owned Subsidiaries and are entered into in the ordinary course of business, (vi) are negative pledges and restrictions on Liens in favor of any holder of Indebtedness (other than any Junior Financing) permitted under </w:t>
      </w:r>
      <w:r>
        <w:rPr>
          <w:rFonts w:ascii="Arial" w:cs="Arial" w:eastAsia="Arial" w:hAnsi="Arial"/>
          <w:sz w:val="16"/>
          <w:szCs w:val="16"/>
          <w:u w:val="single" w:color="auto"/>
          <w:color w:val="FF0000"/>
          <w:strike w:val="1"/>
        </w:rPr>
        <w:t>Section 7.03(e)</w:t>
      </w:r>
      <w:r>
        <w:rPr>
          <w:rFonts w:ascii="Arial" w:cs="Arial" w:eastAsia="Arial" w:hAnsi="Arial"/>
          <w:sz w:val="16"/>
          <w:szCs w:val="16"/>
          <w:color w:val="FF0000"/>
          <w:strike w:val="1"/>
        </w:rPr>
        <w:t xml:space="preserve"> or </w:t>
      </w:r>
      <w:r>
        <w:rPr>
          <w:rFonts w:ascii="Arial" w:cs="Arial" w:eastAsia="Arial" w:hAnsi="Arial"/>
          <w:sz w:val="16"/>
          <w:szCs w:val="16"/>
          <w:u w:val="single" w:color="auto"/>
          <w:color w:val="FF0000"/>
          <w:strike w:val="1"/>
        </w:rPr>
        <w:t>(g)</w:t>
      </w:r>
      <w:r>
        <w:rPr>
          <w:rFonts w:ascii="Arial" w:cs="Arial" w:eastAsia="Arial" w:hAnsi="Arial"/>
          <w:sz w:val="16"/>
          <w:szCs w:val="16"/>
          <w:color w:val="FF0000"/>
          <w:strike w:val="1"/>
        </w:rPr>
        <w:t xml:space="preserve"> but solely to the extent any negative pledge relates to the property financed by such Indebtedness, (vii) are customary restrictions in leases, subleases, licenses or asset sale agreements otherwise permitted hereby so long as such restrictions relate only to the assets subject thereto, (viii) comprise restrictions imposed by any agreement governing secured Indebtedness permitted pursuant to </w:t>
      </w:r>
      <w:r>
        <w:rPr>
          <w:rFonts w:ascii="Arial" w:cs="Arial" w:eastAsia="Arial" w:hAnsi="Arial"/>
          <w:sz w:val="16"/>
          <w:szCs w:val="16"/>
          <w:u w:val="single" w:color="auto"/>
          <w:color w:val="FF0000"/>
          <w:strike w:val="1"/>
        </w:rPr>
        <w:t>Section 7.03</w:t>
      </w:r>
      <w:r>
        <w:rPr>
          <w:rFonts w:ascii="Arial" w:cs="Arial" w:eastAsia="Arial" w:hAnsi="Arial"/>
          <w:sz w:val="16"/>
          <w:szCs w:val="16"/>
          <w:color w:val="FF0000"/>
          <w:strike w:val="1"/>
        </w:rPr>
        <w:t xml:space="preserve"> to the extent that such restrictions apply only to the property or assets securing such Indebtedness, (ix) are customary provisions restricting subletting or assignment of any lease governing a leasehold interest of the Borrower or any Restricted Subsidiary entered into in the ordinary course of business, (x) are customary provisions restricting assignment of any agreement entered into in the ordinary course of business, (xi) are customary restrictions contained in the ABL Facility Documentation, (xii) arise in connection with cash or other deposits permitted under </w:t>
      </w:r>
      <w:r>
        <w:rPr>
          <w:rFonts w:ascii="Arial" w:cs="Arial" w:eastAsia="Arial" w:hAnsi="Arial"/>
          <w:sz w:val="16"/>
          <w:szCs w:val="16"/>
          <w:u w:val="single" w:color="auto"/>
          <w:color w:val="FF0000"/>
          <w:strike w:val="1"/>
        </w:rPr>
        <w:t>Sections 7.01</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7.02</w:t>
      </w:r>
      <w:r>
        <w:rPr>
          <w:rFonts w:ascii="Arial" w:cs="Arial" w:eastAsia="Arial" w:hAnsi="Arial"/>
          <w:sz w:val="16"/>
          <w:szCs w:val="16"/>
          <w:color w:val="FF0000"/>
          <w:strike w:val="1"/>
        </w:rPr>
        <w:t xml:space="preserve"> and limited to such cash or deposit, or (xiii) comprise restrictions imposed by any agreement governing Indebtedness entered into on or after the Restatement Effective Date and permitted under </w:t>
      </w:r>
      <w:r>
        <w:rPr>
          <w:rFonts w:ascii="Arial" w:cs="Arial" w:eastAsia="Arial" w:hAnsi="Arial"/>
          <w:sz w:val="16"/>
          <w:szCs w:val="16"/>
          <w:u w:val="single" w:color="auto"/>
          <w:color w:val="FF0000"/>
          <w:strike w:val="1"/>
        </w:rPr>
        <w:t>Section 7.03</w:t>
      </w:r>
      <w:r>
        <w:rPr>
          <w:rFonts w:ascii="Arial" w:cs="Arial" w:eastAsia="Arial" w:hAnsi="Arial"/>
          <w:sz w:val="16"/>
          <w:szCs w:val="16"/>
          <w:color w:val="FF0000"/>
          <w:strike w:val="1"/>
        </w:rPr>
        <w:t xml:space="preserve"> if the restrictions contained in any such agreement taken as a whole (a) are not materially less favorable to the Secured Parties than the encumbrances and restrictions contained in the Loan Documents (as determined by the Borrower) or (b) either (I) the Borrower determines at the time of entry into such agreement or instrument that such encumbrances or restrictions will not adversely affect, in any material respect, the Borrower’s ability to make principal or interest payments required hereunder or (II) such encumbrance or restriction applies only during the continuance of a default relating to such agreement or instrument.</w:t>
      </w:r>
      <w:r>
        <w:rPr>
          <w:rFonts w:ascii="Arial" w:cs="Arial" w:eastAsia="Arial" w:hAnsi="Arial"/>
          <w:sz w:val="16"/>
          <w:szCs w:val="16"/>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130810</wp:posOffset>
            </wp:positionV>
            <wp:extent cx="2603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u w:val="single" w:color="auto"/>
          <w:color w:val="0000FF"/>
        </w:rPr>
        <w:t xml:space="preserve">Section 7.10 </w:t>
      </w:r>
      <w:r>
        <w:rPr>
          <w:rFonts w:ascii="Arial" w:cs="Arial" w:eastAsia="Arial" w:hAnsi="Arial"/>
          <w:sz w:val="18"/>
          <w:szCs w:val="18"/>
          <w:color w:val="FF0000"/>
          <w:strike w:val="1"/>
        </w:rPr>
        <w:t>Section 7.10.</w:t>
      </w:r>
      <w:r>
        <w:rPr>
          <w:rFonts w:ascii="Arial" w:cs="Arial" w:eastAsia="Arial" w:hAnsi="Arial"/>
          <w:sz w:val="18"/>
          <w:szCs w:val="18"/>
          <w:u w:val="single" w:color="auto"/>
          <w:color w:val="0000FF"/>
        </w:rPr>
        <w:t xml:space="preserve"> </w:t>
      </w:r>
      <w:r>
        <w:rPr>
          <w:rFonts w:ascii="Arial" w:cs="Arial" w:eastAsia="Arial" w:hAnsi="Arial"/>
          <w:sz w:val="18"/>
          <w:szCs w:val="18"/>
          <w:i w:val="1"/>
          <w:iCs w:val="1"/>
          <w:color w:val="FF0000"/>
          <w:strike w:val="1"/>
        </w:rPr>
        <w:t>Financial Covenant</w:t>
      </w:r>
      <w:r>
        <w:rPr>
          <w:rFonts w:ascii="Arial" w:cs="Arial" w:eastAsia="Arial" w:hAnsi="Arial"/>
          <w:sz w:val="18"/>
          <w:szCs w:val="18"/>
          <w:i w:val="1"/>
          <w:iCs w:val="1"/>
          <w:u w:val="single" w:color="auto"/>
          <w:color w:val="0000FF"/>
        </w:rPr>
        <w:t>[Reserved]</w:t>
      </w:r>
      <w:r>
        <w:rPr>
          <w:rFonts w:ascii="Arial" w:cs="Arial" w:eastAsia="Arial" w:hAnsi="Arial"/>
          <w:sz w:val="18"/>
          <w:szCs w:val="18"/>
          <w:color w:val="FF0000"/>
          <w:strike w:val="1"/>
        </w:rPr>
        <w:t>. The Borrower shall not permit Consolidated EBITDA for any Test Period,</w:t>
      </w:r>
      <w:r>
        <w:rPr>
          <w:rFonts w:ascii="Arial" w:cs="Arial" w:eastAsia="Arial" w:hAnsi="Arial"/>
          <w:sz w:val="18"/>
          <w:szCs w:val="18"/>
          <w:u w:val="single" w:color="auto"/>
          <w:color w:val="0000FF"/>
        </w:rPr>
        <w:t xml:space="preserve"> </w:t>
      </w:r>
      <w:r>
        <w:rPr>
          <w:rFonts w:ascii="Arial" w:cs="Arial" w:eastAsia="Arial" w:hAnsi="Arial"/>
          <w:sz w:val="18"/>
          <w:szCs w:val="18"/>
          <w:color w:val="FF0000"/>
          <w:strike w:val="1"/>
        </w:rPr>
        <w:t xml:space="preserve">commencing with the Test Period ending </w:t>
      </w:r>
      <w:r>
        <w:rPr>
          <w:rFonts w:ascii="Arial" w:cs="Arial" w:eastAsia="Arial" w:hAnsi="Arial"/>
          <w:sz w:val="18"/>
          <w:szCs w:val="18"/>
          <w:color w:val="008000"/>
          <w:strike w:val="1"/>
        </w:rPr>
        <w:t>as of the end of</w:t>
      </w:r>
      <w:r>
        <w:rPr>
          <w:rFonts w:ascii="Arial" w:cs="Arial" w:eastAsia="Arial" w:hAnsi="Arial"/>
          <w:sz w:val="18"/>
          <w:szCs w:val="18"/>
          <w:color w:val="FF0000"/>
          <w:strike w:val="1"/>
        </w:rPr>
        <w:t xml:space="preserve"> the fiscal quarter ending December 31, 2021, to be less than the amount set forth for such Test Period,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56578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-276860</wp:posOffset>
            </wp:positionV>
            <wp:extent cx="50546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FF0000"/>
                <w:strike w:val="1"/>
              </w:rPr>
              <w:t>Test Period Ending</w:t>
            </w:r>
          </w:p>
        </w:tc>
        <w:tc>
          <w:tcPr>
            <w:tcW w:w="3700" w:type="dxa"/>
            <w:vAlign w:val="bottom"/>
          </w:tcPr>
          <w:p>
            <w:pPr>
              <w:jc w:val="center"/>
              <w:ind w:left="2617"/>
              <w:spacing w:after="0"/>
              <w:rPr>
                <w:sz w:val="20"/>
                <w:szCs w:val="20"/>
                <w:color w:val="auto"/>
              </w:rPr>
            </w:pPr>
            <w:r>
              <w:rPr>
                <w:rFonts w:ascii="Arial" w:cs="Arial" w:eastAsia="Arial" w:hAnsi="Arial"/>
                <w:sz w:val="14"/>
                <w:szCs w:val="14"/>
                <w:b w:val="1"/>
                <w:bCs w:val="1"/>
                <w:color w:val="FF0000"/>
                <w:strike w:val="1"/>
                <w:w w:val="97"/>
              </w:rPr>
              <w:t>Minimum</w:t>
            </w:r>
          </w:p>
        </w:tc>
        <w:tc>
          <w:tcPr>
            <w:tcW w:w="0" w:type="dxa"/>
            <w:vAlign w:val="bottom"/>
          </w:tcPr>
          <w:p>
            <w:pPr>
              <w:spacing w:after="0"/>
              <w:rPr>
                <w:sz w:val="1"/>
                <w:szCs w:val="1"/>
                <w:color w:val="auto"/>
              </w:rPr>
            </w:pPr>
          </w:p>
        </w:tc>
      </w:tr>
      <w:tr>
        <w:trPr>
          <w:trHeight w:val="157"/>
        </w:trPr>
        <w:tc>
          <w:tcPr>
            <w:tcW w:w="7260" w:type="dxa"/>
            <w:vAlign w:val="bottom"/>
            <w:vMerge w:val="continue"/>
          </w:tcPr>
          <w:p>
            <w:pPr>
              <w:spacing w:after="0"/>
              <w:rPr>
                <w:sz w:val="13"/>
                <w:szCs w:val="13"/>
                <w:color w:val="auto"/>
              </w:rPr>
            </w:pPr>
          </w:p>
        </w:tc>
        <w:tc>
          <w:tcPr>
            <w:tcW w:w="3700" w:type="dxa"/>
            <w:vAlign w:val="bottom"/>
          </w:tcPr>
          <w:p>
            <w:pPr>
              <w:jc w:val="center"/>
              <w:ind w:left="2617"/>
              <w:spacing w:after="0" w:line="157" w:lineRule="exact"/>
              <w:rPr>
                <w:sz w:val="20"/>
                <w:szCs w:val="20"/>
                <w:color w:val="auto"/>
              </w:rPr>
            </w:pPr>
            <w:r>
              <w:rPr>
                <w:rFonts w:ascii="Arial" w:cs="Arial" w:eastAsia="Arial" w:hAnsi="Arial"/>
                <w:sz w:val="14"/>
                <w:szCs w:val="14"/>
                <w:b w:val="1"/>
                <w:bCs w:val="1"/>
                <w:color w:val="FF0000"/>
                <w:strike w:val="1"/>
              </w:rPr>
              <w:t>EBITDA</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FF0000"/>
                <w:strike w:val="1"/>
              </w:rPr>
              <w:t>December 31, 2021</w:t>
            </w:r>
          </w:p>
        </w:tc>
        <w:tc>
          <w:tcPr>
            <w:tcW w:w="3700" w:type="dxa"/>
            <w:vAlign w:val="bottom"/>
          </w:tcPr>
          <w:p>
            <w:pPr>
              <w:jc w:val="center"/>
              <w:ind w:left="2617"/>
              <w:spacing w:after="0"/>
              <w:rPr>
                <w:sz w:val="20"/>
                <w:szCs w:val="20"/>
                <w:color w:val="auto"/>
              </w:rPr>
            </w:pPr>
            <w:r>
              <w:rPr>
                <w:rFonts w:ascii="Arial" w:cs="Arial" w:eastAsia="Arial" w:hAnsi="Arial"/>
                <w:sz w:val="18"/>
                <w:szCs w:val="18"/>
                <w:color w:val="FF0000"/>
                <w:strike w:val="1"/>
                <w:w w:val="90"/>
              </w:rPr>
              <w:t>$100,000,000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FF0000"/>
                <w:strike w:val="1"/>
              </w:rPr>
              <w:t>March 31, 2022</w:t>
            </w:r>
          </w:p>
        </w:tc>
        <w:tc>
          <w:tcPr>
            <w:tcW w:w="3700" w:type="dxa"/>
            <w:vAlign w:val="bottom"/>
          </w:tcPr>
          <w:p>
            <w:pPr>
              <w:jc w:val="center"/>
              <w:ind w:left="2617"/>
              <w:spacing w:after="0"/>
              <w:rPr>
                <w:sz w:val="20"/>
                <w:szCs w:val="20"/>
                <w:color w:val="auto"/>
              </w:rPr>
            </w:pPr>
            <w:r>
              <w:rPr>
                <w:rFonts w:ascii="Arial" w:cs="Arial" w:eastAsia="Arial" w:hAnsi="Arial"/>
                <w:sz w:val="18"/>
                <w:szCs w:val="18"/>
                <w:color w:val="FF0000"/>
                <w:strike w:val="1"/>
                <w:w w:val="90"/>
              </w:rPr>
              <w:t>$150,000,000</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FF0000"/>
                <w:strike w:val="1"/>
              </w:rPr>
              <w:t>June 30, 2022 and the last day of each Fiscal Quarter thereafter</w:t>
            </w:r>
          </w:p>
        </w:tc>
        <w:tc>
          <w:tcPr>
            <w:tcW w:w="3700" w:type="dxa"/>
            <w:vAlign w:val="bottom"/>
          </w:tcPr>
          <w:p>
            <w:pPr>
              <w:jc w:val="center"/>
              <w:ind w:left="2617"/>
              <w:spacing w:after="0"/>
              <w:rPr>
                <w:sz w:val="20"/>
                <w:szCs w:val="20"/>
                <w:color w:val="auto"/>
              </w:rPr>
            </w:pPr>
            <w:r>
              <w:rPr>
                <w:rFonts w:ascii="Arial" w:cs="Arial" w:eastAsia="Arial" w:hAnsi="Arial"/>
                <w:sz w:val="18"/>
                <w:szCs w:val="18"/>
                <w:color w:val="FF0000"/>
                <w:strike w:val="1"/>
                <w:w w:val="90"/>
              </w:rPr>
              <w:t>$200,000,000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13716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995160" cy="15430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40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280" w:name="page281"/>
    <w:bookmarkEnd w:id="280"/>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7.11 </w:t>
      </w:r>
      <w:r>
        <w:rPr>
          <w:rFonts w:ascii="Arial" w:cs="Arial" w:eastAsia="Arial" w:hAnsi="Arial"/>
          <w:sz w:val="18"/>
          <w:szCs w:val="18"/>
          <w:i w:val="1"/>
          <w:iCs w:val="1"/>
          <w:color w:val="FF0000"/>
          <w:strike w:val="1"/>
        </w:rPr>
        <w:t>Minimum 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Budget Variance Covenants</w:t>
      </w:r>
      <w:r>
        <w:rPr>
          <w:rFonts w:ascii="Arial" w:cs="Arial" w:eastAsia="Arial" w:hAnsi="Arial"/>
          <w:sz w:val="18"/>
          <w:szCs w:val="18"/>
          <w:i w:val="1"/>
          <w:iCs w:val="1"/>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(a) As of and after the Amendment No. 3 Closing Date, the Borrower shall not</w:t>
      </w:r>
      <w:r>
        <w:rPr>
          <w:rFonts w:ascii="Arial" w:cs="Arial" w:eastAsia="Arial" w:hAnsi="Arial"/>
          <w:sz w:val="18"/>
          <w:szCs w:val="18"/>
          <w:color w:val="auto"/>
        </w:rPr>
        <w:t xml:space="preserve"> </w:t>
      </w:r>
      <w:r>
        <w:rPr>
          <w:rFonts w:ascii="Arial" w:cs="Arial" w:eastAsia="Arial" w:hAnsi="Arial"/>
          <w:sz w:val="18"/>
          <w:szCs w:val="18"/>
          <w:color w:val="FF0000"/>
          <w:strike w:val="1"/>
        </w:rPr>
        <w:t>permit Liquidity at any time to be less than $35,000,000.</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FF0000"/>
          <w:strike w:val="1"/>
        </w:rPr>
        <w:t>(b)</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Commencing with the Budget Variance Test Date occurring on</w:t>
      </w:r>
      <w:r>
        <w:rPr>
          <w:rFonts w:ascii="Arial" w:cs="Arial" w:eastAsia="Arial" w:hAnsi="Arial"/>
          <w:sz w:val="18"/>
          <w:szCs w:val="18"/>
          <w:color w:val="FF0000"/>
        </w:rPr>
        <w:t xml:space="preserve"> </w:t>
      </w:r>
      <w:r>
        <w:rPr>
          <w:rFonts w:ascii="Arial" w:cs="Arial" w:eastAsia="Arial" w:hAnsi="Arial"/>
          <w:sz w:val="18"/>
          <w:szCs w:val="18"/>
          <w:color w:val="FF0000"/>
          <w:strike w:val="1"/>
        </w:rPr>
        <w:t>Wednesday, July</w:t>
      </w:r>
      <w:r>
        <w:rPr>
          <w:rFonts w:ascii="Arial" w:cs="Arial" w:eastAsia="Arial" w:hAnsi="Arial"/>
          <w:sz w:val="18"/>
          <w:szCs w:val="18"/>
          <w:u w:val="single" w:color="auto"/>
          <w:color w:val="0000FF"/>
        </w:rPr>
        <w:t>Friday, August</w:t>
      </w:r>
      <w:r>
        <w:rPr>
          <w:rFonts w:ascii="Arial" w:cs="Arial" w:eastAsia="Arial" w:hAnsi="Arial"/>
          <w:sz w:val="18"/>
          <w:szCs w:val="18"/>
          <w:color w:val="FF0000"/>
        </w:rPr>
        <w:t xml:space="preserve"> </w:t>
      </w:r>
      <w:r>
        <w:rPr>
          <w:rFonts w:ascii="Arial" w:cs="Arial" w:eastAsia="Arial" w:hAnsi="Arial"/>
          <w:sz w:val="18"/>
          <w:szCs w:val="18"/>
          <w:color w:val="FF0000"/>
          <w:strike w:val="1"/>
        </w:rPr>
        <w:t>1</w:t>
      </w:r>
      <w:r>
        <w:rPr>
          <w:rFonts w:ascii="Arial" w:cs="Arial" w:eastAsia="Arial" w:hAnsi="Arial"/>
          <w:sz w:val="18"/>
          <w:szCs w:val="18"/>
          <w:color w:val="000000"/>
        </w:rPr>
        <w:t>2</w:t>
      </w:r>
      <w:r>
        <w:rPr>
          <w:rFonts w:ascii="Arial" w:cs="Arial" w:eastAsia="Arial" w:hAnsi="Arial"/>
          <w:sz w:val="18"/>
          <w:szCs w:val="18"/>
          <w:u w:val="single" w:color="auto"/>
          <w:color w:val="0000FF"/>
        </w:rPr>
        <w:t>5</w:t>
      </w:r>
      <w:r>
        <w:rPr>
          <w:rFonts w:ascii="Arial" w:cs="Arial" w:eastAsia="Arial" w:hAnsi="Arial"/>
          <w:sz w:val="18"/>
          <w:szCs w:val="18"/>
          <w:color w:val="FF0000"/>
        </w:rPr>
        <w:t xml:space="preserve"> </w:t>
      </w:r>
      <w:r>
        <w:rPr>
          <w:rFonts w:ascii="Arial" w:cs="Arial" w:eastAsia="Arial" w:hAnsi="Arial"/>
          <w:sz w:val="18"/>
          <w:szCs w:val="18"/>
          <w:color w:val="000000"/>
        </w:rPr>
        <w:t>, 2023, and on each Budget Variance</w:t>
      </w:r>
      <w:r>
        <w:rPr>
          <w:rFonts w:ascii="Arial" w:cs="Arial" w:eastAsia="Arial" w:hAnsi="Arial"/>
          <w:sz w:val="18"/>
          <w:szCs w:val="18"/>
          <w:color w:val="FF0000"/>
        </w:rPr>
        <w:t xml:space="preserve"> </w:t>
      </w:r>
      <w:r>
        <w:rPr>
          <w:rFonts w:ascii="Arial" w:cs="Arial" w:eastAsia="Arial" w:hAnsi="Arial"/>
          <w:sz w:val="18"/>
          <w:szCs w:val="18"/>
          <w:color w:val="000000"/>
        </w:rPr>
        <w:t>Test Date occurring thereafter, the Borrower shall not</w:t>
      </w:r>
      <w:r>
        <w:rPr>
          <w:rFonts w:ascii="Arial" w:cs="Arial" w:eastAsia="Arial" w:hAnsi="Arial"/>
          <w:sz w:val="18"/>
          <w:szCs w:val="18"/>
          <w:u w:val="single" w:color="auto"/>
          <w:color w:val="008000"/>
        </w:rPr>
        <w:t>, nor shall it permit any</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of its Subsidiaries to, permit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-147955</wp:posOffset>
            </wp:positionV>
            <wp:extent cx="254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-147955</wp:posOffset>
            </wp:positionV>
            <wp:extent cx="90868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-10795</wp:posOffset>
            </wp:positionV>
            <wp:extent cx="23831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0"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i</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w:t>
      </w:r>
      <w:r>
        <w:rPr>
          <w:rFonts w:ascii="Arial" w:cs="Arial" w:eastAsia="Arial" w:hAnsi="Arial"/>
          <w:sz w:val="17"/>
          <w:szCs w:val="17"/>
          <w:color w:val="FF0000"/>
          <w:strike w:val="1"/>
        </w:rPr>
        <w:t>permit</w:t>
      </w:r>
      <w:r>
        <w:rPr>
          <w:rFonts w:ascii="Arial" w:cs="Arial" w:eastAsia="Arial" w:hAnsi="Arial"/>
          <w:sz w:val="17"/>
          <w:szCs w:val="17"/>
          <w:color w:val="auto"/>
        </w:rPr>
        <w:t xml:space="preserve"> the sum of the </w:t>
      </w:r>
      <w:r>
        <w:rPr>
          <w:rFonts w:ascii="Arial" w:cs="Arial" w:eastAsia="Arial" w:hAnsi="Arial"/>
          <w:sz w:val="17"/>
          <w:szCs w:val="17"/>
          <w:u w:val="single" w:color="auto"/>
          <w:color w:val="0000FF"/>
        </w:rPr>
        <w:t>actual</w:t>
      </w:r>
      <w:r>
        <w:rPr>
          <w:rFonts w:ascii="Arial" w:cs="Arial" w:eastAsia="Arial" w:hAnsi="Arial"/>
          <w:sz w:val="17"/>
          <w:szCs w:val="17"/>
          <w:color w:val="auto"/>
        </w:rPr>
        <w:t xml:space="preserve"> aggregate cash receipts of the Borrower and its Subsidiaries </w:t>
      </w:r>
      <w:r>
        <w:rPr>
          <w:rFonts w:ascii="Arial" w:cs="Arial" w:eastAsia="Arial" w:hAnsi="Arial"/>
          <w:sz w:val="17"/>
          <w:szCs w:val="17"/>
          <w:u w:val="single" w:color="auto"/>
          <w:color w:val="0000FF"/>
        </w:rPr>
        <w:t>(excluding</w:t>
      </w:r>
      <w:r>
        <w:rPr>
          <w:rFonts w:ascii="Arial" w:cs="Arial" w:eastAsia="Arial" w:hAnsi="Arial"/>
          <w:sz w:val="17"/>
          <w:szCs w:val="17"/>
          <w:color w:val="auto"/>
        </w:rPr>
        <w:t xml:space="preserve"> </w:t>
      </w:r>
      <w:r>
        <w:rPr>
          <w:rFonts w:ascii="Arial" w:cs="Arial" w:eastAsia="Arial" w:hAnsi="Arial"/>
          <w:sz w:val="17"/>
          <w:szCs w:val="17"/>
          <w:u w:val="single" w:color="auto"/>
          <w:color w:val="008000"/>
        </w:rPr>
        <w:t>proceeds of the Term Loans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for the Budget Variance Test Period ending </w:t>
      </w:r>
      <w:r>
        <w:rPr>
          <w:rFonts w:ascii="Arial" w:cs="Arial" w:eastAsia="Arial" w:hAnsi="Arial"/>
          <w:sz w:val="17"/>
          <w:szCs w:val="17"/>
          <w:color w:val="FF0000"/>
          <w:strike w:val="1"/>
        </w:rPr>
        <w:t>on</w:t>
      </w:r>
      <w:r>
        <w:rPr>
          <w:rFonts w:ascii="Arial" w:cs="Arial" w:eastAsia="Arial" w:hAnsi="Arial"/>
          <w:sz w:val="17"/>
          <w:szCs w:val="17"/>
          <w:u w:val="single" w:color="auto"/>
          <w:color w:val="0000FF"/>
        </w:rPr>
        <w:t>immediately prior to</w:t>
      </w:r>
      <w:r>
        <w:rPr>
          <w:rFonts w:ascii="Arial" w:cs="Arial" w:eastAsia="Arial" w:hAnsi="Arial"/>
          <w:sz w:val="17"/>
          <w:szCs w:val="17"/>
          <w:color w:val="auto"/>
        </w:rPr>
        <w:t xml:space="preserve"> such Budget Variance Test Date </w:t>
      </w:r>
      <w:r>
        <w:rPr>
          <w:rFonts w:ascii="Arial" w:cs="Arial" w:eastAsia="Arial" w:hAnsi="Arial"/>
          <w:sz w:val="17"/>
          <w:szCs w:val="17"/>
          <w:color w:val="FF0000"/>
          <w:strike w:val="1"/>
        </w:rPr>
        <w:t>(excluding (A) proceeds of any loans made under the ABL</w:t>
      </w:r>
      <w:r>
        <w:rPr>
          <w:rFonts w:ascii="Arial" w:cs="Arial" w:eastAsia="Arial" w:hAnsi="Arial"/>
          <w:sz w:val="17"/>
          <w:szCs w:val="17"/>
          <w:color w:val="auto"/>
        </w:rPr>
        <w:t xml:space="preserve"> </w:t>
      </w:r>
      <w:r>
        <w:rPr>
          <w:rFonts w:ascii="Arial" w:cs="Arial" w:eastAsia="Arial" w:hAnsi="Arial"/>
          <w:sz w:val="17"/>
          <w:szCs w:val="17"/>
          <w:color w:val="FF0000"/>
          <w:strike w:val="1"/>
        </w:rPr>
        <w:t>Facility and (B) proceeds of Term Priority Collateral) to be less than 20% of the forecasted cash</w:t>
      </w:r>
      <w:r>
        <w:rPr>
          <w:rFonts w:ascii="Arial" w:cs="Arial" w:eastAsia="Arial" w:hAnsi="Arial"/>
          <w:sz w:val="17"/>
          <w:szCs w:val="17"/>
          <w:u w:val="single" w:color="auto"/>
          <w:color w:val="0000FF"/>
          <w:strike w:val="1"/>
        </w:rPr>
        <w:t>to be less than the Permitted Variance Percentage of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aggregate amount set forth for the line item in the Approved Budget entitled “Total</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r</w:t>
      </w:r>
      <w:r>
        <w:rPr>
          <w:rFonts w:ascii="Arial" w:cs="Arial" w:eastAsia="Arial" w:hAnsi="Arial"/>
          <w:sz w:val="17"/>
          <w:szCs w:val="17"/>
          <w:u w:val="single" w:color="auto"/>
          <w:color w:val="0000FF"/>
          <w:strike w:val="1"/>
        </w:rPr>
        <w:t>R</w:t>
      </w:r>
      <w:r>
        <w:rPr>
          <w:rFonts w:ascii="Arial" w:cs="Arial" w:eastAsia="Arial" w:hAnsi="Arial"/>
          <w:sz w:val="17"/>
          <w:szCs w:val="17"/>
          <w:color w:val="000000"/>
          <w:strike w:val="1"/>
        </w:rPr>
        <w:t>eceipts</w:t>
      </w:r>
      <w:r>
        <w:rPr>
          <w:rFonts w:ascii="Arial" w:cs="Arial" w:eastAsia="Arial" w:hAnsi="Arial"/>
          <w:sz w:val="17"/>
          <w:szCs w:val="17"/>
          <w:u w:val="single" w:color="auto"/>
          <w:color w:val="0000FF"/>
          <w:strike w:val="1"/>
        </w:rPr>
        <w: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for such Budget Variance Test Period</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in the applicable</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 xml:space="preserve">Approved Budget;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that to the extent the receipts of the Borrower and its Subsidiaries exceed the forecasted cash receipts for any such Budget Variance Test Period, such incremental receipts for a given week may be carried forward to successive weekly periods for as long as the then effective Approved Budget is in effect and prior to the replacement thereof by an Updated Budget in accordance with Section 6.02(l) and counted as receipts solely during such period for purposes of this Section 7.11(b)(i); or</w:t>
      </w:r>
      <w:r>
        <w:rPr>
          <w:rFonts w:ascii="Arial" w:cs="Arial" w:eastAsia="Arial" w:hAnsi="Arial"/>
          <w:sz w:val="17"/>
          <w:szCs w:val="17"/>
          <w:u w:val="single" w:color="auto"/>
          <w:color w:val="0000FF"/>
          <w:strike w:val="1"/>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-965835</wp:posOffset>
            </wp:positionV>
            <wp:extent cx="5143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-965835</wp:posOffset>
            </wp:positionV>
            <wp:extent cx="3003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-965835</wp:posOffset>
            </wp:positionV>
            <wp:extent cx="185991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-828675</wp:posOffset>
            </wp:positionV>
            <wp:extent cx="94297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-691515</wp:posOffset>
            </wp:positionV>
            <wp:extent cx="254635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2546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4303395"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6034405</wp:posOffset>
            </wp:positionH>
            <wp:positionV relativeFrom="paragraph">
              <wp:posOffset>-640080</wp:posOffset>
            </wp:positionV>
            <wp:extent cx="7835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83590" cy="8255"/>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-5715</wp:posOffset>
            </wp:positionV>
            <wp:extent cx="16319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5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ii</w:t>
      </w:r>
      <w:r>
        <w:rPr>
          <w:rFonts w:ascii="Arial" w:cs="Arial" w:eastAsia="Arial" w:hAnsi="Arial"/>
          <w:sz w:val="16"/>
          <w:szCs w:val="16"/>
          <w:u w:val="single" w:color="auto"/>
          <w:color w:val="0000FF"/>
        </w:rPr>
        <w:t>b</w:t>
      </w:r>
      <w:r>
        <w:rPr>
          <w:rFonts w:ascii="Arial" w:cs="Arial" w:eastAsia="Arial" w:hAnsi="Arial"/>
          <w:sz w:val="16"/>
          <w:szCs w:val="16"/>
          <w:color w:val="auto"/>
        </w:rPr>
        <w:t xml:space="preserve">) </w:t>
      </w:r>
      <w:r>
        <w:rPr>
          <w:rFonts w:ascii="Arial" w:cs="Arial" w:eastAsia="Arial" w:hAnsi="Arial"/>
          <w:sz w:val="16"/>
          <w:szCs w:val="16"/>
          <w:color w:val="FF0000"/>
          <w:strike w:val="1"/>
        </w:rPr>
        <w:t>permit</w:t>
      </w:r>
      <w:r>
        <w:rPr>
          <w:rFonts w:ascii="Arial" w:cs="Arial" w:eastAsia="Arial" w:hAnsi="Arial"/>
          <w:sz w:val="16"/>
          <w:szCs w:val="16"/>
          <w:color w:val="auto"/>
        </w:rPr>
        <w:t xml:space="preserve"> the sum of the </w:t>
      </w:r>
      <w:r>
        <w:rPr>
          <w:rFonts w:ascii="Arial" w:cs="Arial" w:eastAsia="Arial" w:hAnsi="Arial"/>
          <w:sz w:val="16"/>
          <w:szCs w:val="16"/>
          <w:u w:val="single" w:color="auto"/>
          <w:color w:val="0000FF"/>
        </w:rPr>
        <w:t>actual</w:t>
      </w:r>
      <w:r>
        <w:rPr>
          <w:rFonts w:ascii="Arial" w:cs="Arial" w:eastAsia="Arial" w:hAnsi="Arial"/>
          <w:sz w:val="16"/>
          <w:szCs w:val="16"/>
          <w:color w:val="auto"/>
        </w:rPr>
        <w:t xml:space="preserve"> aggregate operating disbursements of the Borrower and its Subsidiaries for </w:t>
      </w:r>
      <w:r>
        <w:rPr>
          <w:rFonts w:ascii="Arial" w:cs="Arial" w:eastAsia="Arial" w:hAnsi="Arial"/>
          <w:sz w:val="16"/>
          <w:szCs w:val="16"/>
          <w:color w:val="FF0000"/>
          <w:strike w:val="1"/>
        </w:rPr>
        <w:t>such</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Budget Variance Test Period </w:t>
      </w:r>
      <w:r>
        <w:rPr>
          <w:rFonts w:ascii="Arial" w:cs="Arial" w:eastAsia="Arial" w:hAnsi="Arial"/>
          <w:sz w:val="16"/>
          <w:szCs w:val="16"/>
          <w:u w:val="single" w:color="auto"/>
          <w:color w:val="0000FF"/>
        </w:rPr>
        <w:t>ending immediately prior to such Budget Variance Test Date</w:t>
      </w:r>
      <w:r>
        <w:rPr>
          <w:rFonts w:ascii="Arial" w:cs="Arial" w:eastAsia="Arial" w:hAnsi="Arial"/>
          <w:sz w:val="16"/>
          <w:szCs w:val="16"/>
          <w:color w:val="auto"/>
        </w:rPr>
        <w:t xml:space="preserve"> to be greater than </w:t>
      </w:r>
      <w:r>
        <w:rPr>
          <w:rFonts w:ascii="Arial" w:cs="Arial" w:eastAsia="Arial" w:hAnsi="Arial"/>
          <w:sz w:val="16"/>
          <w:szCs w:val="16"/>
          <w:color w:val="FF0000"/>
          <w:strike w:val="1"/>
        </w:rPr>
        <w:t>20%</w:t>
      </w:r>
      <w:r>
        <w:rPr>
          <w:rFonts w:ascii="Arial" w:cs="Arial" w:eastAsia="Arial" w:hAnsi="Arial"/>
          <w:sz w:val="16"/>
          <w:szCs w:val="16"/>
          <w:u w:val="single" w:color="auto"/>
          <w:color w:val="0000FF"/>
        </w:rPr>
        <w:t>Permitted Variance Percentage</w:t>
      </w:r>
      <w:r>
        <w:rPr>
          <w:rFonts w:ascii="Arial" w:cs="Arial" w:eastAsia="Arial" w:hAnsi="Arial"/>
          <w:sz w:val="16"/>
          <w:szCs w:val="16"/>
          <w:color w:val="auto"/>
        </w:rPr>
        <w:t xml:space="preserve"> of the </w:t>
      </w:r>
      <w:r>
        <w:rPr>
          <w:rFonts w:ascii="Arial" w:cs="Arial" w:eastAsia="Arial" w:hAnsi="Arial"/>
          <w:sz w:val="16"/>
          <w:szCs w:val="16"/>
          <w:color w:val="FF0000"/>
          <w:strike w:val="1"/>
        </w:rPr>
        <w:t>forecasted</w:t>
      </w:r>
      <w:r>
        <w:rPr>
          <w:rFonts w:ascii="Arial" w:cs="Arial" w:eastAsia="Arial" w:hAnsi="Arial"/>
          <w:sz w:val="16"/>
          <w:szCs w:val="16"/>
          <w:color w:val="auto"/>
        </w:rPr>
        <w:t xml:space="preserve"> aggregate </w:t>
      </w:r>
      <w:r>
        <w:rPr>
          <w:rFonts w:ascii="Arial" w:cs="Arial" w:eastAsia="Arial" w:hAnsi="Arial"/>
          <w:sz w:val="16"/>
          <w:szCs w:val="16"/>
          <w:u w:val="single" w:color="auto"/>
          <w:color w:val="0000FF"/>
        </w:rPr>
        <w:t>amount set forth for the line item in the Approved Budget entitled “Total</w:t>
      </w:r>
      <w:r>
        <w:rPr>
          <w:rFonts w:ascii="Arial" w:cs="Arial" w:eastAsia="Arial" w:hAnsi="Arial"/>
          <w:sz w:val="16"/>
          <w:szCs w:val="16"/>
          <w:color w:val="0000FF"/>
        </w:rPr>
        <w:t xml:space="preserve"> </w:t>
      </w:r>
      <w:r>
        <w:rPr>
          <w:rFonts w:ascii="Arial" w:cs="Arial" w:eastAsia="Arial" w:hAnsi="Arial"/>
          <w:sz w:val="16"/>
          <w:szCs w:val="16"/>
          <w:color w:val="FF0000"/>
          <w:strike w:val="1"/>
        </w:rPr>
        <w:t>o</w:t>
      </w:r>
      <w:r>
        <w:rPr>
          <w:rFonts w:ascii="Arial" w:cs="Arial" w:eastAsia="Arial" w:hAnsi="Arial"/>
          <w:sz w:val="16"/>
          <w:szCs w:val="16"/>
          <w:u w:val="single" w:color="auto"/>
          <w:color w:val="0000FF"/>
        </w:rPr>
        <w:t>O</w:t>
      </w:r>
      <w:r>
        <w:rPr>
          <w:rFonts w:ascii="Arial" w:cs="Arial" w:eastAsia="Arial" w:hAnsi="Arial"/>
          <w:sz w:val="16"/>
          <w:szCs w:val="16"/>
          <w:color w:val="0000FF"/>
        </w:rPr>
        <w:t xml:space="preserve"> </w:t>
      </w:r>
      <w:r>
        <w:rPr>
          <w:rFonts w:ascii="Arial" w:cs="Arial" w:eastAsia="Arial" w:hAnsi="Arial"/>
          <w:sz w:val="16"/>
          <w:szCs w:val="16"/>
          <w:color w:val="000000"/>
        </w:rPr>
        <w:t>perating</w:t>
      </w:r>
      <w:r>
        <w:rPr>
          <w:rFonts w:ascii="Arial" w:cs="Arial" w:eastAsia="Arial" w:hAnsi="Arial"/>
          <w:sz w:val="16"/>
          <w:szCs w:val="16"/>
          <w:color w:val="0000FF"/>
        </w:rPr>
        <w:t xml:space="preserve"> </w:t>
      </w:r>
      <w:r>
        <w:rPr>
          <w:rFonts w:ascii="Arial" w:cs="Arial" w:eastAsia="Arial" w:hAnsi="Arial"/>
          <w:sz w:val="16"/>
          <w:szCs w:val="16"/>
          <w:color w:val="FF0000"/>
          <w:strike w:val="1"/>
        </w:rPr>
        <w:t>d</w:t>
      </w:r>
      <w:r>
        <w:rPr>
          <w:rFonts w:ascii="Arial" w:cs="Arial" w:eastAsia="Arial" w:hAnsi="Arial"/>
          <w:sz w:val="16"/>
          <w:szCs w:val="16"/>
          <w:u w:val="single" w:color="auto"/>
          <w:color w:val="0000FF"/>
        </w:rPr>
        <w:t>D</w:t>
      </w:r>
      <w:r>
        <w:rPr>
          <w:rFonts w:ascii="Arial" w:cs="Arial" w:eastAsia="Arial" w:hAnsi="Arial"/>
          <w:sz w:val="16"/>
          <w:szCs w:val="16"/>
          <w:color w:val="000000"/>
        </w:rPr>
        <w:t>isbursements</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for such Budget Variance Test Period</w:t>
      </w:r>
      <w:r>
        <w:rPr>
          <w:rFonts w:ascii="Arial" w:cs="Arial" w:eastAsia="Arial" w:hAnsi="Arial"/>
          <w:sz w:val="16"/>
          <w:szCs w:val="16"/>
          <w:color w:val="0000FF"/>
        </w:rPr>
        <w:t xml:space="preserve"> </w:t>
      </w:r>
      <w:r>
        <w:rPr>
          <w:rFonts w:ascii="Arial" w:cs="Arial" w:eastAsia="Arial" w:hAnsi="Arial"/>
          <w:sz w:val="16"/>
          <w:szCs w:val="16"/>
          <w:color w:val="FF0000"/>
        </w:rPr>
        <w:t>in the</w:t>
      </w:r>
      <w:r>
        <w:rPr>
          <w:rFonts w:ascii="Arial" w:cs="Arial" w:eastAsia="Arial" w:hAnsi="Arial"/>
          <w:sz w:val="16"/>
          <w:szCs w:val="16"/>
          <w:color w:val="0000FF"/>
        </w:rPr>
        <w:t xml:space="preserve"> </w:t>
      </w:r>
      <w:r>
        <w:rPr>
          <w:rFonts w:ascii="Arial" w:cs="Arial" w:eastAsia="Arial" w:hAnsi="Arial"/>
          <w:sz w:val="16"/>
          <w:szCs w:val="16"/>
          <w:color w:val="FF0000"/>
          <w:strike w:val="1"/>
        </w:rPr>
        <w:t>applicable Approved Budget (the “</w:t>
      </w:r>
      <w:r>
        <w:rPr>
          <w:rFonts w:ascii="Arial" w:cs="Arial" w:eastAsia="Arial" w:hAnsi="Arial"/>
          <w:sz w:val="16"/>
          <w:szCs w:val="16"/>
          <w:b w:val="1"/>
          <w:bCs w:val="1"/>
          <w:color w:val="FF0000"/>
          <w:strike w:val="1"/>
        </w:rPr>
        <w:t>Disbursement Budget Covenant</w:t>
      </w:r>
      <w:r>
        <w:rPr>
          <w:rFonts w:ascii="Arial" w:cs="Arial" w:eastAsia="Arial" w:hAnsi="Arial"/>
          <w:sz w:val="16"/>
          <w:szCs w:val="16"/>
          <w:color w:val="FF0000"/>
          <w:strike w:val="1"/>
        </w:rPr>
        <w:t xml:space="preserv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the Disbursement Budget Covenant (for purposes of actual operating disbursements and forecasted operating disbursements in the applicable Approved Budget, in each case, for the applicable Budget Variance Test Period) shall exclude any extraordinary, unusual or non-recurring (x) disbursements or (y) deferrals of disbursements, in each case, as agreed by the Borrower and the Required Lenders </w:t>
      </w:r>
      <w:r>
        <w:rPr>
          <w:rFonts w:ascii="Arial" w:cs="Arial" w:eastAsia="Arial" w:hAnsi="Arial"/>
          <w:sz w:val="16"/>
          <w:szCs w:val="16"/>
          <w:u w:val="single" w:color="auto"/>
          <w:color w:val="008000"/>
          <w:strike w:val="1"/>
        </w:rPr>
        <w:t>in writing (which may be via</w:t>
      </w:r>
      <w:r>
        <w:rPr>
          <w:rFonts w:ascii="Arial" w:cs="Arial" w:eastAsia="Arial" w:hAnsi="Arial"/>
          <w:sz w:val="16"/>
          <w:szCs w:val="16"/>
          <w:color w:val="FF0000"/>
          <w:strike w:val="1"/>
        </w:rPr>
        <w:t xml:space="preserve"> e-mail) on or prior the Amendment No. 3 Closing Date, and as may be agreed by the Borrower and the Required Lenders in writing (which may be via e-mail) from time to time after the Amendment No. 3 Closing Date.</w:t>
      </w:r>
      <w:r>
        <w:rPr>
          <w:rFonts w:ascii="Arial" w:cs="Arial" w:eastAsia="Arial" w:hAnsi="Arial"/>
          <w:sz w:val="16"/>
          <w:szCs w:val="16"/>
          <w:u w:val="single" w:color="auto"/>
          <w:color w:val="0000FF"/>
          <w:strike w:val="1"/>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-974090</wp:posOffset>
            </wp:positionV>
            <wp:extent cx="596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-974090</wp:posOffset>
            </wp:positionV>
            <wp:extent cx="29972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299720" cy="825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-974090</wp:posOffset>
            </wp:positionV>
            <wp:extent cx="14605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-836930</wp:posOffset>
            </wp:positionV>
            <wp:extent cx="522922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5229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-699770</wp:posOffset>
            </wp:positionV>
            <wp:extent cx="4705985"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4705985" cy="8890"/>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-785495</wp:posOffset>
            </wp:positionV>
            <wp:extent cx="28575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-151130</wp:posOffset>
            </wp:positionV>
            <wp:extent cx="134556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-13970</wp:posOffset>
            </wp:positionV>
            <wp:extent cx="15430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5" w:lineRule="exact"/>
        <w:rPr>
          <w:sz w:val="20"/>
          <w:szCs w:val="20"/>
          <w:color w:val="auto"/>
        </w:rPr>
      </w:pPr>
    </w:p>
    <w:p>
      <w:pPr>
        <w:jc w:val="both"/>
        <w:ind w:firstLine="436"/>
        <w:spacing w:after="0" w:line="259" w:lineRule="auto"/>
        <w:tabs>
          <w:tab w:leader="none" w:pos="685" w:val="left"/>
        </w:tabs>
        <w:numPr>
          <w:ilvl w:val="0"/>
          <w:numId w:val="230"/>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the sum of the actual aggregate amounts paid</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by the Borrower and its Subsidiaries with respect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severance and accrued pre-petition wages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the Budget Variance Test Period ending immediately prior to such Budget Variance Test Date to be greater than Permitted Variance Percentage of the aggregate amount set forth for the line items in the Approved Budget entitled “Severance ” and “Accrued Pre-Petition Wages” for such Budget Variance Test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66051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6912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6087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6686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u w:val="single" w:color="auto"/>
          <w:color w:val="0000FF"/>
        </w:rPr>
        <w:t>(d)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sum of the actual aggregate disbursements of the Borrower and its Subsidiaries with respect to lienholders and on account of taxes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other restructuring costs for the Budget Variance Test Period ending immediately prior to such Budget Variance Test Date to be greater than Permitted Variance Percentage of the aggregate amount set forth for the line item in the Approved Budget entitled “Prepetition Vendors &amp; Taxes” for such Budget Variance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9193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5800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3483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96837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6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To the extent that any Budget Variance Test Period encompasses a period that is covered in more than one Approved Budget, the applicable weeks from each applicable Approved Budget shall be utilized in making the calculations pursuant to this </w:t>
      </w:r>
      <w:r>
        <w:rPr>
          <w:rFonts w:ascii="Arial" w:cs="Arial" w:eastAsia="Arial" w:hAnsi="Arial"/>
          <w:sz w:val="18"/>
          <w:szCs w:val="18"/>
          <w:u w:val="single" w:color="auto"/>
          <w:color w:val="auto"/>
        </w:rPr>
        <w:t>Section 7.11</w:t>
      </w:r>
      <w:r>
        <w:rPr>
          <w:rFonts w:ascii="Arial" w:cs="Arial" w:eastAsia="Arial" w:hAnsi="Arial"/>
          <w:sz w:val="18"/>
          <w:szCs w:val="18"/>
          <w:color w:val="FF0000"/>
          <w:strike w:val="1"/>
        </w:rPr>
        <w:t>(b)</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0"/>
          </w:cols>
          <w:pgMar w:left="440" w:top="274" w:right="479" w:bottom="1440" w:gutter="0" w:footer="0" w:header="0"/>
        </w:sectPr>
      </w:pPr>
    </w:p>
    <w:bookmarkStart w:id="281" w:name="page282"/>
    <w:bookmarkEnd w:id="281"/>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7.12 </w:t>
      </w:r>
      <w:r>
        <w:rPr>
          <w:rFonts w:ascii="Arial" w:cs="Arial" w:eastAsia="Arial" w:hAnsi="Arial"/>
          <w:sz w:val="17"/>
          <w:szCs w:val="17"/>
          <w:i w:val="1"/>
          <w:iCs w:val="1"/>
          <w:color w:val="auto"/>
        </w:rPr>
        <w:t>Fiscal Year.</w:t>
      </w:r>
      <w:r>
        <w:rPr>
          <w:rFonts w:ascii="Arial" w:cs="Arial" w:eastAsia="Arial" w:hAnsi="Arial"/>
          <w:sz w:val="17"/>
          <w:szCs w:val="17"/>
          <w:color w:val="auto"/>
        </w:rPr>
        <w:t xml:space="preserve"> The Borrower shall not make any change in its fiscal year or fiscal quarters (it being understood that the Borrower’s fiscal year ends on December 31 of each year, and that each of the first three fiscal quarters of each fiscal year of the Borrower ends on the March 31, June 30 and September 30, respectively);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Borrower may, upon written notice to the Administrative Agent and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change its fiscal year and fiscal quarters to any other fiscal year (and any other fiscal quarters) reasonably acceptable to the Administrative Agent and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in which case, the Borrower and the Administrative Agent will, and are hereby authorized by the Lenders to, make any adjustments to this Agreement that are necessary to reflect such changes.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7.13 </w:t>
      </w:r>
      <w:r>
        <w:rPr>
          <w:rFonts w:ascii="Arial" w:cs="Arial" w:eastAsia="Arial" w:hAnsi="Arial"/>
          <w:sz w:val="18"/>
          <w:szCs w:val="18"/>
          <w:i w:val="1"/>
          <w:iCs w:val="1"/>
          <w:color w:val="auto"/>
        </w:rPr>
        <w:t>Prepayments, Etc. of Indebtedness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Except as set forth in the Approved Budget (subject to Permitted Variances), the DIP Order, the Canadian Orders, the Bidding Procedures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Order, the First Day Order, the Second Day Order or the UST Adequate Protection Order, the</w:t>
      </w:r>
      <w:r>
        <w:rPr>
          <w:rFonts w:ascii="Arial" w:cs="Arial" w:eastAsia="Arial" w:hAnsi="Arial"/>
          <w:sz w:val="16"/>
          <w:szCs w:val="16"/>
          <w:color w:val="0000FF"/>
        </w:rPr>
        <w:t xml:space="preserve"> </w:t>
      </w:r>
      <w:r>
        <w:rPr>
          <w:rFonts w:ascii="Arial" w:cs="Arial" w:eastAsia="Arial" w:hAnsi="Arial"/>
          <w:sz w:val="16"/>
          <w:szCs w:val="16"/>
          <w:color w:val="000000"/>
        </w:rPr>
        <w:t>Borrower shall not, nor shall it permit any</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rPr>
        <w:t xml:space="preserve"> </w:t>
      </w:r>
      <w:r>
        <w:rPr>
          <w:rFonts w:ascii="Arial" w:cs="Arial" w:eastAsia="Arial" w:hAnsi="Arial"/>
          <w:sz w:val="16"/>
          <w:szCs w:val="16"/>
          <w:color w:val="000000"/>
        </w:rPr>
        <w:t xml:space="preserve">Subsidiary to, directly or indirectly </w:t>
      </w:r>
      <w:r>
        <w:rPr>
          <w:rFonts w:ascii="Arial" w:cs="Arial" w:eastAsia="Arial" w:hAnsi="Arial"/>
          <w:sz w:val="16"/>
          <w:szCs w:val="16"/>
          <w:u w:val="single" w:color="auto"/>
          <w:color w:val="0000FF"/>
        </w:rPr>
        <w:t>from proceeds on the B-2 Priority Collateral</w:t>
      </w:r>
      <w:r>
        <w:rPr>
          <w:rFonts w:ascii="Arial" w:cs="Arial" w:eastAsia="Arial" w:hAnsi="Arial"/>
          <w:sz w:val="16"/>
          <w:szCs w:val="16"/>
          <w:color w:val="000000"/>
        </w:rPr>
        <w:t xml:space="preserve">, voluntarily </w:t>
      </w:r>
      <w:r>
        <w:rPr>
          <w:rFonts w:ascii="Arial" w:cs="Arial" w:eastAsia="Arial" w:hAnsi="Arial"/>
          <w:sz w:val="16"/>
          <w:szCs w:val="16"/>
          <w:u w:val="single" w:color="auto"/>
          <w:color w:val="0000FF"/>
        </w:rPr>
        <w:t>pay,</w:t>
      </w:r>
      <w:r>
        <w:rPr>
          <w:rFonts w:ascii="Arial" w:cs="Arial" w:eastAsia="Arial" w:hAnsi="Arial"/>
          <w:sz w:val="16"/>
          <w:szCs w:val="16"/>
          <w:color w:val="000000"/>
        </w:rPr>
        <w:t xml:space="preserve"> prepay, redeem, purchase, defease or otherwise satisfy </w:t>
      </w:r>
      <w:r>
        <w:rPr>
          <w:rFonts w:ascii="Arial" w:cs="Arial" w:eastAsia="Arial" w:hAnsi="Arial"/>
          <w:sz w:val="16"/>
          <w:szCs w:val="16"/>
          <w:color w:val="FF0000"/>
          <w:strike w:val="1"/>
        </w:rPr>
        <w:t>prior to the scheduled maturity thereof in any manner (it being understood that neither payments of regularly scheduled interest in cash, nor any payments of regularly scheduled principal amounts shall be permitted prior to the scheduled maturity date thereof) (x) any Permitted Additional Debt (or any Permitted Refinancing thereof), the UST Tranche A Facility Indebtedness (or any Permitted Refinancing thereof) or the UST Tranche B Facility Indebtedness (or any Permitted Refinancing thereof) or (y) any Junior Financing that constitutes Subordinated Indebtedness (or any Permitted Refinancing thereof), or make any payment in violation of any subordination terms of any Junior Financing Documentation, if any, except (i) any Permitted Refinancing permitted in respect thereof (including any Permitted Refinancing set forth in Section 7.03(u) hereof), (ii) the conversion of any Permitted Additional Debt (or any Permitted Refinancing thereof), the</w:t>
      </w:r>
      <w:r>
        <w:rPr>
          <w:rFonts w:ascii="Arial" w:cs="Arial" w:eastAsia="Arial" w:hAnsi="Arial"/>
          <w:sz w:val="16"/>
          <w:szCs w:val="16"/>
          <w:u w:val="single" w:color="auto"/>
          <w:color w:val="0000FF"/>
          <w:strike w:val="1"/>
        </w:rPr>
        <w:t>any principal, interest or other amounts, in any manner, with respect to any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Prepetition ABL Facility Indebtedness, Prepetition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UST Tranche A Facility Indebtedness 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the</w:t>
      </w:r>
      <w:r>
        <w:rPr>
          <w:rFonts w:ascii="Arial" w:cs="Arial" w:eastAsia="Arial" w:hAnsi="Arial"/>
          <w:sz w:val="16"/>
          <w:szCs w:val="16"/>
          <w:u w:val="single" w:color="auto"/>
          <w:color w:val="0000FF"/>
          <w:strike w:val="1"/>
        </w:rPr>
        <w:t>Prepetition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UST Tranche B Facility Indebtedness 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Junior Financing that constitutes Subordinated Indebtedness (or any Permitted Refinancing thereof) to Equity Interests (other than Disqualified Equity Interests) of the Borrower, (iii) the prepayment of Indebtedness of the Borrower or any Restricted Subsidiary to the Borrower or any Restricted Subsidiary to the extent not prohibited by applicable subordination provisions, (iv) prepayments, redemptions, purchases, defeasances and other payments or satisfaction from the proceeds of equity issuances by the Borrower, (v) AHYDO “catch up” payments, (vi) prepayments, redemptions, purchases, defeasances and other payments in respect of Permitted Additional Debt (or any Permitted Refinancing thereof), and Junior Financings that constitutes Subordinated Indebtedness (or any Permitted Refinancing thereof) prior to their scheduled maturity </w:t>
      </w:r>
      <w:r>
        <w:rPr>
          <w:rFonts w:ascii="Arial" w:cs="Arial" w:eastAsia="Arial" w:hAnsi="Arial"/>
          <w:sz w:val="16"/>
          <w:szCs w:val="16"/>
          <w:color w:val="008000"/>
          <w:strike w:val="1"/>
        </w:rPr>
        <w:t>in an aggregate amount not to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-2178050</wp:posOffset>
            </wp:positionV>
            <wp:extent cx="630047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-2040890</wp:posOffset>
            </wp:positionV>
            <wp:extent cx="426910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-1903730</wp:posOffset>
            </wp:positionV>
            <wp:extent cx="285432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-943610</wp:posOffset>
            </wp:positionV>
            <wp:extent cx="342011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-806450</wp:posOffset>
            </wp:positionV>
            <wp:extent cx="232283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2322830" cy="889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-806450</wp:posOffset>
            </wp:positionV>
            <wp:extent cx="497205"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-69215</wp:posOffset>
            </wp:positionV>
            <wp:extent cx="1735455"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735455" cy="8890"/>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8"/>
          <w:szCs w:val="18"/>
          <w:color w:val="FF0000"/>
          <w:strike w:val="1"/>
        </w:rPr>
        <w:t xml:space="preserve">(x) together with (I) the aggregate amount of Investments made under sub-clause (x) of Section 7.02(p) and (II) the aggregate amount of Restricted Payments made pursuant to sub-clause (x) of Section 7.06(e), $5,000,000, </w:t>
      </w:r>
      <w:r>
        <w:rPr>
          <w:rFonts w:ascii="Arial" w:cs="Arial" w:eastAsia="Arial" w:hAnsi="Arial"/>
          <w:sz w:val="18"/>
          <w:szCs w:val="18"/>
          <w:i w:val="1"/>
          <w:iCs w:val="1"/>
          <w:color w:val="FF0000"/>
          <w:strike w:val="1"/>
        </w:rPr>
        <w:t>plus</w:t>
      </w:r>
      <w:r>
        <w:rPr>
          <w:rFonts w:ascii="Arial" w:cs="Arial" w:eastAsia="Arial" w:hAnsi="Arial"/>
          <w:sz w:val="18"/>
          <w:szCs w:val="18"/>
          <w:color w:val="FF0000"/>
          <w:strike w:val="1"/>
        </w:rPr>
        <w:t xml:space="preserve"> (y) the portion, if any, of the Cumulative Credit on such date that the Borrower elects to apply to this subclause (y),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(A) no prepayment, redemption, purchase, defeasance or other payment shall be made pursuant to this clause (vi) if an Event of Default has occurred and is continuing or would result therefrom, and (B) no prepayments, redemptions, purchases, defeasances and other payments in respect of Permitted Additional Debt shall be permitted under this clause (vi) until the Specified Amendment No. 1 Period shall have ended, (vii) with respect to the UST Tranche A Facility Indebtedness and the UST Tranche B Facility Indebtedness, payments of regularly scheduled interest in cash and in-kind shall be permitted, (viii) with respect to the UST Tranche A Facility Indebtedness and to the extent required under the UST Tranche A Credit Agreement (as in effect on the Amendment No. 2 Effective Date), payments from proceeds of the Disposition of UST Tranche A Only Collateral shall be permitted, and (ix) with respect to the UST Tranche B Facility Indebtedness and to the extent required under the UST Tranche B Credit Agreement (as in effect on the Amendment No. 2 Effective Date), payments from proceeds of the Disposition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0"/>
          </w:cols>
          <w:pgMar w:left="440" w:top="274" w:right="459" w:bottom="1440" w:gutter="0" w:footer="0" w:header="0"/>
        </w:sectPr>
      </w:pPr>
    </w:p>
    <w:bookmarkStart w:id="282" w:name="page283"/>
    <w:bookmarkEnd w:id="282"/>
    <w:p>
      <w:pPr>
        <w:ind w:left="4"/>
        <w:spacing w:after="0" w:line="285"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UST Tranche B Priority Collateral, UST Tranche B Joint Collateral (in the case of UST Tranche B Joint Collateral, in accordance with clause (i) of the last sentence of Section 2.13(a)(ii)) and UST Tranche B Only Collateral shall be permitted. For greater certainty, nothing in this Section 7.13(a) or elsewhere in this Agreement shall limit or restrict the ability of the Borrower or any Restricted Subsidiary to prepay, redeem, purchase, defease or otherwise satisfy prior to the scheduled maturity thereof any ABL Facility Indebtedness or other obligations also secured pursuant to the ABL Credit Agreement.</w:t>
      </w:r>
      <w:r>
        <w:rPr>
          <w:rFonts w:ascii="Arial" w:cs="Arial" w:eastAsia="Arial" w:hAnsi="Arial"/>
          <w:sz w:val="16"/>
          <w:szCs w:val="16"/>
          <w:u w:val="single" w:color="auto"/>
          <w:color w:val="0000FF"/>
          <w:strike w:val="1"/>
        </w:rPr>
        <w:t>payables, other than (i) payments set forth in the Approved Budget (subject to Permitted Variances), (ii) UST Adequate Protection Payments,</w:t>
      </w:r>
    </w:p>
    <w:p>
      <w:pPr>
        <w:spacing w:after="0" w:line="2" w:lineRule="exact"/>
        <w:rPr>
          <w:sz w:val="20"/>
          <w:szCs w:val="20"/>
          <w:color w:val="auto"/>
        </w:rPr>
      </w:pPr>
    </w:p>
    <w:p>
      <w:pPr>
        <w:ind w:left="4" w:right="120" w:hanging="4"/>
        <w:spacing w:after="0" w:line="255" w:lineRule="auto"/>
        <w:tabs>
          <w:tab w:leader="none" w:pos="319" w:val="left"/>
        </w:tabs>
        <w:numPr>
          <w:ilvl w:val="0"/>
          <w:numId w:val="23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ABL Adequate Protection Fees and Expenses (as defined in the DIP Order), (iv) adequate protection payments for the Lenders, (v) any other payments contemplated by the DIP Order (including prepayments and repayments of the Obligations), and (vi) other payments agreed in writing by the Lenders and authorized by the Bankruptcy Court or the Canadian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-409575</wp:posOffset>
            </wp:positionV>
            <wp:extent cx="644652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6635115"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9176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330009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0"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FF0000"/>
          <w:strike w:val="1"/>
        </w:rPr>
        <w:t>(i) The</w:t>
      </w:r>
      <w:r>
        <w:rPr>
          <w:rFonts w:ascii="Arial" w:cs="Arial" w:eastAsia="Arial" w:hAnsi="Arial"/>
          <w:sz w:val="18"/>
          <w:szCs w:val="18"/>
          <w:u w:val="single" w:color="auto"/>
          <w:color w:val="0000FF"/>
        </w:rPr>
        <w:t>Except as permitted by the DIP Order, the</w:t>
      </w:r>
      <w:r>
        <w:rPr>
          <w:rFonts w:ascii="Arial" w:cs="Arial" w:eastAsia="Arial" w:hAnsi="Arial"/>
          <w:sz w:val="18"/>
          <w:szCs w:val="18"/>
          <w:color w:val="auto"/>
        </w:rPr>
        <w:t xml:space="preserve"> Borrower shall not, nor shall it permit any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Subsidiary to, directly or indirectly, amend, modify, change, terminate or release in any manner materially adverse to the interests of the Lenders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any term or condition of any </w:t>
      </w:r>
      <w:r>
        <w:rPr>
          <w:rFonts w:ascii="Arial" w:cs="Arial" w:eastAsia="Arial" w:hAnsi="Arial"/>
          <w:sz w:val="18"/>
          <w:szCs w:val="18"/>
          <w:color w:val="FF0000"/>
          <w:strike w:val="1"/>
        </w:rPr>
        <w:t>Junior</w:t>
      </w:r>
      <w:r>
        <w:rPr>
          <w:rFonts w:ascii="Arial" w:cs="Arial" w:eastAsia="Arial" w:hAnsi="Arial"/>
          <w:sz w:val="18"/>
          <w:szCs w:val="18"/>
          <w:color w:val="auto"/>
        </w:rPr>
        <w:t xml:space="preserve"> </w:t>
      </w:r>
      <w:r>
        <w:rPr>
          <w:rFonts w:ascii="Arial" w:cs="Arial" w:eastAsia="Arial" w:hAnsi="Arial"/>
          <w:sz w:val="18"/>
          <w:szCs w:val="18"/>
          <w:color w:val="FF0000"/>
          <w:strike w:val="1"/>
        </w:rPr>
        <w:t>Financing</w:t>
      </w:r>
      <w:r>
        <w:rPr>
          <w:rFonts w:ascii="Arial" w:cs="Arial" w:eastAsia="Arial" w:hAnsi="Arial"/>
          <w:sz w:val="18"/>
          <w:szCs w:val="18"/>
          <w:u w:val="single" w:color="auto"/>
          <w:color w:val="0000FF"/>
        </w:rPr>
        <w:t>document comprising Prepetition Facility</w:t>
      </w:r>
      <w:r>
        <w:rPr>
          <w:rFonts w:ascii="Arial" w:cs="Arial" w:eastAsia="Arial" w:hAnsi="Arial"/>
          <w:sz w:val="18"/>
          <w:szCs w:val="18"/>
          <w:color w:val="FF0000"/>
        </w:rPr>
        <w:t xml:space="preserve"> </w:t>
      </w:r>
      <w:r>
        <w:rPr>
          <w:rFonts w:ascii="Arial" w:cs="Arial" w:eastAsia="Arial" w:hAnsi="Arial"/>
          <w:sz w:val="18"/>
          <w:szCs w:val="18"/>
          <w:color w:val="000000"/>
        </w:rPr>
        <w:t>Documentation or</w:t>
      </w:r>
      <w:r>
        <w:rPr>
          <w:rFonts w:ascii="Arial" w:cs="Arial" w:eastAsia="Arial" w:hAnsi="Arial"/>
          <w:sz w:val="18"/>
          <w:szCs w:val="18"/>
          <w:color w:val="FF0000"/>
        </w:rPr>
        <w:t xml:space="preserve"> </w:t>
      </w:r>
      <w:r>
        <w:rPr>
          <w:rFonts w:ascii="Arial" w:cs="Arial" w:eastAsia="Arial" w:hAnsi="Arial"/>
          <w:sz w:val="18"/>
          <w:szCs w:val="18"/>
          <w:color w:val="FF0000"/>
          <w:strike w:val="1"/>
        </w:rPr>
        <w:t>the documentation governing any Permitted Additional Debt (or any Permitted</w:t>
      </w:r>
      <w:r>
        <w:rPr>
          <w:rFonts w:ascii="Arial" w:cs="Arial" w:eastAsia="Arial" w:hAnsi="Arial"/>
          <w:sz w:val="18"/>
          <w:szCs w:val="18"/>
          <w:color w:val="FF0000"/>
        </w:rPr>
        <w:t xml:space="preserve"> </w:t>
      </w:r>
      <w:r>
        <w:rPr>
          <w:rFonts w:ascii="Arial" w:cs="Arial" w:eastAsia="Arial" w:hAnsi="Arial"/>
          <w:sz w:val="18"/>
          <w:szCs w:val="18"/>
          <w:color w:val="FF0000"/>
          <w:strike w:val="1"/>
        </w:rPr>
        <w:t>Refinancing thereof) if the effect thereof would be to cause such Junior Financing or Permitted Additional Debt to no longer constitute Junior Financing or Permitted Additional Debt, as the case may be,</w:t>
      </w:r>
      <w:r>
        <w:rPr>
          <w:rFonts w:ascii="Arial" w:cs="Arial" w:eastAsia="Arial" w:hAnsi="Arial"/>
          <w:sz w:val="18"/>
          <w:szCs w:val="18"/>
          <w:u w:val="single" w:color="auto"/>
          <w:color w:val="0000FF"/>
          <w:strike w:val="1"/>
        </w:rPr>
        <w:t>any Junior DIP Loan Documents, in each case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without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prior written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consent of the</w:t>
      </w:r>
      <w:r>
        <w:rPr>
          <w:rFonts w:ascii="Arial" w:cs="Arial" w:eastAsia="Arial" w:hAnsi="Arial"/>
          <w:sz w:val="18"/>
          <w:szCs w:val="18"/>
          <w:color w:val="FF0000"/>
          <w:strike w:val="1"/>
        </w:rPr>
        <w:t xml:space="preserve"> Required Lenders (which consent shall not be unreasonably withheld, conditioned or delayed);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none of the ABL Facility Indebtedness, UST Tranche A Facility Indebtedness or UST Tranche B Facility Indebtedness shall be subject to this clause (b) unless expressly designated as Permitted Junior Priority Additional Debt.</w:t>
      </w:r>
      <w:r>
        <w:rPr>
          <w:rFonts w:ascii="Arial" w:cs="Arial" w:eastAsia="Arial" w:hAnsi="Arial"/>
          <w:sz w:val="18"/>
          <w:szCs w:val="18"/>
          <w:u w:val="single" w:color="auto"/>
          <w:color w:val="0000FF"/>
          <w:strike w:val="1"/>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-957580</wp:posOffset>
            </wp:positionV>
            <wp:extent cx="192024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-820420</wp:posOffset>
            </wp:positionV>
            <wp:extent cx="342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-683260</wp:posOffset>
            </wp:positionV>
            <wp:extent cx="190309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-408940</wp:posOffset>
            </wp:positionV>
            <wp:extent cx="329184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1905</wp:posOffset>
            </wp:positionV>
            <wp:extent cx="4025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72" w:lineRule="exact"/>
        <w:rPr>
          <w:sz w:val="20"/>
          <w:szCs w:val="20"/>
          <w:color w:val="auto"/>
        </w:rPr>
      </w:pPr>
    </w:p>
    <w:p>
      <w:pPr>
        <w:ind w:left="4" w:right="80" w:firstLine="987"/>
        <w:spacing w:after="0" w:line="255" w:lineRule="auto"/>
        <w:tabs>
          <w:tab w:leader="none" w:pos="1260" w:val="left"/>
        </w:tabs>
        <w:numPr>
          <w:ilvl w:val="0"/>
          <w:numId w:val="232"/>
        </w:numPr>
        <w:rPr>
          <w:rFonts w:ascii="Arial" w:cs="Arial" w:eastAsia="Arial" w:hAnsi="Arial"/>
          <w:sz w:val="18"/>
          <w:szCs w:val="18"/>
          <w:color w:val="FF0000"/>
          <w:strike w:val="1"/>
        </w:rPr>
      </w:pPr>
      <w:r>
        <w:rPr>
          <w:rFonts w:ascii="Arial" w:cs="Arial" w:eastAsia="Arial" w:hAnsi="Arial"/>
          <w:sz w:val="18"/>
          <w:szCs w:val="18"/>
          <w:color w:val="FF0000"/>
          <w:strike w:val="1"/>
        </w:rPr>
        <w:t>The Borrower shall not</w:t>
      </w:r>
      <w:r>
        <w:rPr>
          <w:rFonts w:ascii="Arial" w:cs="Arial" w:eastAsia="Arial" w:hAnsi="Arial"/>
          <w:sz w:val="18"/>
          <w:szCs w:val="18"/>
          <w:color w:val="008000"/>
          <w:strike w:val="1"/>
        </w:rPr>
        <w:t>, nor shall it permit any</w:t>
      </w:r>
      <w:r>
        <w:rPr>
          <w:rFonts w:ascii="Arial" w:cs="Arial" w:eastAsia="Arial" w:hAnsi="Arial"/>
          <w:sz w:val="18"/>
          <w:szCs w:val="18"/>
          <w:color w:val="FF0000"/>
          <w:strike w:val="1"/>
        </w:rPr>
        <w:t xml:space="preserve"> Restricted Subsidiary to, directly or indirectly, amend, modify, change, terminate or release in any manner materially adverse to the interests of the Lenders any term or condition of the UST Tranche A Facility Indebtedness or the UST Tranche B Facility Indebtedness (it being understood and agreed that any amendment to reduce the commitments for the UST Tranche A Facility under the UST Tranche A Facility Credit Agreement to an amount less than $300,000,000 and any amendment to increase the commitments for the UST Tranche B Facility under the UST Tranche B Credit Agreement to an amount in excess of $400,000,000 shall be deemed to be materially adverse to the interests of the Lenders).</w:t>
      </w:r>
    </w:p>
    <w:p>
      <w:pPr>
        <w:spacing w:after="0" w:line="192"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u w:val="single" w:color="auto"/>
          <w:color w:val="0000FF"/>
        </w:rPr>
        <w:t>(c)</w:t>
      </w:r>
      <w:r>
        <w:rPr>
          <w:rFonts w:ascii="Arial" w:cs="Arial" w:eastAsia="Arial" w:hAnsi="Arial"/>
          <w:sz w:val="17"/>
          <w:szCs w:val="17"/>
          <w:color w:val="000000"/>
        </w:rPr>
        <w:t xml:space="preserve">  </w:t>
      </w:r>
      <w:r>
        <w:rPr>
          <w:rFonts w:ascii="Arial" w:cs="Arial" w:eastAsia="Arial" w:hAnsi="Arial"/>
          <w:sz w:val="17"/>
          <w:szCs w:val="17"/>
          <w:u w:val="single" w:color="auto"/>
          <w:color w:val="008000"/>
        </w:rPr>
        <w:t>Notwithstanding anything to the contrary in this Agreement,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the other Loan Documents, the Junior DIP Loan Documents or the DIP Order,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it is expressly understood and agreed that no prepayment, repayment, repurchase, or exchange of borrowings under the Junior DIP Facility shall occur until all of the Obligations have first been indefeasibly paid in full in cash and any such prepayment, repayment, repurchase or exchange shall otherwise be consistent with the priorities for liens and claims securing the Junior DIP Facility as set forth in the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-421640</wp:posOffset>
            </wp:positionV>
            <wp:extent cx="662622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6866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6960870"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519493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7.14 </w:t>
      </w:r>
      <w:r>
        <w:rPr>
          <w:rFonts w:ascii="Arial" w:cs="Arial" w:eastAsia="Arial" w:hAnsi="Arial"/>
          <w:sz w:val="18"/>
          <w:szCs w:val="18"/>
          <w:i w:val="1"/>
          <w:iCs w:val="1"/>
          <w:color w:val="FF0000"/>
          <w:strike w:val="1"/>
        </w:rPr>
        <w:t>Prepayments, Etc. of Single-Employer Plans</w:t>
      </w:r>
      <w:r>
        <w:rPr>
          <w:rFonts w:ascii="Arial" w:cs="Arial" w:eastAsia="Arial" w:hAnsi="Arial"/>
          <w:sz w:val="18"/>
          <w:szCs w:val="18"/>
          <w:i w:val="1"/>
          <w:iCs w:val="1"/>
          <w:u w:val="single" w:color="auto"/>
          <w:color w:val="0000FF"/>
        </w:rPr>
        <w:t>[Reserved]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23495</wp:posOffset>
            </wp:positionV>
            <wp:extent cx="50609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5"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7.15 </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Leases and Other Executory Contracts; Exclusivity Period</w:t>
      </w:r>
      <w:r>
        <w:rPr>
          <w:rFonts w:ascii="Arial" w:cs="Arial" w:eastAsia="Arial" w:hAnsi="Arial"/>
          <w:sz w:val="18"/>
          <w:szCs w:val="18"/>
          <w:color w:val="000000"/>
        </w:rPr>
        <w:t>. The Borrower shall not</w:t>
      </w:r>
      <w:r>
        <w:rPr>
          <w:rFonts w:ascii="Arial" w:cs="Arial" w:eastAsia="Arial" w:hAnsi="Arial"/>
          <w:sz w:val="18"/>
          <w:szCs w:val="18"/>
          <w:color w:val="FF0000"/>
          <w:strike w:val="1"/>
        </w:rPr>
        <w:t>, except to the extent required by ERISA or</w:t>
      </w:r>
      <w:r>
        <w:rPr>
          <w:rFonts w:ascii="Arial" w:cs="Arial" w:eastAsia="Arial" w:hAnsi="Arial"/>
          <w:sz w:val="18"/>
          <w:szCs w:val="18"/>
          <w:color w:val="0000FF"/>
        </w:rPr>
        <w:t xml:space="preserve"> </w:t>
      </w:r>
      <w:r>
        <w:rPr>
          <w:rFonts w:ascii="Arial" w:cs="Arial" w:eastAsia="Arial" w:hAnsi="Arial"/>
          <w:sz w:val="18"/>
          <w:szCs w:val="18"/>
          <w:color w:val="FF0000"/>
          <w:strike w:val="1"/>
        </w:rPr>
        <w:t xml:space="preserve">other applicable Law, make any early lump sum payment to satisfy any liability under any Single-Employer Plan, in each case, directly from the cash or Cash Equivalents of the Borrower or the Restricted Subsidiaries (including, for the avoidance of doubt, the proceeds of any borrowing under the ABL Facility). </w:t>
      </w:r>
      <w:r>
        <w:rPr>
          <w:rFonts w:ascii="Arial" w:cs="Arial" w:eastAsia="Arial" w:hAnsi="Arial"/>
          <w:sz w:val="18"/>
          <w:szCs w:val="18"/>
          <w:u w:val="single" w:color="auto"/>
          <w:color w:val="0000FF"/>
          <w:strike w:val="1"/>
        </w:rPr>
        <w:t>(i) assume or reject any executory contract or unexpired lease or (ii) consent to termination or reduction of the exclusivity period to file and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solicit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-582295</wp:posOffset>
            </wp:positionV>
            <wp:extent cx="3420110" cy="4318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3420110" cy="4318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-136525</wp:posOffset>
            </wp:positionV>
            <wp:extent cx="6369050"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36004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4"/>
          </w:cols>
          <w:pgMar w:left="436" w:top="274" w:right="459" w:bottom="1440" w:gutter="0" w:footer="0" w:header="0"/>
        </w:sectPr>
      </w:pPr>
    </w:p>
    <w:bookmarkStart w:id="283" w:name="page284"/>
    <w:bookmarkEnd w:id="283"/>
    <w:p>
      <w:pPr>
        <w:ind w:right="30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Reorganization or fail to object to any motion seeking to terminate or reduce such exclusivity period, in each case, without the consent of the Junior DIP Lenders and, to the extent constituting or impacting any B-2 Priority Collateral,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79767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75742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15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u w:val="single" w:color="auto"/>
          <w:color w:val="0000FF"/>
        </w:rPr>
        <w:t>Section</w:t>
      </w:r>
      <w:r>
        <w:rPr>
          <w:rFonts w:ascii="Arial" w:cs="Arial" w:eastAsia="Arial" w:hAnsi="Arial"/>
          <w:sz w:val="16"/>
          <w:szCs w:val="16"/>
          <w:color w:val="0000FF"/>
        </w:rPr>
        <w:t xml:space="preserve"> 7.16 </w:t>
      </w:r>
      <w:r>
        <w:rPr>
          <w:rFonts w:ascii="Arial" w:cs="Arial" w:eastAsia="Arial" w:hAnsi="Arial"/>
          <w:sz w:val="16"/>
          <w:szCs w:val="16"/>
          <w:color w:val="000000"/>
        </w:rPr>
        <w:t xml:space="preserve"> </w:t>
      </w:r>
      <w:r>
        <w:rPr>
          <w:rFonts w:ascii="Arial" w:cs="Arial" w:eastAsia="Arial" w:hAnsi="Arial"/>
          <w:sz w:val="16"/>
          <w:szCs w:val="16"/>
          <w:i w:val="1"/>
          <w:iCs w:val="1"/>
          <w:u w:val="single" w:color="auto"/>
          <w:color w:val="0000FF"/>
        </w:rPr>
        <w:t>DIP Proceeds Account; Use of Cash.</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The Borrower shall maintain the DIP Proceeds Account at all times and ensure that only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 xml:space="preserve">proceeds of New Money Postpetition Term Loans </w:t>
      </w:r>
      <w:r>
        <w:rPr>
          <w:rFonts w:ascii="Arial" w:cs="Arial" w:eastAsia="Arial" w:hAnsi="Arial"/>
          <w:sz w:val="16"/>
          <w:szCs w:val="16"/>
          <w:i w:val="1"/>
          <w:iCs w:val="1"/>
          <w:u w:val="single" w:color="auto"/>
          <w:color w:val="0000FF"/>
        </w:rPr>
        <w:t>a</w:t>
      </w:r>
      <w:r>
        <w:rPr>
          <w:rFonts w:ascii="Arial" w:cs="Arial" w:eastAsia="Arial" w:hAnsi="Arial"/>
          <w:sz w:val="16"/>
          <w:szCs w:val="16"/>
          <w:u w:val="single" w:color="auto"/>
          <w:color w:val="0000FF"/>
        </w:rPr>
        <w:t xml:space="preserve">nd loans issued under the Junior DIP Facility are deposited in the DIP Proceeds Account. The Borrower (i) shall </w:t>
      </w:r>
      <w:r>
        <w:rPr>
          <w:rFonts w:ascii="Arial" w:cs="Arial" w:eastAsia="Arial" w:hAnsi="Arial"/>
          <w:sz w:val="16"/>
          <w:szCs w:val="16"/>
          <w:u w:val="single" w:color="auto"/>
          <w:color w:val="008000"/>
        </w:rPr>
        <w:t>not, nor shall it permit any</w:t>
      </w:r>
      <w:r>
        <w:rPr>
          <w:rFonts w:ascii="Arial" w:cs="Arial" w:eastAsia="Arial" w:hAnsi="Arial"/>
          <w:sz w:val="16"/>
          <w:szCs w:val="16"/>
          <w:u w:val="single" w:color="auto"/>
          <w:color w:val="0000FF"/>
        </w:rPr>
        <w:t xml:space="preserve"> Subsidiary who holds such DIP Proceeds Account, to withdraw any cash in the DIP Proceeds Account, or otherwise make any other payments during the pendency of the Chapter 11 Cases (notwithstanding the source of cash), except consistent with the Approved Budget (subject to Permitted Variances) and unless each of the following shall be true on the date of such withdrawal: (x) The representations and warranties set forth in Article 5 and in each other Loan Document shall be true and correct in all material respects on and as of the date of such Credit Extension with the same effect as though made on and as of such date</w:t>
      </w:r>
      <w:r>
        <w:rPr>
          <w:rFonts w:ascii="Arial" w:cs="Arial" w:eastAsia="Arial" w:hAnsi="Arial"/>
          <w:sz w:val="16"/>
          <w:szCs w:val="16"/>
          <w:u w:val="single" w:color="auto"/>
          <w:color w:val="008000"/>
        </w:rPr>
        <w:t>, except to the extent such</w:t>
      </w:r>
      <w:r>
        <w:rPr>
          <w:rFonts w:ascii="Arial" w:cs="Arial" w:eastAsia="Arial" w:hAnsi="Arial"/>
          <w:sz w:val="16"/>
          <w:szCs w:val="16"/>
          <w:u w:val="single" w:color="auto"/>
          <w:color w:val="0000FF"/>
        </w:rPr>
        <w:t xml:space="preserve"> representations and warranties expressly relate to an earlier date, in which case they shall be true and correct in all material respects as of such earlier date; provided, that any such representation and warranty that is qualified by “materiality”, “material adverse effect” or similar language shall be true and correct in all respects (after giving effect to such qualification therein) on and as of the date of such Credit Extension with the same effect as though made on and as of such date or such earlier date, as applicable, and (y) no Default or Event of Default (other than an Existing Default) shall exist or would result from such proposed Credit Extension or from the application of the proceeds therefrom and (ii) for the avoidance of doubt, shall not permit any cash in such DIP Proceeds Account to be subject to any zero-balance or other similar automatic sweep. For the avoidance of doubt, none of the DIP Proceeds Account, any funds therein, or any proceeds of New Money Postpetition Term Loans or loans issued under the Junior DIP Facility shall be subject to any terms or provisions in the DIP Order governing cash that constitutes Prepetition ABL Priority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-1967230</wp:posOffset>
            </wp:positionV>
            <wp:extent cx="6497955" cy="4318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649795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-1795780</wp:posOffset>
            </wp:positionV>
            <wp:extent cx="6643370"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-1658620</wp:posOffset>
            </wp:positionV>
            <wp:extent cx="692658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-1521460</wp:posOffset>
            </wp:positionV>
            <wp:extent cx="665226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-1384300</wp:posOffset>
            </wp:positionV>
            <wp:extent cx="696087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-1247140</wp:posOffset>
            </wp:positionV>
            <wp:extent cx="671195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-1109980</wp:posOffset>
            </wp:positionV>
            <wp:extent cx="696912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-972820</wp:posOffset>
            </wp:positionV>
            <wp:extent cx="675513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-835660</wp:posOffset>
            </wp:positionV>
            <wp:extent cx="680656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-698500</wp:posOffset>
            </wp:positionV>
            <wp:extent cx="674624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6591935"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-424180</wp:posOffset>
            </wp:positionV>
            <wp:extent cx="696087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-287020</wp:posOffset>
            </wp:positionV>
            <wp:extent cx="696087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699516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337756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4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7.17 </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No Canadian Pension Plans.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 Loan Party shall maintain, sponsor, administer, contribute to, participate in, or have any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obligations or any actual or contingent liability in respect of any Canadian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-182245</wp:posOffset>
            </wp:positionV>
            <wp:extent cx="6266180" cy="4318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626618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80060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w:t>
      </w:r>
      <w:r>
        <w:rPr>
          <w:rFonts w:ascii="Arial" w:cs="Arial" w:eastAsia="Arial" w:hAnsi="Arial"/>
          <w:sz w:val="18"/>
          <w:szCs w:val="18"/>
          <w:color w:val="FF0000"/>
          <w:strike w:val="1"/>
        </w:rPr>
        <w:t>Any</w:t>
      </w:r>
      <w:r>
        <w:rPr>
          <w:rFonts w:ascii="Arial" w:cs="Arial" w:eastAsia="Arial" w:hAnsi="Arial"/>
          <w:sz w:val="18"/>
          <w:szCs w:val="18"/>
          <w:u w:val="single" w:color="auto"/>
          <w:color w:val="0000FF"/>
        </w:rPr>
        <w:t>Each</w:t>
      </w:r>
      <w:r>
        <w:rPr>
          <w:rFonts w:ascii="Arial" w:cs="Arial" w:eastAsia="Arial" w:hAnsi="Arial"/>
          <w:sz w:val="18"/>
          <w:szCs w:val="18"/>
          <w:color w:val="auto"/>
        </w:rPr>
        <w:t xml:space="preserve"> of the following </w:t>
      </w:r>
      <w:r>
        <w:rPr>
          <w:rFonts w:ascii="Arial" w:cs="Arial" w:eastAsia="Arial" w:hAnsi="Arial"/>
          <w:sz w:val="18"/>
          <w:szCs w:val="18"/>
          <w:color w:val="FF0000"/>
          <w:strike w:val="1"/>
        </w:rPr>
        <w:t>from and after the Restatement Effective Date</w:t>
      </w:r>
      <w:r>
        <w:rPr>
          <w:rFonts w:ascii="Arial" w:cs="Arial" w:eastAsia="Arial" w:hAnsi="Arial"/>
          <w:sz w:val="18"/>
          <w:szCs w:val="18"/>
          <w:color w:val="auto"/>
        </w:rPr>
        <w:t xml:space="preserve">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-147955</wp:posOffset>
            </wp:positionV>
            <wp:extent cx="23114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42" w:lineRule="exact"/>
        <w:rPr>
          <w:sz w:val="20"/>
          <w:szCs w:val="20"/>
          <w:color w:val="auto"/>
        </w:rPr>
      </w:pPr>
    </w:p>
    <w:p>
      <w:pPr>
        <w:ind w:right="520" w:firstLine="440"/>
        <w:spacing w:after="0" w:line="28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Non-Payment</w:t>
      </w:r>
      <w:r>
        <w:rPr>
          <w:rFonts w:ascii="Arial" w:cs="Arial" w:eastAsia="Arial" w:hAnsi="Arial"/>
          <w:sz w:val="17"/>
          <w:szCs w:val="17"/>
          <w:color w:val="auto"/>
        </w:rPr>
        <w:t xml:space="preserve">. Any Loan Party fails to pay (i) when and as required to be paid herein or in any other Loan Document, any amount of principal of any Loan, (ii) within </w:t>
      </w:r>
      <w:r>
        <w:rPr>
          <w:rFonts w:ascii="Arial" w:cs="Arial" w:eastAsia="Arial" w:hAnsi="Arial"/>
          <w:sz w:val="17"/>
          <w:szCs w:val="17"/>
          <w:color w:val="FF0000"/>
          <w:strike w:val="1"/>
        </w:rPr>
        <w:t>five</w:t>
      </w:r>
      <w:r>
        <w:rPr>
          <w:rFonts w:ascii="Arial" w:cs="Arial" w:eastAsia="Arial" w:hAnsi="Arial"/>
          <w:sz w:val="17"/>
          <w:szCs w:val="17"/>
          <w:u w:val="single" w:color="auto"/>
          <w:color w:val="0000FF"/>
        </w:rPr>
        <w:t>three</w:t>
      </w:r>
      <w:r>
        <w:rPr>
          <w:rFonts w:ascii="Arial" w:cs="Arial" w:eastAsia="Arial" w:hAnsi="Arial"/>
          <w:sz w:val="17"/>
          <w:szCs w:val="17"/>
          <w:color w:val="auto"/>
        </w:rPr>
        <w:t xml:space="preserve"> (</w:t>
      </w:r>
      <w:r>
        <w:rPr>
          <w:rFonts w:ascii="Arial" w:cs="Arial" w:eastAsia="Arial" w:hAnsi="Arial"/>
          <w:sz w:val="17"/>
          <w:szCs w:val="17"/>
          <w:color w:val="FF0000"/>
          <w:strike w:val="1"/>
        </w:rPr>
        <w:t>5</w:t>
      </w:r>
      <w:r>
        <w:rPr>
          <w:rFonts w:ascii="Arial" w:cs="Arial" w:eastAsia="Arial" w:hAnsi="Arial"/>
          <w:sz w:val="17"/>
          <w:szCs w:val="17"/>
          <w:u w:val="single" w:color="auto"/>
          <w:color w:val="0000FF"/>
        </w:rPr>
        <w:t>3</w:t>
      </w:r>
      <w:r>
        <w:rPr>
          <w:rFonts w:ascii="Arial" w:cs="Arial" w:eastAsia="Arial" w:hAnsi="Arial"/>
          <w:sz w:val="17"/>
          <w:szCs w:val="17"/>
          <w:color w:val="auto"/>
        </w:rPr>
        <w:t>) Business Days after the same becomes due, any interest on any Loan</w:t>
      </w:r>
      <w:r>
        <w:rPr>
          <w:rFonts w:ascii="Arial" w:cs="Arial" w:eastAsia="Arial" w:hAnsi="Arial"/>
          <w:sz w:val="17"/>
          <w:szCs w:val="17"/>
          <w:color w:val="FF0000"/>
          <w:strike w:val="1"/>
        </w:rPr>
        <w:t>,</w:t>
      </w:r>
      <w:r>
        <w:rPr>
          <w:rFonts w:ascii="Arial" w:cs="Arial" w:eastAsia="Arial" w:hAnsi="Arial"/>
          <w:sz w:val="17"/>
          <w:szCs w:val="17"/>
          <w:color w:val="auto"/>
        </w:rPr>
        <w:t xml:space="preserve"> or (iii) within </w:t>
      </w:r>
      <w:r>
        <w:rPr>
          <w:rFonts w:ascii="Arial" w:cs="Arial" w:eastAsia="Arial" w:hAnsi="Arial"/>
          <w:sz w:val="17"/>
          <w:szCs w:val="17"/>
          <w:color w:val="FF0000"/>
          <w:strike w:val="1"/>
        </w:rPr>
        <w:t>ten</w:t>
      </w:r>
      <w:r>
        <w:rPr>
          <w:rFonts w:ascii="Arial" w:cs="Arial" w:eastAsia="Arial" w:hAnsi="Arial"/>
          <w:sz w:val="17"/>
          <w:szCs w:val="17"/>
          <w:u w:val="single" w:color="auto"/>
          <w:color w:val="0000FF"/>
        </w:rPr>
        <w:t>five</w:t>
      </w:r>
      <w:r>
        <w:rPr>
          <w:rFonts w:ascii="Arial" w:cs="Arial" w:eastAsia="Arial" w:hAnsi="Arial"/>
          <w:sz w:val="17"/>
          <w:szCs w:val="17"/>
          <w:color w:val="auto"/>
        </w:rPr>
        <w:t xml:space="preserve"> (</w:t>
      </w:r>
      <w:r>
        <w:rPr>
          <w:rFonts w:ascii="Arial" w:cs="Arial" w:eastAsia="Arial" w:hAnsi="Arial"/>
          <w:sz w:val="17"/>
          <w:szCs w:val="17"/>
          <w:color w:val="FF0000"/>
          <w:strike w:val="1"/>
        </w:rPr>
        <w:t>10</w:t>
      </w:r>
      <w:r>
        <w:rPr>
          <w:rFonts w:ascii="Arial" w:cs="Arial" w:eastAsia="Arial" w:hAnsi="Arial"/>
          <w:sz w:val="17"/>
          <w:szCs w:val="17"/>
          <w:u w:val="single" w:color="auto"/>
          <w:color w:val="0000FF"/>
        </w:rPr>
        <w:t>5</w:t>
      </w:r>
      <w:r>
        <w:rPr>
          <w:rFonts w:ascii="Arial" w:cs="Arial" w:eastAsia="Arial" w:hAnsi="Arial"/>
          <w:sz w:val="17"/>
          <w:szCs w:val="17"/>
          <w:color w:val="auto"/>
        </w:rPr>
        <w:t xml:space="preserve"> ) </w:t>
      </w:r>
      <w:r>
        <w:rPr>
          <w:rFonts w:ascii="Arial" w:cs="Arial" w:eastAsia="Arial" w:hAnsi="Arial"/>
          <w:sz w:val="17"/>
          <w:szCs w:val="17"/>
          <w:u w:val="single" w:color="auto"/>
          <w:color w:val="0000FF"/>
        </w:rPr>
        <w:t>Business</w:t>
      </w:r>
      <w:r>
        <w:rPr>
          <w:rFonts w:ascii="Arial" w:cs="Arial" w:eastAsia="Arial" w:hAnsi="Arial"/>
          <w:sz w:val="17"/>
          <w:szCs w:val="17"/>
          <w:color w:val="0000FF"/>
        </w:rPr>
        <w:t xml:space="preserve"> </w:t>
      </w:r>
      <w:r>
        <w:rPr>
          <w:rFonts w:ascii="Arial" w:cs="Arial" w:eastAsia="Arial" w:hAnsi="Arial"/>
          <w:sz w:val="17"/>
          <w:szCs w:val="17"/>
          <w:color w:val="FF0000"/>
          <w:strike w:val="1"/>
        </w:rPr>
        <w:t>d</w:t>
      </w:r>
      <w:r>
        <w:rPr>
          <w:rFonts w:ascii="Arial" w:cs="Arial" w:eastAsia="Arial" w:hAnsi="Arial"/>
          <w:sz w:val="17"/>
          <w:szCs w:val="17"/>
          <w:u w:val="single" w:color="auto"/>
          <w:color w:val="0000FF"/>
        </w:rPr>
        <w:t>D</w:t>
      </w:r>
      <w:r>
        <w:rPr>
          <w:rFonts w:ascii="Arial" w:cs="Arial" w:eastAsia="Arial" w:hAnsi="Arial"/>
          <w:sz w:val="17"/>
          <w:szCs w:val="17"/>
          <w:color w:val="000000"/>
        </w:rPr>
        <w:t>ays after the same becomes due, any other amount payable hereunder or with respect to any other Loan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-151130</wp:posOffset>
            </wp:positionV>
            <wp:extent cx="23114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-151130</wp:posOffset>
            </wp:positionV>
            <wp:extent cx="5143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-151130</wp:posOffset>
            </wp:positionV>
            <wp:extent cx="17970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-151130</wp:posOffset>
            </wp:positionV>
            <wp:extent cx="596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7404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Specific Covenants.</w:t>
      </w:r>
      <w:r>
        <w:rPr>
          <w:rFonts w:ascii="Arial" w:cs="Arial" w:eastAsia="Arial" w:hAnsi="Arial"/>
          <w:sz w:val="17"/>
          <w:szCs w:val="17"/>
          <w:color w:val="auto"/>
        </w:rPr>
        <w:t xml:space="preserve"> The Borrower fails to perform or observe any term, covenant or agreement contained in any of (i) </w:t>
      </w:r>
      <w:r>
        <w:rPr>
          <w:rFonts w:ascii="Arial" w:cs="Arial" w:eastAsia="Arial" w:hAnsi="Arial"/>
          <w:sz w:val="17"/>
          <w:szCs w:val="17"/>
          <w:u w:val="single" w:color="auto"/>
          <w:color w:val="auto"/>
        </w:rPr>
        <w:t>Sections 6.03(a)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delivery of a notice of Default or Event of Default at any time will cure an Event of Default under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arising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failure of the Borrower to timely deliver such notice of Default or Event of Default), </w:t>
      </w:r>
      <w:r>
        <w:rPr>
          <w:rFonts w:ascii="Arial" w:cs="Arial" w:eastAsia="Arial" w:hAnsi="Arial"/>
          <w:sz w:val="17"/>
          <w:szCs w:val="17"/>
          <w:u w:val="single" w:color="auto"/>
          <w:color w:val="auto"/>
        </w:rPr>
        <w:t>6.05(a)</w:t>
      </w:r>
      <w:r>
        <w:rPr>
          <w:rFonts w:ascii="Arial" w:cs="Arial" w:eastAsia="Arial" w:hAnsi="Arial"/>
          <w:sz w:val="17"/>
          <w:szCs w:val="17"/>
          <w:color w:val="auto"/>
        </w:rPr>
        <w:t xml:space="preserve"> (solely with respect to the Borrower), </w:t>
      </w:r>
      <w:r>
        <w:rPr>
          <w:rFonts w:ascii="Arial" w:cs="Arial" w:eastAsia="Arial" w:hAnsi="Arial"/>
          <w:sz w:val="17"/>
          <w:szCs w:val="17"/>
          <w:u w:val="single" w:color="auto"/>
          <w:color w:val="auto"/>
        </w:rPr>
        <w:t>6.13(c)</w:t>
      </w:r>
      <w:r>
        <w:rPr>
          <w:rFonts w:ascii="Arial" w:cs="Arial" w:eastAsia="Arial" w:hAnsi="Arial"/>
          <w:sz w:val="17"/>
          <w:szCs w:val="17"/>
          <w:color w:val="FF0000"/>
          <w:strike w:val="1"/>
        </w:rPr>
        <w:t>(ii), 6.13(c)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(iii)</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6.14</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6.15, 6.16</w:t>
      </w:r>
      <w:r>
        <w:rPr>
          <w:rFonts w:ascii="Arial" w:cs="Arial" w:eastAsia="Arial" w:hAnsi="Arial"/>
          <w:sz w:val="16"/>
          <w:szCs w:val="16"/>
          <w:color w:val="FF0000"/>
        </w:rPr>
        <w:t xml:space="preserve"> </w:t>
      </w:r>
      <w:r>
        <w:rPr>
          <w:rFonts w:ascii="Arial" w:cs="Arial" w:eastAsia="Arial" w:hAnsi="Arial"/>
          <w:sz w:val="16"/>
          <w:szCs w:val="16"/>
          <w:color w:val="000000"/>
        </w:rPr>
        <w:t>or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Article 7</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(other than Section 7.11)</w:t>
      </w:r>
      <w:r>
        <w:rPr>
          <w:rFonts w:ascii="Arial" w:cs="Arial" w:eastAsia="Arial" w:hAnsi="Arial"/>
          <w:sz w:val="16"/>
          <w:szCs w:val="16"/>
          <w:color w:val="FF0000"/>
        </w:rPr>
        <w:t xml:space="preserve"> </w:t>
      </w:r>
      <w:r>
        <w:rPr>
          <w:rFonts w:ascii="Arial" w:cs="Arial" w:eastAsia="Arial" w:hAnsi="Arial"/>
          <w:sz w:val="16"/>
          <w:szCs w:val="16"/>
          <w:color w:val="000000"/>
        </w:rPr>
        <w:t>or (ii) Section</w:t>
      </w:r>
      <w:r>
        <w:rPr>
          <w:rFonts w:ascii="Arial" w:cs="Arial" w:eastAsia="Arial" w:hAnsi="Arial"/>
          <w:sz w:val="16"/>
          <w:szCs w:val="16"/>
          <w:color w:val="FF0000"/>
          <w:strike w:val="1"/>
        </w:rPr>
        <w:t>s</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6.01</w:t>
      </w:r>
      <w:r>
        <w:rPr>
          <w:rFonts w:ascii="Arial" w:cs="Arial" w:eastAsia="Arial" w:hAnsi="Arial"/>
          <w:sz w:val="16"/>
          <w:szCs w:val="16"/>
          <w:color w:val="FF0000"/>
          <w:strike w:val="1"/>
        </w:rPr>
        <w:t>(a), 6.01(b), 6.02(l), 6.02(m), 6.02(n), 6.02(o), Section 6.13(c)(i) or 6.18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or 6.02</w:t>
      </w:r>
      <w:r>
        <w:rPr>
          <w:rFonts w:ascii="Arial" w:cs="Arial" w:eastAsia="Arial" w:hAnsi="Arial"/>
          <w:sz w:val="17"/>
          <w:szCs w:val="17"/>
          <w:color w:val="0000FF"/>
        </w:rPr>
        <w:t xml:space="preserve"> </w:t>
      </w:r>
      <w:r>
        <w:rPr>
          <w:rFonts w:ascii="Arial" w:cs="Arial" w:eastAsia="Arial" w:hAnsi="Arial"/>
          <w:sz w:val="17"/>
          <w:szCs w:val="17"/>
          <w:color w:val="000000"/>
        </w:rPr>
        <w:t>and, in the case solely of this clause (ii), such failure continues for two Business Days after the earlier of (A)</w:t>
      </w:r>
      <w:r>
        <w:rPr>
          <w:rFonts w:ascii="Arial" w:cs="Arial" w:eastAsia="Arial" w:hAnsi="Arial"/>
          <w:sz w:val="17"/>
          <w:szCs w:val="17"/>
          <w:color w:val="0000FF"/>
        </w:rPr>
        <w:t xml:space="preserve"> </w:t>
      </w:r>
      <w:r>
        <w:rPr>
          <w:rFonts w:ascii="Arial" w:cs="Arial" w:eastAsia="Arial" w:hAnsi="Arial"/>
          <w:sz w:val="17"/>
          <w:szCs w:val="17"/>
          <w:color w:val="FF0000"/>
          <w:strike w:val="1"/>
        </w:rPr>
        <w:t>an</w:t>
      </w:r>
      <w:r>
        <w:rPr>
          <w:rFonts w:ascii="Arial" w:cs="Arial" w:eastAsia="Arial" w:hAnsi="Arial"/>
          <w:sz w:val="17"/>
          <w:szCs w:val="17"/>
          <w:u w:val="single" w:color="auto"/>
          <w:color w:val="0000FF"/>
        </w:rPr>
        <w:t>a</w:t>
      </w:r>
      <w:r>
        <w:rPr>
          <w:rFonts w:ascii="Arial" w:cs="Arial" w:eastAsia="Arial" w:hAnsi="Arial"/>
          <w:sz w:val="17"/>
          <w:szCs w:val="17"/>
          <w:color w:val="0000FF"/>
        </w:rPr>
        <w:t xml:space="preserve"> </w:t>
      </w:r>
      <w:r>
        <w:rPr>
          <w:rFonts w:ascii="Arial" w:cs="Arial" w:eastAsia="Arial" w:hAnsi="Arial"/>
          <w:sz w:val="17"/>
          <w:szCs w:val="17"/>
          <w:color w:val="000000"/>
        </w:rPr>
        <w:t>Responsible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-114935</wp:posOffset>
            </wp:positionV>
            <wp:extent cx="596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-114935</wp:posOffset>
            </wp:positionV>
            <wp:extent cx="2603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-114935</wp:posOffset>
            </wp:positionV>
            <wp:extent cx="52324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-114935</wp:posOffset>
            </wp:positionV>
            <wp:extent cx="6032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-12065</wp:posOffset>
            </wp:positionV>
            <wp:extent cx="2857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Borrower becoming aware of such default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(B) receipt by the Borrower of written notice thereof from the Administrative Agent or the </w:t>
      </w:r>
      <w:r>
        <w:rPr>
          <w:rFonts w:ascii="Arial" w:cs="Arial" w:eastAsia="Arial" w:hAnsi="Arial"/>
          <w:sz w:val="16"/>
          <w:szCs w:val="16"/>
          <w:color w:val="FF0000"/>
          <w:strike w:val="1"/>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20015"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-107315</wp:posOffset>
            </wp:positionV>
            <wp:extent cx="51435"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-121920</wp:posOffset>
            </wp:positionV>
            <wp:extent cx="16256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274" w:right="459" w:bottom="1440" w:gutter="0" w:footer="0" w:header="0"/>
        </w:sectPr>
      </w:pPr>
    </w:p>
    <w:bookmarkStart w:id="284" w:name="page285"/>
    <w:bookmarkEnd w:id="284"/>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Arial" w:cs="Arial" w:eastAsia="Arial" w:hAnsi="Arial"/>
          <w:sz w:val="18"/>
          <w:szCs w:val="18"/>
          <w:i w:val="1"/>
          <w:iCs w:val="1"/>
          <w:color w:val="auto"/>
        </w:rPr>
        <w:t>Other Defaults.</w:t>
      </w:r>
      <w:r>
        <w:rPr>
          <w:rFonts w:ascii="Arial" w:cs="Arial" w:eastAsia="Arial" w:hAnsi="Arial"/>
          <w:sz w:val="18"/>
          <w:szCs w:val="18"/>
          <w:color w:val="auto"/>
        </w:rPr>
        <w:t xml:space="preserve"> Any Loan Party fails to perform or observe any other term, covenant or agreement (not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contained in any Loan Document on its part to be performed or observed </w:t>
      </w:r>
      <w:r>
        <w:rPr>
          <w:rFonts w:ascii="Arial" w:cs="Arial" w:eastAsia="Arial" w:hAnsi="Arial"/>
          <w:sz w:val="16"/>
          <w:szCs w:val="16"/>
          <w:u w:val="single" w:color="auto"/>
          <w:color w:val="008000"/>
        </w:rPr>
        <w:t>(other than pursuant to 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7.11)</w:t>
      </w:r>
      <w:r>
        <w:rPr>
          <w:rFonts w:ascii="Arial" w:cs="Arial" w:eastAsia="Arial" w:hAnsi="Arial"/>
          <w:sz w:val="16"/>
          <w:szCs w:val="16"/>
          <w:color w:val="auto"/>
        </w:rPr>
        <w:t xml:space="preserve"> </w:t>
      </w:r>
      <w:r>
        <w:rPr>
          <w:rFonts w:ascii="Arial" w:cs="Arial" w:eastAsia="Arial" w:hAnsi="Arial"/>
          <w:sz w:val="16"/>
          <w:szCs w:val="16"/>
          <w:color w:val="0000FF"/>
        </w:rPr>
        <w:t>and such failure continues for</w:t>
      </w:r>
      <w:r>
        <w:rPr>
          <w:rFonts w:ascii="Arial" w:cs="Arial" w:eastAsia="Arial" w:hAnsi="Arial"/>
          <w:sz w:val="16"/>
          <w:szCs w:val="16"/>
          <w:color w:val="auto"/>
        </w:rPr>
        <w:t xml:space="preserve"> </w:t>
      </w:r>
      <w:r>
        <w:rPr>
          <w:rFonts w:ascii="Arial" w:cs="Arial" w:eastAsia="Arial" w:hAnsi="Arial"/>
          <w:sz w:val="16"/>
          <w:szCs w:val="16"/>
          <w:color w:val="FF0000"/>
          <w:strike w:val="1"/>
        </w:rPr>
        <w:t>thirty</w:t>
      </w:r>
      <w:r>
        <w:rPr>
          <w:rFonts w:ascii="Arial" w:cs="Arial" w:eastAsia="Arial" w:hAnsi="Arial"/>
          <w:sz w:val="16"/>
          <w:szCs w:val="16"/>
          <w:u w:val="single" w:color="auto"/>
          <w:color w:val="0000FF"/>
        </w:rPr>
        <w:t>fifteen</w:t>
      </w:r>
      <w:r>
        <w:rPr>
          <w:rFonts w:ascii="Arial" w:cs="Arial" w:eastAsia="Arial" w:hAnsi="Arial"/>
          <w:sz w:val="16"/>
          <w:szCs w:val="16"/>
          <w:color w:val="FF0000"/>
        </w:rPr>
        <w:t xml:space="preserve"> </w:t>
      </w:r>
      <w:r>
        <w:rPr>
          <w:rFonts w:ascii="Arial" w:cs="Arial" w:eastAsia="Arial" w:hAnsi="Arial"/>
          <w:sz w:val="16"/>
          <w:szCs w:val="16"/>
          <w:color w:val="0000FF"/>
        </w:rPr>
        <w:t>(</w:t>
      </w:r>
      <w:r>
        <w:rPr>
          <w:rFonts w:ascii="Arial" w:cs="Arial" w:eastAsia="Arial" w:hAnsi="Arial"/>
          <w:sz w:val="16"/>
          <w:szCs w:val="16"/>
          <w:color w:val="FF0000"/>
          <w:strike w:val="1"/>
        </w:rPr>
        <w:t>30</w:t>
      </w:r>
      <w:r>
        <w:rPr>
          <w:rFonts w:ascii="Arial" w:cs="Arial" w:eastAsia="Arial" w:hAnsi="Arial"/>
          <w:sz w:val="16"/>
          <w:szCs w:val="16"/>
          <w:u w:val="single" w:color="auto"/>
          <w:color w:val="0000FF"/>
        </w:rPr>
        <w:t>15</w:t>
      </w:r>
      <w:r>
        <w:rPr>
          <w:rFonts w:ascii="Arial" w:cs="Arial" w:eastAsia="Arial" w:hAnsi="Arial"/>
          <w:sz w:val="16"/>
          <w:szCs w:val="16"/>
          <w:color w:val="FF0000"/>
        </w:rPr>
        <w:t xml:space="preserve"> </w:t>
      </w:r>
      <w:r>
        <w:rPr>
          <w:rFonts w:ascii="Arial" w:cs="Arial" w:eastAsia="Arial" w:hAnsi="Arial"/>
          <w:sz w:val="16"/>
          <w:szCs w:val="16"/>
          <w:color w:val="0000FF"/>
        </w:rPr>
        <w:t>) days after receipt by the Borrower of written notice thereof from the Administrative Agent or the</w:t>
      </w:r>
      <w:r>
        <w:rPr>
          <w:rFonts w:ascii="Arial" w:cs="Arial" w:eastAsia="Arial" w:hAnsi="Arial"/>
          <w:sz w:val="16"/>
          <w:szCs w:val="16"/>
          <w:color w:val="FF0000"/>
        </w:rPr>
        <w:t xml:space="preserve"> </w:t>
      </w:r>
      <w:r>
        <w:rPr>
          <w:rFonts w:ascii="Arial" w:cs="Arial" w:eastAsia="Arial" w:hAnsi="Arial"/>
          <w:sz w:val="16"/>
          <w:szCs w:val="16"/>
          <w:color w:val="FF0000"/>
          <w:strike w:val="1"/>
        </w:rPr>
        <w:t>Required</w:t>
      </w:r>
      <w:r>
        <w:rPr>
          <w:rFonts w:ascii="Arial" w:cs="Arial" w:eastAsia="Arial" w:hAnsi="Arial"/>
          <w:sz w:val="16"/>
          <w:szCs w:val="16"/>
          <w:color w:val="FF0000"/>
        </w:rPr>
        <w:t xml:space="preserve"> </w:t>
      </w:r>
      <w:r>
        <w:rPr>
          <w:rFonts w:ascii="Arial" w:cs="Arial" w:eastAsia="Arial" w:hAnsi="Arial"/>
          <w:sz w:val="16"/>
          <w:szCs w:val="16"/>
          <w:color w:val="0000FF"/>
        </w:rPr>
        <w:t>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-168275</wp:posOffset>
            </wp:positionV>
            <wp:extent cx="173164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-31115</wp:posOffset>
            </wp:positionV>
            <wp:extent cx="29972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29972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-31115</wp:posOffset>
            </wp:positionV>
            <wp:extent cx="11176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xml:space="preserve"> Any representation, warranty, certification or statement of fact made or deemed made by or on behalf of the Borrower or any other Loan Party herein, in any other Loan Document, or in any Compliance Certificate or other document required to be delivered in connection herewith or therewith shall be incorrect or misleading in any material respect when made or deemed made; or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 xml:space="preserve">(e) </w:t>
      </w:r>
      <w:r>
        <w:rPr>
          <w:rFonts w:ascii="Arial" w:cs="Arial" w:eastAsia="Arial" w:hAnsi="Arial"/>
          <w:sz w:val="18"/>
          <w:szCs w:val="18"/>
          <w:i w:val="1"/>
          <w:iCs w:val="1"/>
          <w:color w:val="FF0000"/>
          <w:strike w:val="1"/>
        </w:rPr>
        <w:t>Cross-Default</w:t>
      </w:r>
      <w:r>
        <w:rPr>
          <w:rFonts w:ascii="Arial" w:cs="Arial" w:eastAsia="Arial" w:hAnsi="Arial"/>
          <w:sz w:val="18"/>
          <w:szCs w:val="18"/>
          <w:color w:val="FF0000"/>
          <w:strike w:val="1"/>
        </w:rPr>
        <w: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u w:val="single" w:color="auto"/>
          <w:color w:val="0000FF"/>
        </w:rPr>
        <w:t>(e)</w:t>
      </w:r>
      <w:r>
        <w:rPr>
          <w:rFonts w:ascii="Arial" w:cs="Arial" w:eastAsia="Arial" w:hAnsi="Arial"/>
          <w:sz w:val="16"/>
          <w:szCs w:val="16"/>
          <w:color w:val="000000"/>
        </w:rPr>
        <w:t xml:space="preserve">  </w:t>
      </w:r>
      <w:r>
        <w:rPr>
          <w:rFonts w:ascii="Arial" w:cs="Arial" w:eastAsia="Arial" w:hAnsi="Arial"/>
          <w:sz w:val="16"/>
          <w:szCs w:val="16"/>
          <w:color w:val="0000FF"/>
        </w:rPr>
        <w:t xml:space="preserve"> </w:t>
      </w:r>
      <w:r>
        <w:rPr>
          <w:rFonts w:ascii="Arial" w:cs="Arial" w:eastAsia="Arial" w:hAnsi="Arial"/>
          <w:sz w:val="16"/>
          <w:szCs w:val="16"/>
          <w:color w:val="FF0000"/>
        </w:rPr>
        <w:t>(A) Any</w:t>
      </w:r>
      <w:r>
        <w:rPr>
          <w:rFonts w:ascii="Arial" w:cs="Arial" w:eastAsia="Arial" w:hAnsi="Arial"/>
          <w:sz w:val="16"/>
          <w:szCs w:val="16"/>
          <w:color w:val="0000FF"/>
        </w:rPr>
        <w:t xml:space="preserve"> </w:t>
      </w:r>
      <w:r>
        <w:rPr>
          <w:rFonts w:ascii="Arial" w:cs="Arial" w:eastAsia="Arial" w:hAnsi="Arial"/>
          <w:sz w:val="16"/>
          <w:szCs w:val="16"/>
          <w:i w:val="1"/>
          <w:iCs w:val="1"/>
          <w:u w:val="single" w:color="auto"/>
          <w:color w:val="0000FF"/>
        </w:rPr>
        <w:t>Cross-Default</w:t>
      </w:r>
      <w:r>
        <w:rPr>
          <w:rFonts w:ascii="Arial" w:cs="Arial" w:eastAsia="Arial" w:hAnsi="Arial"/>
          <w:sz w:val="16"/>
          <w:szCs w:val="16"/>
          <w:u w:val="single" w:color="auto"/>
          <w:color w:val="0000FF"/>
        </w:rPr>
        <w:t>. Except</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as a result of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events leading up to or resulting from the commencement of the Chapter 11 Cases,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ceasing of operations, the commencement of the Chapter 11 Cases, the Canadian Recognition Proceedings or entry into this Agreement and unless the payment, acceleration and/or the exercise of remedies with respect to any such Indebtedness is stayed by the Bankruptcy Court or the Canadian Court, any</w:t>
      </w:r>
      <w:r>
        <w:rPr>
          <w:rFonts w:ascii="Arial" w:cs="Arial" w:eastAsia="Arial" w:hAnsi="Arial"/>
          <w:sz w:val="16"/>
          <w:szCs w:val="16"/>
          <w:color w:val="0000FF"/>
        </w:rPr>
        <w:t xml:space="preserve"> </w:t>
      </w:r>
      <w:r>
        <w:rPr>
          <w:rFonts w:ascii="Arial" w:cs="Arial" w:eastAsia="Arial" w:hAnsi="Arial"/>
          <w:sz w:val="16"/>
          <w:szCs w:val="16"/>
          <w:color w:val="000000"/>
        </w:rPr>
        <w:t>Loan Party or any</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w:t>
      </w:r>
      <w:r>
        <w:rPr>
          <w:rFonts w:ascii="Arial" w:cs="Arial" w:eastAsia="Arial" w:hAnsi="Arial"/>
          <w:sz w:val="16"/>
          <w:szCs w:val="16"/>
          <w:color w:val="0000FF"/>
        </w:rPr>
        <w:t xml:space="preserve"> </w:t>
      </w:r>
      <w:r>
        <w:rPr>
          <w:rFonts w:ascii="Arial" w:cs="Arial" w:eastAsia="Arial" w:hAnsi="Arial"/>
          <w:sz w:val="16"/>
          <w:szCs w:val="16"/>
          <w:color w:val="000000"/>
        </w:rPr>
        <w:t>Subsidiary (i) fails to make any payment after the applicable grace period with respect thereto, if any, (whether by</w:t>
      </w:r>
      <w:r>
        <w:rPr>
          <w:rFonts w:ascii="Arial" w:cs="Arial" w:eastAsia="Arial" w:hAnsi="Arial"/>
          <w:sz w:val="16"/>
          <w:szCs w:val="16"/>
          <w:color w:val="0000FF"/>
        </w:rPr>
        <w:t xml:space="preserve"> </w:t>
      </w:r>
      <w:r>
        <w:rPr>
          <w:rFonts w:ascii="Arial" w:cs="Arial" w:eastAsia="Arial" w:hAnsi="Arial"/>
          <w:sz w:val="16"/>
          <w:szCs w:val="16"/>
          <w:color w:val="000000"/>
        </w:rPr>
        <w:t xml:space="preserve">scheduled maturity, required prepayment, acceleration, demand, or otherwise) in respect of any other </w:t>
      </w:r>
      <w:r>
        <w:rPr>
          <w:rFonts w:ascii="Arial" w:cs="Arial" w:eastAsia="Arial" w:hAnsi="Arial"/>
          <w:sz w:val="16"/>
          <w:szCs w:val="16"/>
          <w:u w:val="single" w:color="auto"/>
          <w:color w:val="0000FF"/>
        </w:rPr>
        <w:t>prepetition</w:t>
      </w:r>
      <w:r>
        <w:rPr>
          <w:rFonts w:ascii="Arial" w:cs="Arial" w:eastAsia="Arial" w:hAnsi="Arial"/>
          <w:sz w:val="16"/>
          <w:szCs w:val="16"/>
          <w:color w:val="000000"/>
        </w:rPr>
        <w:t xml:space="preserve"> Indebtedness (other than Indebtedness hereunder </w:t>
      </w:r>
      <w:r>
        <w:rPr>
          <w:rFonts w:ascii="Arial" w:cs="Arial" w:eastAsia="Arial" w:hAnsi="Arial"/>
          <w:sz w:val="16"/>
          <w:szCs w:val="16"/>
          <w:u w:val="single" w:color="auto"/>
          <w:color w:val="0000FF"/>
        </w:rPr>
        <w:t>and, for the avoidance of doubt, excluding Prepetition Indebtedness</w:t>
      </w:r>
      <w:r>
        <w:rPr>
          <w:rFonts w:ascii="Arial" w:cs="Arial" w:eastAsia="Arial" w:hAnsi="Arial"/>
          <w:sz w:val="16"/>
          <w:szCs w:val="16"/>
          <w:color w:val="000000"/>
        </w:rPr>
        <w:t xml:space="preserve">) having an outstanding aggregate principal amount of not less than the Threshold Amount or (ii) fails to observe or perform any other agreement or condition relating to any such </w:t>
      </w:r>
      <w:r>
        <w:rPr>
          <w:rFonts w:ascii="Arial" w:cs="Arial" w:eastAsia="Arial" w:hAnsi="Arial"/>
          <w:sz w:val="16"/>
          <w:szCs w:val="16"/>
          <w:u w:val="single" w:color="auto"/>
          <w:color w:val="0000FF"/>
        </w:rPr>
        <w:t>prepetition</w:t>
      </w:r>
      <w:r>
        <w:rPr>
          <w:rFonts w:ascii="Arial" w:cs="Arial" w:eastAsia="Arial" w:hAnsi="Arial"/>
          <w:sz w:val="16"/>
          <w:szCs w:val="16"/>
          <w:color w:val="000000"/>
        </w:rPr>
        <w:t xml:space="preserve"> Indebtedness, or any other event occurs (other than, with respect to Indebtedness consisting of Swap Contracts, termination events or equivalent events pursuant to the terms of such Swap Contracts and not as a result of any other default thereunder by any Loan Party), after all grace periods having expired and all required notices having been given, the effect of which default or other event is to cause, or to permit the holder or holders of such Indebtedness (or a trustee or agent on behalf of such holder or holders or beneficiary or beneficiaries) to cause, after all grace periods having expired and all required notices having been given, such </w:t>
      </w:r>
      <w:r>
        <w:rPr>
          <w:rFonts w:ascii="Arial" w:cs="Arial" w:eastAsia="Arial" w:hAnsi="Arial"/>
          <w:sz w:val="16"/>
          <w:szCs w:val="16"/>
          <w:u w:val="single" w:color="auto"/>
          <w:color w:val="0000FF"/>
        </w:rPr>
        <w:t>prepetition</w:t>
      </w:r>
      <w:r>
        <w:rPr>
          <w:rFonts w:ascii="Arial" w:cs="Arial" w:eastAsia="Arial" w:hAnsi="Arial"/>
          <w:sz w:val="16"/>
          <w:szCs w:val="16"/>
          <w:color w:val="000000"/>
        </w:rPr>
        <w:t xml:space="preserve">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i w:val="1"/>
          <w:iCs w:val="1"/>
          <w:color w:val="FF0000"/>
          <w:strike w:val="1"/>
        </w:rPr>
        <w:t>provided</w:t>
      </w:r>
      <w:r>
        <w:rPr>
          <w:rFonts w:ascii="Arial" w:cs="Arial" w:eastAsia="Arial" w:hAnsi="Arial"/>
          <w:sz w:val="16"/>
          <w:szCs w:val="16"/>
          <w:color w:val="000000"/>
        </w:rPr>
        <w:t xml:space="preserve"> </w:t>
      </w:r>
      <w:r>
        <w:rPr>
          <w:rFonts w:ascii="Arial" w:cs="Arial" w:eastAsia="Arial" w:hAnsi="Arial"/>
          <w:sz w:val="16"/>
          <w:szCs w:val="16"/>
          <w:color w:val="FF0000"/>
          <w:strike w:val="1"/>
        </w:rPr>
        <w:t>that any such failure or the occurrence of any</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such other event referred to in subclause (ii) relating to Indebtedness under the ABL Credit Agreement or any Permitted Refinancing thereof shall not constitute an Event of Default under this Section 8.01(e) until the earlier of (x) thirty days after the expiration of all grace periods relating to such failure or occurrence under the ABL Credit Agreement and (y) any acceleration of the ABL </w:t>
      </w:r>
      <w:r>
        <w:rPr>
          <w:rFonts w:ascii="Arial" w:cs="Arial" w:eastAsia="Arial" w:hAnsi="Arial"/>
          <w:sz w:val="16"/>
          <w:szCs w:val="16"/>
          <w:color w:val="008000"/>
          <w:strike w:val="1"/>
        </w:rPr>
        <w:t>Obligations (as defined in the</w:t>
      </w:r>
      <w:r>
        <w:rPr>
          <w:rFonts w:ascii="Arial" w:cs="Arial" w:eastAsia="Arial" w:hAnsi="Arial"/>
          <w:sz w:val="16"/>
          <w:szCs w:val="16"/>
          <w:color w:val="FF0000"/>
          <w:strike w:val="1"/>
        </w:rPr>
        <w:t xml:space="preserve"> ABL Intercreditor Agreement) outstanding under the ABL Credit Agreement, whether automatic or otherwise;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further that this clause (e)(ii) shall not apply to (I) secured Indebtedness that becomes due as a result of the voluntary sale or transfer of the property or assets securing such Indebtedness, (II) Indebtedness which is convertible into Equity Interest and converts to Equity Interests in accordance with its terms or (III) any breach or default that (X) is remedied by the Borrower or the applicable Restricted Subsidiary or (Y) waived (including in the form of amendment) by the requisite holders of the applicable item of Indebtedness, in either case, prior to the acceleration of all the Loans pursuant to this Section 8.01; or</w:t>
      </w:r>
      <w:r>
        <w:rPr>
          <w:rFonts w:ascii="Arial" w:cs="Arial" w:eastAsia="Arial" w:hAnsi="Arial"/>
          <w:sz w:val="16"/>
          <w:szCs w:val="16"/>
          <w:u w:val="single" w:color="auto"/>
          <w:color w:val="0000FF"/>
          <w:strike w:val="1"/>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-2747645</wp:posOffset>
            </wp:positionV>
            <wp:extent cx="12001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-2833370</wp:posOffset>
            </wp:positionV>
            <wp:extent cx="4406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4406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-2747645</wp:posOffset>
            </wp:positionV>
            <wp:extent cx="694055"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52" w:lineRule="exact"/>
        <w:rPr>
          <w:sz w:val="20"/>
          <w:szCs w:val="20"/>
          <w:color w:val="auto"/>
        </w:rPr>
      </w:pPr>
    </w:p>
    <w:p>
      <w:pPr>
        <w:ind w:left="440" w:right="180" w:firstLine="419"/>
        <w:spacing w:after="0" w:line="263" w:lineRule="auto"/>
        <w:tabs>
          <w:tab w:leader="none" w:pos="1148" w:val="left"/>
        </w:tabs>
        <w:numPr>
          <w:ilvl w:val="0"/>
          <w:numId w:val="233"/>
        </w:numPr>
        <w:rPr>
          <w:rFonts w:ascii="Arial" w:cs="Arial" w:eastAsia="Arial" w:hAnsi="Arial"/>
          <w:sz w:val="18"/>
          <w:szCs w:val="18"/>
          <w:color w:val="FF0000"/>
          <w:strike w:val="1"/>
        </w:rPr>
      </w:pPr>
      <w:r>
        <w:rPr>
          <w:rFonts w:ascii="Arial" w:cs="Arial" w:eastAsia="Arial" w:hAnsi="Arial"/>
          <w:sz w:val="18"/>
          <w:szCs w:val="18"/>
          <w:color w:val="auto"/>
        </w:rPr>
        <w:t> </w:t>
      </w:r>
      <w:r>
        <w:rPr>
          <w:rFonts w:ascii="Arial" w:cs="Arial" w:eastAsia="Arial" w:hAnsi="Arial"/>
          <w:sz w:val="18"/>
          <w:szCs w:val="18"/>
          <w:color w:val="FF0000"/>
          <w:strike w:val="1"/>
        </w:rPr>
        <w:t>the UST Tranche A Term Agent or the Lenders under (and as defined in) under UST Tranche A Facility Documentation shall fail to</w:t>
      </w:r>
      <w:r>
        <w:rPr>
          <w:rFonts w:ascii="Arial" w:cs="Arial" w:eastAsia="Arial" w:hAnsi="Arial"/>
          <w:sz w:val="18"/>
          <w:szCs w:val="18"/>
          <w:color w:val="auto"/>
        </w:rPr>
        <w:t xml:space="preserve"> </w:t>
      </w:r>
      <w:r>
        <w:rPr>
          <w:rFonts w:ascii="Arial" w:cs="Arial" w:eastAsia="Arial" w:hAnsi="Arial"/>
          <w:sz w:val="18"/>
          <w:szCs w:val="18"/>
          <w:color w:val="FF0000"/>
          <w:strike w:val="1"/>
        </w:rPr>
        <w:t>honor request for borrowing or release of proceeds from UST Tranche A Controlled Account in each case in excess of $25,000,000 and such failure continues for ten (10) Business Days;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80"/>
          </w:cols>
          <w:pgMar w:left="440" w:top="274" w:right="479" w:bottom="1440" w:gutter="0" w:footer="0" w:header="0"/>
        </w:sectPr>
      </w:pPr>
    </w:p>
    <w:bookmarkStart w:id="285" w:name="page286"/>
    <w:bookmarkEnd w:id="285"/>
    <w:p>
      <w:pPr>
        <w:ind w:left="444" w:right="220" w:firstLine="423"/>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8"/>
          <w:szCs w:val="18"/>
          <w:color w:val="000000"/>
        </w:rPr>
        <w:t xml:space="preserve"> </w:t>
      </w:r>
      <w:r>
        <w:rPr>
          <w:rFonts w:ascii="Arial" w:cs="Arial" w:eastAsia="Arial" w:hAnsi="Arial"/>
          <w:sz w:val="18"/>
          <w:szCs w:val="18"/>
          <w:color w:val="FF0000"/>
          <w:strike w:val="1"/>
        </w:rPr>
        <w:t>the UST Tranche B Term Agent or the Lenders under (and as defined in) under UST Tranche B Facility Documentation shall fail to</w:t>
      </w:r>
      <w:r>
        <w:rPr>
          <w:rFonts w:ascii="Arial" w:cs="Arial" w:eastAsia="Arial" w:hAnsi="Arial"/>
          <w:sz w:val="18"/>
          <w:szCs w:val="18"/>
          <w:color w:val="FF0000"/>
        </w:rPr>
        <w:t xml:space="preserve"> </w:t>
      </w:r>
      <w:r>
        <w:rPr>
          <w:rFonts w:ascii="Arial" w:cs="Arial" w:eastAsia="Arial" w:hAnsi="Arial"/>
          <w:sz w:val="18"/>
          <w:szCs w:val="18"/>
          <w:color w:val="FF0000"/>
          <w:strike w:val="1"/>
        </w:rPr>
        <w:t>honor request for borrowing or release of proceeds from UST Tranche B Controlled Account in each case in excess of $25,000,000 and such failure continues for ten (10) Business Days; or</w:t>
      </w:r>
    </w:p>
    <w:p>
      <w:pPr>
        <w:spacing w:after="0" w:line="184"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FF0000"/>
          <w:strike w:val="1"/>
        </w:rPr>
        <w:t xml:space="preserve">(f)  </w:t>
      </w:r>
      <w:r>
        <w:rPr>
          <w:rFonts w:ascii="Arial" w:cs="Arial" w:eastAsia="Arial" w:hAnsi="Arial"/>
          <w:sz w:val="16"/>
          <w:szCs w:val="16"/>
          <w:i w:val="1"/>
          <w:iCs w:val="1"/>
          <w:color w:val="FF0000"/>
          <w:strike w:val="1"/>
        </w:rPr>
        <w:t>Insolvency Proceedings, Etc.</w:t>
      </w:r>
      <w:r>
        <w:rPr>
          <w:rFonts w:ascii="Arial" w:cs="Arial" w:eastAsia="Arial" w:hAnsi="Arial"/>
          <w:sz w:val="16"/>
          <w:szCs w:val="16"/>
          <w:color w:val="FF0000"/>
          <w:strike w:val="1"/>
        </w:rPr>
        <w:t xml:space="preserve"> Any Loan Party or any Restricted Subsidiary institutes or consents to the institution of any voluntary or involuntary proceeding under any Debtor Relief Law, or makes a general assignment for the benefit of creditors; or applies for or consents to the appointment of any receiver, trustee, custodian, conservator, liquidator, rehabilitator, administrator, administrative receiver or similar officer for it or for all or substantially all of its property; or any receiver, trustee, custodian, conservator, liquidator, rehabilitator, administrator, administrative receiver or similar officer is appointed without the application or consent of such Person and the appointment continues undischarged or unstayed for sixty</w:t>
      </w:r>
    </w:p>
    <w:p>
      <w:pPr>
        <w:spacing w:after="0" w:line="2" w:lineRule="exact"/>
        <w:rPr>
          <w:sz w:val="20"/>
          <w:szCs w:val="20"/>
          <w:color w:val="auto"/>
        </w:rPr>
      </w:pPr>
    </w:p>
    <w:p>
      <w:pPr>
        <w:ind w:left="4" w:hanging="4"/>
        <w:spacing w:after="0" w:line="255" w:lineRule="auto"/>
        <w:tabs>
          <w:tab w:leader="none" w:pos="349" w:val="left"/>
        </w:tabs>
        <w:numPr>
          <w:ilvl w:val="0"/>
          <w:numId w:val="23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consecutive calendar days; or </w:t>
      </w:r>
      <w:r>
        <w:rPr>
          <w:rFonts w:ascii="Arial" w:cs="Arial" w:eastAsia="Arial" w:hAnsi="Arial"/>
          <w:sz w:val="18"/>
          <w:szCs w:val="18"/>
          <w:color w:val="008000"/>
          <w:strike w:val="1"/>
        </w:rPr>
        <w:t>any proceeding under any Debtor Relief</w:t>
      </w:r>
      <w:r>
        <w:rPr>
          <w:rFonts w:ascii="Arial" w:cs="Arial" w:eastAsia="Arial" w:hAnsi="Arial"/>
          <w:sz w:val="18"/>
          <w:szCs w:val="18"/>
          <w:color w:val="FF0000"/>
          <w:strike w:val="1"/>
        </w:rPr>
        <w:t xml:space="preserve"> Law relating to any such Person or to all or substantially all of its property is instituted without the consent of such Person and continues undismissed or unstayed for sixty (60) consecutive calendar days, or an order for relief is entered in any such proceeding; or</w:t>
      </w:r>
    </w:p>
    <w:p>
      <w:pPr>
        <w:spacing w:after="0" w:line="190"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FF0000"/>
          <w:strike w:val="1"/>
        </w:rPr>
        <w:t xml:space="preserve">(g)  </w:t>
      </w:r>
      <w:r>
        <w:rPr>
          <w:rFonts w:ascii="Arial" w:cs="Arial" w:eastAsia="Arial" w:hAnsi="Arial"/>
          <w:sz w:val="18"/>
          <w:szCs w:val="18"/>
          <w:i w:val="1"/>
          <w:iCs w:val="1"/>
          <w:color w:val="FF0000"/>
          <w:strike w:val="1"/>
        </w:rPr>
        <w:t>Inability to Pay Debts; Attachment</w:t>
      </w:r>
      <w:r>
        <w:rPr>
          <w:rFonts w:ascii="Arial" w:cs="Arial" w:eastAsia="Arial" w:hAnsi="Arial"/>
          <w:sz w:val="18"/>
          <w:szCs w:val="18"/>
          <w:color w:val="FF0000"/>
          <w:strike w:val="1"/>
        </w:rPr>
        <w:t>. Any Loan Party or any Restricted Subsidiary becomes generally unable or admits in writing its general inability or fails generally to pay its debts as they become due, or any writ or warrant of attachment or execution or similar process is issued or levied against all or substantially all of the property of the Borrower and the Restricted Subsidiaries, taken as a whole, and is not released, vacated or fully bonded within sixty (60) consecutive days after its issue or levy; or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(f)</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[Reserved]</w:t>
      </w:r>
      <w:r>
        <w:rPr>
          <w:rFonts w:ascii="Arial" w:cs="Arial" w:eastAsia="Arial" w:hAnsi="Arial"/>
          <w:sz w:val="18"/>
          <w:szCs w:val="18"/>
          <w:u w:val="single" w:color="auto"/>
          <w:color w:val="0000FF"/>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91694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(g)</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[Reserved]</w:t>
      </w:r>
      <w:r>
        <w:rPr>
          <w:rFonts w:ascii="Arial" w:cs="Arial" w:eastAsia="Arial" w:hAnsi="Arial"/>
          <w:sz w:val="18"/>
          <w:szCs w:val="18"/>
          <w:u w:val="single" w:color="auto"/>
          <w:color w:val="0000FF"/>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934085"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color w:val="auto"/>
        </w:rPr>
        <w:t>Judgments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Except as a result of the events leading up to or resulting from the commencement of the Chapter 11 Cases or the Canadian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Recognition Proceedings, the commencement of the Chapter 11 Cases or the Canadian Recognition Proceedings or entry into this Agreement and unless any such judgment is stayed by the Bankruptcy Court or the Canadian Court,</w:t>
      </w:r>
      <w:r>
        <w:rPr>
          <w:rFonts w:ascii="Arial" w:cs="Arial" w:eastAsia="Arial" w:hAnsi="Arial"/>
          <w:sz w:val="18"/>
          <w:szCs w:val="18"/>
          <w:color w:val="0000FF"/>
        </w:rPr>
        <w:t xml:space="preserve"> </w:t>
      </w:r>
      <w:r>
        <w:rPr>
          <w:rFonts w:ascii="Arial" w:cs="Arial" w:eastAsia="Arial" w:hAnsi="Arial"/>
          <w:sz w:val="18"/>
          <w:szCs w:val="18"/>
          <w:color w:val="FF0000"/>
          <w:strike w:val="1"/>
        </w:rPr>
        <w:t>T</w:t>
      </w:r>
      <w:r>
        <w:rPr>
          <w:rFonts w:ascii="Arial" w:cs="Arial" w:eastAsia="Arial" w:hAnsi="Arial"/>
          <w:sz w:val="18"/>
          <w:szCs w:val="18"/>
          <w:u w:val="single" w:color="auto"/>
          <w:color w:val="0000FF"/>
        </w:rPr>
        <w:t>t</w:t>
      </w:r>
      <w:r>
        <w:rPr>
          <w:rFonts w:ascii="Arial" w:cs="Arial" w:eastAsia="Arial" w:hAnsi="Arial"/>
          <w:sz w:val="18"/>
          <w:szCs w:val="18"/>
          <w:color w:val="000000"/>
        </w:rPr>
        <w:t>here is entered against any Loan Party or any</w:t>
      </w:r>
      <w:r>
        <w:rPr>
          <w:rFonts w:ascii="Arial" w:cs="Arial" w:eastAsia="Arial" w:hAnsi="Arial"/>
          <w:sz w:val="18"/>
          <w:szCs w:val="18"/>
          <w:color w:val="0000FF"/>
        </w:rPr>
        <w:t xml:space="preserve"> </w:t>
      </w:r>
      <w:r>
        <w:rPr>
          <w:rFonts w:ascii="Arial" w:cs="Arial" w:eastAsia="Arial" w:hAnsi="Arial"/>
          <w:sz w:val="18"/>
          <w:szCs w:val="18"/>
          <w:color w:val="FF0000"/>
          <w:strike w:val="1"/>
        </w:rPr>
        <w:t>Restricted</w:t>
      </w:r>
      <w:r>
        <w:rPr>
          <w:rFonts w:ascii="Arial" w:cs="Arial" w:eastAsia="Arial" w:hAnsi="Arial"/>
          <w:sz w:val="18"/>
          <w:szCs w:val="18"/>
          <w:color w:val="0000FF"/>
        </w:rPr>
        <w:t xml:space="preserve"> </w:t>
      </w:r>
      <w:r>
        <w:rPr>
          <w:rFonts w:ascii="Arial" w:cs="Arial" w:eastAsia="Arial" w:hAnsi="Arial"/>
          <w:sz w:val="18"/>
          <w:szCs w:val="18"/>
          <w:color w:val="000000"/>
        </w:rPr>
        <w:t>Subsidiary a</w:t>
      </w:r>
      <w:r>
        <w:rPr>
          <w:rFonts w:ascii="Arial" w:cs="Arial" w:eastAsia="Arial" w:hAnsi="Arial"/>
          <w:sz w:val="18"/>
          <w:szCs w:val="18"/>
          <w:color w:val="0000FF"/>
        </w:rPr>
        <w:t xml:space="preserve"> </w:t>
      </w:r>
      <w:r>
        <w:rPr>
          <w:rFonts w:ascii="Arial" w:cs="Arial" w:eastAsia="Arial" w:hAnsi="Arial"/>
          <w:sz w:val="18"/>
          <w:szCs w:val="18"/>
          <w:color w:val="000000"/>
        </w:rPr>
        <w:t>final judgment or order for the payment of money in an aggregate amount exceeding the Threshold Amount (to the extent not covered by independent third-party insurance or indemnity as to which the insurer or third party indemnitor has been notified of such judgment or order and has not denied coverage) and such judgment or order shall not have been satisfied, vacated, discharged or stayed or bonded pending an appeal for a period of sixty (60) consecutive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-818515</wp:posOffset>
            </wp:positionV>
            <wp:extent cx="563181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-681355</wp:posOffset>
            </wp:positionV>
            <wp:extent cx="696912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-544195</wp:posOffset>
            </wp:positionV>
            <wp:extent cx="3651885"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75" w:lineRule="exact"/>
        <w:rPr>
          <w:sz w:val="20"/>
          <w:szCs w:val="20"/>
          <w:color w:val="auto"/>
        </w:rPr>
      </w:pPr>
    </w:p>
    <w:p>
      <w:pPr>
        <w:ind w:left="4" w:right="140" w:firstLine="440"/>
        <w:spacing w:after="0" w:line="293"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Invalidity of Loan Documents</w:t>
      </w:r>
      <w:r>
        <w:rPr>
          <w:rFonts w:ascii="Arial" w:cs="Arial" w:eastAsia="Arial" w:hAnsi="Arial"/>
          <w:sz w:val="16"/>
          <w:szCs w:val="16"/>
          <w:color w:val="auto"/>
        </w:rPr>
        <w:t xml:space="preserve">. Any material provision of the Loan Documents, at any time after their execution and delivery and for any reason other than as expressly permitted hereunder or thereunder (including as a result of a transaction permitted under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or as a result of acts or omissions by the Administrative Agent or Collateral Agent or any Lender or the satisfaction in full of all the Obligations (other than other than contingent obligations), ceases to be in full force and effect; or any Loan Party contests in writing the validity or enforceability of any provision of any Loan Document; or any Loan Party denies in writing that it has any or further liability or obligation under any Loan Document (other than as a result of repayment in full of the Obligations), or purports in writing to revoke or rescind any Loan Document; or</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64"/>
          </w:cols>
          <w:pgMar w:left="436" w:top="274" w:right="499" w:bottom="1440" w:gutter="0" w:footer="0" w:header="0"/>
        </w:sectPr>
      </w:pPr>
    </w:p>
    <w:bookmarkStart w:id="286" w:name="page287"/>
    <w:bookmarkEnd w:id="2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 </w:t>
      </w:r>
      <w:r>
        <w:rPr>
          <w:rFonts w:ascii="Arial" w:cs="Arial" w:eastAsia="Arial" w:hAnsi="Arial"/>
          <w:sz w:val="18"/>
          <w:szCs w:val="18"/>
          <w:i w:val="1"/>
          <w:iCs w:val="1"/>
          <w:color w:val="FF0000"/>
          <w:strike w:val="1"/>
        </w:rPr>
        <w:t>Change of Control</w:t>
      </w:r>
      <w:r>
        <w:rPr>
          <w:rFonts w:ascii="Arial" w:cs="Arial" w:eastAsia="Arial" w:hAnsi="Arial"/>
          <w:sz w:val="18"/>
          <w:szCs w:val="18"/>
          <w:color w:val="FF0000"/>
          <w:strike w:val="1"/>
        </w:rPr>
        <w:t>. There occurs any Change of Control</w:t>
      </w:r>
      <w:r>
        <w:rPr>
          <w:rFonts w:ascii="Arial" w:cs="Arial" w:eastAsia="Arial" w:hAnsi="Arial"/>
          <w:sz w:val="18"/>
          <w:szCs w:val="18"/>
          <w:i w:val="1"/>
          <w:iCs w:val="1"/>
          <w:u w:val="single" w:color="auto"/>
          <w:color w:val="0000FF"/>
        </w:rPr>
        <w:t>[Reserved]</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23495</wp:posOffset>
            </wp:positionV>
            <wp:extent cx="50546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i w:val="1"/>
          <w:iCs w:val="1"/>
          <w:color w:val="auto"/>
        </w:rPr>
        <w:t>Collateral Documents</w:t>
      </w:r>
      <w:r>
        <w:rPr>
          <w:rFonts w:ascii="Arial" w:cs="Arial" w:eastAsia="Arial" w:hAnsi="Arial"/>
          <w:sz w:val="16"/>
          <w:szCs w:val="16"/>
          <w:color w:val="auto"/>
        </w:rPr>
        <w:t xml:space="preserve">. The </w:t>
      </w:r>
      <w:r>
        <w:rPr>
          <w:rFonts w:ascii="Arial" w:cs="Arial" w:eastAsia="Arial" w:hAnsi="Arial"/>
          <w:sz w:val="16"/>
          <w:szCs w:val="16"/>
          <w:u w:val="single" w:color="auto"/>
          <w:color w:val="0000FF"/>
        </w:rPr>
        <w:t>DIP Order, the Canadian Orders and the</w:t>
      </w:r>
      <w:r>
        <w:rPr>
          <w:rFonts w:ascii="Arial" w:cs="Arial" w:eastAsia="Arial" w:hAnsi="Arial"/>
          <w:sz w:val="16"/>
          <w:szCs w:val="16"/>
          <w:color w:val="auto"/>
        </w:rPr>
        <w:t xml:space="preserve"> Collateral Documents after delivery thereof pursuant to </w:t>
      </w:r>
      <w:r>
        <w:rPr>
          <w:rFonts w:ascii="Arial" w:cs="Arial" w:eastAsia="Arial" w:hAnsi="Arial"/>
          <w:sz w:val="16"/>
          <w:szCs w:val="16"/>
          <w:u w:val="single" w:color="auto"/>
          <w:color w:val="auto"/>
        </w:rPr>
        <w:t>Sections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shall for any reason (other than pursuant to the terms hereof or thereof including as a result of a transaction permitted under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w:t>
      </w:r>
    </w:p>
    <w:p>
      <w:pPr>
        <w:ind w:right="80"/>
        <w:spacing w:after="0" w:line="287" w:lineRule="auto"/>
        <w:rPr>
          <w:sz w:val="20"/>
          <w:szCs w:val="20"/>
          <w:color w:val="auto"/>
        </w:rPr>
      </w:pPr>
      <w:r>
        <w:rPr>
          <w:rFonts w:ascii="Arial" w:cs="Arial" w:eastAsia="Arial" w:hAnsi="Arial"/>
          <w:sz w:val="16"/>
          <w:szCs w:val="16"/>
          <w:u w:val="single" w:color="auto"/>
          <w:color w:val="auto"/>
        </w:rPr>
        <w:t>7.05</w:t>
      </w:r>
      <w:r>
        <w:rPr>
          <w:rFonts w:ascii="Arial" w:cs="Arial" w:eastAsia="Arial" w:hAnsi="Arial"/>
          <w:sz w:val="16"/>
          <w:szCs w:val="16"/>
          <w:color w:val="auto"/>
        </w:rPr>
        <w:t xml:space="preserve">) cease to create, or shall be asserted by any Loan Party not to create, a valid and perfected Lien, </w:t>
      </w:r>
      <w:r>
        <w:rPr>
          <w:rFonts w:ascii="Arial" w:cs="Arial" w:eastAsia="Arial" w:hAnsi="Arial"/>
          <w:sz w:val="16"/>
          <w:szCs w:val="16"/>
          <w:color w:val="FF0000"/>
          <w:strike w:val="1"/>
        </w:rPr>
        <w:t>with the priority required by the Collateral</w:t>
      </w:r>
      <w:r>
        <w:rPr>
          <w:rFonts w:ascii="Arial" w:cs="Arial" w:eastAsia="Arial" w:hAnsi="Arial"/>
          <w:sz w:val="16"/>
          <w:szCs w:val="16"/>
          <w:color w:val="auto"/>
        </w:rPr>
        <w:t xml:space="preserve"> </w:t>
      </w:r>
      <w:r>
        <w:rPr>
          <w:rFonts w:ascii="Arial" w:cs="Arial" w:eastAsia="Arial" w:hAnsi="Arial"/>
          <w:sz w:val="16"/>
          <w:szCs w:val="16"/>
          <w:color w:val="FF0000"/>
          <w:strike w:val="1"/>
        </w:rPr>
        <w:t>Documents</w:t>
      </w:r>
      <w:r>
        <w:rPr>
          <w:rFonts w:ascii="Arial" w:cs="Arial" w:eastAsia="Arial" w:hAnsi="Arial"/>
          <w:sz w:val="16"/>
          <w:szCs w:val="16"/>
          <w:color w:val="FF0000"/>
        </w:rPr>
        <w:t xml:space="preserve"> </w:t>
      </w:r>
      <w:r>
        <w:rPr>
          <w:rFonts w:ascii="Arial" w:cs="Arial" w:eastAsia="Arial" w:hAnsi="Arial"/>
          <w:sz w:val="16"/>
          <w:szCs w:val="16"/>
          <w:color w:val="000000"/>
        </w:rPr>
        <w:t>on and security interest in</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the</w:t>
      </w:r>
      <w:r>
        <w:rPr>
          <w:rFonts w:ascii="Arial" w:cs="Arial" w:eastAsia="Arial" w:hAnsi="Arial"/>
          <w:sz w:val="16"/>
          <w:szCs w:val="16"/>
          <w:color w:val="FF0000"/>
        </w:rPr>
        <w:t xml:space="preserve"> </w:t>
      </w:r>
      <w:r>
        <w:rPr>
          <w:rFonts w:ascii="Arial" w:cs="Arial" w:eastAsia="Arial" w:hAnsi="Arial"/>
          <w:sz w:val="16"/>
          <w:szCs w:val="16"/>
          <w:color w:val="000000"/>
        </w:rPr>
        <w:t>Collateral</w:t>
      </w:r>
      <w:r>
        <w:rPr>
          <w:rFonts w:ascii="Arial" w:cs="Arial" w:eastAsia="Arial" w:hAnsi="Arial"/>
          <w:sz w:val="16"/>
          <w:szCs w:val="16"/>
          <w:color w:val="FF0000"/>
        </w:rPr>
        <w:t xml:space="preserve"> </w:t>
      </w:r>
      <w:r>
        <w:rPr>
          <w:rFonts w:ascii="Arial" w:cs="Arial" w:eastAsia="Arial" w:hAnsi="Arial"/>
          <w:sz w:val="16"/>
          <w:szCs w:val="16"/>
          <w:color w:val="FF0000"/>
          <w:strike w:val="1"/>
        </w:rPr>
        <w:t>purported to be covered thereby with an aggregate value equal to or greater than $25,000,000</w:t>
      </w:r>
      <w:r>
        <w:rPr>
          <w:rFonts w:ascii="Arial" w:cs="Arial" w:eastAsia="Arial" w:hAnsi="Arial"/>
          <w:sz w:val="16"/>
          <w:szCs w:val="16"/>
          <w:u w:val="single" w:color="auto"/>
          <w:color w:val="0000FF"/>
        </w:rPr>
        <w:t>, with</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the priority required herein and in the DIP Order</w:t>
      </w:r>
      <w:r>
        <w:rPr>
          <w:rFonts w:ascii="Arial" w:cs="Arial" w:eastAsia="Arial" w:hAnsi="Arial"/>
          <w:sz w:val="16"/>
          <w:szCs w:val="16"/>
          <w:color w:val="000000"/>
        </w:rPr>
        <w:t>, subject to Liens permitted under</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7.01</w:t>
      </w:r>
      <w:r>
        <w:rPr>
          <w:rFonts w:ascii="Arial" w:cs="Arial" w:eastAsia="Arial" w:hAnsi="Arial"/>
          <w:sz w:val="16"/>
          <w:szCs w:val="16"/>
          <w:color w:val="FF0000"/>
          <w:strike w:val="1"/>
        </w:rPr>
        <w:t>, (i) except to the extent that any such perfection or</w:t>
      </w:r>
      <w:r>
        <w:rPr>
          <w:rFonts w:ascii="Arial" w:cs="Arial" w:eastAsia="Arial" w:hAnsi="Arial"/>
          <w:sz w:val="16"/>
          <w:szCs w:val="16"/>
          <w:color w:val="0000FF"/>
        </w:rPr>
        <w:t xml:space="preserve"> </w:t>
      </w:r>
      <w:r>
        <w:rPr>
          <w:rFonts w:ascii="Arial" w:cs="Arial" w:eastAsia="Arial" w:hAnsi="Arial"/>
          <w:sz w:val="16"/>
          <w:szCs w:val="16"/>
          <w:color w:val="FF0000"/>
          <w:strike w:val="1"/>
        </w:rPr>
        <w:t>priority is not required pursuant to the Collateral and Guarantee Requirement or results from the failure of the Administrative Agent or the Collateral Agent to maintain possession or control of certificates representing securities, other collateral requiring possession or control, or motor vehicle certificates of title (or notation thereon) pledged under the Collateral Documents, in each case actually delivered to it, or to file Uniform Commercial Code financing statements or continuation statements or any Collateral Documents and (ii) except as to Collateral consisting of Real Property to the extent that such losses are covered by a lender’s title insurance policy and such insurer has not denied coverage; or</w:t>
      </w:r>
      <w:r>
        <w:rPr>
          <w:rFonts w:ascii="Arial" w:cs="Arial" w:eastAsia="Arial" w:hAnsi="Arial"/>
          <w:sz w:val="16"/>
          <w:szCs w:val="16"/>
          <w:u w:val="single" w:color="auto"/>
          <w:color w:val="0000FF"/>
          <w:strike w:val="1"/>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-834390</wp:posOffset>
            </wp:positionV>
            <wp:extent cx="17145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-11430</wp:posOffset>
            </wp:positionV>
            <wp:extent cx="15430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FF0000"/>
          <w:strike w:val="1"/>
        </w:rPr>
        <w:t>(1)</w:t>
      </w:r>
      <w:r>
        <w:rPr>
          <w:rFonts w:ascii="Arial" w:cs="Arial" w:eastAsia="Arial" w:hAnsi="Arial"/>
          <w:sz w:val="16"/>
          <w:szCs w:val="16"/>
          <w:i w:val="1"/>
          <w:iCs w:val="1"/>
          <w:color w:val="FF0000"/>
          <w:strike w:val="1"/>
        </w:rPr>
        <w:t> ERISA.</w:t>
      </w:r>
      <w:r>
        <w:rPr>
          <w:rFonts w:ascii="Arial" w:cs="Arial" w:eastAsia="Arial" w:hAnsi="Arial"/>
          <w:sz w:val="16"/>
          <w:szCs w:val="16"/>
          <w:color w:val="FF0000"/>
          <w:strike w:val="1"/>
        </w:rPr>
        <w:t xml:space="preserve"> (i) An ERISA Event that occurs after the Restatement Effective Date and that, alone or together with any other ERISA Events that have occurred after the Restatement Effective Date, has resulted or could reasonably be expected to result in liability of a Loan Party, any Restricted Subsidiary or any of their respective ERISA Affiliates in an aggregate amount at any particular time that would reasonably be expected to have a Material Adverse Effect, or (ii) a Loan Party, any Restricted Subsidiary or any of their respective ERISA Affiliates fails to pay when due, after the expiration of any applicable grace period, any installment payment with respect to its Withdrawal Liability under Section 4201 of ERISA under a Multiemployer Plan in an aggregate amount, that, alone or together with any other such failures to pay, has resulted or would reasonably be expected to result in a Material Adverse Effect; or (iii) as of any date, a Loan Party, any Restricted Subsidiary or any of their respective ERISA Affiliates (x) shall have made contributions to any Multiemployer Plan during the immediately preceding twelve month period ending on such date that exceed in value in the aggregate among all such Persons the Pension Contribution Cap for such period or (y) is projected or reasonably expected (in each case by the Borrower in good faith) to make contributions to any Multiemployer Plan in the next twelve month period that exceed in the aggregate among all such Persons the Pension Contribution Cap for such period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such Pension Contribution Cap may be exceeded solely to facilitate a compromise, settlement, rearrangement or other restructuring of liabilities under such Multiemployer Plan with the consent of the Required Lenders (such consent not to be unreasonably withheld, delayed or conditioned or denied));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this clause (iii) shall not apply if on the applicable date of determination Consolidated EBITDA for the most recent Test Period ending prior to such date of determination as set forth in the most recent Compliance Certificate received by the Administrative Agent pursuant to Section 6.02(a) on or prior to such date of determination exceeds $400,000,000; or</w:t>
      </w:r>
    </w:p>
    <w:p>
      <w:pPr>
        <w:spacing w:after="0" w:line="16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u w:val="single" w:color="auto"/>
          <w:color w:val="0000FF"/>
        </w:rPr>
        <w:t>(l)</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ERISA.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 occurrence of an ERISA Event pursuant to clause (r) of the definition of such term that has resulted or</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could reasonably be</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 xml:space="preserve">expected to result in a </w:t>
      </w:r>
      <w:r>
        <w:rPr>
          <w:rFonts w:ascii="Arial" w:cs="Arial" w:eastAsia="Arial" w:hAnsi="Arial"/>
          <w:sz w:val="18"/>
          <w:szCs w:val="18"/>
          <w:u w:val="single" w:color="auto"/>
          <w:color w:val="0000FF"/>
        </w:rPr>
        <w:t>Material Adverse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2937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28854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5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FF0000"/>
          <w:strike w:val="1"/>
        </w:rPr>
        <w:t>(m)</w:t>
      </w:r>
      <w:r>
        <w:rPr>
          <w:rFonts w:ascii="Arial" w:cs="Arial" w:eastAsia="Arial" w:hAnsi="Arial"/>
          <w:sz w:val="17"/>
          <w:szCs w:val="17"/>
          <w:color w:val="000000"/>
        </w:rPr>
        <w:t xml:space="preserve"> </w:t>
      </w:r>
      <w:r>
        <w:rPr>
          <w:rFonts w:ascii="Arial" w:cs="Arial" w:eastAsia="Arial" w:hAnsi="Arial"/>
          <w:sz w:val="17"/>
          <w:szCs w:val="17"/>
          <w:i w:val="1"/>
          <w:iCs w:val="1"/>
          <w:color w:val="FF0000"/>
          <w:strike w:val="1"/>
        </w:rPr>
        <w:t>Junior Financing Documentation</w:t>
      </w:r>
      <w:r>
        <w:rPr>
          <w:rFonts w:ascii="Arial" w:cs="Arial" w:eastAsia="Arial" w:hAnsi="Arial"/>
          <w:sz w:val="17"/>
          <w:szCs w:val="17"/>
          <w:color w:val="FF0000"/>
          <w:strike w:val="1"/>
        </w:rPr>
        <w:t>. (i) Any of the Obligations of the Loan Parties under the Loan Documents for any reason shall cease to be,</w:t>
      </w:r>
      <w:r>
        <w:rPr>
          <w:rFonts w:ascii="Arial" w:cs="Arial" w:eastAsia="Arial" w:hAnsi="Arial"/>
          <w:sz w:val="17"/>
          <w:szCs w:val="17"/>
          <w:color w:val="FF0000"/>
        </w:rPr>
        <w:t xml:space="preserve"> </w:t>
      </w:r>
      <w:r>
        <w:rPr>
          <w:rFonts w:ascii="Arial" w:cs="Arial" w:eastAsia="Arial" w:hAnsi="Arial"/>
          <w:sz w:val="17"/>
          <w:szCs w:val="17"/>
          <w:color w:val="FF0000"/>
          <w:strike w:val="1"/>
        </w:rPr>
        <w:t>or shall be asserted by any Loan Party not to be, “Senior Indebtedness” (or any comparable term) or “Senior Secured Financing” (or any comparable term) under, and as defined in, any Junior Financing Documentation in respect of any Junior Financing that is, or is required by this Agreement to be, Subordinated Indebtedness or (ii) the subordination provisions set forth in any Junior Financing Documentation in respect of any Junior Financing that is, or is required by this Agreement to be, Subordinated Indebtedness shall, in whole or in part, cease to be,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80"/>
          </w:cols>
          <w:pgMar w:left="440" w:top="274" w:right="479" w:bottom="1440" w:gutter="0" w:footer="0" w:header="0"/>
        </w:sectPr>
      </w:pPr>
    </w:p>
    <w:bookmarkStart w:id="287" w:name="page288"/>
    <w:bookmarkEnd w:id="287"/>
    <w:p>
      <w:pPr>
        <w:jc w:val="both"/>
        <w:ind w:right="30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asserted by any Loan Party not to be, effective or legally valid, binding and enforceable against the holders of any such Junior Financing, if applicable (other than as a result of acts or omissions by the Administrative Agent or Collateral Agent or the satisfaction in full of all the Obligations (other than contingent obligations)); or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(n)</w:t>
      </w:r>
      <w:r>
        <w:rPr>
          <w:rFonts w:ascii="Arial" w:cs="Arial" w:eastAsia="Arial" w:hAnsi="Arial"/>
          <w:sz w:val="16"/>
          <w:szCs w:val="16"/>
          <w:i w:val="1"/>
          <w:iCs w:val="1"/>
          <w:color w:val="000000"/>
        </w:rPr>
        <w:t xml:space="preserve"> </w:t>
      </w:r>
      <w:r>
        <w:rPr>
          <w:rFonts w:ascii="Arial" w:cs="Arial" w:eastAsia="Arial" w:hAnsi="Arial"/>
          <w:sz w:val="16"/>
          <w:szCs w:val="16"/>
          <w:i w:val="1"/>
          <w:iCs w:val="1"/>
          <w:color w:val="FF0000"/>
          <w:strike w:val="1"/>
        </w:rPr>
        <w:t>IBT Agreement</w:t>
      </w:r>
      <w:r>
        <w:rPr>
          <w:rFonts w:ascii="Arial" w:cs="Arial" w:eastAsia="Arial" w:hAnsi="Arial"/>
          <w:sz w:val="16"/>
          <w:szCs w:val="16"/>
          <w:color w:val="FF0000"/>
          <w:strike w:val="1"/>
        </w:rPr>
        <w:t>. The IBT Agreement shall be declared invalid or illegal, shall be terminated, or shall no longer be in full force and effect; or</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FF0000"/>
          <w:strike w:val="1"/>
        </w:rPr>
        <w:t xml:space="preserve">(o) </w:t>
      </w:r>
      <w:r>
        <w:rPr>
          <w:rFonts w:ascii="Arial" w:cs="Arial" w:eastAsia="Arial" w:hAnsi="Arial"/>
          <w:sz w:val="18"/>
          <w:szCs w:val="18"/>
          <w:i w:val="1"/>
          <w:iCs w:val="1"/>
          <w:color w:val="FF0000"/>
          <w:strike w:val="1"/>
        </w:rPr>
        <w:t>Compton Sale</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color w:val="FF0000"/>
          <w:strike w:val="1"/>
        </w:rPr>
        <w:t>The Borrower and its Subsidiaries shall not have consummated the Compton Sale for a purchase price of $80,000,000 and</w:t>
      </w:r>
      <w:r>
        <w:rPr>
          <w:rFonts w:ascii="Arial" w:cs="Arial" w:eastAsia="Arial" w:hAnsi="Arial"/>
          <w:sz w:val="18"/>
          <w:szCs w:val="18"/>
          <w:color w:val="FF0000"/>
        </w:rPr>
        <w:t xml:space="preserve"> </w:t>
      </w:r>
      <w:r>
        <w:rPr>
          <w:rFonts w:ascii="Arial" w:cs="Arial" w:eastAsia="Arial" w:hAnsi="Arial"/>
          <w:sz w:val="18"/>
          <w:szCs w:val="18"/>
          <w:color w:val="FF0000"/>
          <w:strike w:val="1"/>
        </w:rPr>
        <w:t>prepaid the Tranche B-2 Term Loans with the Net Proceeds thereof (which Net Proceeds shall be in an aggregate amount not less than $73,000,000) on or prior to the date that is four (4) Business Days after the Amendment No. 3 Closing Date (or such later date as may be agreed in writing by the Required Lenders in their sole and absolute discretion (which may be via e-mail)).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(m)</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[Reserved]</w:t>
      </w:r>
      <w:r>
        <w:rPr>
          <w:rFonts w:ascii="Arial" w:cs="Arial" w:eastAsia="Arial" w:hAnsi="Arial"/>
          <w:sz w:val="18"/>
          <w:szCs w:val="18"/>
          <w:u w:val="single" w:color="auto"/>
          <w:color w:val="0000FF"/>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968375"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(n)</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[Reserved</w:t>
      </w:r>
      <w:r>
        <w:rPr>
          <w:rFonts w:ascii="Arial" w:cs="Arial" w:eastAsia="Arial" w:hAnsi="Arial"/>
          <w:sz w:val="18"/>
          <w:szCs w:val="18"/>
          <w:u w:val="single" w:color="auto"/>
          <w:color w:val="0000FF"/>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92583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(o)</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The Chapter 11 Cases</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31127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97" w:lineRule="exact"/>
        <w:rPr>
          <w:sz w:val="20"/>
          <w:szCs w:val="20"/>
          <w:color w:val="auto"/>
        </w:rPr>
      </w:pPr>
    </w:p>
    <w:p>
      <w:pPr>
        <w:jc w:val="both"/>
        <w:ind w:left="440" w:right="160" w:firstLine="419"/>
        <w:spacing w:after="0" w:line="286" w:lineRule="auto"/>
        <w:tabs>
          <w:tab w:leader="none" w:pos="1078" w:val="left"/>
        </w:tabs>
        <w:numPr>
          <w:ilvl w:val="0"/>
          <w:numId w:val="235"/>
        </w:numPr>
        <w:rPr>
          <w:rFonts w:ascii="Arial" w:cs="Arial" w:eastAsia="Arial" w:hAnsi="Arial"/>
          <w:sz w:val="17"/>
          <w:szCs w:val="17"/>
          <w:u w:val="single" w:color="auto"/>
          <w:color w:val="0000FF"/>
        </w:rPr>
      </w:pPr>
      <w:r>
        <w:rPr>
          <w:rFonts w:ascii="Arial" w:cs="Arial" w:eastAsia="Arial" w:hAnsi="Arial"/>
          <w:sz w:val="17"/>
          <w:szCs w:val="17"/>
          <w:color w:val="auto"/>
        </w:rPr>
        <w:t> </w:t>
      </w:r>
      <w:r>
        <w:rPr>
          <w:rFonts w:ascii="Arial" w:cs="Arial" w:eastAsia="Arial" w:hAnsi="Arial"/>
          <w:sz w:val="17"/>
          <w:szCs w:val="17"/>
          <w:u w:val="single" w:color="auto"/>
          <w:color w:val="0000FF"/>
        </w:rPr>
        <w:t>A Final Order shall not have been entered by the Bankruptcy Court on or before the date that is 45 days after the Petition Date, which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Final Order shall be in full force and effect and shall not have been reversed, modified, amended, stayed, vacated, appealed or subject to pending appeal or otherwise challenged or subject to any challenge in any respect without prior consent of the Lenders; or</w:t>
      </w:r>
    </w:p>
    <w:p>
      <w:pPr>
        <w:spacing w:after="0" w:line="57" w:lineRule="exact"/>
        <w:rPr>
          <w:rFonts w:ascii="Arial" w:cs="Arial" w:eastAsia="Arial" w:hAnsi="Arial"/>
          <w:sz w:val="17"/>
          <w:szCs w:val="17"/>
          <w:u w:val="single" w:color="auto"/>
          <w:color w:val="0000FF"/>
        </w:rPr>
      </w:pPr>
    </w:p>
    <w:p>
      <w:pPr>
        <w:ind w:left="440" w:firstLine="419"/>
        <w:spacing w:after="0" w:line="269" w:lineRule="auto"/>
        <w:tabs>
          <w:tab w:leader="none" w:pos="1128" w:val="left"/>
        </w:tabs>
        <w:numPr>
          <w:ilvl w:val="0"/>
          <w:numId w:val="235"/>
        </w:numPr>
        <w:rPr>
          <w:rFonts w:ascii="Arial" w:cs="Arial" w:eastAsia="Arial" w:hAnsi="Arial"/>
          <w:sz w:val="17"/>
          <w:szCs w:val="17"/>
          <w:u w:val="single" w:color="auto"/>
          <w:color w:val="0000FF"/>
        </w:rPr>
      </w:pPr>
      <w:r>
        <w:rPr>
          <w:rFonts w:ascii="Arial" w:cs="Arial" w:eastAsia="Arial" w:hAnsi="Arial"/>
          <w:sz w:val="17"/>
          <w:szCs w:val="17"/>
          <w:color w:val="auto"/>
        </w:rPr>
        <w:t> </w:t>
      </w:r>
      <w:r>
        <w:rPr>
          <w:rFonts w:ascii="Arial" w:cs="Arial" w:eastAsia="Arial" w:hAnsi="Arial"/>
          <w:sz w:val="17"/>
          <w:szCs w:val="17"/>
          <w:u w:val="single" w:color="auto"/>
          <w:color w:val="0000FF"/>
        </w:rPr>
        <w:t>Any Chapter 11 Cases or Canadian Recognition Proceedings shall be dismissed (or the Bankruptcy Court or Canadian Court, as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applicable, shall make a ruling requiring the dismissal of any Chapter 11 Case or Canadian Recognition Proceedings), suspended or converted to a case under chapter 7 of the Bankruptcy Code, or any Loan Party shall file any pleading, application or motion requesting any such relief; or a motion shall be filed by any Loan Party for the approval of, or there shall arise, (x) any other Claim (other than a Claim of the Junior DIP Lenders solely with respect to Unencumbered Assets) having priority senior to or pari passu with the claims of the Administrative Agent and Lenders under the Loan Documents or any other claim having priority over any or all administrative expenses of the kind specified in clause (b) of Section 503 or clause (b) of Section 507 of the Bankruptcy Code (other than the Carve-Out and the Canadian Priority Charges pursuant to the Canadian Orders to the extent set forth in the Canadian DIP Recognition Order and the other Canadian Orders or the adequate protection obligations under the DIP Order) or (y) any Lien on the Collateral having a priority senior to or pari passu with the Liens and security interests granted to the Collateral Agent pursuant to this Agreement, the DIP Order and/or the applicable Canadian Orders (other than Liens granted under the Junior DIP Loan Documents solely with respect to Unencumbered Assets), except as expressly permitted herein and in the DIP Order, the UST Adequate Protection Order and in the Canadian Orders;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-1993900</wp:posOffset>
            </wp:positionV>
            <wp:extent cx="635190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-1856740</wp:posOffset>
            </wp:positionV>
            <wp:extent cx="661797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-1719580</wp:posOffset>
            </wp:positionV>
            <wp:extent cx="51777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-1513840</wp:posOffset>
            </wp:positionV>
            <wp:extent cx="612902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-1376680</wp:posOffset>
            </wp:positionV>
            <wp:extent cx="668655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-1239520</wp:posOffset>
            </wp:positionV>
            <wp:extent cx="645477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-1102360</wp:posOffset>
            </wp:positionV>
            <wp:extent cx="6669405"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-965200</wp:posOffset>
            </wp:positionV>
            <wp:extent cx="643763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-828040</wp:posOffset>
            </wp:positionV>
            <wp:extent cx="630936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-690880</wp:posOffset>
            </wp:positionV>
            <wp:extent cx="647192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-553720</wp:posOffset>
            </wp:positionV>
            <wp:extent cx="624903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-416560</wp:posOffset>
            </wp:positionV>
            <wp:extent cx="65151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-279400</wp:posOffset>
            </wp:positionV>
            <wp:extent cx="664337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-142240</wp:posOffset>
            </wp:positionV>
            <wp:extent cx="671195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-5080</wp:posOffset>
            </wp:positionV>
            <wp:extent cx="266573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51" w:lineRule="exact"/>
        <w:rPr>
          <w:sz w:val="20"/>
          <w:szCs w:val="20"/>
          <w:color w:val="auto"/>
        </w:rPr>
      </w:pPr>
    </w:p>
    <w:p>
      <w:pPr>
        <w:ind w:left="440" w:right="140" w:firstLine="423"/>
        <w:spacing w:after="0" w:line="259" w:lineRule="auto"/>
        <w:rPr>
          <w:sz w:val="20"/>
          <w:szCs w:val="20"/>
          <w:color w:val="auto"/>
        </w:rPr>
      </w:pPr>
      <w:r>
        <w:rPr>
          <w:rFonts w:ascii="Arial" w:cs="Arial" w:eastAsia="Arial" w:hAnsi="Arial"/>
          <w:sz w:val="18"/>
          <w:szCs w:val="18"/>
          <w:u w:val="single" w:color="auto"/>
          <w:color w:val="0000FF"/>
        </w:rPr>
        <w:t>(iii)</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Any Loan Party shall file a motion in the Chapter 11 Cases or the Canadian Recognition Proceedings to obtain additional 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replacement financing from a party other than the Lenders or the Junior DIP Lenders under Section 364(d) of the Bankruptcy Code or the CCAA or to use Cash Collateral of a Lender under Section 363(c) of the Bankruptcy Code, except to the extent any such financing shall provide for the payment in full in cash of the Obligations or with the prior written consent of the 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-412115</wp:posOffset>
            </wp:positionV>
            <wp:extent cx="594931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-274955</wp:posOffset>
            </wp:positionV>
            <wp:extent cx="6635115"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-137795</wp:posOffset>
            </wp:positionV>
            <wp:extent cx="658368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-635</wp:posOffset>
            </wp:positionV>
            <wp:extent cx="424307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288" w:name="page289"/>
    <w:bookmarkEnd w:id="288"/>
    <w:p>
      <w:pPr>
        <w:ind w:left="4" w:right="120" w:firstLine="419"/>
        <w:spacing w:after="0" w:line="291" w:lineRule="auto"/>
        <w:tabs>
          <w:tab w:leader="none" w:pos="731" w:val="left"/>
        </w:tabs>
        <w:numPr>
          <w:ilvl w:val="1"/>
          <w:numId w:val="236"/>
        </w:numPr>
        <w:rPr>
          <w:rFonts w:ascii="Arial" w:cs="Arial" w:eastAsia="Arial" w:hAnsi="Arial"/>
          <w:sz w:val="16"/>
          <w:szCs w:val="16"/>
          <w:u w:val="single" w:color="auto"/>
          <w:color w:val="0000FF"/>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w:t>
      </w:r>
      <w:r>
        <w:rPr>
          <w:rFonts w:ascii="Arial" w:cs="Arial" w:eastAsia="Arial" w:hAnsi="Arial"/>
          <w:sz w:val="16"/>
          <w:szCs w:val="16"/>
          <w:u w:val="single" w:color="auto"/>
          <w:color w:val="0000FF"/>
        </w:rPr>
        <w:t>Any Loan Party shall file a motion seeking, or the Bankruptcy Court or the Canadian Court shall enter, an order (A) approving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payment of any pre-petition claim (or the Loan Party shall otherwise make a payment on any prepetition claim) other than (x) as provided for in</w:t>
      </w:r>
    </w:p>
    <w:p>
      <w:pPr>
        <w:jc w:val="both"/>
        <w:ind w:left="4" w:hanging="4"/>
        <w:spacing w:after="0" w:line="273" w:lineRule="auto"/>
        <w:tabs>
          <w:tab w:leader="none" w:pos="218" w:val="left"/>
        </w:tabs>
        <w:numPr>
          <w:ilvl w:val="0"/>
          <w:numId w:val="23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First Day Orders, Second Day Orders, the UST Adequate Protection Order or the Canadian Orders, (ii) the Approved Budget (subject to Permitted Variances) or (iii) the DIP Order or (y) otherwise consented to by the Lenders in writing, (B) granting relief from the automatic stay applicable under section 362 of the Bankruptcy Code or the stay of proceedings provided for in the Canadian Orders to any holder of any security interest to permit foreclosure on any assets with a fair market value in excess of $250,000; or (C) [reserved]; or</w:t>
      </w:r>
    </w:p>
    <w:p>
      <w:pPr>
        <w:spacing w:after="0" w:line="68" w:lineRule="exact"/>
        <w:rPr>
          <w:rFonts w:ascii="Arial" w:cs="Arial" w:eastAsia="Arial" w:hAnsi="Arial"/>
          <w:sz w:val="17"/>
          <w:szCs w:val="17"/>
          <w:u w:val="single" w:color="auto"/>
          <w:color w:val="0000FF"/>
        </w:rPr>
      </w:pPr>
    </w:p>
    <w:p>
      <w:pPr>
        <w:ind w:left="4" w:right="60" w:firstLine="419"/>
        <w:spacing w:after="0" w:line="257" w:lineRule="auto"/>
        <w:tabs>
          <w:tab w:leader="none" w:pos="681" w:val="left"/>
        </w:tabs>
        <w:numPr>
          <w:ilvl w:val="1"/>
          <w:numId w:val="237"/>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(A) Any Chapter 11 Order or order granted in the Canadian Recognition Proceedings shall be amended, supplemented, stayed,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reversed, vacated or otherwise modified (or any Loan Party shall apply for authority to do so), in each case, in a manner adverse to the Lenders, without </w:t>
      </w:r>
      <w:r>
        <w:rPr>
          <w:rFonts w:ascii="Arial" w:cs="Arial" w:eastAsia="Arial" w:hAnsi="Arial"/>
          <w:sz w:val="18"/>
          <w:szCs w:val="18"/>
          <w:u w:val="single" w:color="auto"/>
          <w:color w:val="008000"/>
        </w:rPr>
        <w:t>the written consent of the</w:t>
      </w:r>
      <w:r>
        <w:rPr>
          <w:rFonts w:ascii="Arial" w:cs="Arial" w:eastAsia="Arial" w:hAnsi="Arial"/>
          <w:sz w:val="18"/>
          <w:szCs w:val="18"/>
          <w:u w:val="single" w:color="auto"/>
          <w:color w:val="0000FF"/>
        </w:rPr>
        <w:t xml:space="preserve"> Lenders (or any Loan Party shall file, or otherwise support, any pleading, application or motion seeking such relief described in this clause (v)) or (B) any Chapter 11 Order or order granted in the Canadian Recognition Proceedings shall cease to be in full force and effect; or</w:t>
      </w:r>
    </w:p>
    <w:p>
      <w:pPr>
        <w:spacing w:after="0" w:line="79" w:lineRule="exact"/>
        <w:rPr>
          <w:rFonts w:ascii="Arial" w:cs="Arial" w:eastAsia="Arial" w:hAnsi="Arial"/>
          <w:sz w:val="18"/>
          <w:szCs w:val="18"/>
          <w:u w:val="single" w:color="auto"/>
          <w:color w:val="0000FF"/>
        </w:rPr>
      </w:pPr>
    </w:p>
    <w:p>
      <w:pPr>
        <w:ind w:left="4" w:firstLine="419"/>
        <w:spacing w:after="0" w:line="268" w:lineRule="auto"/>
        <w:tabs>
          <w:tab w:leader="none" w:pos="731" w:val="left"/>
        </w:tabs>
        <w:numPr>
          <w:ilvl w:val="1"/>
          <w:numId w:val="237"/>
        </w:numPr>
        <w:rPr>
          <w:rFonts w:ascii="Arial" w:cs="Arial" w:eastAsia="Arial" w:hAnsi="Arial"/>
          <w:sz w:val="17"/>
          <w:szCs w:val="17"/>
          <w:u w:val="single" w:color="auto"/>
          <w:color w:val="0000FF"/>
        </w:rPr>
      </w:pPr>
      <w:r>
        <w:rPr>
          <w:rFonts w:ascii="Arial" w:cs="Arial" w:eastAsia="Arial" w:hAnsi="Arial"/>
          <w:sz w:val="17"/>
          <w:szCs w:val="17"/>
          <w:color w:val="auto"/>
        </w:rPr>
        <w:t> </w:t>
      </w:r>
      <w:r>
        <w:rPr>
          <w:rFonts w:ascii="Arial" w:cs="Arial" w:eastAsia="Arial" w:hAnsi="Arial"/>
          <w:sz w:val="17"/>
          <w:szCs w:val="17"/>
          <w:u w:val="single" w:color="auto"/>
          <w:color w:val="0000FF"/>
        </w:rPr>
        <w:t>An order with respect to any of the Chapter 11 Cases or Canadian Recognition Proceedings shall be entered by the Bankruptcy Court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Canadian Court, as applicable, without the express prior written consent of the Lenders (and, with respect to any provisions that adversely affect the rights or duties of any Agent, such Agent) (i) to revoke, reverse, stay, modify, supplement, vacate or amend any of the DIP Order or Canadian Orders in a manner inconsistent with this Agreement, in a manner adverse to the Lenders, or that is not otherwise consented to by the Lenders (and with respect to amendments, modifications, or supplements that adversely affect the rights or duties of any Agent, such Agent); (ii) to permit any administrative expense or any claim (other than a Claim of the Junior DIP Lenders solely with respect to Unencumbered Assets) (now existing or hereafter arising, of any kind or nature whatsoever) to have administrative priority as to the Loan Parties equal or superior to the priority of the Loans (other than the Carve-Out and the Canadian Priority Charges pursuant to the Canadian Orders to the extent set forth in the Canadian DIP Recognition Order and the other Canadian Orders)) or the adequate protection Claims (other than the Carve-Out and the Canadian Priority Charges pursuant to the Canadian Orders to the extent set forth in the Canadian DIP Recognition Order and the other Canadian Orders or the administrative expense claims on account of the Postpetition B-2 Facility); or (iii) to grant or permit the grant of a Lien on the Collateral (other than Liens granted under the Junior DIP Loan Documents, as expressly provided or permitted herein and in the DIP Order, the UST Adequate Protection Order and in the Canadian Orders); or</w:t>
      </w:r>
    </w:p>
    <w:p>
      <w:pPr>
        <w:spacing w:after="0" w:line="78" w:lineRule="exact"/>
        <w:rPr>
          <w:rFonts w:ascii="Arial" w:cs="Arial" w:eastAsia="Arial" w:hAnsi="Arial"/>
          <w:sz w:val="17"/>
          <w:szCs w:val="17"/>
          <w:u w:val="single" w:color="auto"/>
          <w:color w:val="0000FF"/>
        </w:rPr>
      </w:pPr>
    </w:p>
    <w:p>
      <w:pPr>
        <w:jc w:val="both"/>
        <w:ind w:left="4" w:firstLine="419"/>
        <w:spacing w:after="0" w:line="259" w:lineRule="auto"/>
        <w:tabs>
          <w:tab w:leader="none" w:pos="781" w:val="left"/>
        </w:tabs>
        <w:numPr>
          <w:ilvl w:val="1"/>
          <w:numId w:val="237"/>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An application for any of the orders described in subclauses (ii), (iv), (vi), (x), (xvii) and (xviii) of this clause (o) shall be made by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Person other than the Loan Parties, and such application is not contested by the Loan Parties in good faith or any Person obtains a non-appealable final order charging any of the Collateral under section 506(c) of the Bankruptcy Code against any Agent or the Lenders or obtains a final order adverse to any Agent or the 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-3909695</wp:posOffset>
            </wp:positionV>
            <wp:extent cx="609473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-3772535</wp:posOffset>
            </wp:positionV>
            <wp:extent cx="65747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-3635375</wp:posOffset>
            </wp:positionV>
            <wp:extent cx="6532245"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-3498215</wp:posOffset>
            </wp:positionV>
            <wp:extent cx="6497955"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-3361055</wp:posOffset>
            </wp:positionV>
            <wp:extent cx="6660515"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-3223895</wp:posOffset>
            </wp:positionV>
            <wp:extent cx="508317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5083175"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-3018155</wp:posOffset>
            </wp:positionV>
            <wp:extent cx="606044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-2880995</wp:posOffset>
            </wp:positionV>
            <wp:extent cx="656653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-2743835</wp:posOffset>
            </wp:positionV>
            <wp:extent cx="654050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-2606675</wp:posOffset>
            </wp:positionV>
            <wp:extent cx="661797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-2469515</wp:posOffset>
            </wp:positionV>
            <wp:extent cx="86550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-2263775</wp:posOffset>
            </wp:positionV>
            <wp:extent cx="6395085"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-2126615</wp:posOffset>
            </wp:positionV>
            <wp:extent cx="6429375"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-1989455</wp:posOffset>
            </wp:positionV>
            <wp:extent cx="647192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-1852295</wp:posOffset>
            </wp:positionV>
            <wp:extent cx="65493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-1715135</wp:posOffset>
            </wp:positionV>
            <wp:extent cx="660908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-1577975</wp:posOffset>
            </wp:positionV>
            <wp:extent cx="650621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-1440815</wp:posOffset>
            </wp:positionV>
            <wp:extent cx="6635115"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-1303655</wp:posOffset>
            </wp:positionV>
            <wp:extent cx="65405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-1166495</wp:posOffset>
            </wp:positionV>
            <wp:extent cx="661797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-1029335</wp:posOffset>
            </wp:positionV>
            <wp:extent cx="664337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-892175</wp:posOffset>
            </wp:positionV>
            <wp:extent cx="6429375"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-755015</wp:posOffset>
            </wp:positionV>
            <wp:extent cx="631761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-617855</wp:posOffset>
            </wp:positionV>
            <wp:extent cx="270002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270002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-412115</wp:posOffset>
            </wp:positionV>
            <wp:extent cx="636905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-274955</wp:posOffset>
            </wp:positionV>
            <wp:extent cx="665226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wp:posOffset>
            </wp:positionV>
            <wp:extent cx="6566535"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wp:posOffset>
            </wp:positionV>
            <wp:extent cx="180848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9" w:lineRule="exact"/>
        <w:rPr>
          <w:sz w:val="20"/>
          <w:szCs w:val="20"/>
          <w:color w:val="auto"/>
        </w:rPr>
      </w:pPr>
    </w:p>
    <w:p>
      <w:pPr>
        <w:ind w:left="4" w:right="100" w:firstLine="423"/>
        <w:spacing w:after="0" w:line="342" w:lineRule="auto"/>
        <w:rPr>
          <w:sz w:val="20"/>
          <w:szCs w:val="20"/>
          <w:color w:val="auto"/>
        </w:rPr>
      </w:pPr>
      <w:r>
        <w:rPr>
          <w:rFonts w:ascii="Arial" w:cs="Arial" w:eastAsia="Arial" w:hAnsi="Arial"/>
          <w:sz w:val="16"/>
          <w:szCs w:val="16"/>
          <w:u w:val="single" w:color="auto"/>
          <w:color w:val="0000FF"/>
        </w:rPr>
        <w:t>(viii)</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The Canadian Final DIP Recognition Order shall not have been entered by the Canadian Court on or before the date that is 15</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calendar days after the date on which the Final Order is entered by the Bankruptcy Court, which Canadian Final DIP Recognition Order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-177800</wp:posOffset>
            </wp:positionV>
            <wp:extent cx="609473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6591935"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36"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484"/>
          </w:cols>
          <w:pgMar w:left="876" w:top="274" w:right="539" w:bottom="1440" w:gutter="0" w:footer="0" w:header="0"/>
        </w:sectPr>
      </w:pPr>
    </w:p>
    <w:bookmarkStart w:id="289" w:name="page290"/>
    <w:bookmarkEnd w:id="289"/>
    <w:p>
      <w:pPr>
        <w:ind w:left="4" w:right="16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full force and effect and shall not have been reversed, modified, amended, stayed, vacated, appealed or subject to pending appeal or otherwise challenged or subject to any challenge in any respect without prior consent of the 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660082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4260215"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4260215" cy="8890"/>
                    </a:xfrm>
                    <a:prstGeom prst="rect">
                      <a:avLst/>
                    </a:prstGeom>
                    <a:noFill/>
                  </pic:spPr>
                </pic:pic>
              </a:graphicData>
            </a:graphic>
          </wp:anchor>
        </w:drawing>
      </w:r>
    </w:p>
    <w:p>
      <w:pPr>
        <w:spacing w:after="0" w:line="42" w:lineRule="exact"/>
        <w:rPr>
          <w:sz w:val="20"/>
          <w:szCs w:val="20"/>
          <w:color w:val="auto"/>
        </w:rPr>
      </w:pPr>
    </w:p>
    <w:p>
      <w:pPr>
        <w:jc w:val="both"/>
        <w:ind w:left="4" w:right="140" w:firstLine="419"/>
        <w:spacing w:after="0" w:line="286" w:lineRule="auto"/>
        <w:tabs>
          <w:tab w:leader="none" w:pos="731" w:val="left"/>
        </w:tabs>
        <w:numPr>
          <w:ilvl w:val="1"/>
          <w:numId w:val="238"/>
        </w:numPr>
        <w:rPr>
          <w:rFonts w:ascii="Arial" w:cs="Arial" w:eastAsia="Arial" w:hAnsi="Arial"/>
          <w:sz w:val="17"/>
          <w:szCs w:val="17"/>
          <w:u w:val="single" w:color="auto"/>
          <w:color w:val="0000FF"/>
        </w:rPr>
      </w:pPr>
      <w:r>
        <w:rPr>
          <w:rFonts w:ascii="Arial" w:cs="Arial" w:eastAsia="Arial" w:hAnsi="Arial"/>
          <w:sz w:val="17"/>
          <w:szCs w:val="17"/>
          <w:color w:val="auto"/>
        </w:rPr>
        <w:t> </w:t>
      </w:r>
      <w:r>
        <w:rPr>
          <w:rFonts w:ascii="Arial" w:cs="Arial" w:eastAsia="Arial" w:hAnsi="Arial"/>
          <w:sz w:val="17"/>
          <w:szCs w:val="17"/>
          <w:u w:val="single" w:color="auto"/>
          <w:color w:val="0000FF"/>
        </w:rPr>
        <w:t>Any of the Loan Parties shall fail to comply with the terms and conditions of any Chapter 11 Order or order granted in the Canadian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Recognition Proceedings in any material respect and such failure is not cured within two (2) Business Days of the earlier of the Borrower having knowledge thereof and any written notice by the Administrative Agent (at the direction of the Lenders); or</w:t>
      </w:r>
    </w:p>
    <w:p>
      <w:pPr>
        <w:spacing w:after="0" w:line="57" w:lineRule="exact"/>
        <w:rPr>
          <w:rFonts w:ascii="Arial" w:cs="Arial" w:eastAsia="Arial" w:hAnsi="Arial"/>
          <w:sz w:val="17"/>
          <w:szCs w:val="17"/>
          <w:u w:val="single" w:color="auto"/>
          <w:color w:val="0000FF"/>
        </w:rPr>
      </w:pPr>
    </w:p>
    <w:p>
      <w:pPr>
        <w:ind w:left="4" w:right="360" w:firstLine="419"/>
        <w:spacing w:after="0" w:line="291" w:lineRule="auto"/>
        <w:tabs>
          <w:tab w:leader="none" w:pos="681" w:val="left"/>
        </w:tabs>
        <w:numPr>
          <w:ilvl w:val="1"/>
          <w:numId w:val="238"/>
        </w:numPr>
        <w:rPr>
          <w:rFonts w:ascii="Arial" w:cs="Arial" w:eastAsia="Arial" w:hAnsi="Arial"/>
          <w:sz w:val="16"/>
          <w:szCs w:val="16"/>
          <w:u w:val="single" w:color="auto"/>
          <w:color w:val="0000FF"/>
        </w:rPr>
      </w:pPr>
      <w:r>
        <w:rPr>
          <w:rFonts w:ascii="Arial" w:cs="Arial" w:eastAsia="Arial" w:hAnsi="Arial"/>
          <w:sz w:val="16"/>
          <w:szCs w:val="16"/>
          <w:color w:val="auto"/>
        </w:rPr>
        <w:t> </w:t>
      </w:r>
      <w:r>
        <w:rPr>
          <w:rFonts w:ascii="Arial" w:cs="Arial" w:eastAsia="Arial" w:hAnsi="Arial"/>
          <w:sz w:val="16"/>
          <w:szCs w:val="16"/>
          <w:u w:val="single" w:color="auto"/>
          <w:color w:val="0000FF"/>
        </w:rPr>
        <w:t>The Bankruptcy Court shall enter an order appointing a trustee under Chapter 7 or Chapter 11 of the Bankruptcy Code, or 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responsible officer or an examiner with enlarged powers relating to the operation of the business (powers beyond those set forth in subclauses</w:t>
      </w:r>
    </w:p>
    <w:p>
      <w:pPr>
        <w:ind w:left="4" w:right="140" w:hanging="4"/>
        <w:spacing w:after="0" w:line="255" w:lineRule="auto"/>
        <w:tabs>
          <w:tab w:leader="none" w:pos="258" w:val="left"/>
        </w:tabs>
        <w:numPr>
          <w:ilvl w:val="0"/>
          <w:numId w:val="23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and (4) of clause (a) of Section 1106 of the Bankruptcy Code) under clause (b) of Section 1106 of the Bankruptcy Code in the Chapter 11 Cases (or </w:t>
      </w:r>
      <w:r>
        <w:rPr>
          <w:rFonts w:ascii="Arial" w:cs="Arial" w:eastAsia="Arial" w:hAnsi="Arial"/>
          <w:sz w:val="18"/>
          <w:szCs w:val="18"/>
          <w:u w:val="single" w:color="auto"/>
          <w:color w:val="008000"/>
        </w:rPr>
        <w:t>any Loan Party or any of its</w:t>
      </w:r>
      <w:r>
        <w:rPr>
          <w:rFonts w:ascii="Arial" w:cs="Arial" w:eastAsia="Arial" w:hAnsi="Arial"/>
          <w:sz w:val="18"/>
          <w:szCs w:val="18"/>
          <w:u w:val="single" w:color="auto"/>
          <w:color w:val="0000FF"/>
        </w:rPr>
        <w:t xml:space="preserve"> Subsidiaries or Affiliates shall file, or otherwise support, any pleading, application or motion seeking such relief described in this clause (x));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-1026795</wp:posOffset>
            </wp:positionV>
            <wp:extent cx="634365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-889635</wp:posOffset>
            </wp:positionV>
            <wp:extent cx="661797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-752475</wp:posOffset>
            </wp:positionV>
            <wp:extent cx="48602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48602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-546735</wp:posOffset>
            </wp:positionV>
            <wp:extent cx="591502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647192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643763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661797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wp:posOffset>
            </wp:positionV>
            <wp:extent cx="168846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62" w:lineRule="exact"/>
        <w:rPr>
          <w:sz w:val="20"/>
          <w:szCs w:val="20"/>
          <w:color w:val="auto"/>
        </w:rPr>
      </w:pPr>
    </w:p>
    <w:p>
      <w:pPr>
        <w:ind w:left="4" w:right="900" w:firstLine="423"/>
        <w:spacing w:after="0" w:line="308" w:lineRule="auto"/>
        <w:rPr>
          <w:sz w:val="20"/>
          <w:szCs w:val="20"/>
          <w:color w:val="auto"/>
        </w:rPr>
      </w:pPr>
      <w:r>
        <w:rPr>
          <w:rFonts w:ascii="Arial" w:cs="Arial" w:eastAsia="Arial" w:hAnsi="Arial"/>
          <w:sz w:val="17"/>
          <w:szCs w:val="17"/>
          <w:u w:val="single" w:color="auto"/>
          <w:color w:val="0000FF"/>
        </w:rPr>
        <w:t>(xi)</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The entry of an order by the Bankruptcy Court terminating or modifying the exclusive right of any Debtor to file a Plan of</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Reorganization pursuant to section 1121 of the Bankruptcy Code</w:t>
      </w:r>
      <w:r>
        <w:rPr>
          <w:rFonts w:ascii="Arial" w:cs="Arial" w:eastAsia="Arial" w:hAnsi="Arial"/>
          <w:sz w:val="17"/>
          <w:szCs w:val="17"/>
          <w:u w:val="single" w:color="auto"/>
          <w:color w:val="008000"/>
        </w:rPr>
        <w:t>, without the prior written consent of the</w:t>
      </w:r>
      <w:r>
        <w:rPr>
          <w:rFonts w:ascii="Arial" w:cs="Arial" w:eastAsia="Arial" w:hAnsi="Arial"/>
          <w:sz w:val="17"/>
          <w:szCs w:val="17"/>
          <w:u w:val="single" w:color="auto"/>
          <w:color w:val="0000FF"/>
        </w:rPr>
        <w:t xml:space="preserve"> 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-163195</wp:posOffset>
            </wp:positionV>
            <wp:extent cx="58635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35749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8" w:lineRule="exact"/>
        <w:rPr>
          <w:sz w:val="20"/>
          <w:szCs w:val="20"/>
          <w:color w:val="auto"/>
        </w:rPr>
      </w:pPr>
    </w:p>
    <w:p>
      <w:pPr>
        <w:ind w:left="4" w:right="80" w:firstLine="419"/>
        <w:spacing w:after="0" w:line="301" w:lineRule="auto"/>
        <w:tabs>
          <w:tab w:leader="none" w:pos="781" w:val="left"/>
        </w:tabs>
        <w:numPr>
          <w:ilvl w:val="1"/>
          <w:numId w:val="240"/>
        </w:numPr>
        <w:rPr>
          <w:rFonts w:ascii="Arial" w:cs="Arial" w:eastAsia="Arial" w:hAnsi="Arial"/>
          <w:sz w:val="16"/>
          <w:szCs w:val="16"/>
          <w:u w:val="single" w:color="auto"/>
          <w:color w:val="0000FF"/>
        </w:rPr>
      </w:pPr>
      <w:r>
        <w:rPr>
          <w:rFonts w:ascii="Arial" w:cs="Arial" w:eastAsia="Arial" w:hAnsi="Arial"/>
          <w:sz w:val="16"/>
          <w:szCs w:val="16"/>
          <w:color w:val="auto"/>
        </w:rPr>
        <w:t> </w:t>
      </w:r>
      <w:r>
        <w:rPr>
          <w:rFonts w:ascii="Arial" w:cs="Arial" w:eastAsia="Arial" w:hAnsi="Arial"/>
          <w:sz w:val="16"/>
          <w:szCs w:val="16"/>
          <w:u w:val="single" w:color="auto"/>
          <w:color w:val="0000FF"/>
        </w:rPr>
        <w:t>The Loan Parties or any of their controlled Affiliates shall support (in any such case by way of any motion, application or other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 xml:space="preserve">pleading filed with the Bankruptcy Court or Canadian Court or any other writing to another party-in-interest executed </w:t>
      </w:r>
      <w:r>
        <w:rPr>
          <w:rFonts w:ascii="Arial" w:cs="Arial" w:eastAsia="Arial" w:hAnsi="Arial"/>
          <w:sz w:val="16"/>
          <w:szCs w:val="16"/>
          <w:u w:val="single" w:color="auto"/>
          <w:color w:val="008000"/>
        </w:rPr>
        <w:t>by or on behalf of the</w:t>
      </w:r>
      <w:r>
        <w:rPr>
          <w:rFonts w:ascii="Arial" w:cs="Arial" w:eastAsia="Arial" w:hAnsi="Arial"/>
          <w:sz w:val="16"/>
          <w:szCs w:val="16"/>
          <w:u w:val="single" w:color="auto"/>
          <w:color w:val="0000FF"/>
        </w:rPr>
        <w:t xml:space="preserve"> Loan Parties or any of their Subsidiaries) any other Person’s opposition of any motion made in the Bankruptcy Court or Canadian Court by the Lenders seeking confirmation of the amount of the Lenders’ claim or the validity and enforceability of the Liens in favor of the Collateral Agent; or</w:t>
      </w:r>
    </w:p>
    <w:p>
      <w:pPr>
        <w:spacing w:after="0" w:line="49" w:lineRule="exact"/>
        <w:rPr>
          <w:rFonts w:ascii="Arial" w:cs="Arial" w:eastAsia="Arial" w:hAnsi="Arial"/>
          <w:sz w:val="16"/>
          <w:szCs w:val="16"/>
          <w:u w:val="single" w:color="auto"/>
          <w:color w:val="0000FF"/>
        </w:rPr>
      </w:pPr>
    </w:p>
    <w:p>
      <w:pPr>
        <w:ind w:left="4" w:right="60" w:firstLine="419"/>
        <w:spacing w:after="0" w:line="284" w:lineRule="auto"/>
        <w:tabs>
          <w:tab w:leader="none" w:pos="831" w:val="left"/>
        </w:tabs>
        <w:numPr>
          <w:ilvl w:val="1"/>
          <w:numId w:val="240"/>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r>
        <w:rPr>
          <w:rFonts w:ascii="Arial" w:cs="Arial" w:eastAsia="Arial" w:hAnsi="Arial"/>
          <w:sz w:val="16"/>
          <w:szCs w:val="16"/>
          <w:u w:val="single" w:color="auto"/>
          <w:color w:val="0000FF"/>
        </w:rPr>
        <w:t>(A) The Loan Parties or any of their Affiliates shall seek to, or shall support (in any such case by way of any motion, application 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 xml:space="preserve">other pleading filed with the Bankruptcy Court or Canadian Court or any other writing to another party-in-interest executed </w:t>
      </w:r>
      <w:r>
        <w:rPr>
          <w:rFonts w:ascii="Arial" w:cs="Arial" w:eastAsia="Arial" w:hAnsi="Arial"/>
          <w:sz w:val="16"/>
          <w:szCs w:val="16"/>
          <w:u w:val="single" w:color="auto"/>
          <w:color w:val="008000"/>
        </w:rPr>
        <w:t>by or on behalf of the</w:t>
      </w:r>
      <w:r>
        <w:rPr>
          <w:rFonts w:ascii="Arial" w:cs="Arial" w:eastAsia="Arial" w:hAnsi="Arial"/>
          <w:sz w:val="16"/>
          <w:szCs w:val="16"/>
          <w:u w:val="single" w:color="auto"/>
          <w:color w:val="0000FF"/>
        </w:rPr>
        <w:t xml:space="preserve"> Loan Parties or any of their Subsidiaries) any other Person’s motion to, disallow in whole or in part the Lenders’ claim in respect of the Obligations or to challenge the validity and enforceability of the Liens in favor of the Collateral Agent or contest any material provision of any Loan Document, (B) any Loan Party shall attempt to invalidate, reduce or otherwise impair the Liens or security interests of the Collateral Agent or the Lenders or to subject any Collateral to assessment pursuant to section 506(c) of the Bankruptcy Code, (C) any </w:t>
      </w:r>
      <w:r>
        <w:rPr>
          <w:rFonts w:ascii="Arial" w:cs="Arial" w:eastAsia="Arial" w:hAnsi="Arial"/>
          <w:sz w:val="16"/>
          <w:szCs w:val="16"/>
          <w:u w:val="single" w:color="auto"/>
          <w:color w:val="008000"/>
        </w:rPr>
        <w:t>Liens on the Collateral</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securing </w:t>
      </w:r>
      <w:r>
        <w:rPr>
          <w:rFonts w:ascii="Arial" w:cs="Arial" w:eastAsia="Arial" w:hAnsi="Arial"/>
          <w:sz w:val="16"/>
          <w:szCs w:val="16"/>
          <w:u w:val="single" w:color="auto"/>
          <w:color w:val="0000FF"/>
        </w:rPr>
        <w:t>the Obligations and/or super-priority claims shall otherwise, for any reason, cease to be valid, perfected and enforceable in all respects,</w:t>
      </w:r>
    </w:p>
    <w:p>
      <w:pPr>
        <w:spacing w:after="0" w:line="2" w:lineRule="exact"/>
        <w:rPr>
          <w:rFonts w:ascii="Arial" w:cs="Arial" w:eastAsia="Arial" w:hAnsi="Arial"/>
          <w:sz w:val="16"/>
          <w:szCs w:val="16"/>
          <w:u w:val="single" w:color="auto"/>
          <w:color w:val="0000FF"/>
        </w:rPr>
      </w:pPr>
    </w:p>
    <w:p>
      <w:pPr>
        <w:ind w:left="4" w:hanging="4"/>
        <w:spacing w:after="0" w:line="255" w:lineRule="auto"/>
        <w:tabs>
          <w:tab w:leader="none" w:pos="298" w:val="left"/>
        </w:tabs>
        <w:numPr>
          <w:ilvl w:val="0"/>
          <w:numId w:val="24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action is commenced by the Loan Parties that contests the validity, perfection or enforceability of any of the Liens and security interests of the Collateral Agent or the Lenders created by the DIP Order, the applicable Canadian Orders or the Loan Documents, or (E) any material provision of any Loan Document shall cease to be effective; or</w:t>
      </w:r>
    </w:p>
    <w:p>
      <w:pPr>
        <w:spacing w:after="0" w:line="81" w:lineRule="exact"/>
        <w:rPr>
          <w:rFonts w:ascii="Arial" w:cs="Arial" w:eastAsia="Arial" w:hAnsi="Arial"/>
          <w:sz w:val="18"/>
          <w:szCs w:val="18"/>
          <w:u w:val="single" w:color="auto"/>
          <w:color w:val="0000FF"/>
        </w:rPr>
      </w:pPr>
    </w:p>
    <w:p>
      <w:pPr>
        <w:ind w:left="4" w:right="80" w:firstLine="419"/>
        <w:spacing w:after="0" w:line="277" w:lineRule="auto"/>
        <w:tabs>
          <w:tab w:leader="none" w:pos="821" w:val="left"/>
        </w:tabs>
        <w:numPr>
          <w:ilvl w:val="1"/>
          <w:numId w:val="241"/>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Any judgments which are in the aggregate in excess of $2,500,000 as to any postpetition obligation shall be rendered against any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Loan Parties and the enforcement thereof shall not be stayed;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-2205355</wp:posOffset>
            </wp:positionV>
            <wp:extent cx="61550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-2068195</wp:posOffset>
            </wp:positionV>
            <wp:extent cx="665226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-1931035</wp:posOffset>
            </wp:positionV>
            <wp:extent cx="666051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-1793875</wp:posOffset>
            </wp:positionV>
            <wp:extent cx="636079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-1588135</wp:posOffset>
            </wp:positionV>
            <wp:extent cx="639508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665226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6180455"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-1176655</wp:posOffset>
            </wp:positionV>
            <wp:extent cx="653224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-1039495</wp:posOffset>
            </wp:positionV>
            <wp:extent cx="661797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-902335</wp:posOffset>
            </wp:positionV>
            <wp:extent cx="639508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-765175</wp:posOffset>
            </wp:positionV>
            <wp:extent cx="658368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-628015</wp:posOffset>
            </wp:positionV>
            <wp:extent cx="670369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-490855</wp:posOffset>
            </wp:positionV>
            <wp:extent cx="630936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287147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-147955</wp:posOffset>
            </wp:positionV>
            <wp:extent cx="638619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30861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8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564"/>
          </w:cols>
          <w:pgMar w:left="876" w:top="274" w:right="459" w:bottom="1440" w:gutter="0" w:footer="0" w:header="0"/>
        </w:sectPr>
      </w:pPr>
    </w:p>
    <w:bookmarkStart w:id="290" w:name="page291"/>
    <w:bookmarkEnd w:id="290"/>
    <w:p>
      <w:pPr>
        <w:ind w:right="140" w:firstLine="419"/>
        <w:spacing w:after="0" w:line="259" w:lineRule="auto"/>
        <w:tabs>
          <w:tab w:leader="none" w:pos="768"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rFonts w:ascii="Arial" w:cs="Arial" w:eastAsia="Arial" w:hAnsi="Arial"/>
          <w:sz w:val="18"/>
          <w:szCs w:val="18"/>
          <w:color w:val="0000FF"/>
        </w:rPr>
        <w:t>(A) The Loan Parties or any of their Affiliates shall file any pleading, application, motion or proceeding which results in a material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impairment of the rights or interests of the Lenders or (B) entry of an order of the Bankruptcy Court or Canadian Court with respect to any pleading, application, motion or proceeding brought by any other Person which results in such a material impairment of the rights or interests of the Lenders; or</w:t>
      </w:r>
    </w:p>
    <w:p>
      <w:pPr>
        <w:spacing w:after="0" w:line="78" w:lineRule="exact"/>
        <w:rPr>
          <w:rFonts w:ascii="Arial" w:cs="Arial" w:eastAsia="Arial" w:hAnsi="Arial"/>
          <w:sz w:val="18"/>
          <w:szCs w:val="18"/>
          <w:u w:val="single" w:color="auto"/>
          <w:color w:val="0000FF"/>
        </w:rPr>
      </w:pPr>
    </w:p>
    <w:p>
      <w:pPr>
        <w:ind w:firstLine="419"/>
        <w:spacing w:after="0" w:line="259" w:lineRule="auto"/>
        <w:tabs>
          <w:tab w:leader="none" w:pos="818"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Any Loan Party or any of their Affiliates shall have filed a motion seeking the entry of, or the Bankruptcy Court or Canadian Court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shall have entered, an order approving a payment to any Person (whether in cash or other property or whether as adequate protection, settlement of a dispute, or otherwise) that would be materially inconsistent with the treatment of any such Person under the Approved Budget or First Day Orders or Second Day Orders, without the prior written consent of the Lenders; or</w:t>
      </w:r>
    </w:p>
    <w:p>
      <w:pPr>
        <w:spacing w:after="0" w:line="78" w:lineRule="exact"/>
        <w:rPr>
          <w:rFonts w:ascii="Arial" w:cs="Arial" w:eastAsia="Arial" w:hAnsi="Arial"/>
          <w:sz w:val="18"/>
          <w:szCs w:val="18"/>
          <w:u w:val="single" w:color="auto"/>
          <w:color w:val="0000FF"/>
        </w:rPr>
      </w:pPr>
    </w:p>
    <w:p>
      <w:pPr>
        <w:ind w:right="80" w:firstLine="419"/>
        <w:spacing w:after="0" w:line="277" w:lineRule="auto"/>
        <w:tabs>
          <w:tab w:leader="none" w:pos="868"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Any Loan Party files or publicly announces its intention to file a Plan of Reorganization that is not an Acceptable Plan, without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prior written consent of the Lenders; or</w:t>
      </w:r>
    </w:p>
    <w:p>
      <w:pPr>
        <w:spacing w:after="0" w:line="62" w:lineRule="exact"/>
        <w:rPr>
          <w:rFonts w:ascii="Arial" w:cs="Arial" w:eastAsia="Arial" w:hAnsi="Arial"/>
          <w:sz w:val="18"/>
          <w:szCs w:val="18"/>
          <w:u w:val="single" w:color="auto"/>
          <w:color w:val="0000FF"/>
        </w:rPr>
      </w:pPr>
    </w:p>
    <w:p>
      <w:pPr>
        <w:ind w:left="920" w:hanging="501"/>
        <w:spacing w:after="0"/>
        <w:tabs>
          <w:tab w:leader="none" w:pos="920"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An order shall be entered by the Bankruptcy Court transferring the Chapter 11 Cases to any other court;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-1553210</wp:posOffset>
            </wp:positionV>
            <wp:extent cx="634365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-1587500</wp:posOffset>
            </wp:positionV>
            <wp:extent cx="601345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601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-1416050</wp:posOffset>
            </wp:positionV>
            <wp:extent cx="633476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-1278890</wp:posOffset>
            </wp:positionV>
            <wp:extent cx="658368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-1141730</wp:posOffset>
            </wp:positionV>
            <wp:extent cx="68580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-935990</wp:posOffset>
            </wp:positionV>
            <wp:extent cx="636905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-798830</wp:posOffset>
            </wp:positionV>
            <wp:extent cx="670369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-661670</wp:posOffset>
            </wp:positionV>
            <wp:extent cx="642048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-524510</wp:posOffset>
            </wp:positionV>
            <wp:extent cx="3754755"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-318770</wp:posOffset>
            </wp:positionV>
            <wp:extent cx="637794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-181610</wp:posOffset>
            </wp:positionV>
            <wp:extent cx="179133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23495</wp:posOffset>
            </wp:positionV>
            <wp:extent cx="528891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spacing w:after="0" w:line="97" w:lineRule="exact"/>
        <w:rPr>
          <w:sz w:val="20"/>
          <w:szCs w:val="20"/>
          <w:color w:val="auto"/>
        </w:rPr>
      </w:pPr>
    </w:p>
    <w:p>
      <w:pPr>
        <w:ind w:right="380" w:firstLine="423"/>
        <w:spacing w:after="0" w:line="277" w:lineRule="auto"/>
        <w:rPr>
          <w:sz w:val="20"/>
          <w:szCs w:val="20"/>
          <w:color w:val="auto"/>
        </w:rPr>
      </w:pPr>
      <w:r>
        <w:rPr>
          <w:rFonts w:ascii="Arial" w:cs="Arial" w:eastAsia="Arial" w:hAnsi="Arial"/>
          <w:sz w:val="18"/>
          <w:szCs w:val="18"/>
          <w:u w:val="single" w:color="auto"/>
          <w:color w:val="0000FF"/>
        </w:rPr>
        <w:t>(xix)</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Canadian Court shall enter an order appointing a receiver, interim receiver, trustee or similar official in respect of any of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Canadian Debtors or Canadian Collateral (other than, for certainty, the appointment of the Information Officer);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-147955</wp:posOffset>
            </wp:positionV>
            <wp:extent cx="62064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522922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42" w:lineRule="exact"/>
        <w:rPr>
          <w:sz w:val="20"/>
          <w:szCs w:val="20"/>
          <w:color w:val="auto"/>
        </w:rPr>
      </w:pPr>
    </w:p>
    <w:p>
      <w:pPr>
        <w:ind w:left="760" w:hanging="341"/>
        <w:spacing w:after="0"/>
        <w:tabs>
          <w:tab w:leader="none" w:pos="760"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[Reserved]; or</w:t>
      </w:r>
    </w:p>
    <w:p>
      <w:pPr>
        <w:spacing w:after="0" w:line="117" w:lineRule="exact"/>
        <w:rPr>
          <w:rFonts w:ascii="Arial" w:cs="Arial" w:eastAsia="Arial" w:hAnsi="Arial"/>
          <w:sz w:val="18"/>
          <w:szCs w:val="18"/>
          <w:u w:val="single" w:color="auto"/>
          <w:color w:val="0000FF"/>
        </w:rPr>
      </w:pPr>
    </w:p>
    <w:p>
      <w:pPr>
        <w:ind w:left="820" w:hanging="401"/>
        <w:spacing w:after="0"/>
        <w:tabs>
          <w:tab w:leader="none" w:pos="820"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[Reserved]; or</w:t>
      </w:r>
    </w:p>
    <w:p>
      <w:pPr>
        <w:spacing w:after="0" w:line="117" w:lineRule="exact"/>
        <w:rPr>
          <w:rFonts w:ascii="Arial" w:cs="Arial" w:eastAsia="Arial" w:hAnsi="Arial"/>
          <w:sz w:val="18"/>
          <w:szCs w:val="18"/>
          <w:u w:val="single" w:color="auto"/>
          <w:color w:val="0000FF"/>
        </w:rPr>
      </w:pPr>
    </w:p>
    <w:p>
      <w:pPr>
        <w:ind w:right="220" w:firstLine="419"/>
        <w:spacing w:after="0" w:line="286" w:lineRule="auto"/>
        <w:tabs>
          <w:tab w:leader="none" w:pos="868" w:val="left"/>
        </w:tabs>
        <w:numPr>
          <w:ilvl w:val="0"/>
          <w:numId w:val="243"/>
        </w:numPr>
        <w:rPr>
          <w:rFonts w:ascii="Arial" w:cs="Arial" w:eastAsia="Arial" w:hAnsi="Arial"/>
          <w:sz w:val="17"/>
          <w:szCs w:val="17"/>
          <w:u w:val="single" w:color="auto"/>
          <w:color w:val="0000FF"/>
        </w:rPr>
      </w:pPr>
      <w:r>
        <w:rPr>
          <w:rFonts w:ascii="Arial" w:cs="Arial" w:eastAsia="Arial" w:hAnsi="Arial"/>
          <w:sz w:val="17"/>
          <w:szCs w:val="17"/>
          <w:color w:val="auto"/>
        </w:rPr>
        <w:t> </w:t>
      </w:r>
      <w:r>
        <w:rPr>
          <w:rFonts w:ascii="Arial" w:cs="Arial" w:eastAsia="Arial" w:hAnsi="Arial"/>
          <w:sz w:val="17"/>
          <w:szCs w:val="17"/>
          <w:u w:val="single" w:color="auto"/>
          <w:color w:val="0000FF"/>
        </w:rPr>
        <w:t>The Bidding Procedures Order is amended, supplemented or otherwise modified so as to prevent or otherwise hinder the Lenders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xml:space="preserve">(or the Agents on behalf of the Lenders) from credit bidding the full amount of the Obligations </w:t>
      </w:r>
      <w:r>
        <w:rPr>
          <w:rFonts w:ascii="Arial" w:cs="Arial" w:eastAsia="Arial" w:hAnsi="Arial"/>
          <w:sz w:val="17"/>
          <w:szCs w:val="17"/>
          <w:u w:val="single" w:color="auto"/>
          <w:color w:val="008000"/>
        </w:rPr>
        <w:t>(including, for the avoidance of doubt,</w:t>
      </w:r>
      <w:r>
        <w:rPr>
          <w:rFonts w:ascii="Arial" w:cs="Arial" w:eastAsia="Arial" w:hAnsi="Arial"/>
          <w:sz w:val="17"/>
          <w:szCs w:val="17"/>
          <w:u w:val="single" w:color="auto"/>
          <w:color w:val="0000FF"/>
        </w:rPr>
        <w:t xml:space="preserve"> the Obligations in respect of the Prepetition Term Loans) without the prior written consent of the 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-699770</wp:posOffset>
            </wp:positionV>
            <wp:extent cx="98552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-494030</wp:posOffset>
            </wp:positionV>
            <wp:extent cx="101981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-288290</wp:posOffset>
            </wp:positionV>
            <wp:extent cx="630047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-151130</wp:posOffset>
            </wp:positionV>
            <wp:extent cx="629221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4808855"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4808855" cy="8890"/>
                    </a:xfrm>
                    <a:prstGeom prst="rect">
                      <a:avLst/>
                    </a:prstGeom>
                    <a:noFill/>
                  </pic:spPr>
                </pic:pic>
              </a:graphicData>
            </a:graphic>
          </wp:anchor>
        </w:drawing>
      </w:r>
    </w:p>
    <w:p>
      <w:pPr>
        <w:spacing w:after="0" w:line="37" w:lineRule="exact"/>
        <w:rPr>
          <w:sz w:val="20"/>
          <w:szCs w:val="20"/>
          <w:color w:val="auto"/>
        </w:rPr>
      </w:pPr>
    </w:p>
    <w:p>
      <w:pPr>
        <w:ind w:right="640" w:firstLine="423"/>
        <w:spacing w:after="0" w:line="277" w:lineRule="auto"/>
        <w:rPr>
          <w:sz w:val="20"/>
          <w:szCs w:val="20"/>
          <w:color w:val="auto"/>
        </w:rPr>
      </w:pPr>
      <w:r>
        <w:rPr>
          <w:rFonts w:ascii="Arial" w:cs="Arial" w:eastAsia="Arial" w:hAnsi="Arial"/>
          <w:sz w:val="18"/>
          <w:szCs w:val="18"/>
          <w:u w:val="single" w:color="auto"/>
          <w:color w:val="0000FF"/>
        </w:rPr>
        <w:t>(xxiii)</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occurrence of a “Cash Collateral Termination Event” or “Event of Default” (or similar event) under the UST Adequate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Protection Order or the DIP Order;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-147955</wp:posOffset>
            </wp:positionV>
            <wp:extent cx="603504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17145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2" w:lineRule="exact"/>
        <w:rPr>
          <w:sz w:val="20"/>
          <w:szCs w:val="20"/>
          <w:color w:val="auto"/>
        </w:rPr>
      </w:pPr>
    </w:p>
    <w:p>
      <w:pPr>
        <w:ind w:right="120" w:firstLine="419"/>
        <w:spacing w:after="0" w:line="259" w:lineRule="auto"/>
        <w:tabs>
          <w:tab w:leader="none" w:pos="907"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 xml:space="preserve">  </w:t>
      </w:r>
      <w:r>
        <w:rPr>
          <w:rFonts w:ascii="Arial" w:cs="Arial" w:eastAsia="Arial" w:hAnsi="Arial"/>
          <w:sz w:val="18"/>
          <w:szCs w:val="18"/>
          <w:u w:val="single" w:color="auto"/>
          <w:color w:val="0000FF"/>
        </w:rPr>
        <w:t>Any Loan Party or any of their Affiliates shall have filed a motion seeking the entry of, or the Bankruptcy Court or Canadian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Court shall have entered, an order approving a payment to any person that would be inconsistent with the Approved Budget (subject to Permitted Variances); or the proceeds of any Loan shall have been expended in a manner that is not in accordance with the Approved Budget (subject to Permitted Variances);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-412115</wp:posOffset>
            </wp:positionV>
            <wp:extent cx="616331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-274955</wp:posOffset>
            </wp:positionV>
            <wp:extent cx="6635115"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-137795</wp:posOffset>
            </wp:positionV>
            <wp:extent cx="647192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wp:posOffset>
            </wp:positionV>
            <wp:extent cx="110553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59" w:lineRule="exact"/>
        <w:rPr>
          <w:sz w:val="20"/>
          <w:szCs w:val="20"/>
          <w:color w:val="auto"/>
        </w:rPr>
      </w:pPr>
    </w:p>
    <w:p>
      <w:pPr>
        <w:ind w:right="100" w:firstLine="423"/>
        <w:spacing w:after="0" w:line="277" w:lineRule="auto"/>
        <w:rPr>
          <w:sz w:val="20"/>
          <w:szCs w:val="20"/>
          <w:color w:val="auto"/>
        </w:rPr>
      </w:pPr>
      <w:r>
        <w:rPr>
          <w:rFonts w:ascii="Arial" w:cs="Arial" w:eastAsia="Arial" w:hAnsi="Arial"/>
          <w:sz w:val="18"/>
          <w:szCs w:val="18"/>
          <w:u w:val="single" w:color="auto"/>
          <w:color w:val="0000FF"/>
        </w:rPr>
        <w:t>(xxv)</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filing of any Plan of Reorganization that does not propose to indefeasibly repay the Obligations and the Junior DIP Obligations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 full in cash;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-147955</wp:posOffset>
            </wp:positionV>
            <wp:extent cx="637794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77978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42" w:lineRule="exact"/>
        <w:rPr>
          <w:sz w:val="20"/>
          <w:szCs w:val="20"/>
          <w:color w:val="auto"/>
        </w:rPr>
      </w:pPr>
    </w:p>
    <w:p>
      <w:pPr>
        <w:ind w:left="900" w:hanging="481"/>
        <w:spacing w:after="0"/>
        <w:tabs>
          <w:tab w:leader="none" w:pos="900"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[Reserved]; or</w:t>
      </w:r>
    </w:p>
    <w:p>
      <w:pPr>
        <w:spacing w:after="0" w:line="117" w:lineRule="exact"/>
        <w:rPr>
          <w:rFonts w:ascii="Arial" w:cs="Arial" w:eastAsia="Arial" w:hAnsi="Arial"/>
          <w:sz w:val="18"/>
          <w:szCs w:val="18"/>
          <w:u w:val="single" w:color="auto"/>
          <w:color w:val="0000FF"/>
        </w:rPr>
      </w:pPr>
    </w:p>
    <w:p>
      <w:pPr>
        <w:ind w:right="300" w:firstLine="419"/>
        <w:spacing w:after="0" w:line="277" w:lineRule="auto"/>
        <w:tabs>
          <w:tab w:leader="none" w:pos="957"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color w:val="auto"/>
        </w:rPr>
        <w:t> </w:t>
      </w:r>
      <w:r>
        <w:rPr>
          <w:rFonts w:ascii="Arial" w:cs="Arial" w:eastAsia="Arial" w:hAnsi="Arial"/>
          <w:sz w:val="18"/>
          <w:szCs w:val="18"/>
          <w:u w:val="single" w:color="auto"/>
          <w:color w:val="0000FF"/>
        </w:rPr>
        <w:t>Failure to meet any milestone set forth on Appendix E hereto (the “Chapter 11 Milestones”) when required, unless extended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waived </w:t>
      </w:r>
      <w:r>
        <w:rPr>
          <w:rFonts w:ascii="Arial" w:cs="Arial" w:eastAsia="Arial" w:hAnsi="Arial"/>
          <w:sz w:val="18"/>
          <w:szCs w:val="18"/>
          <w:u w:val="single" w:color="auto"/>
          <w:color w:val="008000"/>
        </w:rPr>
        <w:t>in writing (which may be via</w:t>
      </w:r>
      <w:r>
        <w:rPr>
          <w:rFonts w:ascii="Arial" w:cs="Arial" w:eastAsia="Arial" w:hAnsi="Arial"/>
          <w:sz w:val="18"/>
          <w:szCs w:val="18"/>
          <w:u w:val="single" w:color="auto"/>
          <w:color w:val="0000FF"/>
        </w:rPr>
        <w:t xml:space="preserve"> email) by the Junior DIP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-353695</wp:posOffset>
            </wp:positionV>
            <wp:extent cx="108013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-147955</wp:posOffset>
            </wp:positionV>
            <wp:extent cx="624903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325755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8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560"/>
          </w:cols>
          <w:pgMar w:left="880" w:top="274" w:right="459" w:bottom="1440" w:gutter="0" w:footer="0" w:header="0"/>
        </w:sectPr>
      </w:pPr>
    </w:p>
    <w:bookmarkStart w:id="291" w:name="page292"/>
    <w:bookmarkEnd w:id="291"/>
    <w:p>
      <w:pPr>
        <w:ind w:left="4" w:firstLine="4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8.02.</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Section 8.02</w:t>
      </w:r>
      <w:r>
        <w:rPr>
          <w:rFonts w:ascii="Arial" w:cs="Arial" w:eastAsia="Arial" w:hAnsi="Arial"/>
          <w:sz w:val="18"/>
          <w:szCs w:val="18"/>
          <w:color w:val="000000"/>
        </w:rPr>
        <w:t xml:space="preserve"> </w:t>
      </w:r>
      <w:r>
        <w:rPr>
          <w:rFonts w:ascii="Arial" w:cs="Arial" w:eastAsia="Arial" w:hAnsi="Arial"/>
          <w:sz w:val="18"/>
          <w:szCs w:val="18"/>
          <w:i w:val="1"/>
          <w:iCs w:val="1"/>
          <w:color w:val="000000"/>
        </w:rPr>
        <w:t>Remedies Upon Event of Default</w:t>
      </w:r>
      <w:r>
        <w:rPr>
          <w:rFonts w:ascii="Arial" w:cs="Arial" w:eastAsia="Arial" w:hAnsi="Arial"/>
          <w:sz w:val="18"/>
          <w:szCs w:val="18"/>
          <w:color w:val="FF0000"/>
          <w:strike w:val="1"/>
        </w:rPr>
        <w:t>. If any Event of Default occurs and is continuing the Administrative Agent may, and</w:t>
      </w:r>
      <w:r>
        <w:rPr>
          <w:rFonts w:ascii="Arial" w:cs="Arial" w:eastAsia="Arial" w:hAnsi="Arial"/>
          <w:sz w:val="18"/>
          <w:szCs w:val="18"/>
          <w:color w:val="FF0000"/>
        </w:rPr>
        <w:t xml:space="preserve"> </w:t>
      </w:r>
      <w:r>
        <w:rPr>
          <w:rFonts w:ascii="Arial" w:cs="Arial" w:eastAsia="Arial" w:hAnsi="Arial"/>
          <w:sz w:val="18"/>
          <w:szCs w:val="18"/>
          <w:color w:val="FF0000"/>
          <w:strike w:val="1"/>
        </w:rPr>
        <w:t>at the request of the Required Lenders shall, take any or all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-147955</wp:posOffset>
            </wp:positionV>
            <wp:extent cx="57404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2" w:lineRule="exact"/>
        <w:rPr>
          <w:sz w:val="20"/>
          <w:szCs w:val="20"/>
          <w:color w:val="auto"/>
        </w:rPr>
      </w:pPr>
    </w:p>
    <w:p>
      <w:pPr>
        <w:ind w:left="4" w:right="60" w:hanging="4"/>
        <w:spacing w:after="0" w:line="263" w:lineRule="auto"/>
        <w:tabs>
          <w:tab w:leader="none" w:pos="94"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Subject to the terms and conditions of the DIP Order, the Senior ICA Provisions, the Prepetition ABL Intercreditor Agreement and, solely in the case of Canadian Debtors, the Canadian Orders, if any Event of Default (other than the Existing Defaults) occurs and is continuing the Administrative Agent may, </w:t>
      </w:r>
      <w:r>
        <w:rPr>
          <w:rFonts w:ascii="Arial" w:cs="Arial" w:eastAsia="Arial" w:hAnsi="Arial"/>
          <w:sz w:val="18"/>
          <w:szCs w:val="18"/>
          <w:u w:val="single" w:color="auto"/>
          <w:color w:val="008000"/>
        </w:rPr>
        <w:t>at the request of the</w:t>
      </w:r>
      <w:r>
        <w:rPr>
          <w:rFonts w:ascii="Arial" w:cs="Arial" w:eastAsia="Arial" w:hAnsi="Arial"/>
          <w:sz w:val="18"/>
          <w:szCs w:val="18"/>
          <w:u w:val="single" w:color="auto"/>
          <w:color w:val="0000FF"/>
        </w:rPr>
        <w:t xml:space="preserve"> Lenders, take any or all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687514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372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40296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56" w:lineRule="exact"/>
        <w:rPr>
          <w:sz w:val="20"/>
          <w:szCs w:val="20"/>
          <w:color w:val="auto"/>
        </w:rPr>
      </w:pPr>
    </w:p>
    <w:p>
      <w:pPr>
        <w:ind w:left="864"/>
        <w:spacing w:after="0"/>
        <w:rPr>
          <w:sz w:val="20"/>
          <w:szCs w:val="20"/>
          <w:color w:val="auto"/>
        </w:rPr>
      </w:pPr>
      <w:r>
        <w:rPr>
          <w:rFonts w:ascii="Arial" w:cs="Arial" w:eastAsia="Arial" w:hAnsi="Arial"/>
          <w:sz w:val="17"/>
          <w:szCs w:val="17"/>
          <w:color w:val="auto"/>
        </w:rPr>
        <w:t>(i) declare the commitment of each Lender to make Loans to be terminated, whereupon such commitments shall be terminated;</w:t>
      </w:r>
    </w:p>
    <w:p>
      <w:pPr>
        <w:spacing w:after="0" w:line="129" w:lineRule="exact"/>
        <w:rPr>
          <w:sz w:val="20"/>
          <w:szCs w:val="20"/>
          <w:color w:val="auto"/>
        </w:rPr>
      </w:pPr>
    </w:p>
    <w:p>
      <w:pPr>
        <w:ind w:left="444" w:right="160" w:firstLine="423"/>
        <w:spacing w:after="0" w:line="259" w:lineRule="auto"/>
        <w:rPr>
          <w:sz w:val="20"/>
          <w:szCs w:val="20"/>
          <w:color w:val="auto"/>
        </w:rPr>
      </w:pPr>
      <w:r>
        <w:rPr>
          <w:rFonts w:ascii="Arial" w:cs="Arial" w:eastAsia="Arial" w:hAnsi="Arial"/>
          <w:sz w:val="18"/>
          <w:szCs w:val="18"/>
          <w:color w:val="auto"/>
        </w:rPr>
        <w:t xml:space="preserve">(ii) declare the unpaid principal amount of all outstanding Loans, all interest accrued and unpaid thereon, premium </w:t>
      </w:r>
      <w:r>
        <w:rPr>
          <w:rFonts w:ascii="Arial" w:cs="Arial" w:eastAsia="Arial" w:hAnsi="Arial"/>
          <w:sz w:val="18"/>
          <w:szCs w:val="18"/>
          <w:color w:val="FF0000"/>
          <w:strike w:val="1"/>
        </w:rPr>
        <w:t>(including the</w:t>
      </w:r>
      <w:r>
        <w:rPr>
          <w:rFonts w:ascii="Arial" w:cs="Arial" w:eastAsia="Arial" w:hAnsi="Arial"/>
          <w:sz w:val="18"/>
          <w:szCs w:val="18"/>
          <w:color w:val="auto"/>
        </w:rPr>
        <w:t xml:space="preserve"> </w:t>
      </w:r>
      <w:r>
        <w:rPr>
          <w:rFonts w:ascii="Arial" w:cs="Arial" w:eastAsia="Arial" w:hAnsi="Arial"/>
          <w:sz w:val="18"/>
          <w:szCs w:val="18"/>
          <w:color w:val="FF0000"/>
          <w:strike w:val="1"/>
        </w:rPr>
        <w:t>Prepayment Premium)</w:t>
      </w:r>
      <w:r>
        <w:rPr>
          <w:rFonts w:ascii="Arial" w:cs="Arial" w:eastAsia="Arial" w:hAnsi="Arial"/>
          <w:sz w:val="18"/>
          <w:szCs w:val="18"/>
          <w:color w:val="FF0000"/>
        </w:rPr>
        <w:t xml:space="preserve"> </w:t>
      </w:r>
      <w:r>
        <w:rPr>
          <w:rFonts w:ascii="Arial" w:cs="Arial" w:eastAsia="Arial" w:hAnsi="Arial"/>
          <w:sz w:val="18"/>
          <w:szCs w:val="18"/>
          <w:color w:val="000000"/>
        </w:rPr>
        <w:t>and all other amounts owing or payable or accrued hereunder or under any other Loan Document to be immediately due</w:t>
      </w:r>
      <w:r>
        <w:rPr>
          <w:rFonts w:ascii="Arial" w:cs="Arial" w:eastAsia="Arial" w:hAnsi="Arial"/>
          <w:sz w:val="18"/>
          <w:szCs w:val="18"/>
          <w:color w:val="FF0000"/>
        </w:rPr>
        <w:t xml:space="preserve"> </w:t>
      </w:r>
      <w:r>
        <w:rPr>
          <w:rFonts w:ascii="Arial" w:cs="Arial" w:eastAsia="Arial" w:hAnsi="Arial"/>
          <w:sz w:val="18"/>
          <w:szCs w:val="18"/>
          <w:color w:val="000000"/>
        </w:rPr>
        <w:t>and payable, without presentment, demand, protest or other notice of any kind, all of which are hereby expressly waived (to the extent permitted by applicable law) by the Borrower and each other Loan Party; and</w:t>
      </w:r>
    </w:p>
    <w:p>
      <w:pPr>
        <w:spacing w:after="0" w:line="79" w:lineRule="exact"/>
        <w:rPr>
          <w:sz w:val="20"/>
          <w:szCs w:val="20"/>
          <w:color w:val="auto"/>
        </w:rPr>
      </w:pPr>
    </w:p>
    <w:p>
      <w:pPr>
        <w:ind w:left="444" w:right="160" w:firstLine="423"/>
        <w:spacing w:after="0" w:line="263" w:lineRule="auto"/>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color w:val="FF0000"/>
          <w:strike w:val="1"/>
        </w:rPr>
        <w:t>subject to the terms, conditions and provisions of any Intercreditor Agreement,</w:t>
      </w:r>
      <w:r>
        <w:rPr>
          <w:rFonts w:ascii="Arial" w:cs="Arial" w:eastAsia="Arial" w:hAnsi="Arial"/>
          <w:sz w:val="18"/>
          <w:szCs w:val="18"/>
          <w:color w:val="auto"/>
        </w:rPr>
        <w:t xml:space="preserve"> exercise on behalf of itself and the Lenders all rights and remedies available to it and the Lenders under the Loan Documents or applicable Law</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(including, for greater certainty, seeking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appointment of a receiver).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-139700</wp:posOffset>
            </wp:positionV>
            <wp:extent cx="200596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-2540</wp:posOffset>
            </wp:positionV>
            <wp:extent cx="123444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4" w:lineRule="exact"/>
        <w:rPr>
          <w:sz w:val="20"/>
          <w:szCs w:val="20"/>
          <w:color w:val="auto"/>
        </w:rPr>
      </w:pPr>
    </w:p>
    <w:p>
      <w:pPr>
        <w:ind w:left="4" w:right="140"/>
        <w:spacing w:after="0" w:line="275" w:lineRule="auto"/>
        <w:rPr>
          <w:sz w:val="20"/>
          <w:szCs w:val="20"/>
          <w:color w:val="auto"/>
        </w:rPr>
      </w:pPr>
      <w:r>
        <w:rPr>
          <w:rFonts w:ascii="Arial" w:cs="Arial" w:eastAsia="Arial" w:hAnsi="Arial"/>
          <w:sz w:val="17"/>
          <w:szCs w:val="17"/>
          <w:i w:val="1"/>
          <w:iCs w:val="1"/>
          <w:color w:val="FF0000"/>
          <w:strike w:val="1"/>
        </w:rPr>
        <w:t xml:space="preserve">provided </w:t>
      </w:r>
      <w:r>
        <w:rPr>
          <w:rFonts w:ascii="Arial" w:cs="Arial" w:eastAsia="Arial" w:hAnsi="Arial"/>
          <w:sz w:val="17"/>
          <w:szCs w:val="17"/>
          <w:color w:val="FF0000"/>
          <w:strike w:val="1"/>
        </w:rPr>
        <w:t>that upon the occurrence of an actual or deemed entry of an order for relief with respect to the Borrower under the Bankruptcy Code of the</w:t>
      </w:r>
      <w:r>
        <w:rPr>
          <w:rFonts w:ascii="Arial" w:cs="Arial" w:eastAsia="Arial" w:hAnsi="Arial"/>
          <w:sz w:val="17"/>
          <w:szCs w:val="17"/>
          <w:i w:val="1"/>
          <w:iCs w:val="1"/>
          <w:color w:val="FF0000"/>
          <w:strike w:val="1"/>
        </w:rPr>
        <w:t xml:space="preserve"> </w:t>
      </w:r>
      <w:r>
        <w:rPr>
          <w:rFonts w:ascii="Arial" w:cs="Arial" w:eastAsia="Arial" w:hAnsi="Arial"/>
          <w:sz w:val="17"/>
          <w:szCs w:val="17"/>
          <w:color w:val="FF0000"/>
          <w:strike w:val="1"/>
        </w:rPr>
        <w:t>United States, the obligation of each Lender to make Loans shall automatically terminate, the unpaid principal amount of all outstanding Loans and all interest, premium (including the Prepayment Premium) and other amounts as aforesaid shall automatically become due and payable, in each case without further act of the Administrative Agent or any Lender, and without presentment, demand, protest or other notice of any kind, all of which are hereby expressly waived (to the extent permitted by applicable law) by the Borrower and each other Loan Party.</w:t>
      </w:r>
    </w:p>
    <w:p>
      <w:pPr>
        <w:spacing w:after="0" w:line="176" w:lineRule="exact"/>
        <w:rPr>
          <w:sz w:val="20"/>
          <w:szCs w:val="20"/>
          <w:color w:val="auto"/>
        </w:rPr>
      </w:pPr>
    </w:p>
    <w:p>
      <w:pPr>
        <w:ind w:left="4"/>
        <w:spacing w:after="0" w:line="269" w:lineRule="auto"/>
        <w:rPr>
          <w:sz w:val="20"/>
          <w:szCs w:val="20"/>
          <w:color w:val="auto"/>
        </w:rPr>
      </w:pPr>
      <w:r>
        <w:rPr>
          <w:rFonts w:ascii="Arial" w:cs="Arial" w:eastAsia="Arial" w:hAnsi="Arial"/>
          <w:sz w:val="17"/>
          <w:szCs w:val="17"/>
          <w:u w:val="single" w:color="auto"/>
          <w:color w:val="0000FF"/>
        </w:rPr>
        <w:t xml:space="preserve">In addition, subject to the giving of five (5) calendar days’ written notice as set forth below and to the terms and conditions of the DIP Order and the Senior ICA Provisions in all respects, (i) the use by the Borrower and its Subsidiaries of Cash Collateral shall terminate and (ii) the automatic stay provided in Section 362 of the Bankruptcy Code shall be deemed automatically vacated without further action or order of the Bankruptcy Court and the Administrative Agent and the Lenders shall be entitled to exercise all of their respective rights and remedies under the Loan Documents and the DIP Order, including all rights and remedies with respect to the Collateral and the Guarantors. In addition to the remedies set forth above, the Administrative Agent may exercise any other remedies provided for by this Agreement and the other Loan Documents </w:t>
      </w:r>
      <w:r>
        <w:rPr>
          <w:rFonts w:ascii="Arial" w:cs="Arial" w:eastAsia="Arial" w:hAnsi="Arial"/>
          <w:sz w:val="17"/>
          <w:szCs w:val="17"/>
          <w:u w:val="single" w:color="auto"/>
          <w:color w:val="008000"/>
        </w:rPr>
        <w:t>in accordance with the terms hereof and thereof</w:t>
      </w:r>
      <w:r>
        <w:rPr>
          <w:rFonts w:ascii="Arial" w:cs="Arial" w:eastAsia="Arial" w:hAnsi="Arial"/>
          <w:sz w:val="17"/>
          <w:szCs w:val="17"/>
          <w:u w:val="single" w:color="auto"/>
          <w:color w:val="0000FF"/>
        </w:rPr>
        <w:t xml:space="preserve"> or any other remedies provided by the DIP Order or applicable law, subject to the Senior ICA Provisions and the terms and conditions of the DIP Order and the Canadian Orders. Notwithstanding the foregoing, any exercise of remedies is subject to the requirement of the giving of five (5) calendar days’ prior written notice </w:t>
      </w:r>
      <w:r>
        <w:rPr>
          <w:rFonts w:ascii="Arial" w:cs="Arial" w:eastAsia="Arial" w:hAnsi="Arial"/>
          <w:sz w:val="17"/>
          <w:szCs w:val="17"/>
          <w:u w:val="single" w:color="auto"/>
          <w:color w:val="008000"/>
        </w:rPr>
        <w:t>(which may be via e-mail)</w:t>
      </w:r>
      <w:r>
        <w:rPr>
          <w:rFonts w:ascii="Arial" w:cs="Arial" w:eastAsia="Arial" w:hAnsi="Arial"/>
          <w:sz w:val="17"/>
          <w:szCs w:val="17"/>
          <w:u w:val="single" w:color="auto"/>
          <w:color w:val="0000FF"/>
        </w:rPr>
        <w:t xml:space="preserve"> to counsel for the Loan Parties (including Canadian counsel), the Office of the U.S. Trustee, lead restructuring counsel for the Junior DIP Lenders, lead restructuring counsel for the Junior DIP Agent, counsel for the Official Committee and counsel to the Information Officer, </w:t>
      </w:r>
      <w:r>
        <w:rPr>
          <w:rFonts w:ascii="Arial" w:cs="Arial" w:eastAsia="Arial" w:hAnsi="Arial"/>
          <w:sz w:val="17"/>
          <w:szCs w:val="17"/>
          <w:u w:val="single" w:color="auto"/>
          <w:color w:val="008000"/>
        </w:rPr>
        <w:t>in accordance with the terms of</w:t>
      </w:r>
      <w:r>
        <w:rPr>
          <w:rFonts w:ascii="Arial" w:cs="Arial" w:eastAsia="Arial" w:hAnsi="Arial"/>
          <w:sz w:val="17"/>
          <w:szCs w:val="17"/>
          <w:u w:val="single" w:color="auto"/>
          <w:color w:val="0000FF"/>
        </w:rPr>
        <w:t xml:space="preserve"> the DIP Order and, solely in the case of the Canadian Collateral, the terms of the DIP Order and the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-1513840</wp:posOffset>
            </wp:positionV>
            <wp:extent cx="678942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-1376680</wp:posOffset>
            </wp:positionV>
            <wp:extent cx="668655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-1239520</wp:posOffset>
            </wp:positionV>
            <wp:extent cx="693483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-1102360</wp:posOffset>
            </wp:positionV>
            <wp:extent cx="678942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-965200</wp:posOffset>
            </wp:positionV>
            <wp:extent cx="696087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-828040</wp:posOffset>
            </wp:positionV>
            <wp:extent cx="69176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-690880</wp:posOffset>
            </wp:positionV>
            <wp:extent cx="692658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-553720</wp:posOffset>
            </wp:positionV>
            <wp:extent cx="690054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-416560</wp:posOffset>
            </wp:positionV>
            <wp:extent cx="65747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696087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6912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968375"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9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4"/>
          </w:cols>
          <w:pgMar w:left="436" w:top="274" w:right="479" w:bottom="1440" w:gutter="0" w:footer="0" w:header="0"/>
        </w:sectPr>
      </w:pPr>
    </w:p>
    <w:bookmarkStart w:id="292" w:name="page293"/>
    <w:bookmarkEnd w:id="29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8.03 </w:t>
      </w:r>
      <w:r>
        <w:rPr>
          <w:rFonts w:ascii="Arial" w:cs="Arial" w:eastAsia="Arial" w:hAnsi="Arial"/>
          <w:sz w:val="18"/>
          <w:szCs w:val="18"/>
          <w:i w:val="1"/>
          <w:iCs w:val="1"/>
          <w:color w:val="FF0000"/>
          <w:strike w:val="1"/>
        </w:rPr>
        <w:t>Exclusion of Immaterial Subsidiaries</w:t>
      </w:r>
      <w:r>
        <w:rPr>
          <w:rFonts w:ascii="Arial" w:cs="Arial" w:eastAsia="Arial" w:hAnsi="Arial"/>
          <w:sz w:val="18"/>
          <w:szCs w:val="18"/>
          <w:i w:val="1"/>
          <w:iCs w:val="1"/>
          <w:u w:val="single" w:color="auto"/>
          <w:color w:val="0000FF"/>
        </w:rPr>
        <w:t>[Reserved]</w:t>
      </w:r>
      <w:r>
        <w:rPr>
          <w:rFonts w:ascii="Arial" w:cs="Arial" w:eastAsia="Arial" w:hAnsi="Arial"/>
          <w:sz w:val="18"/>
          <w:szCs w:val="18"/>
          <w:color w:val="FF0000"/>
          <w:strike w:val="1"/>
        </w:rPr>
        <w:t>. Solely for the purpose of determining whether a Default</w:t>
      </w:r>
      <w:r>
        <w:rPr>
          <w:rFonts w:ascii="Arial" w:cs="Arial" w:eastAsia="Arial" w:hAnsi="Arial"/>
          <w:sz w:val="18"/>
          <w:szCs w:val="18"/>
          <w:color w:val="auto"/>
        </w:rPr>
        <w:t xml:space="preserve"> </w:t>
      </w:r>
      <w:r>
        <w:rPr>
          <w:rFonts w:ascii="Arial" w:cs="Arial" w:eastAsia="Arial" w:hAnsi="Arial"/>
          <w:sz w:val="18"/>
          <w:szCs w:val="18"/>
          <w:color w:val="008000"/>
          <w:strike w:val="1"/>
        </w:rPr>
        <w:t>or an Event of Default</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has occurred under clause (f) or (g) of </w:t>
      </w:r>
      <w:r>
        <w:rPr>
          <w:rFonts w:ascii="Arial" w:cs="Arial" w:eastAsia="Arial" w:hAnsi="Arial"/>
          <w:sz w:val="18"/>
          <w:szCs w:val="18"/>
          <w:u w:val="single" w:color="auto"/>
          <w:color w:val="FF0000"/>
          <w:strike w:val="1"/>
        </w:rPr>
        <w:t>Section 8.01</w:t>
      </w:r>
      <w:r>
        <w:rPr>
          <w:rFonts w:ascii="Arial" w:cs="Arial" w:eastAsia="Arial" w:hAnsi="Arial"/>
          <w:sz w:val="18"/>
          <w:szCs w:val="18"/>
          <w:color w:val="FF0000"/>
          <w:strike w:val="1"/>
        </w:rPr>
        <w:t>, any reference in any such clause to any Restricted Subsidiary or Loan Party shall be deemed not to include any Restricted Subsidiary affected by any event or circumstances referred to in any such clause that was, as of the last day of the most recent completed fiscal quarter of the Borrower, an Immaterial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-412115</wp:posOffset>
            </wp:positionV>
            <wp:extent cx="50546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40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Section 8.04 </w:t>
      </w:r>
      <w:r>
        <w:rPr>
          <w:rFonts w:ascii="Arial" w:cs="Arial" w:eastAsia="Arial" w:hAnsi="Arial"/>
          <w:sz w:val="16"/>
          <w:szCs w:val="16"/>
          <w:i w:val="1"/>
          <w:iCs w:val="1"/>
          <w:color w:val="auto"/>
        </w:rPr>
        <w:t>Application of Funds</w:t>
      </w:r>
      <w:r>
        <w:rPr>
          <w:rFonts w:ascii="Arial" w:cs="Arial" w:eastAsia="Arial" w:hAnsi="Arial"/>
          <w:sz w:val="16"/>
          <w:szCs w:val="16"/>
          <w:color w:val="auto"/>
        </w:rPr>
        <w:t xml:space="preserve">. Subject to </w:t>
      </w:r>
      <w:r>
        <w:rPr>
          <w:rFonts w:ascii="Arial" w:cs="Arial" w:eastAsia="Arial" w:hAnsi="Arial"/>
          <w:sz w:val="16"/>
          <w:szCs w:val="16"/>
          <w:u w:val="single" w:color="auto"/>
          <w:color w:val="0000FF"/>
        </w:rPr>
        <w:t>the final sentence of Section 13.08 and</w:t>
      </w:r>
      <w:r>
        <w:rPr>
          <w:rFonts w:ascii="Arial" w:cs="Arial" w:eastAsia="Arial" w:hAnsi="Arial"/>
          <w:sz w:val="16"/>
          <w:szCs w:val="16"/>
          <w:color w:val="auto"/>
        </w:rPr>
        <w:t xml:space="preserve"> the terms, conditions</w:t>
      </w:r>
      <w:r>
        <w:rPr>
          <w:rFonts w:ascii="Arial" w:cs="Arial" w:eastAsia="Arial" w:hAnsi="Arial"/>
          <w:sz w:val="16"/>
          <w:szCs w:val="16"/>
          <w:u w:val="single" w:color="auto"/>
          <w:color w:val="0000FF"/>
        </w:rPr>
        <w:t>, priorities</w:t>
      </w:r>
      <w:r>
        <w:rPr>
          <w:rFonts w:ascii="Arial" w:cs="Arial" w:eastAsia="Arial" w:hAnsi="Arial"/>
          <w:sz w:val="16"/>
          <w:szCs w:val="16"/>
          <w:color w:val="auto"/>
        </w:rPr>
        <w:t xml:space="preserve"> and provisions of </w:t>
      </w:r>
      <w:r>
        <w:rPr>
          <w:rFonts w:ascii="Arial" w:cs="Arial" w:eastAsia="Arial" w:hAnsi="Arial"/>
          <w:sz w:val="16"/>
          <w:szCs w:val="16"/>
          <w:color w:val="FF0000"/>
          <w:strike w:val="1"/>
        </w:rPr>
        <w:t>each</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DIP Order, the Canadian Orders (solely in the case of Canadian Collateral, and for certainty, subject to the Canadian Priority Charges), the Senior ICA Provisions and the Prepetition ABL</w:t>
      </w:r>
      <w:r>
        <w:rPr>
          <w:rFonts w:ascii="Arial" w:cs="Arial" w:eastAsia="Arial" w:hAnsi="Arial"/>
          <w:sz w:val="16"/>
          <w:szCs w:val="16"/>
          <w:color w:val="0000FF"/>
        </w:rPr>
        <w:t xml:space="preserve"> </w:t>
      </w:r>
      <w:r>
        <w:rPr>
          <w:rFonts w:ascii="Arial" w:cs="Arial" w:eastAsia="Arial" w:hAnsi="Arial"/>
          <w:sz w:val="16"/>
          <w:szCs w:val="16"/>
          <w:color w:val="000000"/>
        </w:rPr>
        <w:t>Intercreditor Agreement, after the exercise of remedies provided for in</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8.02</w:t>
      </w:r>
      <w:r>
        <w:rPr>
          <w:rFonts w:ascii="Arial" w:cs="Arial" w:eastAsia="Arial" w:hAnsi="Arial"/>
          <w:sz w:val="16"/>
          <w:szCs w:val="16"/>
          <w:color w:val="0000FF"/>
        </w:rPr>
        <w:t xml:space="preserve"> </w:t>
      </w:r>
      <w:r>
        <w:rPr>
          <w:rFonts w:ascii="Arial" w:cs="Arial" w:eastAsia="Arial" w:hAnsi="Arial"/>
          <w:sz w:val="16"/>
          <w:szCs w:val="16"/>
          <w:color w:val="FF0000"/>
          <w:strike w:val="1"/>
        </w:rPr>
        <w:t>(or after the Loans have</w:t>
      </w:r>
      <w:r>
        <w:rPr>
          <w:rFonts w:ascii="Arial" w:cs="Arial" w:eastAsia="Arial" w:hAnsi="Arial"/>
          <w:sz w:val="16"/>
          <w:szCs w:val="16"/>
          <w:color w:val="0000FF"/>
        </w:rPr>
        <w:t xml:space="preserve"> </w:t>
      </w:r>
      <w:r>
        <w:rPr>
          <w:rFonts w:ascii="Arial" w:cs="Arial" w:eastAsia="Arial" w:hAnsi="Arial"/>
          <w:sz w:val="16"/>
          <w:szCs w:val="16"/>
          <w:color w:val="FF0000"/>
          <w:strike w:val="1"/>
        </w:rPr>
        <w:t>automatically become immediately due and payable</w:t>
      </w:r>
      <w:r>
        <w:rPr>
          <w:rFonts w:ascii="Arial" w:cs="Arial" w:eastAsia="Arial" w:hAnsi="Arial"/>
          <w:sz w:val="16"/>
          <w:szCs w:val="16"/>
          <w:color w:val="FF0000"/>
        </w:rPr>
        <w:t xml:space="preserve"> </w:t>
      </w:r>
      <w:r>
        <w:rPr>
          <w:rFonts w:ascii="Arial" w:cs="Arial" w:eastAsia="Arial" w:hAnsi="Arial"/>
          <w:sz w:val="16"/>
          <w:szCs w:val="16"/>
          <w:color w:val="008000"/>
          <w:strike w:val="1"/>
        </w:rPr>
        <w:t>as set forth in the</w:t>
      </w:r>
      <w:r>
        <w:rPr>
          <w:rFonts w:ascii="Arial" w:cs="Arial" w:eastAsia="Arial" w:hAnsi="Arial"/>
          <w:sz w:val="16"/>
          <w:szCs w:val="16"/>
          <w:color w:val="FF0000"/>
        </w:rPr>
        <w:t xml:space="preserve"> </w:t>
      </w:r>
      <w:r>
        <w:rPr>
          <w:rFonts w:ascii="Arial" w:cs="Arial" w:eastAsia="Arial" w:hAnsi="Arial"/>
          <w:sz w:val="16"/>
          <w:szCs w:val="16"/>
          <w:color w:val="FF0000"/>
          <w:strike w:val="1"/>
        </w:rPr>
        <w:t>proviso to</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8.02),</w:t>
      </w:r>
      <w:r>
        <w:rPr>
          <w:rFonts w:ascii="Arial" w:cs="Arial" w:eastAsia="Arial" w:hAnsi="Arial"/>
          <w:sz w:val="16"/>
          <w:szCs w:val="16"/>
          <w:color w:val="FF0000"/>
        </w:rPr>
        <w:t xml:space="preserve"> </w:t>
      </w:r>
      <w:r>
        <w:rPr>
          <w:rFonts w:ascii="Arial" w:cs="Arial" w:eastAsia="Arial" w:hAnsi="Arial"/>
          <w:sz w:val="16"/>
          <w:szCs w:val="16"/>
          <w:color w:val="000000"/>
        </w:rPr>
        <w:t>any amounts received on account of the Obligations</w:t>
      </w:r>
      <w:r>
        <w:rPr>
          <w:rFonts w:ascii="Arial" w:cs="Arial" w:eastAsia="Arial" w:hAnsi="Arial"/>
          <w:sz w:val="16"/>
          <w:szCs w:val="16"/>
          <w:color w:val="FF0000"/>
        </w:rPr>
        <w:t xml:space="preserve"> </w:t>
      </w:r>
      <w:r>
        <w:rPr>
          <w:rFonts w:ascii="Arial" w:cs="Arial" w:eastAsia="Arial" w:hAnsi="Arial"/>
          <w:sz w:val="16"/>
          <w:szCs w:val="16"/>
          <w:color w:val="000000"/>
        </w:rPr>
        <w:t>shall be applied by the Administrative Agent in the following order (to the fullest extent permitted by mandatory provisions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-565150</wp:posOffset>
            </wp:positionV>
            <wp:extent cx="180022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-565150</wp:posOffset>
            </wp:positionV>
            <wp:extent cx="47180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-565150</wp:posOffset>
            </wp:positionV>
            <wp:extent cx="13716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88340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166306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3"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but including Attorney Costs payable under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Article 3</w:t>
      </w:r>
      <w:r>
        <w:rPr>
          <w:rFonts w:ascii="Arial" w:cs="Arial" w:eastAsia="Arial" w:hAnsi="Arial"/>
          <w:sz w:val="18"/>
          <w:szCs w:val="18"/>
          <w:color w:val="auto"/>
        </w:rPr>
        <w:t>) payable to the Administrative Agent or the Collateral Agent in its capacity as such;</w:t>
      </w:r>
    </w:p>
    <w:p>
      <w:pPr>
        <w:spacing w:after="0" w:line="184"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payment of that portion of the Obligations constituting fees, indemnities, premium</w:t>
      </w:r>
      <w:r>
        <w:rPr>
          <w:rFonts w:ascii="Arial" w:cs="Arial" w:eastAsia="Arial" w:hAnsi="Arial"/>
          <w:sz w:val="17"/>
          <w:szCs w:val="17"/>
          <w:i w:val="1"/>
          <w:iCs w:val="1"/>
          <w:color w:val="auto"/>
        </w:rPr>
        <w:t xml:space="preserve"> </w:t>
      </w:r>
      <w:r>
        <w:rPr>
          <w:rFonts w:ascii="Arial" w:cs="Arial" w:eastAsia="Arial" w:hAnsi="Arial"/>
          <w:sz w:val="17"/>
          <w:szCs w:val="17"/>
          <w:color w:val="FF0000"/>
          <w:strike w:val="1"/>
        </w:rPr>
        <w:t>(including the Prepayment Premium)</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amounts (other than principal and interest) payable to the Lenders (including Attorney Costs payable under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and amounts payable under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ratably among them in proportion to the amounts described in this clause </w:t>
      </w:r>
      <w:r>
        <w:rPr>
          <w:rFonts w:ascii="Arial" w:cs="Arial" w:eastAsia="Arial" w:hAnsi="Arial"/>
          <w:sz w:val="17"/>
          <w:szCs w:val="17"/>
          <w:i w:val="1"/>
          <w:iCs w:val="1"/>
          <w:color w:val="auto"/>
        </w:rPr>
        <w:t>Second</w:t>
      </w:r>
      <w:r>
        <w:rPr>
          <w:rFonts w:ascii="Arial" w:cs="Arial" w:eastAsia="Arial" w:hAnsi="Arial"/>
          <w:sz w:val="17"/>
          <w:szCs w:val="17"/>
          <w:color w:val="auto"/>
        </w:rPr>
        <w:t xml:space="preserve"> payable to them;</w:t>
      </w:r>
    </w:p>
    <w:p>
      <w:pPr>
        <w:spacing w:after="0" w:line="16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accrued and unpaid interest on the Loans, ratably among the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Parties in proportion to the respective amounts described in this clause </w:t>
      </w:r>
      <w:r>
        <w:rPr>
          <w:rFonts w:ascii="Arial" w:cs="Arial" w:eastAsia="Arial" w:hAnsi="Arial"/>
          <w:sz w:val="18"/>
          <w:szCs w:val="18"/>
          <w:i w:val="1"/>
          <w:iCs w:val="1"/>
          <w:color w:val="auto"/>
        </w:rPr>
        <w:t>Third</w:t>
      </w:r>
      <w:r>
        <w:rPr>
          <w:rFonts w:ascii="Arial" w:cs="Arial" w:eastAsia="Arial" w:hAnsi="Arial"/>
          <w:sz w:val="18"/>
          <w:szCs w:val="18"/>
          <w:color w:val="auto"/>
        </w:rPr>
        <w:t xml:space="preserve"> payable to them;</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unpaid principal of the Loans, ratably among the Secured Parties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proportion to the respective amounts described in this clause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held by them;</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the payment of all other Obligations of the Borrower that are due and payable to the Administrative Agent and the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on such date, ratably based upon the respective aggregate amounts of all such Obligations owing to the Administrative Agent and the other Secured Parties on such date; and</w:t>
      </w:r>
    </w:p>
    <w:p>
      <w:pPr>
        <w:spacing w:after="0" w:line="184"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i w:val="1"/>
          <w:iCs w:val="1"/>
          <w:color w:val="auto"/>
        </w:rPr>
        <w:t>Last</w:t>
      </w:r>
      <w:r>
        <w:rPr>
          <w:rFonts w:ascii="Arial" w:cs="Arial" w:eastAsia="Arial" w:hAnsi="Arial"/>
          <w:sz w:val="18"/>
          <w:szCs w:val="18"/>
          <w:color w:val="auto"/>
        </w:rPr>
        <w:t>, the balance, if any, after all of the Obligations (other than contingent obligations) have been paid in full, to the Borrower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required by Law.</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9</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 AND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Each Lender hereby irrevocably appoints the Administrative Agent and the Collateral Agent (for purposes of this Article 9, the Administrative Agent and the Collateral Agent are referred to collectively as the “</w:t>
      </w:r>
      <w:r>
        <w:rPr>
          <w:rFonts w:ascii="Arial" w:cs="Arial" w:eastAsia="Arial" w:hAnsi="Arial"/>
          <w:sz w:val="18"/>
          <w:szCs w:val="18"/>
          <w:b w:val="1"/>
          <w:bCs w:val="1"/>
          <w:color w:val="auto"/>
        </w:rPr>
        <w:t>Agents</w:t>
      </w:r>
      <w:r>
        <w:rPr>
          <w:rFonts w:ascii="Arial" w:cs="Arial" w:eastAsia="Arial" w:hAnsi="Arial"/>
          <w:sz w:val="18"/>
          <w:szCs w:val="18"/>
          <w:color w:val="auto"/>
        </w:rPr>
        <w:t>”) its agent and authorizes the Agents to take such actions on its behalf and to exercise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880"/>
          </w:cols>
          <w:pgMar w:left="440" w:top="274" w:right="579" w:bottom="1440" w:gutter="0" w:footer="0" w:header="0"/>
        </w:sectPr>
      </w:pPr>
    </w:p>
    <w:bookmarkStart w:id="293" w:name="page294"/>
    <w:bookmarkEnd w:id="29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powers as are delegated to such Agent by the terms of the Loan Documents, together with such actions and powers as are reasonably incidental or related thereto. Without limiting the generality of the foregoing, the Agents are hereby expressly authorized to (i) execute any and all documents </w:t>
      </w:r>
      <w:r>
        <w:rPr>
          <w:rFonts w:ascii="Arial" w:cs="Arial" w:eastAsia="Arial" w:hAnsi="Arial"/>
          <w:sz w:val="16"/>
          <w:szCs w:val="16"/>
          <w:color w:val="FF0000"/>
          <w:strike w:val="1"/>
        </w:rPr>
        <w:t>(including releases)</w:t>
      </w:r>
      <w:r>
        <w:rPr>
          <w:rFonts w:ascii="Arial" w:cs="Arial" w:eastAsia="Arial" w:hAnsi="Arial"/>
          <w:sz w:val="16"/>
          <w:szCs w:val="16"/>
          <w:color w:val="FF0000"/>
        </w:rPr>
        <w:t xml:space="preserve"> </w:t>
      </w:r>
      <w:r>
        <w:rPr>
          <w:rFonts w:ascii="Arial" w:cs="Arial" w:eastAsia="Arial" w:hAnsi="Arial"/>
          <w:sz w:val="16"/>
          <w:szCs w:val="16"/>
          <w:color w:val="000000"/>
        </w:rPr>
        <w:t>with respect to the Collateral and the rights of the Secured Parties with respect thereto, as contemplated by and in accordance with</w:t>
      </w:r>
      <w:r>
        <w:rPr>
          <w:rFonts w:ascii="Arial" w:cs="Arial" w:eastAsia="Arial" w:hAnsi="Arial"/>
          <w:sz w:val="16"/>
          <w:szCs w:val="16"/>
          <w:color w:val="FF0000"/>
        </w:rPr>
        <w:t xml:space="preserve"> </w:t>
      </w:r>
      <w:r>
        <w:rPr>
          <w:rFonts w:ascii="Arial" w:cs="Arial" w:eastAsia="Arial" w:hAnsi="Arial"/>
          <w:sz w:val="16"/>
          <w:szCs w:val="16"/>
          <w:color w:val="000000"/>
        </w:rPr>
        <w:t xml:space="preserve">the provisions of this Agreement and the </w:t>
      </w:r>
      <w:r>
        <w:rPr>
          <w:rFonts w:ascii="Arial" w:cs="Arial" w:eastAsia="Arial" w:hAnsi="Arial"/>
          <w:sz w:val="16"/>
          <w:szCs w:val="16"/>
          <w:color w:val="FF0000"/>
          <w:strike w:val="1"/>
        </w:rPr>
        <w:t>Collateral Documents (including, for the avoidance of doubt, (x) the ABL Intercreditor Agreement, including</w:t>
      </w:r>
      <w:r>
        <w:rPr>
          <w:rFonts w:ascii="Arial" w:cs="Arial" w:eastAsia="Arial" w:hAnsi="Arial"/>
          <w:sz w:val="16"/>
          <w:szCs w:val="16"/>
          <w:color w:val="000000"/>
        </w:rPr>
        <w:t xml:space="preserve"> </w:t>
      </w:r>
      <w:r>
        <w:rPr>
          <w:rFonts w:ascii="Arial" w:cs="Arial" w:eastAsia="Arial" w:hAnsi="Arial"/>
          <w:sz w:val="16"/>
          <w:szCs w:val="16"/>
          <w:color w:val="FF0000"/>
          <w:strike w:val="1"/>
        </w:rPr>
        <w:t>any amendment or supplement expressly contemplated thereby and (y) upon the incurrence of any Permitted Junior Priority Additional Debt, the Junior Lien Intercreditor Agreement)</w:t>
      </w:r>
      <w:r>
        <w:rPr>
          <w:rFonts w:ascii="Arial" w:cs="Arial" w:eastAsia="Arial" w:hAnsi="Arial"/>
          <w:sz w:val="16"/>
          <w:szCs w:val="16"/>
          <w:u w:val="single" w:color="auto"/>
          <w:color w:val="0000FF"/>
          <w:strike w:val="1"/>
        </w:rPr>
        <w:t>other Loan Documents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and (ii) negotiate, enforce or settle any claim, action or proceeding affecting the Lenders in their</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capacity as such, at the direction of the </w:t>
      </w:r>
      <w:r>
        <w:rPr>
          <w:rFonts w:ascii="Arial" w:cs="Arial" w:eastAsia="Arial" w:hAnsi="Arial"/>
          <w:sz w:val="16"/>
          <w:szCs w:val="16"/>
          <w:color w:val="FF0000"/>
          <w:strike w:val="1"/>
        </w:rPr>
        <w:t>Required</w:t>
      </w:r>
      <w:r>
        <w:rPr>
          <w:rFonts w:ascii="Arial" w:cs="Arial" w:eastAsia="Arial" w:hAnsi="Arial"/>
          <w:sz w:val="16"/>
          <w:szCs w:val="16"/>
          <w:color w:val="000000"/>
          <w:strike w:val="1"/>
        </w:rPr>
        <w:t xml:space="preserve"> Lenders, which negotiation, enforcement or settlement will be binding upon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-150495</wp:posOffset>
            </wp:positionV>
            <wp:extent cx="104584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6"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The institution serving as the Administrative Agent and/or the Collateral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Borrower or any Subsidiary or other Affiliate thereof as if it were not an Agent hereunder. The Agents shall not, except as expressly set forth herein and in the other Loan Documents, have any duty to disclose, and shall not be liable for the failure to disclose, any information relating to the Borrower or any Loan Party that is communicated or obtained by the Person serving as Administrative Agent or Collateral Agent, as applicable, or any of their Affiliates in any capacity.</w:t>
      </w:r>
    </w:p>
    <w:p>
      <w:pPr>
        <w:spacing w:after="0" w:line="178"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w:t>
      </w:r>
      <w:r>
        <w:rPr>
          <w:rFonts w:ascii="Arial" w:cs="Arial" w:eastAsia="Arial" w:hAnsi="Arial"/>
          <w:sz w:val="17"/>
          <w:szCs w:val="17"/>
          <w:color w:val="FF0000"/>
          <w:strike w:val="1"/>
        </w:rPr>
        <w:t>a</w:t>
      </w:r>
      <w:r>
        <w:rPr>
          <w:rFonts w:ascii="Arial" w:cs="Arial" w:eastAsia="Arial" w:hAnsi="Arial"/>
          <w:sz w:val="17"/>
          <w:szCs w:val="17"/>
          <w:u w:val="single" w:color="auto"/>
          <w:color w:val="0000FF"/>
        </w:rPr>
        <w:t>an Event of Default or</w:t>
      </w:r>
      <w:r>
        <w:rPr>
          <w:rFonts w:ascii="Arial" w:cs="Arial" w:eastAsia="Arial" w:hAnsi="Arial"/>
          <w:sz w:val="17"/>
          <w:szCs w:val="17"/>
          <w:color w:val="auto"/>
        </w:rPr>
        <w:t xml:space="preserve"> Default has occurred and is continuing, (b) neither Agent shall have any duty to take any discretionary action or exercise any discretionary powers, except discretionary rights and powers expressly contemplated hereby that such Agent is instructed in writing to exercise by the </w:t>
      </w:r>
      <w:r>
        <w:rPr>
          <w:rFonts w:ascii="Arial" w:cs="Arial" w:eastAsia="Arial" w:hAnsi="Arial"/>
          <w:sz w:val="17"/>
          <w:szCs w:val="17"/>
          <w:color w:val="FF0000"/>
          <w:strike w:val="1"/>
        </w:rPr>
        <w:t>Required Lenders (or such other number or</w:t>
      </w:r>
      <w:r>
        <w:rPr>
          <w:rFonts w:ascii="Arial" w:cs="Arial" w:eastAsia="Arial" w:hAnsi="Arial"/>
          <w:sz w:val="17"/>
          <w:szCs w:val="17"/>
          <w:color w:val="auto"/>
        </w:rPr>
        <w:t xml:space="preserve"> </w:t>
      </w:r>
      <w:r>
        <w:rPr>
          <w:rFonts w:ascii="Arial" w:cs="Arial" w:eastAsia="Arial" w:hAnsi="Arial"/>
          <w:sz w:val="17"/>
          <w:szCs w:val="17"/>
          <w:color w:val="FF0000"/>
          <w:strike w:val="1"/>
        </w:rPr>
        <w:t>percentage of the Lenders as shall be necessary under the circumstances as provided in Section 10.08 )</w:t>
      </w:r>
      <w:r>
        <w:rPr>
          <w:rFonts w:ascii="Arial" w:cs="Arial" w:eastAsia="Arial" w:hAnsi="Arial"/>
          <w:sz w:val="17"/>
          <w:szCs w:val="17"/>
          <w:u w:val="single" w:color="auto"/>
          <w:color w:val="0000FF"/>
        </w:rPr>
        <w:t>Lenders</w:t>
      </w:r>
      <w:r>
        <w:rPr>
          <w:rFonts w:ascii="Arial" w:cs="Arial" w:eastAsia="Arial" w:hAnsi="Arial"/>
          <w:sz w:val="17"/>
          <w:szCs w:val="17"/>
          <w:color w:val="FF0000"/>
        </w:rPr>
        <w:t xml:space="preserve"> </w:t>
      </w:r>
      <w:r>
        <w:rPr>
          <w:rFonts w:ascii="Arial" w:cs="Arial" w:eastAsia="Arial" w:hAnsi="Arial"/>
          <w:sz w:val="17"/>
          <w:szCs w:val="17"/>
          <w:color w:val="000000"/>
        </w:rPr>
        <w:t>, and (c) except as expressly set forth in</w:t>
      </w:r>
      <w:r>
        <w:rPr>
          <w:rFonts w:ascii="Arial" w:cs="Arial" w:eastAsia="Arial" w:hAnsi="Arial"/>
          <w:sz w:val="17"/>
          <w:szCs w:val="17"/>
          <w:color w:val="FF0000"/>
        </w:rPr>
        <w:t xml:space="preserve"> </w:t>
      </w:r>
      <w:r>
        <w:rPr>
          <w:rFonts w:ascii="Arial" w:cs="Arial" w:eastAsia="Arial" w:hAnsi="Arial"/>
          <w:sz w:val="17"/>
          <w:szCs w:val="17"/>
          <w:color w:val="000000"/>
        </w:rPr>
        <w:t xml:space="preserve">the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w:t>
      </w:r>
      <w:r>
        <w:rPr>
          <w:rFonts w:ascii="Arial" w:cs="Arial" w:eastAsia="Arial" w:hAnsi="Arial"/>
          <w:sz w:val="17"/>
          <w:szCs w:val="17"/>
          <w:color w:val="FF0000"/>
          <w:strike w:val="1"/>
        </w:rPr>
        <w:t>Required</w:t>
      </w:r>
      <w:r>
        <w:rPr>
          <w:rFonts w:ascii="Arial" w:cs="Arial" w:eastAsia="Arial" w:hAnsi="Arial"/>
          <w:sz w:val="17"/>
          <w:szCs w:val="17"/>
          <w:color w:val="000000"/>
        </w:rPr>
        <w:t xml:space="preserve"> </w:t>
      </w:r>
      <w:r>
        <w:rPr>
          <w:rFonts w:ascii="Arial" w:cs="Arial" w:eastAsia="Arial" w:hAnsi="Arial"/>
          <w:sz w:val="17"/>
          <w:szCs w:val="17"/>
          <w:color w:val="FF0000"/>
          <w:strike w:val="1"/>
        </w:rPr>
        <w:t>Lenders (or such other number or percentage of the Lenders as shall be necessary under the circumstances as provided in Section 10.08)</w:t>
      </w:r>
      <w:r>
        <w:rPr>
          <w:rFonts w:ascii="Arial" w:cs="Arial" w:eastAsia="Arial" w:hAnsi="Arial"/>
          <w:sz w:val="17"/>
          <w:szCs w:val="17"/>
          <w:u w:val="single" w:color="auto"/>
          <w:color w:val="0000FF"/>
        </w:rPr>
        <w:t>Lenders</w:t>
      </w:r>
      <w:r>
        <w:rPr>
          <w:rFonts w:ascii="Arial" w:cs="Arial" w:eastAsia="Arial" w:hAnsi="Arial"/>
          <w:sz w:val="17"/>
          <w:szCs w:val="17"/>
          <w:color w:val="FF0000"/>
        </w:rPr>
        <w:t xml:space="preserve"> </w:t>
      </w:r>
      <w:r>
        <w:rPr>
          <w:rFonts w:ascii="Arial" w:cs="Arial" w:eastAsia="Arial" w:hAnsi="Arial"/>
          <w:sz w:val="17"/>
          <w:szCs w:val="17"/>
          <w:color w:val="000000"/>
        </w:rPr>
        <w:t>or in</w:t>
      </w:r>
      <w:r>
        <w:rPr>
          <w:rFonts w:ascii="Arial" w:cs="Arial" w:eastAsia="Arial" w:hAnsi="Arial"/>
          <w:sz w:val="17"/>
          <w:szCs w:val="17"/>
          <w:color w:val="FF0000"/>
        </w:rPr>
        <w:t xml:space="preserve"> </w:t>
      </w:r>
      <w:r>
        <w:rPr>
          <w:rFonts w:ascii="Arial" w:cs="Arial" w:eastAsia="Arial" w:hAnsi="Arial"/>
          <w:sz w:val="17"/>
          <w:szCs w:val="17"/>
          <w:color w:val="000000"/>
        </w:rPr>
        <w:t xml:space="preserve">the absence of its own gross negligence or willful misconduct as determined by the final non-appealable judgment of a court of competent jurisdiction. Notwithstanding the foregoing, no action nor any omission to act, taken by either Agent at the direction of the </w:t>
      </w:r>
      <w:r>
        <w:rPr>
          <w:rFonts w:ascii="Arial" w:cs="Arial" w:eastAsia="Arial" w:hAnsi="Arial"/>
          <w:sz w:val="17"/>
          <w:szCs w:val="17"/>
          <w:color w:val="FF0000"/>
          <w:strike w:val="1"/>
        </w:rPr>
        <w:t>Required Lenders (or such other number</w:t>
      </w:r>
      <w:r>
        <w:rPr>
          <w:rFonts w:ascii="Arial" w:cs="Arial" w:eastAsia="Arial" w:hAnsi="Arial"/>
          <w:sz w:val="17"/>
          <w:szCs w:val="17"/>
          <w:color w:val="000000"/>
        </w:rPr>
        <w:t xml:space="preserve"> </w:t>
      </w:r>
      <w:r>
        <w:rPr>
          <w:rFonts w:ascii="Arial" w:cs="Arial" w:eastAsia="Arial" w:hAnsi="Arial"/>
          <w:sz w:val="17"/>
          <w:szCs w:val="17"/>
          <w:color w:val="FF0000"/>
          <w:strike w:val="1"/>
        </w:rPr>
        <w:t>of percentage of Lenders as shall be expressly provided for herein or</w:t>
      </w:r>
      <w:r>
        <w:rPr>
          <w:rFonts w:ascii="Arial" w:cs="Arial" w:eastAsia="Arial" w:hAnsi="Arial"/>
          <w:sz w:val="17"/>
          <w:szCs w:val="17"/>
          <w:color w:val="FF0000"/>
        </w:rPr>
        <w:t xml:space="preserve"> </w:t>
      </w:r>
      <w:r>
        <w:rPr>
          <w:rFonts w:ascii="Arial" w:cs="Arial" w:eastAsia="Arial" w:hAnsi="Arial"/>
          <w:sz w:val="17"/>
          <w:szCs w:val="17"/>
          <w:color w:val="008000"/>
          <w:strike w:val="1"/>
        </w:rPr>
        <w:t>in the other Loan Documents</w:t>
      </w:r>
      <w:r>
        <w:rPr>
          <w:rFonts w:ascii="Arial" w:cs="Arial" w:eastAsia="Arial" w:hAnsi="Arial"/>
          <w:sz w:val="17"/>
          <w:szCs w:val="17"/>
          <w:color w:val="FF0000"/>
          <w:strike w:val="1"/>
        </w:rPr>
        <w:t>)</w:t>
      </w:r>
      <w:r>
        <w:rPr>
          <w:rFonts w:ascii="Arial" w:cs="Arial" w:eastAsia="Arial" w:hAnsi="Arial"/>
          <w:sz w:val="17"/>
          <w:szCs w:val="17"/>
          <w:u w:val="single" w:color="auto"/>
          <w:color w:val="0000FF"/>
        </w:rPr>
        <w:t>Lenders</w:t>
      </w:r>
      <w:r>
        <w:rPr>
          <w:rFonts w:ascii="Arial" w:cs="Arial" w:eastAsia="Arial" w:hAnsi="Arial"/>
          <w:sz w:val="17"/>
          <w:szCs w:val="17"/>
          <w:color w:val="FF0000"/>
        </w:rPr>
        <w:t xml:space="preserve"> </w:t>
      </w:r>
      <w:r>
        <w:rPr>
          <w:rFonts w:ascii="Arial" w:cs="Arial" w:eastAsia="Arial" w:hAnsi="Arial"/>
          <w:sz w:val="17"/>
          <w:szCs w:val="17"/>
          <w:color w:val="000000"/>
        </w:rPr>
        <w:t>shall constitute gross negligence or willful</w:t>
      </w:r>
      <w:r>
        <w:rPr>
          <w:rFonts w:ascii="Arial" w:cs="Arial" w:eastAsia="Arial" w:hAnsi="Arial"/>
          <w:sz w:val="17"/>
          <w:szCs w:val="17"/>
          <w:color w:val="FF0000"/>
        </w:rPr>
        <w:t xml:space="preserve"> </w:t>
      </w:r>
      <w:r>
        <w:rPr>
          <w:rFonts w:ascii="Arial" w:cs="Arial" w:eastAsia="Arial" w:hAnsi="Arial"/>
          <w:sz w:val="17"/>
          <w:szCs w:val="17"/>
          <w:color w:val="000000"/>
        </w:rPr>
        <w:t xml:space="preserve">misconduct. Neither Agent shall be deemed to have knowledge of any </w:t>
      </w:r>
      <w:r>
        <w:rPr>
          <w:rFonts w:ascii="Arial" w:cs="Arial" w:eastAsia="Arial" w:hAnsi="Arial"/>
          <w:sz w:val="17"/>
          <w:szCs w:val="17"/>
          <w:u w:val="single" w:color="auto"/>
          <w:color w:val="0000FF"/>
        </w:rPr>
        <w:t>Event of Default or</w:t>
      </w:r>
      <w:r>
        <w:rPr>
          <w:rFonts w:ascii="Arial" w:cs="Arial" w:eastAsia="Arial" w:hAnsi="Arial"/>
          <w:sz w:val="17"/>
          <w:szCs w:val="17"/>
          <w:color w:val="000000"/>
        </w:rPr>
        <w:t xml:space="preserve"> Default unless and until written notice thereof, conspicuously labeled as a “notice of default” and specifically describing such </w:t>
      </w:r>
      <w:r>
        <w:rPr>
          <w:rFonts w:ascii="Arial" w:cs="Arial" w:eastAsia="Arial" w:hAnsi="Arial"/>
          <w:sz w:val="17"/>
          <w:szCs w:val="17"/>
          <w:u w:val="single" w:color="auto"/>
          <w:color w:val="0000FF"/>
        </w:rPr>
        <w:t>Event of Default or</w:t>
      </w:r>
      <w:r>
        <w:rPr>
          <w:rFonts w:ascii="Arial" w:cs="Arial" w:eastAsia="Arial" w:hAnsi="Arial"/>
          <w:sz w:val="17"/>
          <w:szCs w:val="17"/>
          <w:color w:val="000000"/>
        </w:rPr>
        <w:t xml:space="preserve"> Default, is given to such Agent by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7"/>
          <w:szCs w:val="17"/>
          <w:u w:val="single" w:color="auto"/>
          <w:color w:val="000000"/>
        </w:rPr>
        <w:t>Article 4</w:t>
      </w:r>
      <w:r>
        <w:rPr>
          <w:rFonts w:ascii="Arial" w:cs="Arial" w:eastAsia="Arial" w:hAnsi="Arial"/>
          <w:sz w:val="17"/>
          <w:szCs w:val="17"/>
          <w:color w:val="000000"/>
        </w:rPr>
        <w:t xml:space="preserve"> or elsewhere in any Loan Document, other than to confirm receipt of items expressly required to be delivered to such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-2468880</wp:posOffset>
            </wp:positionV>
            <wp:extent cx="101981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-2057400</wp:posOffset>
            </wp:positionV>
            <wp:extent cx="4025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-1508760</wp:posOffset>
            </wp:positionV>
            <wp:extent cx="3683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-1097280</wp:posOffset>
            </wp:positionV>
            <wp:extent cx="36830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-960120</wp:posOffset>
            </wp:positionV>
            <wp:extent cx="90868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-822960</wp:posOffset>
            </wp:positionV>
            <wp:extent cx="91694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80"/>
          </w:cols>
          <w:pgMar w:left="440" w:top="274" w:right="479" w:bottom="1440" w:gutter="0" w:footer="0" w:header="0"/>
        </w:sectPr>
      </w:pPr>
    </w:p>
    <w:bookmarkStart w:id="294" w:name="page295"/>
    <w:bookmarkEnd w:id="294"/>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jc w:val="both"/>
        <w:ind w:right="100" w:firstLine="440"/>
        <w:spacing w:after="0" w:line="301" w:lineRule="auto"/>
        <w:rPr>
          <w:sz w:val="20"/>
          <w:szCs w:val="20"/>
          <w:color w:val="auto"/>
        </w:rPr>
      </w:pPr>
      <w:r>
        <w:rPr>
          <w:rFonts w:ascii="Arial" w:cs="Arial" w:eastAsia="Arial" w:hAnsi="Arial"/>
          <w:sz w:val="16"/>
          <w:szCs w:val="16"/>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arrangement of the Facilities as well as activities as Agent.</w:t>
      </w:r>
    </w:p>
    <w:p>
      <w:pPr>
        <w:spacing w:after="0" w:line="15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Either Agent may resign at any time by notifying the Lenders and the Borrower in writing, and either Agent may be removed at any time with or without cause by an instrument or concurrent instruments in writing delivered to the Borrower and such Agent and signed by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Upon any such resignation or removal,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shall have the right, </w:t>
      </w:r>
      <w:r>
        <w:rPr>
          <w:rFonts w:ascii="Arial" w:cs="Arial" w:eastAsia="Arial" w:hAnsi="Arial"/>
          <w:sz w:val="16"/>
          <w:szCs w:val="16"/>
          <w:color w:val="FF0000"/>
          <w:strike w:val="1"/>
        </w:rPr>
        <w:t>with</w:t>
      </w:r>
      <w:r>
        <w:rPr>
          <w:rFonts w:ascii="Arial" w:cs="Arial" w:eastAsia="Arial" w:hAnsi="Arial"/>
          <w:sz w:val="16"/>
          <w:szCs w:val="16"/>
          <w:u w:val="single" w:color="auto"/>
          <w:color w:val="0000FF"/>
        </w:rPr>
        <w:t>without</w:t>
      </w:r>
      <w:r>
        <w:rPr>
          <w:rFonts w:ascii="Arial" w:cs="Arial" w:eastAsia="Arial" w:hAnsi="Arial"/>
          <w:sz w:val="16"/>
          <w:szCs w:val="16"/>
          <w:color w:val="auto"/>
        </w:rPr>
        <w:t xml:space="preserve"> the consent of the Borrower </w:t>
      </w:r>
      <w:r>
        <w:rPr>
          <w:rFonts w:ascii="Arial" w:cs="Arial" w:eastAsia="Arial" w:hAnsi="Arial"/>
          <w:sz w:val="16"/>
          <w:szCs w:val="16"/>
          <w:color w:val="FF0000"/>
          <w:strike w:val="1"/>
        </w:rPr>
        <w:t>(which consent shall not be</w:t>
      </w:r>
      <w:r>
        <w:rPr>
          <w:rFonts w:ascii="Arial" w:cs="Arial" w:eastAsia="Arial" w:hAnsi="Arial"/>
          <w:sz w:val="16"/>
          <w:szCs w:val="16"/>
          <w:color w:val="auto"/>
        </w:rPr>
        <w:t xml:space="preserve"> </w:t>
      </w:r>
      <w:r>
        <w:rPr>
          <w:rFonts w:ascii="Arial" w:cs="Arial" w:eastAsia="Arial" w:hAnsi="Arial"/>
          <w:sz w:val="16"/>
          <w:szCs w:val="16"/>
          <w:color w:val="FF0000"/>
          <w:strike w:val="1"/>
        </w:rPr>
        <w:t>required during the continuance of an Event of Default under Sections 8.01(a), (f) or (g))</w:t>
      </w:r>
      <w:r>
        <w:rPr>
          <w:rFonts w:ascii="Arial" w:cs="Arial" w:eastAsia="Arial" w:hAnsi="Arial"/>
          <w:sz w:val="16"/>
          <w:szCs w:val="16"/>
          <w:color w:val="000000"/>
        </w:rPr>
        <w:t>, to appoint a successor. If no successor shall have been so</w:t>
      </w:r>
      <w:r>
        <w:rPr>
          <w:rFonts w:ascii="Arial" w:cs="Arial" w:eastAsia="Arial" w:hAnsi="Arial"/>
          <w:sz w:val="16"/>
          <w:szCs w:val="16"/>
          <w:color w:val="FF0000"/>
        </w:rPr>
        <w:t xml:space="preserve"> </w:t>
      </w:r>
      <w:r>
        <w:rPr>
          <w:rFonts w:ascii="Arial" w:cs="Arial" w:eastAsia="Arial" w:hAnsi="Arial"/>
          <w:sz w:val="16"/>
          <w:szCs w:val="16"/>
          <w:color w:val="000000"/>
        </w:rPr>
        <w:t xml:space="preserve">appointed by the </w:t>
      </w:r>
      <w:r>
        <w:rPr>
          <w:rFonts w:ascii="Arial" w:cs="Arial" w:eastAsia="Arial" w:hAnsi="Arial"/>
          <w:sz w:val="16"/>
          <w:szCs w:val="16"/>
          <w:color w:val="FF0000"/>
          <w:strike w:val="1"/>
        </w:rPr>
        <w:t>Required Lenders (with the consent of the Borrower (which consent shall not be required during the continuance of an Event of Default</w:t>
      </w:r>
      <w:r>
        <w:rPr>
          <w:rFonts w:ascii="Arial" w:cs="Arial" w:eastAsia="Arial" w:hAnsi="Arial"/>
          <w:sz w:val="16"/>
          <w:szCs w:val="16"/>
          <w:color w:val="000000"/>
        </w:rPr>
        <w:t xml:space="preserve"> </w:t>
      </w:r>
      <w:r>
        <w:rPr>
          <w:rFonts w:ascii="Arial" w:cs="Arial" w:eastAsia="Arial" w:hAnsi="Arial"/>
          <w:sz w:val="16"/>
          <w:szCs w:val="16"/>
          <w:color w:val="FF0000"/>
          <w:strike w:val="1"/>
        </w:rPr>
        <w:t>under Sections 8.01(a), (f) or (g)))</w:t>
      </w:r>
      <w:r>
        <w:rPr>
          <w:rFonts w:ascii="Arial" w:cs="Arial" w:eastAsia="Arial" w:hAnsi="Arial"/>
          <w:sz w:val="16"/>
          <w:szCs w:val="16"/>
          <w:u w:val="single" w:color="auto"/>
          <w:color w:val="0000FF"/>
        </w:rPr>
        <w:t>Lenders</w:t>
      </w:r>
      <w:r>
        <w:rPr>
          <w:rFonts w:ascii="Arial" w:cs="Arial" w:eastAsia="Arial" w:hAnsi="Arial"/>
          <w:sz w:val="16"/>
          <w:szCs w:val="16"/>
          <w:color w:val="FF0000"/>
        </w:rPr>
        <w:t xml:space="preserve"> </w:t>
      </w:r>
      <w:r>
        <w:rPr>
          <w:rFonts w:ascii="Arial" w:cs="Arial" w:eastAsia="Arial" w:hAnsi="Arial"/>
          <w:sz w:val="16"/>
          <w:szCs w:val="16"/>
          <w:color w:val="000000"/>
        </w:rPr>
        <w:t>and shall have accepted such appointment within 30 days after (i) the retiring Agent gives notice of its</w:t>
      </w:r>
      <w:r>
        <w:rPr>
          <w:rFonts w:ascii="Arial" w:cs="Arial" w:eastAsia="Arial" w:hAnsi="Arial"/>
          <w:sz w:val="16"/>
          <w:szCs w:val="16"/>
          <w:color w:val="FF0000"/>
        </w:rPr>
        <w:t xml:space="preserve"> </w:t>
      </w:r>
      <w:r>
        <w:rPr>
          <w:rFonts w:ascii="Arial" w:cs="Arial" w:eastAsia="Arial" w:hAnsi="Arial"/>
          <w:sz w:val="16"/>
          <w:szCs w:val="16"/>
          <w:color w:val="000000"/>
        </w:rPr>
        <w:t xml:space="preserve">resignation or (ii) the </w:t>
      </w:r>
      <w:r>
        <w:rPr>
          <w:rFonts w:ascii="Arial" w:cs="Arial" w:eastAsia="Arial" w:hAnsi="Arial"/>
          <w:sz w:val="16"/>
          <w:szCs w:val="16"/>
          <w:color w:val="FF0000"/>
          <w:strike w:val="1"/>
        </w:rPr>
        <w:t>Required</w:t>
      </w:r>
      <w:r>
        <w:rPr>
          <w:rFonts w:ascii="Arial" w:cs="Arial" w:eastAsia="Arial" w:hAnsi="Arial"/>
          <w:sz w:val="16"/>
          <w:szCs w:val="16"/>
          <w:color w:val="000000"/>
        </w:rPr>
        <w:t xml:space="preserve"> Lenders </w:t>
      </w:r>
      <w:r>
        <w:rPr>
          <w:rFonts w:ascii="Arial" w:cs="Arial" w:eastAsia="Arial" w:hAnsi="Arial"/>
          <w:sz w:val="16"/>
          <w:szCs w:val="16"/>
          <w:color w:val="FF0000"/>
          <w:strike w:val="1"/>
        </w:rPr>
        <w:t>delivers</w:t>
      </w:r>
      <w:r>
        <w:rPr>
          <w:rFonts w:ascii="Arial" w:cs="Arial" w:eastAsia="Arial" w:hAnsi="Arial"/>
          <w:sz w:val="16"/>
          <w:szCs w:val="16"/>
          <w:u w:val="single" w:color="auto"/>
          <w:color w:val="0000FF"/>
        </w:rPr>
        <w:t>deliver</w:t>
      </w:r>
      <w:r>
        <w:rPr>
          <w:rFonts w:ascii="Arial" w:cs="Arial" w:eastAsia="Arial" w:hAnsi="Arial"/>
          <w:sz w:val="16"/>
          <w:szCs w:val="16"/>
          <w:color w:val="000000"/>
        </w:rPr>
        <w:t xml:space="preserve"> removal instructions, then the retiring or removed Agent may, on behalf of the Lenders </w:t>
      </w:r>
      <w:r>
        <w:rPr>
          <w:rFonts w:ascii="Arial" w:cs="Arial" w:eastAsia="Arial" w:hAnsi="Arial"/>
          <w:sz w:val="16"/>
          <w:szCs w:val="16"/>
          <w:color w:val="FF0000"/>
          <w:strike w:val="1"/>
        </w:rPr>
        <w:t>(with the</w:t>
      </w:r>
      <w:r>
        <w:rPr>
          <w:rFonts w:ascii="Arial" w:cs="Arial" w:eastAsia="Arial" w:hAnsi="Arial"/>
          <w:sz w:val="16"/>
          <w:szCs w:val="16"/>
          <w:color w:val="000000"/>
        </w:rPr>
        <w:t xml:space="preserve"> </w:t>
      </w:r>
      <w:r>
        <w:rPr>
          <w:rFonts w:ascii="Arial" w:cs="Arial" w:eastAsia="Arial" w:hAnsi="Arial"/>
          <w:sz w:val="16"/>
          <w:szCs w:val="16"/>
          <w:color w:val="FF0000"/>
          <w:strike w:val="1"/>
        </w:rPr>
        <w:t>consent of the Borrower (which consent shall not be required during the continuance of an Event of Default under Sections 8.01(a), (f) or (g)))</w:t>
      </w:r>
      <w:r>
        <w:rPr>
          <w:rFonts w:ascii="Arial" w:cs="Arial" w:eastAsia="Arial" w:hAnsi="Arial"/>
          <w:sz w:val="16"/>
          <w:szCs w:val="16"/>
          <w:color w:val="FF0000"/>
        </w:rPr>
        <w:t xml:space="preserve"> </w:t>
      </w:r>
      <w:r>
        <w:rPr>
          <w:rFonts w:ascii="Arial" w:cs="Arial" w:eastAsia="Arial" w:hAnsi="Arial"/>
          <w:sz w:val="16"/>
          <w:szCs w:val="16"/>
          <w:color w:val="000000"/>
        </w:rPr>
        <w:t>, appoint</w:t>
      </w:r>
      <w:r>
        <w:rPr>
          <w:rFonts w:ascii="Arial" w:cs="Arial" w:eastAsia="Arial" w:hAnsi="Arial"/>
          <w:sz w:val="16"/>
          <w:szCs w:val="16"/>
          <w:color w:val="FF0000"/>
        </w:rPr>
        <w:t xml:space="preserve"> </w:t>
      </w:r>
      <w:r>
        <w:rPr>
          <w:rFonts w:ascii="Arial" w:cs="Arial" w:eastAsia="Arial" w:hAnsi="Arial"/>
          <w:sz w:val="16"/>
          <w:szCs w:val="16"/>
          <w:color w:val="000000"/>
        </w:rPr>
        <w:t xml:space="preserve">a successor Agent which shall be a bank with an office in New York, New York, or an Affiliate of any such bank. If no successor Agent has been appointed pursuant to the immediately preceding, such Agent’s resignation or removal shall become effective and the </w:t>
      </w:r>
      <w:r>
        <w:rPr>
          <w:rFonts w:ascii="Arial" w:cs="Arial" w:eastAsia="Arial" w:hAnsi="Arial"/>
          <w:sz w:val="16"/>
          <w:szCs w:val="16"/>
          <w:color w:val="FF0000"/>
          <w:strike w:val="1"/>
        </w:rPr>
        <w:t>Required</w:t>
      </w:r>
      <w:r>
        <w:rPr>
          <w:rFonts w:ascii="Arial" w:cs="Arial" w:eastAsia="Arial" w:hAnsi="Arial"/>
          <w:sz w:val="16"/>
          <w:szCs w:val="16"/>
          <w:color w:val="000000"/>
        </w:rPr>
        <w:t xml:space="preserve"> Lenders shall thereafter perform all the duties of such Agent hereunder and/or under any other Loan Document until such time, if any, as the </w:t>
      </w:r>
      <w:r>
        <w:rPr>
          <w:rFonts w:ascii="Arial" w:cs="Arial" w:eastAsia="Arial" w:hAnsi="Arial"/>
          <w:sz w:val="16"/>
          <w:szCs w:val="16"/>
          <w:color w:val="FF0000"/>
          <w:strike w:val="1"/>
        </w:rPr>
        <w:t>Required Lenders (with the consent</w:t>
      </w:r>
      <w:r>
        <w:rPr>
          <w:rFonts w:ascii="Arial" w:cs="Arial" w:eastAsia="Arial" w:hAnsi="Arial"/>
          <w:sz w:val="16"/>
          <w:szCs w:val="16"/>
          <w:color w:val="000000"/>
        </w:rPr>
        <w:t xml:space="preserve"> </w:t>
      </w:r>
      <w:r>
        <w:rPr>
          <w:rFonts w:ascii="Arial" w:cs="Arial" w:eastAsia="Arial" w:hAnsi="Arial"/>
          <w:sz w:val="16"/>
          <w:szCs w:val="16"/>
          <w:color w:val="FF0000"/>
          <w:strike w:val="1"/>
        </w:rPr>
        <w:t>of the Borrower (which consent shall not be required during the continuance of an Event of Default under Sections 8.01(a), (f) or (g)))</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Lenders</w:t>
      </w:r>
      <w:r>
        <w:rPr>
          <w:rFonts w:ascii="Arial" w:cs="Arial" w:eastAsia="Arial" w:hAnsi="Arial"/>
          <w:sz w:val="16"/>
          <w:szCs w:val="16"/>
          <w:color w:val="FF0000"/>
        </w:rPr>
        <w:t xml:space="preserve"> </w:t>
      </w:r>
      <w:r>
        <w:rPr>
          <w:rFonts w:ascii="Arial" w:cs="Arial" w:eastAsia="Arial" w:hAnsi="Arial"/>
          <w:sz w:val="16"/>
          <w:szCs w:val="16"/>
          <w:color w:val="000000"/>
        </w:rPr>
        <w:t>appoint a</w:t>
      </w:r>
      <w:r>
        <w:rPr>
          <w:rFonts w:ascii="Arial" w:cs="Arial" w:eastAsia="Arial" w:hAnsi="Arial"/>
          <w:sz w:val="16"/>
          <w:szCs w:val="16"/>
          <w:color w:val="FF0000"/>
        </w:rPr>
        <w:t xml:space="preserve"> </w:t>
      </w:r>
      <w:r>
        <w:rPr>
          <w:rFonts w:ascii="Arial" w:cs="Arial" w:eastAsia="Arial" w:hAnsi="Arial"/>
          <w:sz w:val="16"/>
          <w:szCs w:val="16"/>
          <w:color w:val="000000"/>
        </w:rPr>
        <w:t xml:space="preserve">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Arial" w:cs="Arial" w:eastAsia="Arial" w:hAnsi="Arial"/>
          <w:sz w:val="16"/>
          <w:szCs w:val="16"/>
          <w:u w:val="single" w:color="auto"/>
          <w:color w:val="000000"/>
        </w:rPr>
        <w:t>Article</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Section 10.05</w:t>
      </w:r>
      <w:r>
        <w:rPr>
          <w:rFonts w:ascii="Arial" w:cs="Arial" w:eastAsia="Arial" w:hAnsi="Arial"/>
          <w:sz w:val="16"/>
          <w:szCs w:val="16"/>
          <w:color w:val="000000"/>
        </w:rPr>
        <w:t xml:space="preserve"> shall continue in effect for the benefit of such retiring Agent, its sub-agents and their respective Related Parties in respect of any actions taken or omitted to be taken by any of them while acting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-2067560</wp:posOffset>
            </wp:positionV>
            <wp:extent cx="3511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-1656080</wp:posOffset>
            </wp:positionV>
            <wp:extent cx="368935"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-1518920</wp:posOffset>
            </wp:positionV>
            <wp:extent cx="34290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-833120</wp:posOffset>
            </wp:positionV>
            <wp:extent cx="36893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15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295" w:name="page296"/>
    <w:bookmarkEnd w:id="295"/>
    <w:p>
      <w:pPr>
        <w:ind w:right="1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Lender acknowledges and agrees that Alter Domus Products Corp. or one or more of its Affiliates may (but is not obligated to) act as collateral agent or representative for the holders of </w:t>
      </w:r>
      <w:r>
        <w:rPr>
          <w:rFonts w:ascii="Arial" w:cs="Arial" w:eastAsia="Arial" w:hAnsi="Arial"/>
          <w:sz w:val="16"/>
          <w:szCs w:val="16"/>
          <w:color w:val="FF0000"/>
          <w:strike w:val="1"/>
        </w:rPr>
        <w:t>ABL Facility</w:t>
      </w:r>
      <w:r>
        <w:rPr>
          <w:rFonts w:ascii="Arial" w:cs="Arial" w:eastAsia="Arial" w:hAnsi="Arial"/>
          <w:sz w:val="16"/>
          <w:szCs w:val="16"/>
          <w:u w:val="single" w:color="auto"/>
          <w:color w:val="0000FF"/>
        </w:rPr>
        <w:t>Prepetition</w:t>
      </w:r>
      <w:r>
        <w:rPr>
          <w:rFonts w:ascii="Arial" w:cs="Arial" w:eastAsia="Arial" w:hAnsi="Arial"/>
          <w:sz w:val="16"/>
          <w:szCs w:val="16"/>
          <w:color w:val="auto"/>
        </w:rPr>
        <w:t xml:space="preserve"> Indebtedness</w:t>
      </w:r>
      <w:r>
        <w:rPr>
          <w:rFonts w:ascii="Arial" w:cs="Arial" w:eastAsia="Arial" w:hAnsi="Arial"/>
          <w:sz w:val="16"/>
          <w:szCs w:val="16"/>
          <w:color w:val="FF0000"/>
          <w:strike w:val="1"/>
        </w:rPr>
        <w:t>, UST Tranche A Facility Indebtedness, UST Tranche B</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Facility Indebtedness, Permitted Junior Priority Additional Debt, any Extended Term Loan or any Permitted Refinancing thereof </w:t>
      </w:r>
      <w:r>
        <w:rPr>
          <w:rFonts w:ascii="Arial" w:cs="Arial" w:eastAsia="Arial" w:hAnsi="Arial"/>
          <w:sz w:val="16"/>
          <w:szCs w:val="16"/>
          <w:u w:val="single" w:color="auto"/>
          <w:color w:val="0000FF"/>
          <w:strike w:val="1"/>
        </w:rPr>
        <w:t>and/or Junior DIP</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Obligations and/or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under the collateral agreements with respect thereto</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and/or under the ABL Intercreditor Agreement or the Junior Lien Intercreditor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Agreement</w:t>
      </w:r>
      <w:r>
        <w:rPr>
          <w:rFonts w:ascii="Arial" w:cs="Arial" w:eastAsia="Arial" w:hAnsi="Arial"/>
          <w:sz w:val="16"/>
          <w:szCs w:val="16"/>
          <w:color w:val="000000"/>
          <w:strike w:val="1"/>
        </w:rPr>
        <w:t>. Each Lender waives any conflict of interest, now contemplated or arising hereafter, in connection therewith and agrees not to assert against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Alter Domus Products Corp. or any of its Affiliates any claims, causes of action, damages or liabilities of whatever kind or nature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-563245</wp:posOffset>
            </wp:positionV>
            <wp:extent cx="49720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-426085</wp:posOffset>
            </wp:positionV>
            <wp:extent cx="81470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85725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4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In case of the pendency of any case or proceeding under any </w:t>
      </w:r>
      <w:r>
        <w:rPr>
          <w:rFonts w:ascii="Arial" w:cs="Arial" w:eastAsia="Arial" w:hAnsi="Arial"/>
          <w:sz w:val="16"/>
          <w:szCs w:val="16"/>
          <w:color w:val="FF0000"/>
          <w:strike w:val="1"/>
        </w:rPr>
        <w:t>insolvency</w:t>
      </w:r>
      <w:r>
        <w:rPr>
          <w:rFonts w:ascii="Arial" w:cs="Arial" w:eastAsia="Arial" w:hAnsi="Arial"/>
          <w:sz w:val="16"/>
          <w:szCs w:val="16"/>
          <w:u w:val="single" w:color="auto"/>
          <w:color w:val="0000FF"/>
        </w:rPr>
        <w:t>Debtor Relief Laws</w:t>
      </w:r>
      <w:r>
        <w:rPr>
          <w:rFonts w:ascii="Arial" w:cs="Arial" w:eastAsia="Arial" w:hAnsi="Arial"/>
          <w:sz w:val="16"/>
          <w:szCs w:val="16"/>
          <w:color w:val="auto"/>
        </w:rPr>
        <w:t xml:space="preserve"> or other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the Agents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allowed in such judicial proceeding; and (b) to collect and receive any monies or other property payable or deliverable on any such claims and to distribute the same; and any custodian, receiver, </w:t>
      </w:r>
      <w:r>
        <w:rPr>
          <w:rFonts w:ascii="Arial" w:cs="Arial" w:eastAsia="Arial" w:hAnsi="Arial"/>
          <w:sz w:val="16"/>
          <w:szCs w:val="16"/>
          <w:u w:val="single" w:color="auto"/>
          <w:color w:val="0000FF"/>
        </w:rPr>
        <w:t>interim receiver,</w:t>
      </w:r>
      <w:r>
        <w:rPr>
          <w:rFonts w:ascii="Arial" w:cs="Arial" w:eastAsia="Arial" w:hAnsi="Arial"/>
          <w:sz w:val="16"/>
          <w:szCs w:val="16"/>
          <w:color w:val="auto"/>
        </w:rPr>
        <w:t xml:space="preserve">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Agents any amount due for the reasonable compensation, expenses, disbursements and advances of the Administrative Agent and its agents and counsel, and any other amounts due to the Agents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10.05</w:t>
      </w:r>
      <w:r>
        <w:rPr>
          <w:rFonts w:ascii="Arial" w:cs="Arial" w:eastAsia="Arial" w:hAnsi="Arial"/>
          <w:sz w:val="16"/>
          <w:szCs w:val="16"/>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-1925320</wp:posOffset>
            </wp:positionV>
            <wp:extent cx="89979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-828040</wp:posOffset>
            </wp:positionV>
            <wp:extent cx="77978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7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The Lenders hereby irrevocably authorize the Administrative Agent </w:t>
      </w:r>
      <w:r>
        <w:rPr>
          <w:rFonts w:ascii="Arial" w:cs="Arial" w:eastAsia="Arial" w:hAnsi="Arial"/>
          <w:sz w:val="17"/>
          <w:szCs w:val="17"/>
          <w:color w:val="0000FF"/>
        </w:rPr>
        <w:t>(or its designee)</w:t>
      </w:r>
      <w:r>
        <w:rPr>
          <w:rFonts w:ascii="Arial" w:cs="Arial" w:eastAsia="Arial" w:hAnsi="Arial"/>
          <w:sz w:val="17"/>
          <w:szCs w:val="17"/>
          <w:color w:val="auto"/>
        </w:rPr>
        <w:t xml:space="preserve">, at the direction of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w:t>
      </w:r>
      <w:r>
        <w:rPr>
          <w:rFonts w:ascii="Arial" w:cs="Arial" w:eastAsia="Arial" w:hAnsi="Arial"/>
          <w:sz w:val="17"/>
          <w:szCs w:val="17"/>
          <w:u w:val="single" w:color="auto"/>
          <w:color w:val="0000FF"/>
        </w:rPr>
        <w:t>the CCAA,</w:t>
      </w:r>
      <w:r>
        <w:rPr>
          <w:rFonts w:ascii="Arial" w:cs="Arial" w:eastAsia="Arial" w:hAnsi="Arial"/>
          <w:sz w:val="17"/>
          <w:szCs w:val="17"/>
          <w:color w:val="auto"/>
        </w:rPr>
        <w:t xml:space="preserv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amounts owed to the Agents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stock or debt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-1235710</wp:posOffset>
            </wp:positionV>
            <wp:extent cx="76263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-1270000</wp:posOffset>
            </wp:positionV>
            <wp:extent cx="76454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76454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-687070</wp:posOffset>
            </wp:positionV>
            <wp:extent cx="53975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440" w:top="274" w:right="439" w:bottom="1440" w:gutter="0" w:footer="0" w:header="0"/>
        </w:sectPr>
      </w:pPr>
    </w:p>
    <w:bookmarkStart w:id="296" w:name="page297"/>
    <w:bookmarkEnd w:id="296"/>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stock thereof shall be governed, directly or indirectly, by the vote of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irrespective of the termination of this Agreement,</w:t>
      </w:r>
    </w:p>
    <w:p>
      <w:pPr>
        <w:spacing w:after="0" w:line="1" w:lineRule="exact"/>
        <w:rPr>
          <w:sz w:val="20"/>
          <w:szCs w:val="20"/>
          <w:color w:val="auto"/>
        </w:rPr>
      </w:pPr>
    </w:p>
    <w:p>
      <w:pPr>
        <w:ind w:left="4" w:hanging="4"/>
        <w:spacing w:after="0" w:line="287" w:lineRule="auto"/>
        <w:tabs>
          <w:tab w:leader="none" w:pos="31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Administrative Agent shall be authorized to assign the relevant Obligations to any such acquisition vehicle pro rata by the Lenders, as a result of which each of the Lenders shall be deemed to have received a pro rata portion of any stock and/or debt instruments issued by such an acquisition vehicle on account of the assignment of the Obligations to be credit bid, all without the need for the Administrative Agent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each Lenders pro rata and the stock and/or debt instruments issued by any acquisition vehicle on account of the Obligations that had been assigned to the acquisition vehicle shall automatically be cancelled, without the need for the Administrative Agent or any acquisition vehicle to take any further action.</w:t>
      </w:r>
    </w:p>
    <w:p>
      <w:pPr>
        <w:spacing w:after="0" w:line="170"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u w:val="single" w:color="auto"/>
          <w:color w:val="0000FF"/>
        </w:rPr>
        <w:t>The provisions of this Section shall survive the resignation or replacement of the Administrative Agent or Collateral Agent, the termination of the Loan Documents, the termination of the Commitments and the repayment, satisfaction or discharge of all obligations under any Loan Document.</w:t>
      </w:r>
      <w:r>
        <w:rPr>
          <w:rFonts w:ascii="Arial" w:cs="Arial" w:eastAsia="Arial" w:hAnsi="Arial"/>
          <w:sz w:val="16"/>
          <w:szCs w:val="16"/>
          <w:color w:val="00000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-177800</wp:posOffset>
            </wp:positionV>
            <wp:extent cx="666051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662622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1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11"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u w:val="single" w:color="auto"/>
          <w:color w:val="0000FF"/>
        </w:rPr>
        <w:t>Section 10.01</w:t>
      </w:r>
      <w:r>
        <w:rPr>
          <w:rFonts w:ascii="Arial" w:cs="Arial" w:eastAsia="Arial" w:hAnsi="Arial"/>
          <w:sz w:val="17"/>
          <w:szCs w:val="17"/>
          <w:color w:val="0000FF"/>
        </w:rPr>
        <w:t xml:space="preserve"> </w:t>
      </w:r>
      <w:r>
        <w:rPr>
          <w:rFonts w:ascii="Arial" w:cs="Arial" w:eastAsia="Arial" w:hAnsi="Arial"/>
          <w:sz w:val="17"/>
          <w:szCs w:val="17"/>
          <w:color w:val="FF0000"/>
          <w:strike w:val="1"/>
        </w:rPr>
        <w:t>Section 10.01.</w:t>
      </w:r>
      <w:r>
        <w:rPr>
          <w:rFonts w:ascii="Arial" w:cs="Arial" w:eastAsia="Arial" w:hAnsi="Arial"/>
          <w:sz w:val="17"/>
          <w:szCs w:val="17"/>
          <w:color w:val="0000FF"/>
        </w:rPr>
        <w:t xml:space="preserve"> </w:t>
      </w:r>
      <w:r>
        <w:rPr>
          <w:rFonts w:ascii="Arial" w:cs="Arial" w:eastAsia="Arial" w:hAnsi="Arial"/>
          <w:sz w:val="17"/>
          <w:szCs w:val="17"/>
          <w:color w:val="000000"/>
        </w:rPr>
        <w:t xml:space="preserve"> </w:t>
      </w:r>
      <w:r>
        <w:rPr>
          <w:rFonts w:ascii="Arial" w:cs="Arial" w:eastAsia="Arial" w:hAnsi="Arial"/>
          <w:sz w:val="17"/>
          <w:szCs w:val="17"/>
          <w:i w:val="1"/>
          <w:iCs w:val="1"/>
          <w:color w:val="000000"/>
        </w:rPr>
        <w:t>Notices; Electronic Communications.</w:t>
      </w:r>
      <w:r>
        <w:rPr>
          <w:rFonts w:ascii="Arial" w:cs="Arial" w:eastAsia="Arial" w:hAnsi="Arial"/>
          <w:sz w:val="17"/>
          <w:szCs w:val="17"/>
          <w:color w:val="0000FF"/>
        </w:rPr>
        <w:t xml:space="preserve"> </w:t>
      </w:r>
      <w:r>
        <w:rPr>
          <w:rFonts w:ascii="Arial" w:cs="Arial" w:eastAsia="Arial" w:hAnsi="Arial"/>
          <w:sz w:val="17"/>
          <w:szCs w:val="17"/>
          <w:color w:val="000000"/>
        </w:rPr>
        <w:t>Notices and other communications provided for herein shall be in writing</w:t>
      </w:r>
      <w:r>
        <w:rPr>
          <w:rFonts w:ascii="Arial" w:cs="Arial" w:eastAsia="Arial" w:hAnsi="Arial"/>
          <w:sz w:val="17"/>
          <w:szCs w:val="17"/>
          <w:color w:val="0000FF"/>
        </w:rPr>
        <w:t xml:space="preserve"> </w:t>
      </w:r>
      <w:r>
        <w:rPr>
          <w:rFonts w:ascii="Arial" w:cs="Arial" w:eastAsia="Arial" w:hAnsi="Arial"/>
          <w:sz w:val="17"/>
          <w:szCs w:val="17"/>
          <w:color w:val="000000"/>
        </w:rPr>
        <w:t>and shall be delivered by hand or overnight courier service, mailed by certified or registered mail or sent by email or fax,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-163195</wp:posOffset>
            </wp:positionV>
            <wp:extent cx="62547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2" w:lineRule="exact"/>
        <w:rPr>
          <w:sz w:val="20"/>
          <w:szCs w:val="20"/>
          <w:color w:val="auto"/>
        </w:rPr>
      </w:pPr>
    </w:p>
    <w:p>
      <w:pPr>
        <w:ind w:left="964" w:hanging="532"/>
        <w:spacing w:after="0"/>
        <w:tabs>
          <w:tab w:leader="none" w:pos="96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to the Borrower or any other Loan Party, to it at:</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Yellow Corporation</w:t>
      </w:r>
    </w:p>
    <w:p>
      <w:pPr>
        <w:spacing w:after="0" w:line="23" w:lineRule="exact"/>
        <w:rPr>
          <w:rFonts w:ascii="Arial" w:cs="Arial" w:eastAsia="Arial" w:hAnsi="Arial"/>
          <w:sz w:val="18"/>
          <w:szCs w:val="18"/>
          <w:color w:val="auto"/>
        </w:rPr>
      </w:pPr>
    </w:p>
    <w:p>
      <w:pPr>
        <w:ind w:left="984" w:right="5840"/>
        <w:spacing w:after="0" w:line="250" w:lineRule="auto"/>
        <w:rPr>
          <w:rFonts w:ascii="Arial" w:cs="Arial" w:eastAsia="Arial" w:hAnsi="Arial"/>
          <w:sz w:val="18"/>
          <w:szCs w:val="18"/>
          <w:color w:val="auto"/>
        </w:rPr>
      </w:pPr>
      <w:r>
        <w:rPr>
          <w:rFonts w:ascii="Arial" w:cs="Arial" w:eastAsia="Arial" w:hAnsi="Arial"/>
          <w:sz w:val="18"/>
          <w:szCs w:val="18"/>
          <w:color w:val="auto"/>
        </w:rPr>
        <w:t>Attention of Chief Financial Officer and General Counsel 10990 Roe Avenue</w:t>
      </w:r>
    </w:p>
    <w:p>
      <w:pPr>
        <w:ind w:left="984" w:right="7860"/>
        <w:spacing w:after="0" w:line="281" w:lineRule="auto"/>
        <w:rPr>
          <w:rFonts w:ascii="Arial" w:cs="Arial" w:eastAsia="Arial" w:hAnsi="Arial"/>
          <w:sz w:val="18"/>
          <w:szCs w:val="18"/>
          <w:color w:val="auto"/>
        </w:rPr>
      </w:pPr>
      <w:r>
        <w:rPr>
          <w:rFonts w:ascii="Arial" w:cs="Arial" w:eastAsia="Arial" w:hAnsi="Arial"/>
          <w:sz w:val="16"/>
          <w:szCs w:val="16"/>
          <w:color w:val="auto"/>
        </w:rPr>
        <w:t>Overland Park, Kansas 66211 Fax No. 913-696-6116</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Tel. No. </w:t>
      </w:r>
      <w:r>
        <w:rPr>
          <w:rFonts w:ascii="Arial" w:cs="Arial" w:eastAsia="Arial" w:hAnsi="Arial"/>
          <w:sz w:val="18"/>
          <w:szCs w:val="18"/>
          <w:color w:val="FF0000"/>
          <w:strike w:val="1"/>
        </w:rPr>
        <w:t>913-696-6529 or 913-696-6132</w:t>
      </w:r>
      <w:r>
        <w:rPr>
          <w:rFonts w:ascii="Arial" w:cs="Arial" w:eastAsia="Arial" w:hAnsi="Arial"/>
          <w:sz w:val="18"/>
          <w:szCs w:val="18"/>
          <w:u w:val="single" w:color="auto"/>
          <w:color w:val="0000FF"/>
        </w:rPr>
        <w:t>913-696-6529 or 913-696-6132</w:t>
      </w:r>
    </w:p>
    <w:p>
      <w:pPr>
        <w:spacing w:after="0" w:line="9"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FF0000"/>
          <w:strike w:val="1"/>
        </w:rPr>
        <w:t>Email: stephanie.fisher@yrcw</w:t>
      </w:r>
      <w:r>
        <w:rPr>
          <w:rFonts w:ascii="Arial" w:cs="Arial" w:eastAsia="Arial" w:hAnsi="Arial"/>
          <w:sz w:val="18"/>
          <w:szCs w:val="18"/>
          <w:u w:val="single" w:color="auto"/>
          <w:color w:val="0000FF"/>
        </w:rPr>
        <w:t>Email: Dan.Olivier@myYellow</w:t>
      </w:r>
      <w:r>
        <w:rPr>
          <w:rFonts w:ascii="Arial" w:cs="Arial" w:eastAsia="Arial" w:hAnsi="Arial"/>
          <w:sz w:val="18"/>
          <w:szCs w:val="18"/>
          <w:color w:val="FF0000"/>
        </w:rPr>
        <w:t xml:space="preserve"> </w:t>
      </w:r>
      <w:r>
        <w:rPr>
          <w:rFonts w:ascii="Arial" w:cs="Arial" w:eastAsia="Arial" w:hAnsi="Arial"/>
          <w:sz w:val="18"/>
          <w:szCs w:val="18"/>
          <w:color w:val="000000"/>
        </w:rPr>
        <w:t>.com and</w:t>
      </w:r>
      <w:r>
        <w:rPr>
          <w:rFonts w:ascii="Arial" w:cs="Arial" w:eastAsia="Arial" w:hAnsi="Arial"/>
          <w:sz w:val="18"/>
          <w:szCs w:val="18"/>
          <w:color w:val="FF0000"/>
        </w:rPr>
        <w:t xml:space="preserve"> </w:t>
      </w:r>
      <w:r>
        <w:rPr>
          <w:rFonts w:ascii="Arial" w:cs="Arial" w:eastAsia="Arial" w:hAnsi="Arial"/>
          <w:sz w:val="18"/>
          <w:szCs w:val="18"/>
          <w:color w:val="FF0000"/>
          <w:strike w:val="1"/>
        </w:rPr>
        <w:t>jim.fry@yrcw</w:t>
      </w:r>
      <w:r>
        <w:rPr>
          <w:rFonts w:ascii="Arial" w:cs="Arial" w:eastAsia="Arial" w:hAnsi="Arial"/>
          <w:sz w:val="18"/>
          <w:szCs w:val="18"/>
          <w:u w:val="single" w:color="auto"/>
          <w:color w:val="0000FF"/>
        </w:rPr>
        <w:t>Leah.Dawson@myYellow</w:t>
      </w:r>
      <w:r>
        <w:rPr>
          <w:rFonts w:ascii="Arial" w:cs="Arial" w:eastAsia="Arial" w:hAnsi="Arial"/>
          <w:sz w:val="18"/>
          <w:szCs w:val="18"/>
          <w:color w:val="000000"/>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-121920</wp:posOffset>
            </wp:positionV>
            <wp:extent cx="144018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14605</wp:posOffset>
            </wp:positionV>
            <wp:extent cx="148336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483360" cy="825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14605</wp:posOffset>
            </wp:positionV>
            <wp:extent cx="120015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copy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Attention of Michelle Kilkenney, Esq. </w:t>
      </w:r>
      <w:r>
        <w:rPr>
          <w:rFonts w:ascii="Arial" w:cs="Arial" w:eastAsia="Arial" w:hAnsi="Arial"/>
          <w:sz w:val="18"/>
          <w:szCs w:val="18"/>
          <w:color w:val="0000FF"/>
        </w:rPr>
        <w:t>and Patrick Nash,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-19050</wp:posOffset>
            </wp:positionV>
            <wp:extent cx="106616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984"/>
        <w:spacing w:after="0"/>
        <w:rPr>
          <w:sz w:val="20"/>
          <w:szCs w:val="20"/>
          <w:color w:val="auto"/>
        </w:rPr>
      </w:pPr>
      <w:r>
        <w:rPr>
          <w:rFonts w:ascii="Arial" w:cs="Arial" w:eastAsia="Arial" w:hAnsi="Arial"/>
          <w:sz w:val="18"/>
          <w:szCs w:val="18"/>
          <w:color w:val="auto"/>
        </w:rPr>
        <w:t>300 North LaSalle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-121920</wp:posOffset>
            </wp:positionV>
            <wp:extent cx="10629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984"/>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Fax No. 312-862-2200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Tel. No. </w:t>
      </w:r>
      <w:r>
        <w:rPr>
          <w:rFonts w:ascii="Arial" w:cs="Arial" w:eastAsia="Arial" w:hAnsi="Arial"/>
          <w:sz w:val="18"/>
          <w:szCs w:val="18"/>
          <w:color w:val="FF0000"/>
          <w:strike w:val="1"/>
        </w:rPr>
        <w:t>312-862-2487</w:t>
      </w:r>
      <w:r>
        <w:rPr>
          <w:rFonts w:ascii="Arial" w:cs="Arial" w:eastAsia="Arial" w:hAnsi="Arial"/>
          <w:sz w:val="18"/>
          <w:szCs w:val="18"/>
          <w:color w:val="auto"/>
        </w:rPr>
        <w:t xml:space="preserve"> </w:t>
      </w:r>
      <w:r>
        <w:rPr>
          <w:rFonts w:ascii="Arial" w:cs="Arial" w:eastAsia="Arial" w:hAnsi="Arial"/>
          <w:sz w:val="18"/>
          <w:szCs w:val="18"/>
          <w:u w:val="single" w:color="auto"/>
          <w:color w:val="0000FF"/>
        </w:rPr>
        <w:t>312-862-2487</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FF0000"/>
          <w:strike w:val="1"/>
        </w:rPr>
        <w:t>Email: michelle</w:t>
      </w:r>
      <w:r>
        <w:rPr>
          <w:rFonts w:ascii="Arial" w:cs="Arial" w:eastAsia="Arial" w:hAnsi="Arial"/>
          <w:sz w:val="18"/>
          <w:szCs w:val="18"/>
          <w:u w:val="single" w:color="auto"/>
          <w:color w:val="0000FF"/>
        </w:rPr>
        <w:t>Email: michelle</w:t>
      </w:r>
      <w:r>
        <w:rPr>
          <w:rFonts w:ascii="Arial" w:cs="Arial" w:eastAsia="Arial" w:hAnsi="Arial"/>
          <w:sz w:val="18"/>
          <w:szCs w:val="18"/>
          <w:color w:val="000000"/>
        </w:rPr>
        <w:t>.kilkenney@kirkland.com</w:t>
      </w:r>
      <w:r>
        <w:rPr>
          <w:rFonts w:ascii="Arial" w:cs="Arial" w:eastAsia="Arial" w:hAnsi="Arial"/>
          <w:sz w:val="18"/>
          <w:szCs w:val="18"/>
          <w:u w:val="single" w:color="auto"/>
          <w:color w:val="0000FF"/>
        </w:rPr>
        <w:t>; Patrick.nash@kirkland.com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-121920</wp:posOffset>
            </wp:positionV>
            <wp:extent cx="64325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1354455</wp:posOffset>
            </wp:positionH>
            <wp:positionV relativeFrom="paragraph">
              <wp:posOffset>14605</wp:posOffset>
            </wp:positionV>
            <wp:extent cx="72898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14605</wp:posOffset>
            </wp:positionV>
            <wp:extent cx="13290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84"/>
          </w:cols>
          <w:pgMar w:left="436" w:top="274" w:right="479" w:bottom="1440" w:gutter="0" w:footer="0" w:header="0"/>
        </w:sectPr>
      </w:pPr>
    </w:p>
    <w:bookmarkStart w:id="297" w:name="page298"/>
    <w:bookmarkEnd w:id="297"/>
    <w:p>
      <w:pPr>
        <w:ind w:left="98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316865"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Goodmans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Attention of Robert J. Chadwick and Caroline Descours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72834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u w:val="single" w:color="auto"/>
          <w:color w:val="0000FF"/>
        </w:rPr>
        <w:t>Bay Adelaide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256286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u w:val="single" w:color="auto"/>
          <w:color w:val="0000FF"/>
        </w:rPr>
        <w:t>333 Bay Street, Suite 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6012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u w:val="single" w:color="auto"/>
          <w:color w:val="0000FF"/>
        </w:rPr>
        <w:t>Toronto, ON M5H 2S7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23444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u w:val="single" w:color="auto"/>
          <w:color w:val="0000FF"/>
        </w:rPr>
        <w:t>Email: rchadwick@goodmans.ca; cdescours@goodmans.ca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0629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273431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96" w:lineRule="exact"/>
        <w:rPr>
          <w:sz w:val="20"/>
          <w:szCs w:val="20"/>
          <w:color w:val="auto"/>
        </w:rPr>
      </w:pPr>
    </w:p>
    <w:p>
      <w:pPr>
        <w:ind w:left="960" w:hanging="532"/>
        <w:spacing w:after="0"/>
        <w:tabs>
          <w:tab w:leader="none" w:pos="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to the Administrative Agent, to:</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Alter Domus Products Corp.</w:t>
      </w:r>
    </w:p>
    <w:p>
      <w:pPr>
        <w:spacing w:after="0" w:line="23" w:lineRule="exact"/>
        <w:rPr>
          <w:rFonts w:ascii="Arial" w:cs="Arial" w:eastAsia="Arial" w:hAnsi="Arial"/>
          <w:sz w:val="18"/>
          <w:szCs w:val="18"/>
          <w:color w:val="auto"/>
        </w:rPr>
      </w:pPr>
    </w:p>
    <w:p>
      <w:pPr>
        <w:ind w:left="980" w:right="7400"/>
        <w:spacing w:after="0" w:line="204" w:lineRule="auto"/>
        <w:rPr>
          <w:rFonts w:ascii="Arial" w:cs="Arial" w:eastAsia="Arial" w:hAnsi="Arial"/>
          <w:sz w:val="18"/>
          <w:szCs w:val="18"/>
          <w:color w:val="auto"/>
        </w:rPr>
      </w:pPr>
      <w:r>
        <w:rPr>
          <w:rFonts w:ascii="Arial" w:cs="Arial" w:eastAsia="Arial" w:hAnsi="Arial"/>
          <w:sz w:val="18"/>
          <w:szCs w:val="18"/>
          <w:color w:val="auto"/>
        </w:rPr>
        <w:t>225 W. Washington Street,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Chicago, Illinois 60606</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Attention: Legal Department </w:t>
      </w:r>
      <w:r>
        <w:rPr>
          <w:rFonts w:ascii="Arial" w:cs="Arial" w:eastAsia="Arial" w:hAnsi="Arial"/>
          <w:sz w:val="18"/>
          <w:szCs w:val="18"/>
          <w:color w:val="FF0000"/>
          <w:strike w:val="1"/>
        </w:rPr>
        <w:t>and Lisa Schutz</w:t>
      </w:r>
      <w:r>
        <w:rPr>
          <w:rFonts w:ascii="Arial" w:cs="Arial" w:eastAsia="Arial" w:hAnsi="Arial"/>
          <w:sz w:val="18"/>
          <w:szCs w:val="18"/>
          <w:u w:val="single" w:color="auto"/>
          <w:color w:val="0000FF"/>
        </w:rPr>
        <w:t>– Agency, Emily Ergang Pappas and Chris Capezuti</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Fax No.: 312-376-0751</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Tel. No.: 312-564-5100</w:t>
      </w:r>
    </w:p>
    <w:p>
      <w:pPr>
        <w:spacing w:after="0" w:line="9" w:lineRule="exact"/>
        <w:rPr>
          <w:rFonts w:ascii="Arial" w:cs="Arial" w:eastAsia="Arial" w:hAnsi="Arial"/>
          <w:sz w:val="18"/>
          <w:szCs w:val="18"/>
          <w:color w:val="auto"/>
        </w:rPr>
      </w:pPr>
    </w:p>
    <w:p>
      <w:pPr>
        <w:ind w:left="980" w:right="128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color w:val="FF0000"/>
          <w:strike w:val="1"/>
        </w:rPr>
        <w:t>legal</w:t>
      </w:r>
      <w:r>
        <w:rPr>
          <w:rFonts w:ascii="Arial" w:cs="Arial" w:eastAsia="Arial" w:hAnsi="Arial"/>
          <w:sz w:val="18"/>
          <w:szCs w:val="18"/>
          <w:u w:val="single" w:color="auto"/>
          <w:color w:val="0000FF"/>
        </w:rPr>
        <w:t>legal_agency@alterdomus.com, emily.ergangpappas@alterdomus.com and cpcagency</w:t>
      </w:r>
      <w:r>
        <w:rPr>
          <w:rFonts w:ascii="Arial" w:cs="Arial" w:eastAsia="Arial" w:hAnsi="Arial"/>
          <w:sz w:val="18"/>
          <w:szCs w:val="18"/>
          <w:color w:val="auto"/>
        </w:rPr>
        <w:t xml:space="preserve">@alterdomus.com </w:t>
      </w:r>
      <w:r>
        <w:rPr>
          <w:rFonts w:ascii="Arial" w:cs="Arial" w:eastAsia="Arial" w:hAnsi="Arial"/>
          <w:sz w:val="18"/>
          <w:szCs w:val="18"/>
          <w:color w:val="FF0000"/>
        </w:rPr>
        <w:t>and</w:t>
      </w:r>
      <w:r>
        <w:rPr>
          <w:rFonts w:ascii="Arial" w:cs="Arial" w:eastAsia="Arial" w:hAnsi="Arial"/>
          <w:sz w:val="18"/>
          <w:szCs w:val="18"/>
          <w:color w:val="auto"/>
        </w:rPr>
        <w:t xml:space="preserve"> </w:t>
      </w:r>
      <w:r>
        <w:rPr>
          <w:rFonts w:ascii="Arial" w:cs="Arial" w:eastAsia="Arial" w:hAnsi="Arial"/>
          <w:sz w:val="18"/>
          <w:szCs w:val="18"/>
          <w:color w:val="FF0000"/>
          <w:strike w:val="1"/>
        </w:rPr>
        <w:t>lisa.schutz@alterdomus.com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-549910</wp:posOffset>
            </wp:positionV>
            <wp:extent cx="2383155"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-138430</wp:posOffset>
            </wp:positionV>
            <wp:extent cx="3951605"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3951605" cy="889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-224155</wp:posOffset>
            </wp:positionV>
            <wp:extent cx="19367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Holland &amp; Knight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150 N. Riverside Plaza, Suite 2700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No.</w:t>
      </w:r>
      <w:r>
        <w:rPr>
          <w:rFonts w:ascii="Arial" w:cs="Arial" w:eastAsia="Arial" w:hAnsi="Arial"/>
          <w:sz w:val="18"/>
          <w:szCs w:val="18"/>
          <w:color w:val="FF0000"/>
          <w:strike w:val="1"/>
        </w:rPr>
        <w:t>: 312-578-6666</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312-578-6666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FF0000"/>
          <w:strike w:val="1"/>
        </w:rPr>
        <w:t>Tel</w:t>
      </w:r>
      <w:r>
        <w:rPr>
          <w:rFonts w:ascii="Arial" w:cs="Arial" w:eastAsia="Arial" w:hAnsi="Arial"/>
          <w:sz w:val="18"/>
          <w:szCs w:val="18"/>
          <w:color w:val="FF0000"/>
        </w:rPr>
        <w:t xml:space="preserve"> </w:t>
      </w:r>
      <w:r>
        <w:rPr>
          <w:rFonts w:ascii="Arial" w:cs="Arial" w:eastAsia="Arial" w:hAnsi="Arial"/>
          <w:sz w:val="18"/>
          <w:szCs w:val="18"/>
          <w:color w:val="0000FF"/>
        </w:rPr>
        <w:t>Tel</w:t>
      </w:r>
      <w:r>
        <w:rPr>
          <w:rFonts w:ascii="Arial" w:cs="Arial" w:eastAsia="Arial" w:hAnsi="Arial"/>
          <w:sz w:val="18"/>
          <w:szCs w:val="18"/>
          <w:color w:val="000000"/>
        </w:rPr>
        <w:t>. No.: 312-263-3600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-121920</wp:posOffset>
            </wp:positionV>
            <wp:extent cx="71120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-19050</wp:posOffset>
            </wp:positionV>
            <wp:extent cx="17272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7272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color w:val="FF0000"/>
          <w:strike w:val="1"/>
        </w:rPr>
        <w:t>Joshua M. Spencer</w:t>
      </w:r>
      <w:r>
        <w:rPr>
          <w:rFonts w:ascii="Arial" w:cs="Arial" w:eastAsia="Arial" w:hAnsi="Arial"/>
          <w:sz w:val="18"/>
          <w:szCs w:val="18"/>
          <w:u w:val="single" w:color="auto"/>
          <w:color w:val="0000FF"/>
        </w:rPr>
        <w:t>Joshua M.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-121920</wp:posOffset>
            </wp:positionV>
            <wp:extent cx="17145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FF0000"/>
          <w:strike w:val="1"/>
        </w:rPr>
        <w:t>Email</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Email</w:t>
      </w:r>
      <w:r>
        <w:rPr>
          <w:rFonts w:ascii="Arial" w:cs="Arial" w:eastAsia="Arial" w:hAnsi="Arial"/>
          <w:sz w:val="18"/>
          <w:szCs w:val="18"/>
          <w:color w:val="FF0000"/>
        </w:rPr>
        <w:t xml:space="preserve"> </w:t>
      </w:r>
      <w:r>
        <w:rPr>
          <w:rFonts w:ascii="Arial" w:cs="Arial" w:eastAsia="Arial" w:hAnsi="Arial"/>
          <w:sz w:val="18"/>
          <w:szCs w:val="18"/>
          <w:color w:val="000000"/>
        </w:rPr>
        <w:t>: joshua.spencer@hklaw.com</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alterdomus@hklaw.com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-121920</wp:posOffset>
            </wp:positionV>
            <wp:extent cx="86550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33401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14605</wp:posOffset>
            </wp:positionV>
            <wp:extent cx="130302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9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(c) if to a Lender, to it at its address (email address or fax number) set forth on </w:t>
      </w:r>
      <w:r>
        <w:rPr>
          <w:rFonts w:ascii="Arial" w:cs="Arial" w:eastAsia="Arial" w:hAnsi="Arial"/>
          <w:sz w:val="18"/>
          <w:szCs w:val="18"/>
          <w:color w:val="FF0000"/>
          <w:strike w:val="1"/>
        </w:rPr>
        <w:t>Schedule 2.01</w:t>
      </w:r>
      <w:r>
        <w:rPr>
          <w:rFonts w:ascii="Arial" w:cs="Arial" w:eastAsia="Arial" w:hAnsi="Arial"/>
          <w:sz w:val="18"/>
          <w:szCs w:val="18"/>
          <w:u w:val="single" w:color="auto"/>
          <w:color w:val="0000FF"/>
        </w:rPr>
        <w:t>Appendices A, B, C or D</w:t>
      </w:r>
      <w:r>
        <w:rPr>
          <w:rFonts w:ascii="Arial" w:cs="Arial" w:eastAsia="Arial" w:hAnsi="Arial"/>
          <w:sz w:val="18"/>
          <w:szCs w:val="18"/>
          <w:color w:val="auto"/>
        </w:rPr>
        <w:t xml:space="preserve"> or in the Assignment and Acceptance </w:t>
      </w:r>
      <w:r>
        <w:rPr>
          <w:rFonts w:ascii="Arial" w:cs="Arial" w:eastAsia="Arial" w:hAnsi="Arial"/>
          <w:sz w:val="18"/>
          <w:szCs w:val="18"/>
          <w:color w:val="FF0000"/>
          <w:strike w:val="1"/>
        </w:rPr>
        <w:t>or Refinancing Amendment</w:t>
      </w:r>
      <w:r>
        <w:rPr>
          <w:rFonts w:ascii="Arial" w:cs="Arial" w:eastAsia="Arial" w:hAnsi="Arial"/>
          <w:sz w:val="18"/>
          <w:szCs w:val="18"/>
          <w:color w:val="auto"/>
        </w:rPr>
        <w:t xml:space="preserve"> pursuant to which such Lender shall have become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-147955</wp:posOffset>
            </wp:positionV>
            <wp:extent cx="114871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5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on the date three Business Days after dispatch by certified or registered mail if mailed, in each case delivered, sent or mailed (properly addressed) to such party as provided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in accordance with the latest unrevoked direction from such party given in accordance with this </w:t>
      </w:r>
      <w:r>
        <w:rPr>
          <w:rFonts w:ascii="Arial" w:cs="Arial" w:eastAsia="Arial" w:hAnsi="Arial"/>
          <w:sz w:val="17"/>
          <w:szCs w:val="17"/>
          <w:u w:val="single" w:color="auto"/>
          <w:color w:val="auto"/>
        </w:rPr>
        <w:t>Section 10.01</w:t>
      </w:r>
      <w:r>
        <w:rPr>
          <w:rFonts w:ascii="Arial" w:cs="Arial" w:eastAsia="Arial" w:hAnsi="Arial"/>
          <w:sz w:val="17"/>
          <w:szCs w:val="17"/>
          <w:color w:val="auto"/>
        </w:rPr>
        <w:t>. As agreed to among the Borrower, the Administrative Agent and the applicable Lenders from time to time, notices and other communications may also be delivered by e-mail to the e-mail address of a representative of the applicable Person provided from time to time by such Person.</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The Borrower hereby agrees, unless directed otherwise by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or Administrative Agent or unless the electronic mail address referred to below has not been provided by the Administrative Agent to the Borrower, that it will, or will cause its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to, provide to the Administrative Agent and/or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all information, documents and other materials that it is obligated to furnish to the Administrative Agent and/or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pursuant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80"/>
          </w:cols>
          <w:pgMar w:left="440" w:top="274" w:right="479" w:bottom="1440" w:gutter="0" w:footer="0" w:header="0"/>
        </w:sectPr>
      </w:pPr>
    </w:p>
    <w:bookmarkStart w:id="298" w:name="page299"/>
    <w:bookmarkEnd w:id="298"/>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 Documents or to the Lenders under Article 6, including all notices, requests, financial statements, financial and other reports, certificates and other information materials, but excluding any such communication that (i) is or relates to a Request for Credit Extension or a notice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color w:val="FF0000"/>
          <w:strike w:val="1"/>
        </w:rPr>
        <w:t>2.10</w:t>
      </w:r>
      <w:r>
        <w:rPr>
          <w:rFonts w:ascii="Arial" w:cs="Arial" w:eastAsia="Arial" w:hAnsi="Arial"/>
          <w:sz w:val="17"/>
          <w:szCs w:val="17"/>
          <w:u w:val="single" w:color="auto"/>
          <w:color w:val="0000FF"/>
        </w:rPr>
        <w:t>2.03</w:t>
      </w:r>
      <w:r>
        <w:rPr>
          <w:rFonts w:ascii="Arial" w:cs="Arial" w:eastAsia="Arial" w:hAnsi="Arial"/>
          <w:sz w:val="17"/>
          <w:szCs w:val="17"/>
          <w:color w:val="auto"/>
        </w:rPr>
        <w:t>, (ii) relates to the payment of any principal or other amount due under this Agreement prior to the scheduled date therefor, or</w:t>
      </w:r>
    </w:p>
    <w:p>
      <w:pPr>
        <w:ind w:left="4" w:right="60" w:hanging="4"/>
        <w:spacing w:after="0" w:line="270" w:lineRule="auto"/>
        <w:tabs>
          <w:tab w:leader="none" w:pos="31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provides notice of any Default or Event of Default under this Agreement or any other Loan Document, (all such non-excluded communications being referred to herein collectively as “</w:t>
      </w:r>
      <w:r>
        <w:rPr>
          <w:rFonts w:ascii="Arial" w:cs="Arial" w:eastAsia="Arial" w:hAnsi="Arial"/>
          <w:sz w:val="17"/>
          <w:szCs w:val="17"/>
          <w:b w:val="1"/>
          <w:bCs w:val="1"/>
          <w:color w:val="auto"/>
        </w:rPr>
        <w:t>Communications</w:t>
      </w:r>
      <w:r>
        <w:rPr>
          <w:rFonts w:ascii="Arial" w:cs="Arial" w:eastAsia="Arial" w:hAnsi="Arial"/>
          <w:sz w:val="17"/>
          <w:szCs w:val="17"/>
          <w:color w:val="auto"/>
        </w:rPr>
        <w:t xml:space="preserve">”), by transmitting the Communications in an electronic/soft medium that is properly identified in a format reasonably acceptable to the Administrative Agent and/or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to an electronic mail address as directed by the Administrative Agent and/or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In addition, the Borrower agrees, and agrees to cause its </w:t>
      </w:r>
      <w:r>
        <w:rPr>
          <w:rFonts w:ascii="Arial" w:cs="Arial" w:eastAsia="Arial" w:hAnsi="Arial"/>
          <w:sz w:val="17"/>
          <w:szCs w:val="17"/>
          <w:color w:val="FF0000"/>
          <w:strike w:val="1"/>
        </w:rPr>
        <w:t>Restricted</w:t>
      </w:r>
      <w:r>
        <w:rPr>
          <w:rFonts w:ascii="Arial" w:cs="Arial" w:eastAsia="Arial" w:hAnsi="Arial"/>
          <w:sz w:val="17"/>
          <w:szCs w:val="17"/>
          <w:color w:val="auto"/>
        </w:rPr>
        <w:t xml:space="preserve"> Subsidiaries, to continue to provide the Communications to the Administrative Agent, the </w:t>
      </w:r>
      <w:r>
        <w:rPr>
          <w:rFonts w:ascii="Arial" w:cs="Arial" w:eastAsia="Arial" w:hAnsi="Arial"/>
          <w:sz w:val="17"/>
          <w:szCs w:val="17"/>
          <w:color w:val="FF0000"/>
          <w:strike w:val="1"/>
        </w:rPr>
        <w:t>Required</w:t>
      </w:r>
      <w:r>
        <w:rPr>
          <w:rFonts w:ascii="Arial" w:cs="Arial" w:eastAsia="Arial" w:hAnsi="Arial"/>
          <w:sz w:val="17"/>
          <w:szCs w:val="17"/>
          <w:color w:val="auto"/>
        </w:rPr>
        <w:t xml:space="preserve"> Lenders or the Lenders, as the case may be, in the manner specified in the Loan Documents but only to the extent requested by the Administrative Agent.</w:t>
      </w:r>
    </w:p>
    <w:p>
      <w:pPr>
        <w:spacing w:after="0" w:line="178"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The Borrower hereby acknowledges that (a) the Administrative Agent will make available to the Lenders materials and/or information provided by or on behalf of the Borrower hereunder (collectively, the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may be “public</w:t>
      </w:r>
      <w:r>
        <w:rPr>
          <w:rFonts w:ascii="Arial" w:cs="Arial" w:eastAsia="Arial" w:hAnsi="Arial"/>
          <w:sz w:val="16"/>
          <w:szCs w:val="16"/>
          <w:b w:val="1"/>
          <w:bCs w:val="1"/>
          <w:color w:val="auto"/>
        </w:rPr>
        <w:t>-</w:t>
      </w:r>
      <w:r>
        <w:rPr>
          <w:rFonts w:ascii="Arial" w:cs="Arial" w:eastAsia="Arial" w:hAnsi="Arial"/>
          <w:sz w:val="16"/>
          <w:szCs w:val="16"/>
          <w:color w:val="auto"/>
        </w:rPr>
        <w:t xml:space="preserve">side” Lenders (i.e., Lenders that do not wish to receive material non-public information with respect to the Borrower, its </w:t>
      </w:r>
      <w:r>
        <w:rPr>
          <w:rFonts w:ascii="Arial" w:cs="Arial" w:eastAsia="Arial" w:hAnsi="Arial"/>
          <w:sz w:val="16"/>
          <w:szCs w:val="16"/>
          <w:color w:val="FF0000"/>
          <w:strike w:val="1"/>
        </w:rPr>
        <w:t>Restricted</w:t>
      </w:r>
      <w:r>
        <w:rPr>
          <w:rFonts w:ascii="Arial" w:cs="Arial" w:eastAsia="Arial" w:hAnsi="Arial"/>
          <w:sz w:val="16"/>
          <w:szCs w:val="16"/>
          <w:color w:val="auto"/>
        </w:rPr>
        <w:t xml:space="preserve"> Subsidiaries or any of their respective securities) (each, a “</w:t>
      </w:r>
      <w:r>
        <w:rPr>
          <w:rFonts w:ascii="Arial" w:cs="Arial" w:eastAsia="Arial" w:hAnsi="Arial"/>
          <w:sz w:val="16"/>
          <w:szCs w:val="16"/>
          <w:b w:val="1"/>
          <w:bCs w:val="1"/>
          <w:color w:val="auto"/>
        </w:rPr>
        <w:t>Public Lender</w:t>
      </w:r>
      <w:r>
        <w:rPr>
          <w:rFonts w:ascii="Arial" w:cs="Arial" w:eastAsia="Arial" w:hAnsi="Arial"/>
          <w:sz w:val="16"/>
          <w:szCs w:val="16"/>
          <w:color w:val="auto"/>
        </w:rPr>
        <w:t>”). The Borrower hereby agrees (w) to use commercially reasonable effort to make all Borrower Materials that are to be made available to Public Lenders clearly and conspicuously “PUBLIC” which, at a minimum, shall mean that the word “PUBLIC” shall appear prominently on the first page thereof;</w:t>
      </w:r>
    </w:p>
    <w:p>
      <w:pPr>
        <w:spacing w:after="0" w:line="4" w:lineRule="exact"/>
        <w:rPr>
          <w:sz w:val="20"/>
          <w:szCs w:val="20"/>
          <w:color w:val="auto"/>
        </w:rPr>
      </w:pPr>
    </w:p>
    <w:p>
      <w:pPr>
        <w:ind w:left="4" w:hanging="4"/>
        <w:spacing w:after="0" w:line="281" w:lineRule="auto"/>
        <w:tabs>
          <w:tab w:leader="none" w:pos="25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by marking Borrower Materials “PUBLIC,” the Borrower shall be deemed to have authorized the Administrative Agent and the Lenders to treat such Borrower Materials as not containing any material non-public information with respect to the Borrower or any of its securities for purposes of United States federal and state securities laws (provided, however, that to the extent such Borrower Materials constitute Information, they shall be treated as set forth in </w:t>
      </w:r>
      <w:r>
        <w:rPr>
          <w:rFonts w:ascii="Arial" w:cs="Arial" w:eastAsia="Arial" w:hAnsi="Arial"/>
          <w:sz w:val="16"/>
          <w:szCs w:val="16"/>
          <w:u w:val="single" w:color="auto"/>
          <w:color w:val="auto"/>
        </w:rPr>
        <w:t>Section 10.16</w:t>
      </w:r>
      <w:r>
        <w:rPr>
          <w:rFonts w:ascii="Arial" w:cs="Arial" w:eastAsia="Arial" w:hAnsi="Arial"/>
          <w:sz w:val="16"/>
          <w:szCs w:val="16"/>
          <w:color w:val="auto"/>
        </w:rPr>
        <w:t>); (y) all Borrower Materials marked “PUBLIC” are permitted to be made available through a portion of the Platform designated as “Public Investor;” and (z) the Administrative Agent shall be entitled to treat any Borrower Materials that are not marked “PUBLIC” as being suitable only for posting on a portion of the Platform not marked as “Public Investor.” Notwithstanding the foregoing, the following Borrower Materials shall be marked “PUBLIC”, unless the Borrower notifies the Administrative Agent promptly that any such document contains material non-public information: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 xml:space="preserve">(1) the Loan Documents, (2) financial statements and related documentation, in each case, provided pursuant to </w:t>
      </w:r>
      <w:r>
        <w:rPr>
          <w:rFonts w:ascii="Arial" w:cs="Arial" w:eastAsia="Arial" w:hAnsi="Arial"/>
          <w:sz w:val="17"/>
          <w:szCs w:val="17"/>
          <w:u w:val="single" w:color="auto"/>
          <w:color w:val="auto"/>
        </w:rPr>
        <w:t>Section 6.01</w:t>
      </w:r>
      <w:r>
        <w:rPr>
          <w:rFonts w:ascii="Arial" w:cs="Arial" w:eastAsia="Arial" w:hAnsi="Arial"/>
          <w:sz w:val="17"/>
          <w:szCs w:val="17"/>
          <w:color w:val="FF0000"/>
          <w:strike w:val="1"/>
        </w:rPr>
        <w:t>(a) or 6.01(b)</w:t>
      </w:r>
      <w:r>
        <w:rPr>
          <w:rFonts w:ascii="Arial" w:cs="Arial" w:eastAsia="Arial" w:hAnsi="Arial"/>
          <w:sz w:val="17"/>
          <w:szCs w:val="17"/>
          <w:color w:val="auto"/>
        </w:rPr>
        <w:t xml:space="preserve"> and</w:t>
      </w:r>
    </w:p>
    <w:p>
      <w:pPr>
        <w:spacing w:after="0" w:line="2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(3) notification of changes in the terms of the Facilities.</w:t>
      </w:r>
    </w:p>
    <w:p>
      <w:pPr>
        <w:spacing w:after="0" w:line="211"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its </w:t>
      </w:r>
      <w:r>
        <w:rPr>
          <w:rFonts w:ascii="Arial" w:cs="Arial" w:eastAsia="Arial" w:hAnsi="Arial"/>
          <w:sz w:val="18"/>
          <w:szCs w:val="18"/>
          <w:color w:val="FF0000"/>
          <w:strike w:val="1"/>
        </w:rPr>
        <w:t>Restricted</w:t>
      </w:r>
      <w:r>
        <w:rPr>
          <w:rFonts w:ascii="Arial" w:cs="Arial" w:eastAsia="Arial" w:hAnsi="Arial"/>
          <w:sz w:val="18"/>
          <w:szCs w:val="18"/>
          <w:color w:val="auto"/>
        </w:rPr>
        <w:t xml:space="preserve"> Subsidiaries or any of their respective securities for purposes of United States Federal or state securities laws.</w:t>
      </w:r>
    </w:p>
    <w:p>
      <w:pPr>
        <w:spacing w:after="0" w:line="192" w:lineRule="exact"/>
        <w:rPr>
          <w:sz w:val="20"/>
          <w:szCs w:val="20"/>
          <w:color w:val="auto"/>
        </w:rPr>
      </w:pPr>
    </w:p>
    <w:p>
      <w:pPr>
        <w:ind w:left="4" w:right="480" w:firstLine="440"/>
        <w:spacing w:after="0" w:line="259" w:lineRule="auto"/>
        <w:rPr>
          <w:sz w:val="20"/>
          <w:szCs w:val="20"/>
          <w:color w:val="auto"/>
        </w:rPr>
      </w:pPr>
      <w:r>
        <w:rPr>
          <w:rFonts w:ascii="Arial" w:cs="Arial" w:eastAsia="Arial" w:hAnsi="Arial"/>
          <w:sz w:val="18"/>
          <w:szCs w:val="18"/>
          <w:color w:val="auto"/>
        </w:rPr>
        <w:t>THE PLATFORM IS PROVIDED “AS IS” AND “AS AVAILABLE”. NEITHER THE ADMINISTRATIVE AGENT NOR ANY OF ITS RELATED PARTIES WARRANTS THE ACCURACY OR COMPLETENESS OF THE COMMUNICATIONS OR THE ADEQUACY OF THE PLATFORM AND EACH EXPRESSLY DISCLAIMS LIABILITY FOR ERRORS OR OMISSIONS IN THE COMMUNICATIONS. NO WARRANTY OF ANY KIND, EXPRESS, IMPLIED 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4"/>
          </w:cols>
          <w:pgMar w:left="436" w:top="274" w:right="459" w:bottom="1440" w:gutter="0" w:footer="0" w:header="0"/>
        </w:sectPr>
      </w:pPr>
    </w:p>
    <w:bookmarkStart w:id="299" w:name="page300"/>
    <w:bookmarkEnd w:id="29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NON-APPEALABLE RULING BY A COURT OF COMPETENT JURISDICTION TO HAVE RESULTED FROM SUCH PERSON’S OR ITS RELATED PARTIES’ GROSS NEGLIGENCE, WILLFUL MISCONDUCT OR BAD FAITH, IN EACH CASE, AS DETERMINED BY THE FINAL NON-APPEALABLE JUDGMENT OF A COURT OF COMPETENT JURISDICTION.</w:t>
      </w:r>
    </w:p>
    <w:p>
      <w:pPr>
        <w:spacing w:after="0" w:line="182"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receipt of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e-mail address to which the foregoing notice may be sent by electronic transmission and that the foregoing notice may be sent to such e-mail address.</w:t>
      </w:r>
    </w:p>
    <w:p>
      <w:pPr>
        <w:spacing w:after="0" w:line="17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Nothing herein shall prejudice the right of the Administrative Agent or any Lender to give any notice or other communication pursuant to any Loan Document in any other manner specified in such Loan Document.</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0000FF"/>
        </w:rPr>
        <w:t>Section 10.02</w:t>
      </w:r>
      <w:r>
        <w:rPr>
          <w:rFonts w:ascii="Arial" w:cs="Arial" w:eastAsia="Arial" w:hAnsi="Arial"/>
          <w:sz w:val="17"/>
          <w:szCs w:val="17"/>
          <w:color w:val="0000FF"/>
        </w:rPr>
        <w:t xml:space="preserve"> </w:t>
      </w:r>
      <w:r>
        <w:rPr>
          <w:rFonts w:ascii="Arial" w:cs="Arial" w:eastAsia="Arial" w:hAnsi="Arial"/>
          <w:sz w:val="17"/>
          <w:szCs w:val="17"/>
          <w:color w:val="FF0000"/>
          <w:strike w:val="1"/>
        </w:rPr>
        <w:t>Section 10.02.</w:t>
      </w:r>
      <w:r>
        <w:rPr>
          <w:rFonts w:ascii="Arial" w:cs="Arial" w:eastAsia="Arial" w:hAnsi="Arial"/>
          <w:sz w:val="17"/>
          <w:szCs w:val="17"/>
          <w:color w:val="000000"/>
        </w:rPr>
        <w:t xml:space="preserve"> </w:t>
      </w:r>
      <w:r>
        <w:rPr>
          <w:rFonts w:ascii="Arial" w:cs="Arial" w:eastAsia="Arial" w:hAnsi="Arial"/>
          <w:sz w:val="17"/>
          <w:szCs w:val="17"/>
          <w:i w:val="1"/>
          <w:iCs w:val="1"/>
          <w:color w:val="000000"/>
        </w:rPr>
        <w:t>Survival of Agreement.</w:t>
      </w:r>
      <w:r>
        <w:rPr>
          <w:rFonts w:ascii="Arial" w:cs="Arial" w:eastAsia="Arial" w:hAnsi="Arial"/>
          <w:sz w:val="17"/>
          <w:szCs w:val="17"/>
          <w:color w:val="0000FF"/>
        </w:rPr>
        <w:t xml:space="preserve"> </w:t>
      </w:r>
      <w:r>
        <w:rPr>
          <w:rFonts w:ascii="Arial" w:cs="Arial" w:eastAsia="Arial" w:hAnsi="Arial"/>
          <w:sz w:val="17"/>
          <w:szCs w:val="17"/>
          <w:color w:val="000000"/>
        </w:rPr>
        <w:t>All covenants, agreements, representations and warranties made by the Borrower herein</w:t>
      </w:r>
      <w:r>
        <w:rPr>
          <w:rFonts w:ascii="Arial" w:cs="Arial" w:eastAsia="Arial" w:hAnsi="Arial"/>
          <w:sz w:val="17"/>
          <w:szCs w:val="17"/>
          <w:color w:val="0000FF"/>
        </w:rPr>
        <w:t xml:space="preserve"> </w:t>
      </w:r>
      <w:r>
        <w:rPr>
          <w:rFonts w:ascii="Arial" w:cs="Arial" w:eastAsia="Arial" w:hAnsi="Arial"/>
          <w:sz w:val="17"/>
          <w:szCs w:val="17"/>
          <w:color w:val="000000"/>
        </w:rPr>
        <w:t xml:space="preserve">and in the certificates or other instruments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or that any Agent or Lender may have had notice of any Default or Event of Default at the time of any Credit Extension, and shall continue in full force and effect as long as the principal of or any accrued interest on any Loan or any Fee or any other amount payable under this Agreement or any other Loan Document is outstanding and unpaid and so long as the Commitments have not been terminated. The provisions of </w:t>
      </w:r>
      <w:r>
        <w:rPr>
          <w:rFonts w:ascii="Arial" w:cs="Arial" w:eastAsia="Arial" w:hAnsi="Arial"/>
          <w:sz w:val="17"/>
          <w:szCs w:val="17"/>
          <w:color w:val="FF0000"/>
          <w:strike w:val="1"/>
        </w:rPr>
        <w:t>Sections</w:t>
      </w:r>
      <w:r>
        <w:rPr>
          <w:rFonts w:ascii="Arial" w:cs="Arial" w:eastAsia="Arial" w:hAnsi="Arial"/>
          <w:sz w:val="17"/>
          <w:szCs w:val="17"/>
          <w:u w:val="single" w:color="auto"/>
          <w:color w:val="0000FF"/>
        </w:rPr>
        <w:t>Section</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3.01</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Section</w:t>
      </w:r>
      <w:r>
        <w:rPr>
          <w:rFonts w:ascii="Arial" w:cs="Arial" w:eastAsia="Arial" w:hAnsi="Arial"/>
          <w:sz w:val="17"/>
          <w:szCs w:val="17"/>
          <w:color w:val="FF0000"/>
        </w:rPr>
        <w:t xml:space="preserve"> </w:t>
      </w:r>
      <w:r>
        <w:rPr>
          <w:rFonts w:ascii="Arial" w:cs="Arial" w:eastAsia="Arial" w:hAnsi="Arial"/>
          <w:sz w:val="17"/>
          <w:szCs w:val="17"/>
          <w:color w:val="000000"/>
        </w:rPr>
        <w:t>3.03</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Article 9</w:t>
      </w:r>
      <w:r>
        <w:rPr>
          <w:rFonts w:ascii="Arial" w:cs="Arial" w:eastAsia="Arial" w:hAnsi="Arial"/>
          <w:sz w:val="17"/>
          <w:szCs w:val="17"/>
          <w:color w:val="FF0000"/>
        </w:rPr>
        <w:t xml:space="preserve"> </w:t>
      </w:r>
      <w:r>
        <w:rPr>
          <w:rFonts w:ascii="Arial" w:cs="Arial" w:eastAsia="Arial" w:hAnsi="Arial"/>
          <w:sz w:val="17"/>
          <w:szCs w:val="17"/>
          <w:color w:val="000000"/>
        </w:rPr>
        <w:t>and</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Section</w:t>
      </w:r>
      <w:r>
        <w:rPr>
          <w:rFonts w:ascii="Arial" w:cs="Arial" w:eastAsia="Arial" w:hAnsi="Arial"/>
          <w:sz w:val="17"/>
          <w:szCs w:val="17"/>
          <w:color w:val="FF0000"/>
        </w:rPr>
        <w:t xml:space="preserve"> </w:t>
      </w:r>
      <w:r>
        <w:rPr>
          <w:rFonts w:ascii="Arial" w:cs="Arial" w:eastAsia="Arial" w:hAnsi="Arial"/>
          <w:sz w:val="17"/>
          <w:szCs w:val="17"/>
          <w:color w:val="000000"/>
        </w:rPr>
        <w:t>10.05 shall remain operative and in full force and effect regardless of the expiration of the term</w:t>
      </w:r>
      <w:r>
        <w:rPr>
          <w:rFonts w:ascii="Arial" w:cs="Arial" w:eastAsia="Arial" w:hAnsi="Arial"/>
          <w:sz w:val="17"/>
          <w:szCs w:val="17"/>
          <w:color w:val="FF0000"/>
        </w:rPr>
        <w:t xml:space="preserve"> </w:t>
      </w:r>
      <w:r>
        <w:rPr>
          <w:rFonts w:ascii="Arial" w:cs="Arial" w:eastAsia="Arial" w:hAnsi="Arial"/>
          <w:sz w:val="17"/>
          <w:szCs w:val="17"/>
          <w:color w:val="000000"/>
        </w:rPr>
        <w:t>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-1235710</wp:posOffset>
            </wp:positionV>
            <wp:extent cx="625475"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382905</wp:posOffset>
            </wp:positionH>
            <wp:positionV relativeFrom="paragraph">
              <wp:posOffset>-412750</wp:posOffset>
            </wp:positionV>
            <wp:extent cx="36830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-412750</wp:posOffset>
            </wp:positionV>
            <wp:extent cx="156845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5" w:lineRule="exact"/>
        <w:rPr>
          <w:sz w:val="20"/>
          <w:szCs w:val="20"/>
          <w:color w:val="auto"/>
        </w:rPr>
      </w:pPr>
    </w:p>
    <w:p>
      <w:pPr>
        <w:jc w:val="both"/>
        <w:ind w:right="380" w:firstLine="440"/>
        <w:spacing w:after="0" w:line="259" w:lineRule="auto"/>
        <w:rPr>
          <w:sz w:val="20"/>
          <w:szCs w:val="20"/>
          <w:color w:val="auto"/>
        </w:rPr>
      </w:pPr>
      <w:r>
        <w:rPr>
          <w:rFonts w:ascii="Arial" w:cs="Arial" w:eastAsia="Arial" w:hAnsi="Arial"/>
          <w:sz w:val="18"/>
          <w:szCs w:val="18"/>
          <w:u w:val="single" w:color="auto"/>
          <w:color w:val="0000FF"/>
        </w:rPr>
        <w:t>Section 10.03</w:t>
      </w:r>
      <w:r>
        <w:rPr>
          <w:rFonts w:ascii="Arial" w:cs="Arial" w:eastAsia="Arial" w:hAnsi="Arial"/>
          <w:sz w:val="18"/>
          <w:szCs w:val="18"/>
          <w:color w:val="0000FF"/>
        </w:rPr>
        <w:t xml:space="preserve"> </w:t>
      </w:r>
      <w:r>
        <w:rPr>
          <w:rFonts w:ascii="Arial" w:cs="Arial" w:eastAsia="Arial" w:hAnsi="Arial"/>
          <w:sz w:val="18"/>
          <w:szCs w:val="18"/>
          <w:color w:val="FF0000"/>
          <w:strike w:val="1"/>
        </w:rPr>
        <w:t>Section 10.03.</w:t>
      </w:r>
      <w:r>
        <w:rPr>
          <w:rFonts w:ascii="Arial" w:cs="Arial" w:eastAsia="Arial" w:hAnsi="Arial"/>
          <w:sz w:val="18"/>
          <w:szCs w:val="18"/>
          <w:color w:val="000000"/>
        </w:rPr>
        <w:t xml:space="preserve"> </w:t>
      </w:r>
      <w:r>
        <w:rPr>
          <w:rFonts w:ascii="Arial" w:cs="Arial" w:eastAsia="Arial" w:hAnsi="Arial"/>
          <w:sz w:val="18"/>
          <w:szCs w:val="18"/>
          <w:i w:val="1"/>
          <w:iCs w:val="1"/>
          <w:color w:val="000000"/>
        </w:rPr>
        <w:t>Binding Effect.</w:t>
      </w:r>
      <w:r>
        <w:rPr>
          <w:rFonts w:ascii="Arial" w:cs="Arial" w:eastAsia="Arial" w:hAnsi="Arial"/>
          <w:sz w:val="18"/>
          <w:szCs w:val="18"/>
          <w:color w:val="0000FF"/>
        </w:rPr>
        <w:t xml:space="preserve"> </w:t>
      </w:r>
      <w:r>
        <w:rPr>
          <w:rFonts w:ascii="Arial" w:cs="Arial" w:eastAsia="Arial" w:hAnsi="Arial"/>
          <w:sz w:val="18"/>
          <w:szCs w:val="18"/>
          <w:color w:val="000000"/>
        </w:rPr>
        <w:t>This Agreement shall become effective when it shall have been executed and delivered by the</w:t>
      </w:r>
      <w:r>
        <w:rPr>
          <w:rFonts w:ascii="Arial" w:cs="Arial" w:eastAsia="Arial" w:hAnsi="Arial"/>
          <w:sz w:val="18"/>
          <w:szCs w:val="18"/>
          <w:color w:val="0000FF"/>
        </w:rPr>
        <w:t xml:space="preserve"> </w:t>
      </w:r>
      <w:r>
        <w:rPr>
          <w:rFonts w:ascii="Arial" w:cs="Arial" w:eastAsia="Arial" w:hAnsi="Arial"/>
          <w:sz w:val="18"/>
          <w:szCs w:val="18"/>
          <w:color w:val="000000"/>
        </w:rPr>
        <w:t xml:space="preserve">Borrower, each other Loan Party </w:t>
      </w:r>
      <w:r>
        <w:rPr>
          <w:rFonts w:ascii="Arial" w:cs="Arial" w:eastAsia="Arial" w:hAnsi="Arial"/>
          <w:sz w:val="18"/>
          <w:szCs w:val="18"/>
          <w:color w:val="FF0000"/>
          <w:strike w:val="1"/>
        </w:rPr>
        <w:t>party</w:t>
      </w:r>
      <w:r>
        <w:rPr>
          <w:rFonts w:ascii="Arial" w:cs="Arial" w:eastAsia="Arial" w:hAnsi="Arial"/>
          <w:sz w:val="18"/>
          <w:szCs w:val="18"/>
          <w:color w:val="000000"/>
        </w:rPr>
        <w:t xml:space="preserve"> hereto on the </w:t>
      </w:r>
      <w:r>
        <w:rPr>
          <w:rFonts w:ascii="Arial" w:cs="Arial" w:eastAsia="Arial" w:hAnsi="Arial"/>
          <w:sz w:val="18"/>
          <w:szCs w:val="18"/>
          <w:color w:val="FF0000"/>
          <w:strike w:val="1"/>
        </w:rPr>
        <w:t>Restatement Effective</w:t>
      </w:r>
      <w:r>
        <w:rPr>
          <w:rFonts w:ascii="Arial" w:cs="Arial" w:eastAsia="Arial" w:hAnsi="Arial"/>
          <w:sz w:val="18"/>
          <w:szCs w:val="18"/>
          <w:u w:val="single" w:color="auto"/>
          <w:color w:val="0000FF"/>
        </w:rPr>
        <w:t>Postpetition B-2 Facility Closing</w:t>
      </w:r>
      <w:r>
        <w:rPr>
          <w:rFonts w:ascii="Arial" w:cs="Arial" w:eastAsia="Arial" w:hAnsi="Arial"/>
          <w:sz w:val="18"/>
          <w:szCs w:val="18"/>
          <w:color w:val="000000"/>
        </w:rPr>
        <w:t xml:space="preserve"> Date and the Administrative Agent and when the Administrative Agent shall have received counterparts hereof which, when taken together, bear the signatures of each of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151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-274955</wp:posOffset>
            </wp:positionV>
            <wp:extent cx="150876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00"/>
          </w:cols>
          <w:pgMar w:left="440" w:top="274" w:right="459" w:bottom="1440" w:gutter="0" w:footer="0" w:header="0"/>
        </w:sectPr>
      </w:pPr>
    </w:p>
    <w:bookmarkStart w:id="300" w:name="page301"/>
    <w:bookmarkEnd w:id="300"/>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10.04</w:t>
      </w:r>
      <w:r>
        <w:rPr>
          <w:rFonts w:ascii="Arial" w:cs="Arial" w:eastAsia="Arial" w:hAnsi="Arial"/>
          <w:sz w:val="18"/>
          <w:szCs w:val="18"/>
          <w:color w:val="0000FF"/>
        </w:rPr>
        <w:t xml:space="preserve"> </w:t>
      </w:r>
      <w:r>
        <w:rPr>
          <w:rFonts w:ascii="Arial" w:cs="Arial" w:eastAsia="Arial" w:hAnsi="Arial"/>
          <w:sz w:val="18"/>
          <w:szCs w:val="18"/>
          <w:color w:val="FF0000"/>
          <w:strike w:val="1"/>
        </w:rPr>
        <w:t>Section 10.04.</w:t>
      </w:r>
      <w:r>
        <w:rPr>
          <w:rFonts w:ascii="Arial" w:cs="Arial" w:eastAsia="Arial" w:hAnsi="Arial"/>
          <w:sz w:val="18"/>
          <w:szCs w:val="18"/>
          <w:color w:val="000000"/>
        </w:rPr>
        <w:t xml:space="preserve"> </w:t>
      </w:r>
      <w:r>
        <w:rPr>
          <w:rFonts w:ascii="Arial" w:cs="Arial" w:eastAsia="Arial" w:hAnsi="Arial"/>
          <w:sz w:val="18"/>
          <w:szCs w:val="18"/>
          <w:i w:val="1"/>
          <w:iCs w:val="1"/>
          <w:color w:val="000000"/>
        </w:rPr>
        <w:t>Successors and Assigns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5151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(a) Whenever in this Agreement any of the parties hereto is referred to, such reference shall be deemed to include the permitted successors and assigns of such party; and all covenants, promises and agreements by or on behalf of the Borrower, the Administrative Agent, the Collateral Agent or the Lenders that are contained in this Agreement shall bind and inure to the benefit of their respective permitted successors and assigns.</w:t>
      </w:r>
    </w:p>
    <w:p>
      <w:pPr>
        <w:spacing w:after="0" w:line="149"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(b) Each Lender may assign to one or more Eligible Assignees all or a portion of its interests, rights and obligations under this Agreement (including all or a portion of the Loans at the time owing to it)</w:t>
      </w:r>
      <w:r>
        <w:rPr>
          <w:rFonts w:ascii="Arial" w:cs="Arial" w:eastAsia="Arial" w:hAnsi="Arial"/>
          <w:sz w:val="16"/>
          <w:szCs w:val="16"/>
          <w:color w:val="FF0000"/>
          <w:strike w:val="1"/>
        </w:rPr>
        <w:t>, with the prior written consent of the Administrative Agent (not to be unreasonably</w:t>
      </w:r>
      <w:r>
        <w:rPr>
          <w:rFonts w:ascii="Arial" w:cs="Arial" w:eastAsia="Arial" w:hAnsi="Arial"/>
          <w:sz w:val="16"/>
          <w:szCs w:val="16"/>
          <w:color w:val="auto"/>
        </w:rPr>
        <w:t xml:space="preserve"> </w:t>
      </w:r>
      <w:r>
        <w:rPr>
          <w:rFonts w:ascii="Arial" w:cs="Arial" w:eastAsia="Arial" w:hAnsi="Arial"/>
          <w:sz w:val="16"/>
          <w:szCs w:val="16"/>
          <w:color w:val="FF0000"/>
          <w:strike w:val="1"/>
        </w:rPr>
        <w:t>withheld, conditioned or delayed)</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i w:val="1"/>
          <w:iCs w:val="1"/>
          <w:color w:val="000000"/>
        </w:rPr>
        <w:t>provided, however</w:t>
      </w:r>
      <w:r>
        <w:rPr>
          <w:rFonts w:ascii="Arial" w:cs="Arial" w:eastAsia="Arial" w:hAnsi="Arial"/>
          <w:sz w:val="16"/>
          <w:szCs w:val="16"/>
          <w:color w:val="000000"/>
        </w:rPr>
        <w:t>, (i) the amount of the Commitment or Loans of the assigning Lender subject to each such</w:t>
      </w:r>
      <w:r>
        <w:rPr>
          <w:rFonts w:ascii="Arial" w:cs="Arial" w:eastAsia="Arial" w:hAnsi="Arial"/>
          <w:sz w:val="16"/>
          <w:szCs w:val="16"/>
          <w:color w:val="FF0000"/>
        </w:rPr>
        <w:t xml:space="preserve"> </w:t>
      </w:r>
      <w:r>
        <w:rPr>
          <w:rFonts w:ascii="Arial" w:cs="Arial" w:eastAsia="Arial" w:hAnsi="Arial"/>
          <w:sz w:val="16"/>
          <w:szCs w:val="16"/>
          <w:color w:val="000000"/>
        </w:rPr>
        <w:t xml:space="preserve">assignment (determined as of the date the Assignment and Acceptance with respect to such assignment is delivered to the Administrative Agent) shall be in an integral multiple of, and not less than, $1,000,000 (or, if less, the entire remaining amount of such Lender’s Commitment or Loans of the relevant Class) unless the Administrative Agent otherwise agrees;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simultaneous assignments by two or more Related Funds shall be combined for purposes of determining whether the minimum assignment requirement is met, (ii) the parties to each assignment shall (A) execute and deliver to the Administrative Agent an Assignment and Acceptance via an electronic settlement system acceptable to the Administrative Agent or (B) if previously agreed with the Administrative Agent, manually execute and deliver to the Administrative Agent an Assignment and Acceptance, and, in each case, shall pay to the Administrative Agent a processing and recordation fee of $3,500;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(x) simultaneous assignments by two or more Related Funds shall require the payment of a single processing and recordation fee of $3,500 and (y) such processing and recordation fee may be waived or reduced in the sole discretion of the Administrative Agent and (iii) the assignee, if it shall not be a Lender, shall deliver to the Administrative Agent an Administrative Questionnaire (in which the assignee shall designate one or more credit contacts to whom all Lender-level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all documentation and other information reasonably determined by the Administrative Agent to be required by applicable regulatory authorities under applicable “know your customer” and anti-money laundering rules and regulations, including the USA PATRIOT Act, and all applicable tax forms (including such documentation required under Section 3.01(d)). Upon acceptance and recording pursuant to paragraph (e) of this </w:t>
      </w:r>
      <w:r>
        <w:rPr>
          <w:rFonts w:ascii="Arial" w:cs="Arial" w:eastAsia="Arial" w:hAnsi="Arial"/>
          <w:sz w:val="16"/>
          <w:szCs w:val="16"/>
          <w:u w:val="single" w:color="auto"/>
          <w:color w:val="000000"/>
        </w:rPr>
        <w:t>Section 10.04</w:t>
      </w:r>
      <w:r>
        <w:rPr>
          <w:rFonts w:ascii="Arial" w:cs="Arial" w:eastAsia="Arial" w:hAnsi="Arial"/>
          <w:sz w:val="16"/>
          <w:szCs w:val="16"/>
          <w:color w:val="000000"/>
        </w:rPr>
        <w:t xml:space="preserve">,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000000"/>
        </w:rPr>
        <w:t>Sections 3.01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3.03</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10.05</w:t>
      </w:r>
      <w:r>
        <w:rPr>
          <w:rFonts w:ascii="Arial" w:cs="Arial" w:eastAsia="Arial" w:hAnsi="Arial"/>
          <w:sz w:val="16"/>
          <w:szCs w:val="16"/>
          <w:color w:val="000000"/>
        </w:rPr>
        <w:t>). Upon request and the surrender by the assigning Lender of its Term Note (if any), the Borrower (at its expense) shall execute and deliver a Term Note to the assignee Lender.</w:t>
      </w:r>
    </w:p>
    <w:p>
      <w:pPr>
        <w:spacing w:after="0" w:line="391"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(c) By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440" w:top="274" w:right="459" w:bottom="1440" w:gutter="0" w:footer="0" w:header="0"/>
        </w:sectPr>
      </w:pPr>
    </w:p>
    <w:bookmarkStart w:id="301" w:name="page302"/>
    <w:bookmarkEnd w:id="3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interest being assigned thereby free and clear of any adverse claim and the outstanding balances of its Term Loans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Subsidiary or the performance or observance by the Borrower or any Subsidiary of any of its obligations under this Agreement, any other Loan Document or any other instrument or document furnished pursuant hereto; (iii) such assignee represents and warrants that it is an Eligible Assignee legally authorized to enter into such Assignment and Acceptance; (iv) such assignee confirms that it has received a copy of this Agreement and the other Loan Documents, together with copies of the most recent financial statements referred to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and Acceptance; (v) such assignee will independently and without reliance upon the Administrative Agent, the Collateral Agent, such assigning Lender or any other Lender and based on such documents and information as it shall deem appropriate at the time, continue to make its own credit decisions in taking or not taking action under this Agreement; (vi) such assignee appoints and authorizes the Administrative Agent and the Collateral Agent to take such action as agent on its behalf and to exercise such powers under this Agreement and the other Loan Documents as are delegated to the Administrative Agent and the Collateral Agent, respectively, by the terms hereof or thereof, together with such powers as are reasonably incidental or related thereto; and (vii) such assignee agrees that it will perform in accordance with their terms all the obligations which by the terms of this Agreement are required to be performed by it as a Lender.</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(d) The Administrative Agent, acting for this purpose as a non-fiduciary agent of the Borrower, shall maintain at one of its offices a copy of each Assignment and Acceptance delivered to it and a register for the recordation of the names and addresses of the Lenders, and the Commitment of, and principal amount of and the interest on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as to entries pertaining to it, any Lender, at any reasonable time and from time to time upon reasonable prior written notice. This </w:t>
      </w:r>
      <w:r>
        <w:rPr>
          <w:rFonts w:ascii="Arial" w:cs="Arial" w:eastAsia="Arial" w:hAnsi="Arial"/>
          <w:sz w:val="16"/>
          <w:szCs w:val="16"/>
          <w:u w:val="single" w:color="auto"/>
          <w:color w:val="auto"/>
        </w:rPr>
        <w:t>Section 10.04(d)</w:t>
      </w:r>
      <w:r>
        <w:rPr>
          <w:rFonts w:ascii="Arial" w:cs="Arial" w:eastAsia="Arial" w:hAnsi="Arial"/>
          <w:sz w:val="16"/>
          <w:szCs w:val="16"/>
          <w:color w:val="auto"/>
        </w:rPr>
        <w:t xml:space="preserve"> shall be construed so that all Loans are at all times maintained in “registered form” within the meaning of Section 163(f), 871(h)(2) and 881(c)(2) of the Code and any related Treasury regulations (or any other relevant or successor provisions of the Code or of such Treasury regulations).</w:t>
      </w:r>
    </w:p>
    <w:p>
      <w:pPr>
        <w:spacing w:after="0" w:line="166"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(e) Upon its receipt of</w:t>
      </w:r>
      <w:r>
        <w:rPr>
          <w:rFonts w:ascii="Arial" w:cs="Arial" w:eastAsia="Arial" w:hAnsi="Arial"/>
          <w:sz w:val="18"/>
          <w:szCs w:val="18"/>
          <w:color w:val="FF0000"/>
          <w:strike w:val="1"/>
        </w:rPr>
        <w:t>, and consent to,</w:t>
      </w:r>
      <w:r>
        <w:rPr>
          <w:rFonts w:ascii="Arial" w:cs="Arial" w:eastAsia="Arial" w:hAnsi="Arial"/>
          <w:sz w:val="18"/>
          <w:szCs w:val="18"/>
          <w:color w:val="auto"/>
        </w:rPr>
        <w:t xml:space="preserve">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if applicable</w:t>
      </w:r>
      <w:r>
        <w:rPr>
          <w:rFonts w:ascii="Arial" w:cs="Arial" w:eastAsia="Arial" w:hAnsi="Arial"/>
          <w:sz w:val="18"/>
          <w:szCs w:val="18"/>
          <w:color w:val="FF0000"/>
          <w:strike w:val="1"/>
        </w:rPr>
        <w:t>, and the written consent of the Administrative Agent and, if required, the Borrower, to</w:t>
      </w:r>
      <w:r>
        <w:rPr>
          <w:rFonts w:ascii="Arial" w:cs="Arial" w:eastAsia="Arial" w:hAnsi="Arial"/>
          <w:sz w:val="18"/>
          <w:szCs w:val="18"/>
          <w:color w:val="auto"/>
        </w:rPr>
        <w:t xml:space="preserve"> </w:t>
      </w:r>
      <w:r>
        <w:rPr>
          <w:rFonts w:ascii="Arial" w:cs="Arial" w:eastAsia="Arial" w:hAnsi="Arial"/>
          <w:sz w:val="18"/>
          <w:szCs w:val="18"/>
          <w:color w:val="FF0000"/>
          <w:strike w:val="1"/>
        </w:rPr>
        <w:t>such assignment</w:t>
      </w:r>
      <w:r>
        <w:rPr>
          <w:rFonts w:ascii="Arial" w:cs="Arial" w:eastAsia="Arial" w:hAnsi="Arial"/>
          <w:sz w:val="18"/>
          <w:szCs w:val="18"/>
          <w:color w:val="000000"/>
        </w:rPr>
        <w:t>, and “know your customer” information requested by the Administrative Agent, and any applicable tax forms (including such</w:t>
      </w:r>
      <w:r>
        <w:rPr>
          <w:rFonts w:ascii="Arial" w:cs="Arial" w:eastAsia="Arial" w:hAnsi="Arial"/>
          <w:sz w:val="18"/>
          <w:szCs w:val="18"/>
          <w:color w:val="FF0000"/>
        </w:rPr>
        <w:t xml:space="preserve"> </w:t>
      </w:r>
      <w:r>
        <w:rPr>
          <w:rFonts w:ascii="Arial" w:cs="Arial" w:eastAsia="Arial" w:hAnsi="Arial"/>
          <w:sz w:val="18"/>
          <w:szCs w:val="18"/>
          <w:color w:val="000000"/>
        </w:rPr>
        <w:t xml:space="preserve">documentation required under </w:t>
      </w:r>
      <w:r>
        <w:rPr>
          <w:rFonts w:ascii="Arial" w:cs="Arial" w:eastAsia="Arial" w:hAnsi="Arial"/>
          <w:sz w:val="18"/>
          <w:szCs w:val="18"/>
          <w:u w:val="single" w:color="auto"/>
          <w:color w:val="000000"/>
        </w:rPr>
        <w:t>Section 3.01(d)</w:t>
      </w:r>
      <w:r>
        <w:rPr>
          <w:rFonts w:ascii="Arial" w:cs="Arial" w:eastAsia="Arial" w:hAnsi="Arial"/>
          <w:sz w:val="18"/>
          <w:szCs w:val="18"/>
          <w:color w:val="000000"/>
        </w:rPr>
        <w:t>), the Administrative Agent shall promptly (i) accept such Assignment and Acceptance and (ii) record the information contained therein in the Register. No assignment shall be effective unless it has been recorded in the Register as provided in this paragraph (e).</w:t>
      </w:r>
    </w:p>
    <w:p>
      <w:pPr>
        <w:spacing w:after="0" w:line="19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(f) Each Lender may without the consent of the Borrower or the Administrative Agent sell participations to one or more banks or other Persons in all or a portion of its rights and obligations 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0"/>
          </w:cols>
          <w:pgMar w:left="440" w:top="274" w:right="459" w:bottom="1440" w:gutter="0" w:footer="0" w:header="0"/>
        </w:sectPr>
      </w:pPr>
    </w:p>
    <w:bookmarkStart w:id="302" w:name="page303"/>
    <w:bookmarkEnd w:id="302"/>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(including all or a portion of its Commitment and the Loans owing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such Lender’s obligations under this Agreement shall remain unchanged, (ii) such Lender shall remain solely responsible to the other parties hereto for the performance of such obligations,</w:t>
      </w:r>
    </w:p>
    <w:p>
      <w:pPr>
        <w:ind w:left="4" w:hanging="4"/>
        <w:spacing w:after="0" w:line="283" w:lineRule="auto"/>
        <w:tabs>
          <w:tab w:leader="none" w:pos="31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the participating banks or other Persons shall be entitled to the benefit of the cost protection provisions contained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3.01(d</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3.01(d)</w:t>
      </w:r>
      <w:r>
        <w:rPr>
          <w:rFonts w:ascii="Arial" w:cs="Arial" w:eastAsia="Arial" w:hAnsi="Arial"/>
          <w:sz w:val="16"/>
          <w:szCs w:val="16"/>
          <w:color w:val="auto"/>
        </w:rPr>
        <w:t xml:space="preserve"> shall be delivered to the participating Lender)) to the same extent as if they were Lenders (but with respect to any particular participant, to no greater extent than the Lender that sold the participation to such participant and only if such participant has complied with the requirements of such provisions as if it were a Lender) and (iv) the Borrower, the Administrative Agent and the Lenders shall continue to deal solely and directly with such Lender in connection with such Lender’s rights and obligations under this Agreement, and such Lender shall retain the sole right to enforce the obligations of the Borrower relating to the Loans and to approve any amendment, modification or waiver of (or consent under) any provision of this Agreement or any other Loan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agreement or instrument pursuant to which such Lender has sold a participation may provide that such Lender shall not agree to the following amendments without the consent of such participating bank or Person hereunder: amendments, modifications or waivers decreasing any fees payable to such participating bank or Person hereunder or the amount of principal of or the rate at which interest is payable on the Loans in which such participating bank has an interest; extending any scheduled principal payment date or scheduled date fixed for the payment of interest on the Loans in which such participating bank or Person has an interest; increasing or extending the Commitments in which such participating bank or Person has an interest; releasing all or substantially all of the Guarantors (other than in connection with the sale of any such Guarantor in a transaction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releasing all or substantially all of the Collateral or the </w:t>
      </w:r>
      <w:r>
        <w:rPr>
          <w:rFonts w:ascii="Arial" w:cs="Arial" w:eastAsia="Arial" w:hAnsi="Arial"/>
          <w:sz w:val="16"/>
          <w:szCs w:val="16"/>
          <w:color w:val="FF0000"/>
          <w:strike w:val="1"/>
        </w:rPr>
        <w:t>First Lien Term</w:t>
      </w:r>
      <w:r>
        <w:rPr>
          <w:rFonts w:ascii="Arial" w:cs="Arial" w:eastAsia="Arial" w:hAnsi="Arial"/>
          <w:sz w:val="16"/>
          <w:szCs w:val="16"/>
          <w:u w:val="single" w:color="auto"/>
          <w:color w:val="0000FF"/>
        </w:rPr>
        <w:t>B-2</w:t>
      </w:r>
      <w:r>
        <w:rPr>
          <w:rFonts w:ascii="Arial" w:cs="Arial" w:eastAsia="Arial" w:hAnsi="Arial"/>
          <w:sz w:val="16"/>
          <w:szCs w:val="16"/>
          <w:color w:val="auto"/>
        </w:rPr>
        <w:t xml:space="preserve"> Priority Collateral or reductions in the voting thresholds; or modifying the pro rata requirements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color w:val="FF0000"/>
        </w:rPr>
        <w:t>2.13(b), Section 2.13(c) or Section</w:t>
      </w:r>
      <w:r>
        <w:rPr>
          <w:rFonts w:ascii="Arial" w:cs="Arial" w:eastAsia="Arial" w:hAnsi="Arial"/>
          <w:sz w:val="16"/>
          <w:szCs w:val="16"/>
          <w:color w:val="auto"/>
        </w:rPr>
        <w:t xml:space="preserve"> 2.14, in each case, which directly and adversely affects such participants;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notwithstanding the foregoing, only the consent of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shall be required in respect of any amendment, modification or waiver of (i) the payment of default interest</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(ii) the occurrence of a default or an Event of Default</w:t>
      </w:r>
      <w:r>
        <w:rPr>
          <w:rFonts w:ascii="Arial" w:cs="Arial" w:eastAsia="Arial" w:hAnsi="Arial"/>
          <w:sz w:val="16"/>
          <w:szCs w:val="16"/>
          <w:color w:val="FF0000"/>
          <w:strike w:val="1"/>
        </w:rPr>
        <w:t>, (iii) the mandatory prepayment requirements of Section 2.13 or (iv) the payment or receipt of the fee or premium pursuant to Section 2.12(d)).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To the extent permitted by law, each participating bank or other Person also shall be entitled to the benefits of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as though it were a Lender,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such participating bank or other Person agrees to be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i w:val="1"/>
          <w:iCs w:val="1"/>
          <w:color w:val="auto"/>
        </w:rPr>
        <w:t xml:space="preserve"> </w:t>
      </w:r>
      <w:r>
        <w:rPr>
          <w:rFonts w:ascii="Arial" w:cs="Arial" w:eastAsia="Arial" w:hAnsi="Arial"/>
          <w:sz w:val="16"/>
          <w:szCs w:val="16"/>
          <w:color w:val="auto"/>
        </w:rPr>
        <w:t>as though it were a Lender. Each Lender that sells a participation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exercises its option under section 10.04(i) with respect to an SPV shall, acting solely for this purpose as a non-fiduciary agent of the Borrower, maintain a register on which it enters the name and address of each participant and SPV (other than any SPV that is treated as a disregarded entity of the Granting Lender for U.S. federal income tax purposes) and the principal amounts (and interest thereon)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SPV or any information relating to a Participant’s or a SPV’s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 The entries in the Participant Register shall be conclusive absent manifest error, and the Borrower, the Lenders and each Agent shall treat each Person whose name is recorded in the Participant Register as the owner of such participation for all purposes of this Agreement, notwithstanding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5940425</wp:posOffset>
            </wp:positionH>
            <wp:positionV relativeFrom="paragraph">
              <wp:posOffset>-2203450</wp:posOffset>
            </wp:positionV>
            <wp:extent cx="17145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-2152015</wp:posOffset>
            </wp:positionV>
            <wp:extent cx="161163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-2100580</wp:posOffset>
            </wp:positionV>
            <wp:extent cx="22860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-1791970</wp:posOffset>
            </wp:positionV>
            <wp:extent cx="9398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6909435</wp:posOffset>
            </wp:positionH>
            <wp:positionV relativeFrom="paragraph">
              <wp:posOffset>-1654810</wp:posOffset>
            </wp:positionV>
            <wp:extent cx="2603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6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(g) Any Lender or participant may, in connection with any assignment or participation or proposed assignment or participation pursuant to this </w:t>
      </w:r>
      <w:r>
        <w:rPr>
          <w:rFonts w:ascii="Arial" w:cs="Arial" w:eastAsia="Arial" w:hAnsi="Arial"/>
          <w:sz w:val="18"/>
          <w:szCs w:val="18"/>
          <w:u w:val="single" w:color="auto"/>
          <w:color w:val="auto"/>
        </w:rPr>
        <w:t>Section 10.04</w:t>
      </w:r>
      <w:r>
        <w:rPr>
          <w:rFonts w:ascii="Arial" w:cs="Arial" w:eastAsia="Arial" w:hAnsi="Arial"/>
          <w:sz w:val="18"/>
          <w:szCs w:val="18"/>
          <w:color w:val="auto"/>
        </w:rPr>
        <w:t>, disclose to the assignee or participant or proposed assignee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4"/>
          </w:cols>
          <w:pgMar w:left="436" w:top="274" w:right="459" w:bottom="1440" w:gutter="0" w:footer="0" w:header="0"/>
        </w:sectPr>
      </w:pPr>
    </w:p>
    <w:bookmarkStart w:id="303" w:name="page304"/>
    <w:bookmarkEnd w:id="303"/>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participant any information relating to the Borrower furnished to such Lender by or on behalf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during the arrangement by the </w:t>
      </w:r>
      <w:r>
        <w:rPr>
          <w:rFonts w:ascii="Arial" w:cs="Arial" w:eastAsia="Arial" w:hAnsi="Arial"/>
          <w:sz w:val="18"/>
          <w:szCs w:val="18"/>
          <w:color w:val="FF0000"/>
          <w:strike w:val="1"/>
        </w:rPr>
        <w:t>Required</w:t>
      </w:r>
      <w:r>
        <w:rPr>
          <w:rFonts w:ascii="Arial" w:cs="Arial" w:eastAsia="Arial" w:hAnsi="Arial"/>
          <w:sz w:val="18"/>
          <w:szCs w:val="18"/>
          <w:color w:val="auto"/>
        </w:rPr>
        <w:t xml:space="preserve"> Lenders when customary confidentiality arrangements shall apply), prior to any such disclosure of Information, each such assignee or participant or proposed assignee or participant shall execute an agreement whereby such assignee or participant shall agree to preserve the confidentiality of such confidential information on terms no less restrictive in any material respect than those applicable to the Lenders pursuant to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for the benefit of (and enforceable by) the Borrower.</w:t>
      </w:r>
    </w:p>
    <w:p>
      <w:pPr>
        <w:spacing w:after="0" w:line="18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(h) Any Lender may at any time assign all or any portion of its rights under this Agreement to secure extensions of credit to such Lender or in support of obligations owed by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assignment shall release a Lender from any of its obligations hereunder or substitute any such assignee for such Lender as a party hereto.</w:t>
      </w:r>
    </w:p>
    <w:p>
      <w:pPr>
        <w:spacing w:after="0" w:line="180" w:lineRule="exact"/>
        <w:rPr>
          <w:sz w:val="20"/>
          <w:szCs w:val="20"/>
          <w:color w:val="auto"/>
        </w:rPr>
      </w:pPr>
    </w:p>
    <w:p>
      <w:pPr>
        <w:ind w:right="80" w:firstLine="440"/>
        <w:spacing w:after="0" w:line="283" w:lineRule="auto"/>
        <w:rPr>
          <w:sz w:val="20"/>
          <w:szCs w:val="20"/>
          <w:color w:val="auto"/>
        </w:rPr>
      </w:pPr>
      <w:r>
        <w:rPr>
          <w:rFonts w:ascii="Arial" w:cs="Arial" w:eastAsia="Arial" w:hAnsi="Arial"/>
          <w:sz w:val="16"/>
          <w:szCs w:val="16"/>
          <w:color w:val="auto"/>
        </w:rPr>
        <w:t>(i) Notwithstanding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SPV to make any Loan, (ii) if an SPV elects not to exercise such option or otherwise fails to provide all or any part of such Loan, the Granting Lender shall be obligated to make such Loan pursuant to the terms hereof, and (iii) the Granting Lender shall for all purposes remain the Lender hereunder.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w:t>
      </w:r>
    </w:p>
    <w:p>
      <w:pPr>
        <w:spacing w:after="0" w:line="7"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Section 10.04</w:t>
      </w:r>
      <w:r>
        <w:rPr>
          <w:rFonts w:ascii="Arial" w:cs="Arial" w:eastAsia="Arial" w:hAnsi="Arial"/>
          <w:sz w:val="18"/>
          <w:szCs w:val="18"/>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9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(j) The Borrower </w:t>
      </w:r>
      <w:r>
        <w:rPr>
          <w:rFonts w:ascii="Arial" w:cs="Arial" w:eastAsia="Arial" w:hAnsi="Arial"/>
          <w:sz w:val="18"/>
          <w:szCs w:val="18"/>
          <w:color w:val="FF0000"/>
          <w:strike w:val="1"/>
        </w:rPr>
        <w:t>(except as expressly permitted by clause (ii) of Section 7.04(d))</w:t>
      </w:r>
      <w:r>
        <w:rPr>
          <w:rFonts w:ascii="Arial" w:cs="Arial" w:eastAsia="Arial" w:hAnsi="Arial"/>
          <w:sz w:val="18"/>
          <w:szCs w:val="18"/>
          <w:color w:val="auto"/>
        </w:rPr>
        <w:t xml:space="preserve"> shall not assign or delegate any of its rights or duties hereunder without the prior written consent of the Administrative Agent and each Lender, and any attempted assignment without such consent shall be null and void.</w:t>
      </w:r>
    </w:p>
    <w:p>
      <w:pPr>
        <w:spacing w:after="0" w:line="184" w:lineRule="exact"/>
        <w:rPr>
          <w:sz w:val="20"/>
          <w:szCs w:val="20"/>
          <w:color w:val="auto"/>
        </w:rPr>
      </w:pPr>
    </w:p>
    <w:p>
      <w:pPr>
        <w:ind w:right="100" w:firstLine="436"/>
        <w:spacing w:after="0" w:line="263" w:lineRule="auto"/>
        <w:tabs>
          <w:tab w:leader="none" w:pos="695" w:val="left"/>
        </w:tabs>
        <w:numPr>
          <w:ilvl w:val="0"/>
          <w:numId w:val="253"/>
        </w:numPr>
        <w:rPr>
          <w:rFonts w:ascii="Arial" w:cs="Arial" w:eastAsia="Arial" w:hAnsi="Arial"/>
          <w:sz w:val="18"/>
          <w:szCs w:val="18"/>
          <w:color w:val="FF0000"/>
          <w:strike w:val="1"/>
        </w:rPr>
      </w:pPr>
      <w:r>
        <w:rPr>
          <w:rFonts w:ascii="Arial" w:cs="Arial" w:eastAsia="Arial" w:hAnsi="Arial"/>
          <w:sz w:val="18"/>
          <w:szCs w:val="18"/>
          <w:color w:val="FF0000"/>
          <w:strike w:val="1"/>
        </w:rPr>
        <w:t>So long as no Event of Default has occurred or is continuing or would result therefrom, any Lender may, at any time, assign all or a portion of its rights and obligations under this Agreement in respect of its Term Loans to the Borrower or any of its Subsidiaries, subject to the following limitations and other provisions:</w:t>
      </w:r>
    </w:p>
    <w:p>
      <w:pPr>
        <w:spacing w:after="0" w:line="75" w:lineRule="exact"/>
        <w:rPr>
          <w:rFonts w:ascii="Arial" w:cs="Arial" w:eastAsia="Arial" w:hAnsi="Arial"/>
          <w:sz w:val="18"/>
          <w:szCs w:val="18"/>
          <w:color w:val="FF0000"/>
          <w:strike w:val="1"/>
        </w:rPr>
      </w:pPr>
    </w:p>
    <w:p>
      <w:pPr>
        <w:ind w:left="440" w:right="380" w:firstLine="419"/>
        <w:spacing w:after="0" w:line="277" w:lineRule="auto"/>
        <w:tabs>
          <w:tab w:leader="none" w:pos="1078" w:val="left"/>
        </w:tabs>
        <w:numPr>
          <w:ilvl w:val="1"/>
          <w:numId w:val="253"/>
        </w:numPr>
        <w:rPr>
          <w:rFonts w:ascii="Arial" w:cs="Arial" w:eastAsia="Arial" w:hAnsi="Arial"/>
          <w:sz w:val="18"/>
          <w:szCs w:val="18"/>
          <w:color w:val="FF0000"/>
          <w:strike w:val="1"/>
        </w:rPr>
      </w:pPr>
      <w:r>
        <w:rPr>
          <w:rFonts w:ascii="Arial" w:cs="Arial" w:eastAsia="Arial" w:hAnsi="Arial"/>
          <w:sz w:val="18"/>
          <w:szCs w:val="18"/>
          <w:color w:val="FF0000"/>
          <w:strike w:val="1"/>
        </w:rPr>
        <w:t>such assignment shall be made pursuant to (A) an open-market transaction on a non-pro rata basis or (B) a Dutch Auction open to all Lenders of the applicable Class of Term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440" w:top="274" w:right="439" w:bottom="1440" w:gutter="0" w:footer="0" w:header="0"/>
        </w:sectPr>
      </w:pPr>
    </w:p>
    <w:bookmarkStart w:id="304" w:name="page305"/>
    <w:bookmarkEnd w:id="304"/>
    <w:p>
      <w:pPr>
        <w:ind w:left="440" w:right="60"/>
        <w:spacing w:after="0" w:line="259"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on a pro rata basis in accordance with the Auction Procedures (it being agreed that none of the Borrower or any other Restricted Subsidiary shall have any obligation to make any representation as to the absence of MNPI in connection therewith and such assignment shall be made pursuant to the form of Assignment and Acceptance, which shall contain customary “big boy” assurance by the assignor Lender to the effect that it is a sophisticated investor and is willing to proceed with the assignment);</w:t>
      </w:r>
    </w:p>
    <w:p>
      <w:pPr>
        <w:spacing w:after="0" w:line="79" w:lineRule="exact"/>
        <w:rPr>
          <w:sz w:val="20"/>
          <w:szCs w:val="20"/>
          <w:color w:val="auto"/>
        </w:rPr>
      </w:pPr>
    </w:p>
    <w:p>
      <w:pPr>
        <w:ind w:left="440" w:right="60" w:firstLine="419"/>
        <w:spacing w:after="0" w:line="263" w:lineRule="auto"/>
        <w:tabs>
          <w:tab w:leader="none" w:pos="1128" w:val="left"/>
        </w:tabs>
        <w:numPr>
          <w:ilvl w:val="0"/>
          <w:numId w:val="254"/>
        </w:numPr>
        <w:rPr>
          <w:rFonts w:ascii="Arial" w:cs="Arial" w:eastAsia="Arial" w:hAnsi="Arial"/>
          <w:sz w:val="18"/>
          <w:szCs w:val="18"/>
          <w:color w:val="FF0000"/>
          <w:strike w:val="1"/>
        </w:rPr>
      </w:pPr>
      <w:r>
        <w:rPr>
          <w:rFonts w:ascii="Arial" w:cs="Arial" w:eastAsia="Arial" w:hAnsi="Arial"/>
          <w:sz w:val="18"/>
          <w:szCs w:val="18"/>
          <w:color w:val="FF0000"/>
          <w:strike w:val="1"/>
        </w:rPr>
        <w:t>the Borrower will not be entitled to receive, and will not receive, information provided solely to Lenders by the Administrative Agent or any Lender and will not be permitted to attend or participate in, and will not attend or participate in, meetings or conference calls attended solely by the Lenders and the Administrative Agent;</w:t>
      </w:r>
    </w:p>
    <w:p>
      <w:pPr>
        <w:spacing w:after="0" w:line="75" w:lineRule="exact"/>
        <w:rPr>
          <w:rFonts w:ascii="Arial" w:cs="Arial" w:eastAsia="Arial" w:hAnsi="Arial"/>
          <w:sz w:val="18"/>
          <w:szCs w:val="18"/>
          <w:color w:val="FF0000"/>
          <w:strike w:val="1"/>
        </w:rPr>
      </w:pPr>
    </w:p>
    <w:p>
      <w:pPr>
        <w:ind w:left="1180" w:hanging="321"/>
        <w:spacing w:after="0"/>
        <w:tabs>
          <w:tab w:leader="none" w:pos="1180" w:val="left"/>
        </w:tabs>
        <w:numPr>
          <w:ilvl w:val="0"/>
          <w:numId w:val="254"/>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ind w:left="440" w:right="60" w:firstLine="419"/>
        <w:spacing w:after="0" w:line="263" w:lineRule="auto"/>
        <w:tabs>
          <w:tab w:leader="none" w:pos="1168" w:val="left"/>
        </w:tabs>
        <w:numPr>
          <w:ilvl w:val="0"/>
          <w:numId w:val="254"/>
        </w:numPr>
        <w:rPr>
          <w:rFonts w:ascii="Arial" w:cs="Arial" w:eastAsia="Arial" w:hAnsi="Arial"/>
          <w:sz w:val="18"/>
          <w:szCs w:val="18"/>
          <w:color w:val="FF0000"/>
          <w:strike w:val="1"/>
        </w:rPr>
      </w:pPr>
      <w:r>
        <w:rPr>
          <w:rFonts w:ascii="Arial" w:cs="Arial" w:eastAsia="Arial" w:hAnsi="Arial"/>
          <w:sz w:val="18"/>
          <w:szCs w:val="18"/>
          <w:color w:val="FF0000"/>
          <w:strike w:val="1"/>
        </w:rPr>
        <w:t>the aggregate principal amount of Term Loans purchased by the Borrower may not exceed 20% of the aggregate principal amount of all Tranche B-2 Term Loans as of the Restatement Effective Date plus the aggregate amount of all Credit Agreement Refinancing Indebtedness incurred after the Restatement Effective Date;</w:t>
      </w:r>
    </w:p>
    <w:p>
      <w:pPr>
        <w:spacing w:after="0" w:line="75" w:lineRule="exact"/>
        <w:rPr>
          <w:rFonts w:ascii="Arial" w:cs="Arial" w:eastAsia="Arial" w:hAnsi="Arial"/>
          <w:sz w:val="18"/>
          <w:szCs w:val="18"/>
          <w:color w:val="FF0000"/>
          <w:strike w:val="1"/>
        </w:rPr>
      </w:pPr>
    </w:p>
    <w:p>
      <w:pPr>
        <w:ind w:left="440" w:right="460" w:firstLine="419"/>
        <w:spacing w:after="0" w:line="277" w:lineRule="auto"/>
        <w:tabs>
          <w:tab w:leader="none" w:pos="1118" w:val="left"/>
        </w:tabs>
        <w:numPr>
          <w:ilvl w:val="0"/>
          <w:numId w:val="254"/>
        </w:numPr>
        <w:rPr>
          <w:rFonts w:ascii="Arial" w:cs="Arial" w:eastAsia="Arial" w:hAnsi="Arial"/>
          <w:sz w:val="18"/>
          <w:szCs w:val="18"/>
          <w:color w:val="FF0000"/>
          <w:strike w:val="1"/>
        </w:rPr>
      </w:pPr>
      <w:r>
        <w:rPr>
          <w:rFonts w:ascii="Arial" w:cs="Arial" w:eastAsia="Arial" w:hAnsi="Arial"/>
          <w:sz w:val="18"/>
          <w:szCs w:val="18"/>
          <w:color w:val="FF0000"/>
          <w:strike w:val="1"/>
        </w:rPr>
        <w:t>any Term Loans purchased by the Borrower shall be automatically and permanently cancelled immediately upon acquisition by the Borrower;</w:t>
      </w:r>
    </w:p>
    <w:p>
      <w:pPr>
        <w:spacing w:after="0" w:line="62" w:lineRule="exact"/>
        <w:rPr>
          <w:rFonts w:ascii="Arial" w:cs="Arial" w:eastAsia="Arial" w:hAnsi="Arial"/>
          <w:sz w:val="18"/>
          <w:szCs w:val="18"/>
          <w:color w:val="FF0000"/>
          <w:strike w:val="1"/>
        </w:rPr>
      </w:pPr>
    </w:p>
    <w:p>
      <w:pPr>
        <w:ind w:left="440" w:firstLine="419"/>
        <w:spacing w:after="0" w:line="286" w:lineRule="auto"/>
        <w:tabs>
          <w:tab w:leader="none" w:pos="1168" w:val="left"/>
        </w:tabs>
        <w:numPr>
          <w:ilvl w:val="0"/>
          <w:numId w:val="254"/>
        </w:numPr>
        <w:rPr>
          <w:rFonts w:ascii="Arial" w:cs="Arial" w:eastAsia="Arial" w:hAnsi="Arial"/>
          <w:sz w:val="17"/>
          <w:szCs w:val="17"/>
          <w:color w:val="FF0000"/>
          <w:strike w:val="1"/>
        </w:rPr>
      </w:pPr>
      <w:r>
        <w:rPr>
          <w:rFonts w:ascii="Arial" w:cs="Arial" w:eastAsia="Arial" w:hAnsi="Arial"/>
          <w:sz w:val="17"/>
          <w:szCs w:val="17"/>
          <w:color w:val="FF0000"/>
          <w:strike w:val="1"/>
        </w:rPr>
        <w:t>notwithstanding anything to the contrary contained herein (including in the definitions of “Consolidated Net Income” and “Consolidated EBITDA”) any non-cash gains in respect of “cancellation of indebtedness” resulting from the cancellation of any Term Loans purchased by the Borrower shall be excluded from the determination of Consolidated Net Income and Consolidated EBITDA; and</w:t>
      </w:r>
    </w:p>
    <w:p>
      <w:pPr>
        <w:spacing w:after="0" w:line="57" w:lineRule="exact"/>
        <w:rPr>
          <w:rFonts w:ascii="Arial" w:cs="Arial" w:eastAsia="Arial" w:hAnsi="Arial"/>
          <w:sz w:val="17"/>
          <w:szCs w:val="17"/>
          <w:color w:val="FF0000"/>
          <w:strike w:val="1"/>
        </w:rPr>
      </w:pPr>
    </w:p>
    <w:p>
      <w:pPr>
        <w:ind w:left="440" w:firstLine="419"/>
        <w:spacing w:after="0" w:line="277" w:lineRule="auto"/>
        <w:tabs>
          <w:tab w:leader="none" w:pos="1218" w:val="left"/>
        </w:tabs>
        <w:numPr>
          <w:ilvl w:val="0"/>
          <w:numId w:val="254"/>
        </w:numPr>
        <w:rPr>
          <w:rFonts w:ascii="Arial" w:cs="Arial" w:eastAsia="Arial" w:hAnsi="Arial"/>
          <w:sz w:val="18"/>
          <w:szCs w:val="18"/>
          <w:color w:val="FF0000"/>
          <w:strike w:val="1"/>
        </w:rPr>
      </w:pPr>
      <w:r>
        <w:rPr>
          <w:rFonts w:ascii="Arial" w:cs="Arial" w:eastAsia="Arial" w:hAnsi="Arial"/>
          <w:sz w:val="18"/>
          <w:szCs w:val="18"/>
          <w:color w:val="FF0000"/>
          <w:strike w:val="1"/>
        </w:rPr>
        <w:t>the purchase and cancellation of Term Loans pursuant to this Section 10.04(k) shall not constitute a voluntary or mandatory prepayment for purposes of Section 2.12 or 2.13.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10.05</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10.05.</w:t>
      </w:r>
      <w:r>
        <w:rPr>
          <w:rFonts w:ascii="Arial" w:cs="Arial" w:eastAsia="Arial" w:hAnsi="Arial"/>
          <w:sz w:val="18"/>
          <w:szCs w:val="18"/>
          <w:color w:val="0000FF"/>
        </w:rPr>
        <w:t xml:space="preserve"> </w:t>
      </w:r>
      <w:r>
        <w:rPr>
          <w:rFonts w:ascii="Arial" w:cs="Arial" w:eastAsia="Arial" w:hAnsi="Arial"/>
          <w:sz w:val="18"/>
          <w:szCs w:val="18"/>
          <w:i w:val="1"/>
          <w:iCs w:val="1"/>
          <w:color w:val="000000"/>
        </w:rPr>
        <w:t>Expenses; Indemnity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2547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(a) The Borrower agrees (i) promptly following (and in any event within </w:t>
      </w:r>
      <w:r>
        <w:rPr>
          <w:rFonts w:ascii="Arial" w:cs="Arial" w:eastAsia="Arial" w:hAnsi="Arial"/>
          <w:sz w:val="17"/>
          <w:szCs w:val="17"/>
          <w:color w:val="FF0000"/>
          <w:strike w:val="1"/>
        </w:rPr>
        <w:t>thirty (30) days of</w:t>
      </w:r>
      <w:r>
        <w:rPr>
          <w:rFonts w:ascii="Arial" w:cs="Arial" w:eastAsia="Arial" w:hAnsi="Arial"/>
          <w:sz w:val="17"/>
          <w:szCs w:val="17"/>
          <w:u w:val="single" w:color="auto"/>
          <w:color w:val="0000FF"/>
        </w:rPr>
        <w:t>the period set forth in the DIP Order</w:t>
      </w:r>
      <w:r>
        <w:rPr>
          <w:rFonts w:ascii="Arial" w:cs="Arial" w:eastAsia="Arial" w:hAnsi="Arial"/>
          <w:sz w:val="17"/>
          <w:szCs w:val="17"/>
          <w:color w:val="auto"/>
        </w:rPr>
        <w:t xml:space="preserve">) written demand (including documentation reasonably supporting such request) therefor, to pay or reimburse the Administrative Agent, the Collateral Agent and </w:t>
      </w:r>
      <w:r>
        <w:rPr>
          <w:rFonts w:ascii="Arial" w:cs="Arial" w:eastAsia="Arial" w:hAnsi="Arial"/>
          <w:sz w:val="17"/>
          <w:szCs w:val="17"/>
          <w:color w:val="FF0000"/>
          <w:strike w:val="1"/>
        </w:rPr>
        <w:t>Apollo</w:t>
      </w:r>
      <w:r>
        <w:rPr>
          <w:rFonts w:ascii="Arial" w:cs="Arial" w:eastAsia="Arial" w:hAnsi="Arial"/>
          <w:sz w:val="17"/>
          <w:szCs w:val="17"/>
          <w:u w:val="single" w:color="auto"/>
          <w:color w:val="0000FF"/>
        </w:rPr>
        <w:t>the Lenders</w:t>
      </w:r>
      <w:r>
        <w:rPr>
          <w:rFonts w:ascii="Arial" w:cs="Arial" w:eastAsia="Arial" w:hAnsi="Arial"/>
          <w:sz w:val="17"/>
          <w:szCs w:val="17"/>
          <w:color w:val="FF0000"/>
        </w:rPr>
        <w:t xml:space="preserve"> </w:t>
      </w:r>
      <w:r>
        <w:rPr>
          <w:rFonts w:ascii="Arial" w:cs="Arial" w:eastAsia="Arial" w:hAnsi="Arial"/>
          <w:sz w:val="17"/>
          <w:szCs w:val="17"/>
          <w:color w:val="000000"/>
        </w:rPr>
        <w:t>for all reasonable and documented out-of-pocket costs and expenses</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(including, without limitation, the documented reasonable fees</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and expenses of Holland &amp; Knight LLP, FTI, White &amp; Case LLP, GrayRobinson, P.A., Osler, Hoskin &amp; Harcourt LLP and Vedder Price P.C. (with respect to Vedder Price P.C., in an amount not to exceed $350,000 (or such greater amount as the Borrower and the Lenders may agree in writing) in the aggregate))</w:t>
      </w:r>
      <w:r>
        <w:rPr>
          <w:rFonts w:ascii="Arial" w:cs="Arial" w:eastAsia="Arial" w:hAnsi="Arial"/>
          <w:sz w:val="17"/>
          <w:szCs w:val="17"/>
          <w:color w:val="0000FF"/>
        </w:rPr>
        <w:t xml:space="preserve"> </w:t>
      </w:r>
      <w:r>
        <w:rPr>
          <w:rFonts w:ascii="Arial" w:cs="Arial" w:eastAsia="Arial" w:hAnsi="Arial"/>
          <w:sz w:val="17"/>
          <w:szCs w:val="17"/>
          <w:color w:val="000000"/>
        </w:rPr>
        <w:t>incurred in connection with the preparation, negotiation and execution of</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the DIP Term Sheet,</w:t>
      </w:r>
      <w:r>
        <w:rPr>
          <w:rFonts w:ascii="Arial" w:cs="Arial" w:eastAsia="Arial" w:hAnsi="Arial"/>
          <w:sz w:val="17"/>
          <w:szCs w:val="17"/>
          <w:color w:val="0000FF"/>
        </w:rPr>
        <w:t xml:space="preserve"> </w:t>
      </w:r>
      <w:r>
        <w:rPr>
          <w:rFonts w:ascii="Arial" w:cs="Arial" w:eastAsia="Arial" w:hAnsi="Arial"/>
          <w:sz w:val="17"/>
          <w:szCs w:val="17"/>
          <w:color w:val="000000"/>
        </w:rPr>
        <w:t>this Agreement and the other Loan</w:t>
      </w:r>
      <w:r>
        <w:rPr>
          <w:rFonts w:ascii="Arial" w:cs="Arial" w:eastAsia="Arial" w:hAnsi="Arial"/>
          <w:sz w:val="17"/>
          <w:szCs w:val="17"/>
          <w:color w:val="0000FF"/>
        </w:rPr>
        <w:t xml:space="preserve"> </w:t>
      </w:r>
      <w:r>
        <w:rPr>
          <w:rFonts w:ascii="Arial" w:cs="Arial" w:eastAsia="Arial" w:hAnsi="Arial"/>
          <w:sz w:val="17"/>
          <w:szCs w:val="17"/>
          <w:color w:val="000000"/>
        </w:rPr>
        <w:t xml:space="preserve">Documents, and any amendment, waiver, consent or other modification of the provisions hereof and thereof (whether or not the transactions contemplated thereby are consummated), and the consummation and administration of the transactions contemplated hereby and thereby (including Attorney Costs which </w:t>
      </w:r>
      <w:r>
        <w:rPr>
          <w:rFonts w:ascii="Arial" w:cs="Arial" w:eastAsia="Arial" w:hAnsi="Arial"/>
          <w:sz w:val="17"/>
          <w:szCs w:val="17"/>
          <w:u w:val="single" w:color="auto"/>
          <w:color w:val="0000FF"/>
        </w:rPr>
        <w:t>in the case of the Agents,</w:t>
      </w:r>
      <w:r>
        <w:rPr>
          <w:rFonts w:ascii="Arial" w:cs="Arial" w:eastAsia="Arial" w:hAnsi="Arial"/>
          <w:sz w:val="17"/>
          <w:szCs w:val="17"/>
          <w:color w:val="000000"/>
        </w:rPr>
        <w:t xml:space="preserve"> shall be limited to Attorney Costs of one counsel to the Agents</w:t>
      </w:r>
      <w:r>
        <w:rPr>
          <w:rFonts w:ascii="Arial" w:cs="Arial" w:eastAsia="Arial" w:hAnsi="Arial"/>
          <w:sz w:val="17"/>
          <w:szCs w:val="17"/>
          <w:color w:val="FF0000"/>
          <w:strike w:val="1"/>
        </w:rPr>
        <w:t>, and one counsel to the Lenders (</w:t>
      </w:r>
      <w:r>
        <w:rPr>
          <w:rFonts w:ascii="Arial" w:cs="Arial" w:eastAsia="Arial" w:hAnsi="Arial"/>
          <w:sz w:val="17"/>
          <w:szCs w:val="17"/>
          <w:color w:val="000000"/>
        </w:rPr>
        <w:t xml:space="preserve"> and one local counsel in each applicable jurisdiction for </w:t>
      </w:r>
      <w:r>
        <w:rPr>
          <w:rFonts w:ascii="Arial" w:cs="Arial" w:eastAsia="Arial" w:hAnsi="Arial"/>
          <w:sz w:val="17"/>
          <w:szCs w:val="17"/>
          <w:color w:val="FF0000"/>
          <w:strike w:val="1"/>
        </w:rPr>
        <w:t>each group and, in the event of any actual or reasonably perceived conflict of interest, one additional</w:t>
      </w:r>
      <w:r>
        <w:rPr>
          <w:rFonts w:ascii="Arial" w:cs="Arial" w:eastAsia="Arial" w:hAnsi="Arial"/>
          <w:sz w:val="17"/>
          <w:szCs w:val="17"/>
          <w:color w:val="000000"/>
        </w:rPr>
        <w:t xml:space="preserve"> </w:t>
      </w:r>
      <w:r>
        <w:rPr>
          <w:rFonts w:ascii="Arial" w:cs="Arial" w:eastAsia="Arial" w:hAnsi="Arial"/>
          <w:sz w:val="17"/>
          <w:szCs w:val="17"/>
          <w:color w:val="FF0000"/>
          <w:strike w:val="1"/>
        </w:rPr>
        <w:t>counsel of each type to similarly situated parties)</w:t>
      </w:r>
      <w:r>
        <w:rPr>
          <w:rFonts w:ascii="Arial" w:cs="Arial" w:eastAsia="Arial" w:hAnsi="Arial"/>
          <w:sz w:val="17"/>
          <w:szCs w:val="17"/>
          <w:u w:val="single" w:color="auto"/>
          <w:color w:val="0000FF"/>
        </w:rPr>
        <w:t>the Agents</w:t>
      </w:r>
      <w:r>
        <w:rPr>
          <w:rFonts w:ascii="Arial" w:cs="Arial" w:eastAsia="Arial" w:hAnsi="Arial"/>
          <w:sz w:val="17"/>
          <w:szCs w:val="17"/>
          <w:color w:val="000000"/>
        </w:rPr>
        <w:t>) and (ii) from and after the</w:t>
      </w:r>
      <w:r>
        <w:rPr>
          <w:rFonts w:ascii="Arial" w:cs="Arial" w:eastAsia="Arial" w:hAnsi="Arial"/>
          <w:sz w:val="17"/>
          <w:szCs w:val="17"/>
          <w:color w:val="FF0000"/>
        </w:rPr>
        <w:t xml:space="preserv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FF0000"/>
        </w:rPr>
        <w:t xml:space="preserve"> </w:t>
      </w:r>
      <w:r>
        <w:rPr>
          <w:rFonts w:ascii="Arial" w:cs="Arial" w:eastAsia="Arial" w:hAnsi="Arial"/>
          <w:sz w:val="17"/>
          <w:szCs w:val="17"/>
          <w:color w:val="000000"/>
        </w:rPr>
        <w:t>Date,</w:t>
      </w:r>
      <w:r>
        <w:rPr>
          <w:rFonts w:ascii="Arial" w:cs="Arial" w:eastAsia="Arial" w:hAnsi="Arial"/>
          <w:sz w:val="17"/>
          <w:szCs w:val="17"/>
          <w:color w:val="FF0000"/>
        </w:rPr>
        <w:t xml:space="preserve"> </w:t>
      </w:r>
      <w:r>
        <w:rPr>
          <w:rFonts w:ascii="Arial" w:cs="Arial" w:eastAsia="Arial" w:hAnsi="Arial"/>
          <w:sz w:val="17"/>
          <w:szCs w:val="17"/>
          <w:color w:val="000000"/>
        </w:rPr>
        <w:t xml:space="preserve">promptly following (and in any event within </w:t>
      </w:r>
      <w:r>
        <w:rPr>
          <w:rFonts w:ascii="Arial" w:cs="Arial" w:eastAsia="Arial" w:hAnsi="Arial"/>
          <w:sz w:val="17"/>
          <w:szCs w:val="17"/>
          <w:color w:val="FF0000"/>
          <w:strike w:val="1"/>
        </w:rPr>
        <w:t>thirty (30) days of</w:t>
      </w:r>
      <w:r>
        <w:rPr>
          <w:rFonts w:ascii="Arial" w:cs="Arial" w:eastAsia="Arial" w:hAnsi="Arial"/>
          <w:sz w:val="17"/>
          <w:szCs w:val="17"/>
          <w:u w:val="single" w:color="auto"/>
          <w:color w:val="0000FF"/>
        </w:rPr>
        <w:t>the period set forth in the DIP Order</w:t>
      </w:r>
      <w:r>
        <w:rPr>
          <w:rFonts w:ascii="Arial" w:cs="Arial" w:eastAsia="Arial" w:hAnsi="Arial"/>
          <w:sz w:val="17"/>
          <w:szCs w:val="17"/>
          <w:color w:val="000000"/>
        </w:rPr>
        <w:t>) written demand (including documentation reasonably supporting such request) therefor, to pay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-1646555</wp:posOffset>
            </wp:positionV>
            <wp:extent cx="166306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-1372235</wp:posOffset>
            </wp:positionV>
            <wp:extent cx="53975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53975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-1372235</wp:posOffset>
            </wp:positionV>
            <wp:extent cx="2854325"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28543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-1235075</wp:posOffset>
            </wp:positionV>
            <wp:extent cx="6694805"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-1097915</wp:posOffset>
            </wp:positionV>
            <wp:extent cx="695198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-960755</wp:posOffset>
            </wp:positionV>
            <wp:extent cx="54864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-960755</wp:posOffset>
            </wp:positionV>
            <wp:extent cx="96012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-549275</wp:posOffset>
            </wp:positionV>
            <wp:extent cx="118300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-274955</wp:posOffset>
            </wp:positionV>
            <wp:extent cx="48831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-274955</wp:posOffset>
            </wp:positionV>
            <wp:extent cx="150876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-137795</wp:posOffset>
            </wp:positionV>
            <wp:extent cx="165417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00"/>
          </w:cols>
          <w:pgMar w:left="440" w:top="274" w:right="45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 the Administrative Agent, the Collateral Agent</w:t>
      </w:r>
      <w:r>
        <w:rPr>
          <w:rFonts w:ascii="Arial" w:cs="Arial" w:eastAsia="Arial" w:hAnsi="Arial"/>
          <w:sz w:val="17"/>
          <w:szCs w:val="17"/>
          <w:color w:val="FF0000"/>
          <w:strike w:val="1"/>
        </w:rPr>
        <w:t>, Apollo</w:t>
      </w:r>
      <w:r>
        <w:rPr>
          <w:rFonts w:ascii="Arial" w:cs="Arial" w:eastAsia="Arial" w:hAnsi="Arial"/>
          <w:sz w:val="17"/>
          <w:szCs w:val="17"/>
          <w:color w:val="auto"/>
        </w:rPr>
        <w:t xml:space="preserve"> and each Lender promptly following written demand for all reasonable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documented out-of-pocket costs and expenses </w:t>
      </w:r>
      <w:r>
        <w:rPr>
          <w:rFonts w:ascii="Arial" w:cs="Arial" w:eastAsia="Arial" w:hAnsi="Arial"/>
          <w:sz w:val="16"/>
          <w:szCs w:val="16"/>
          <w:u w:val="single" w:color="auto"/>
          <w:color w:val="0000FF"/>
        </w:rPr>
        <w:t>(including, without limitation, the documented fees and expenses of Holland &amp; Knight LLP, FTI, White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Case LLP, GrayRobinson, P.A., Osler, Hoskin &amp; Harcourt LLP and Vedder Price P.C. (with respect to Vedder Price P.C., in an amount not to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-107315</wp:posOffset>
            </wp:positionV>
            <wp:extent cx="48602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486029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$350,000 (or such greater amount as the Borrower and the Lenders may agree in writing) in the aggregate))</w:t>
      </w:r>
      <w:r>
        <w:rPr>
          <w:rFonts w:ascii="Arial" w:cs="Arial" w:eastAsia="Arial" w:hAnsi="Arial"/>
          <w:sz w:val="16"/>
          <w:szCs w:val="16"/>
          <w:color w:val="0000FF"/>
        </w:rPr>
        <w:t xml:space="preserve"> </w:t>
      </w:r>
      <w:r>
        <w:rPr>
          <w:rFonts w:ascii="Arial" w:cs="Arial" w:eastAsia="Arial" w:hAnsi="Arial"/>
          <w:sz w:val="16"/>
          <w:szCs w:val="16"/>
          <w:color w:val="000000"/>
        </w:rPr>
        <w:t>incurred in connection with the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763385"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(whether through negotiations, legal proceedings or otherwise) of any rights or remedies under </w:t>
      </w:r>
      <w:r>
        <w:rPr>
          <w:rFonts w:ascii="Arial" w:cs="Arial" w:eastAsia="Arial" w:hAnsi="Arial"/>
          <w:sz w:val="16"/>
          <w:szCs w:val="16"/>
          <w:u w:val="single" w:color="auto"/>
          <w:color w:val="0000FF"/>
        </w:rPr>
        <w:t>the DIP Term Sheet,</w:t>
      </w:r>
      <w:r>
        <w:rPr>
          <w:rFonts w:ascii="Arial" w:cs="Arial" w:eastAsia="Arial" w:hAnsi="Arial"/>
          <w:sz w:val="16"/>
          <w:szCs w:val="16"/>
          <w:color w:val="auto"/>
        </w:rPr>
        <w:t xml:space="preserve"> this Agreement or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493776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Documents (including all such out-of-pocket costs and expenses incurred during any legal proceeding, including any proceeding under any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-114935</wp:posOffset>
            </wp:positionV>
            <wp:extent cx="95123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Relief </w:t>
      </w:r>
      <w:r>
        <w:rPr>
          <w:rFonts w:ascii="Arial" w:cs="Arial" w:eastAsia="Arial" w:hAnsi="Arial"/>
          <w:sz w:val="16"/>
          <w:szCs w:val="16"/>
          <w:color w:val="FF0000"/>
          <w:strike w:val="1"/>
        </w:rPr>
        <w:t>Laws,</w:t>
      </w:r>
      <w:r>
        <w:rPr>
          <w:rFonts w:ascii="Arial" w:cs="Arial" w:eastAsia="Arial" w:hAnsi="Arial"/>
          <w:sz w:val="16"/>
          <w:szCs w:val="16"/>
          <w:u w:val="single" w:color="auto"/>
          <w:color w:val="0000FF"/>
        </w:rPr>
        <w:t>Laws</w:t>
      </w:r>
      <w:r>
        <w:rPr>
          <w:rFonts w:ascii="Arial" w:cs="Arial" w:eastAsia="Arial" w:hAnsi="Arial"/>
          <w:sz w:val="16"/>
          <w:szCs w:val="16"/>
          <w:color w:val="auto"/>
        </w:rPr>
        <w:t xml:space="preserve"> and including </w:t>
      </w:r>
      <w:r>
        <w:rPr>
          <w:rFonts w:ascii="Arial" w:cs="Arial" w:eastAsia="Arial" w:hAnsi="Arial"/>
          <w:sz w:val="16"/>
          <w:szCs w:val="16"/>
          <w:color w:val="FF0000"/>
          <w:strike w:val="1"/>
        </w:rPr>
        <w:t>all respective</w:t>
      </w:r>
      <w:r>
        <w:rPr>
          <w:rFonts w:ascii="Arial" w:cs="Arial" w:eastAsia="Arial" w:hAnsi="Arial"/>
          <w:sz w:val="16"/>
          <w:szCs w:val="16"/>
          <w:color w:val="auto"/>
        </w:rPr>
        <w:t xml:space="preserve"> Attorney Costs </w:t>
      </w:r>
      <w:r>
        <w:rPr>
          <w:rFonts w:ascii="Arial" w:cs="Arial" w:eastAsia="Arial" w:hAnsi="Arial"/>
          <w:sz w:val="16"/>
          <w:szCs w:val="16"/>
          <w:color w:val="FF0000"/>
          <w:strike w:val="1"/>
        </w:rPr>
        <w:t>which shall be limited to Attorney Costs of one counsel to the Agents and one counsel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the Lenders (and one local counsel in each applicable jurisdiction for each group and, in the event of any actual or reasonably perceived conflict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-114935</wp:posOffset>
            </wp:positionV>
            <wp:extent cx="24892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interest, one additional counsel of each type to similarly situated parties)</w:t>
      </w:r>
      <w:r>
        <w:rPr>
          <w:rFonts w:ascii="Arial" w:cs="Arial" w:eastAsia="Arial" w:hAnsi="Arial"/>
          <w:sz w:val="17"/>
          <w:szCs w:val="17"/>
          <w:color w:val="000000"/>
        </w:rPr>
        <w:t>). To the extent otherwise reimbursable by the foregoing sentence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the foregoing costs and expenses shall include all reasonable search, filing, recording, title insurance, survey, environmental, property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and zoning report charges and fees related thereto, and other reasonable and documented out of pocket expenses incurred by any Agent.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foregoing costs and expenses shall also include all </w:t>
      </w:r>
      <w:r>
        <w:rPr>
          <w:rFonts w:ascii="Arial" w:cs="Arial" w:eastAsia="Arial" w:hAnsi="Arial"/>
          <w:sz w:val="16"/>
          <w:szCs w:val="16"/>
          <w:color w:val="FF0000"/>
          <w:strike w:val="1"/>
        </w:rPr>
        <w:t>mortgage recording,</w:t>
      </w:r>
      <w:r>
        <w:rPr>
          <w:rFonts w:ascii="Arial" w:cs="Arial" w:eastAsia="Arial" w:hAnsi="Arial"/>
          <w:sz w:val="16"/>
          <w:szCs w:val="16"/>
          <w:color w:val="auto"/>
        </w:rPr>
        <w:t xml:space="preserve"> recording and filing fees charged by governmental authorities to record and/or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file Collateral Documents</w:t>
      </w:r>
      <w:r>
        <w:rPr>
          <w:rFonts w:ascii="Arial" w:cs="Arial" w:eastAsia="Arial" w:hAnsi="Arial"/>
          <w:sz w:val="18"/>
          <w:szCs w:val="18"/>
          <w:color w:val="FF0000"/>
          <w:strike w:val="1"/>
        </w:rPr>
        <w:t>.</w:t>
      </w:r>
    </w:p>
    <w:p>
      <w:pPr>
        <w:spacing w:after="0" w:line="21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(b) Whether or not the transactions contemplated hereby are consummated, the Loan Parties shall, jointly and severally, indemnify and hold harmless the Administrative Agent, the Collateral Agent and their respective Affiliates, successors and permitted assigns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the directors, officers, employees, agents, advisors and members of each of the foregoing) (each an “</w:t>
      </w:r>
      <w:r>
        <w:rPr>
          <w:rFonts w:ascii="Arial" w:cs="Arial" w:eastAsia="Arial" w:hAnsi="Arial"/>
          <w:sz w:val="16"/>
          <w:szCs w:val="16"/>
          <w:b w:val="1"/>
          <w:bCs w:val="1"/>
          <w:color w:val="auto"/>
        </w:rPr>
        <w:t>Agent Indemnitee</w:t>
      </w:r>
      <w:r>
        <w:rPr>
          <w:rFonts w:ascii="Arial" w:cs="Arial" w:eastAsia="Arial" w:hAnsi="Arial"/>
          <w:sz w:val="16"/>
          <w:szCs w:val="16"/>
          <w:color w:val="auto"/>
        </w:rPr>
        <w:t>” and collectively, the “</w:t>
      </w:r>
      <w:r>
        <w:rPr>
          <w:rFonts w:ascii="Arial" w:cs="Arial" w:eastAsia="Arial" w:hAnsi="Arial"/>
          <w:sz w:val="16"/>
          <w:szCs w:val="16"/>
          <w:b w:val="1"/>
          <w:bCs w:val="1"/>
          <w:color w:val="auto"/>
        </w:rPr>
        <w:t>Agent Indemnitees</w:t>
      </w:r>
      <w:r>
        <w:rPr>
          <w:rFonts w:ascii="Arial" w:cs="Arial" w:eastAsia="Arial" w:hAnsi="Arial"/>
          <w:sz w:val="16"/>
          <w:szCs w:val="16"/>
          <w:color w:val="auto"/>
        </w:rPr>
        <w:t>”) and each Lender and their respective Affiliates, successors and permitted assigns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the directors, officers, employees, agents, advisors and members of each of the foregoing) (each a “Lender Indemnitee” and collectively, the “</w:t>
      </w:r>
      <w:r>
        <w:rPr>
          <w:rFonts w:ascii="Arial" w:cs="Arial" w:eastAsia="Arial" w:hAnsi="Arial"/>
          <w:sz w:val="16"/>
          <w:szCs w:val="16"/>
          <w:b w:val="1"/>
          <w:bCs w:val="1"/>
          <w:color w:val="auto"/>
        </w:rPr>
        <w:t>Lender Indemnitees</w:t>
      </w:r>
      <w:r>
        <w:rPr>
          <w:rFonts w:ascii="Arial" w:cs="Arial" w:eastAsia="Arial" w:hAnsi="Arial"/>
          <w:sz w:val="16"/>
          <w:szCs w:val="16"/>
          <w:color w:val="auto"/>
        </w:rPr>
        <w:t>”; together with, the Agent Indemnitees,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actual losses, damages, claims, liabilities and reasonable documented out-of-pocket costs and expenses (including Attorney Costs which shall be limited to Attorney Costs of one outside counsel for the Agent Indemnitees and Attorney Costs of one outside counsel for the Lender Indemnitees (and, if necessary, one local counsel in each applicable jurisdiction and, in the event of any actual or reasonably perceived conflict of interest, one additional counsel for each type of similarly situated affected Indemnitees)) of any kind or nature whatsoever which may at any time be imposed on, incurred by or asserted against any Agent Indemnitee or Lender Indemnitee in any way relating to or arising out of or in connection with (i) the execution, delivery, enforcement, performance or administration of any Loan Document or any other agreement, letter or instrument delivered in connection with the transactions contemplated thereby or the consummation of the Transactions or the other transactions contemplated thereby, (ii) any Commitment or Loan or the use or proposed use of the proceeds therefrom, (iii) any actual or alleged presence or Release of Hazardous Materials at, on, under or from any property, vehicle or facility currently or formerly owned, leased or operated by the Loan Parties or any Subsidiary, or any other Environmental Liability related in any way to any Loan Parties or any Subsidiary,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Agent Indemnitee or Lender Indemnitee is a party thereto and regardless of whether such matter is initiated by a third party or by the Borrower or any of its Affiliates or equityholders in all cases, whether or not caused by or arising, in whole or in part, out of the negligence of any such Agent Indemnitee or Lender Indemnitee; provided that, notwithstanding the foregoing, such indemnity shall not, as to any Indemnitee, be available to the extent that such losses, damages, claims, liabilities and expenses resulted from (x) the gross negligence, bad faith or willful misconduct of such Indemnitee or of any affiliate, director, officer, employee, counsel, agent or attorney-in-fact of such Indemnitee, as determined by the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-2748915</wp:posOffset>
            </wp:positionV>
            <wp:extent cx="16256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-2474595</wp:posOffset>
            </wp:positionV>
            <wp:extent cx="17145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00"/>
          </w:cols>
          <w:pgMar w:left="440" w:top="274" w:right="459" w:bottom="1440" w:gutter="0" w:footer="0" w:header="0"/>
        </w:sectPr>
      </w:pPr>
    </w:p>
    <w:bookmarkStart w:id="306" w:name="page307"/>
    <w:bookmarkEnd w:id="30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non-appealable judgment of a court of competent jurisdiction</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(y) any dispute solely among the Indemnitees other than (1) any claim against an Indemnitee in its capacity or in fulfilling its role as Administrative Agent, Collateral Agent or similar role and (2) any claim arising out of any act or omission of the Borrower or any of its Affiliates </w:t>
      </w:r>
      <w:r>
        <w:rPr>
          <w:rFonts w:ascii="Arial" w:cs="Arial" w:eastAsia="Arial" w:hAnsi="Arial"/>
          <w:sz w:val="17"/>
          <w:szCs w:val="17"/>
          <w:color w:val="FF0000"/>
        </w:rPr>
        <w:t>or (z) the material breach by such Indemnitee of its obligations under the Loan Documents (or any</w:t>
      </w:r>
      <w:r>
        <w:rPr>
          <w:rFonts w:ascii="Arial" w:cs="Arial" w:eastAsia="Arial" w:hAnsi="Arial"/>
          <w:sz w:val="17"/>
          <w:szCs w:val="17"/>
          <w:color w:val="auto"/>
        </w:rPr>
        <w:t xml:space="preserve"> </w:t>
      </w:r>
      <w:r>
        <w:rPr>
          <w:rFonts w:ascii="Arial" w:cs="Arial" w:eastAsia="Arial" w:hAnsi="Arial"/>
          <w:sz w:val="17"/>
          <w:szCs w:val="17"/>
          <w:color w:val="FF0000"/>
          <w:strike w:val="1"/>
        </w:rPr>
        <w:t>related party), as determined by the final non-appealable judgment of a court of competent jurisdiction.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No Indemnitee or any other party hereto shall</w:t>
      </w:r>
      <w:r>
        <w:rPr>
          <w:rFonts w:ascii="Arial" w:cs="Arial" w:eastAsia="Arial" w:hAnsi="Arial"/>
          <w:sz w:val="17"/>
          <w:szCs w:val="17"/>
          <w:color w:val="FF0000"/>
        </w:rPr>
        <w:t xml:space="preserve"> </w:t>
      </w:r>
      <w:r>
        <w:rPr>
          <w:rFonts w:ascii="Arial" w:cs="Arial" w:eastAsia="Arial" w:hAnsi="Arial"/>
          <w:sz w:val="17"/>
          <w:szCs w:val="17"/>
          <w:color w:val="000000"/>
        </w:rPr>
        <w:t>be liable for any damages arising from the use by others of any information or other materials obtained through IntraLinks or other similar information transmission systems in connection with this Agreement except to the extent that such damages resulted from the (A) gross negligence, bad faith or willful misconduct of such Indemnitee or of any affiliate, director, officer, employee, counsel, agent or attorney-in-fact of such Indemnitee, as determined by the final non-appealable judgment of a court of competent jurisdiction or (B) the material breach by such Indemnitee of its or of any affiliate, director, officer, employee, counsel, agent or attorney-in-fact of such Indemnitee’s obligations under the Loan Documents, as determined by the final non-appealable judgment of a court of competent jurisdiction. In the case of a claim, investigation, litigation or other proceeding to which the indemnity in this Section 10.05 applies, such indemnity shall be effective whether or not such claim, investigation, litigation or proceeding is brought by any Loan Party, any Subsidiary of any Loan Party, any Loan Party’s directors, stockholders or creditors or other Affiliates or an Indemnitee or any other Person, whether or not any Indemnitee is otherwise a party thereto and whether or not any of the transactions contemplated hereunder or under any of the other Loan Documents are consummated. For the avoidance of doubt, this paragraph shall not apply with respect to Taxes other than any Taxes that represent losses, claims, damages, etc.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-1923415</wp:posOffset>
            </wp:positionV>
            <wp:extent cx="10287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-1734820</wp:posOffset>
            </wp:positionV>
            <wp:extent cx="452755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4527550" cy="825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-1511935</wp:posOffset>
            </wp:positionV>
            <wp:extent cx="342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u w:val="single" w:color="auto"/>
          <w:color w:val="0000FF"/>
        </w:rPr>
        <w:t>(c)</w:t>
      </w:r>
      <w:r>
        <w:rPr>
          <w:rFonts w:ascii="Arial" w:cs="Arial" w:eastAsia="Arial" w:hAnsi="Arial"/>
          <w:sz w:val="16"/>
          <w:szCs w:val="16"/>
          <w:color w:val="000000"/>
        </w:rPr>
        <w:t xml:space="preserve">  To the extent</w:t>
      </w:r>
      <w:r>
        <w:rPr>
          <w:rFonts w:ascii="Arial" w:cs="Arial" w:eastAsia="Arial" w:hAnsi="Arial"/>
          <w:sz w:val="16"/>
          <w:szCs w:val="16"/>
          <w:color w:val="0000FF"/>
        </w:rPr>
        <w:t xml:space="preserve"> </w:t>
      </w:r>
      <w:r>
        <w:rPr>
          <w:rFonts w:ascii="Arial" w:cs="Arial" w:eastAsia="Arial" w:hAnsi="Arial"/>
          <w:sz w:val="16"/>
          <w:szCs w:val="16"/>
          <w:color w:val="FF0000"/>
          <w:strike w:val="1"/>
        </w:rPr>
        <w:t>that any Loan Party fails to pay any amount required to be paid by them to the Administrative Agent or the Collateral Agent</w:t>
      </w:r>
      <w:r>
        <w:rPr>
          <w:rFonts w:ascii="Arial" w:cs="Arial" w:eastAsia="Arial" w:hAnsi="Arial"/>
          <w:sz w:val="16"/>
          <w:szCs w:val="16"/>
          <w:color w:val="0000FF"/>
        </w:rPr>
        <w:t xml:space="preserve"> </w:t>
      </w:r>
      <w:r>
        <w:rPr>
          <w:rFonts w:ascii="Arial" w:cs="Arial" w:eastAsia="Arial" w:hAnsi="Arial"/>
          <w:sz w:val="16"/>
          <w:szCs w:val="16"/>
          <w:color w:val="FF0000"/>
          <w:strike w:val="1"/>
        </w:rPr>
        <w:t>under paragraph (a) or (b) of this Section within the timeframe specified therein, each Lender severally agrees to indemnify and reimburse, and pay to the Administrative Agent or the Collateral Agent such</w:t>
      </w:r>
      <w:r>
        <w:rPr>
          <w:rFonts w:ascii="Arial" w:cs="Arial" w:eastAsia="Arial" w:hAnsi="Arial"/>
          <w:sz w:val="16"/>
          <w:szCs w:val="16"/>
          <w:u w:val="single" w:color="auto"/>
          <w:color w:val="0000FF"/>
          <w:strike w:val="1"/>
        </w:rPr>
        <w:t>the Agent Indemnitees are not reimbursed and indemnified by the Loan Parties, and without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limiting the obligation of the Loan Parties to do so, the Lenders shall indemnify and hold harmless the Agent Indemnities, based on and to the extent of such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Lender’s pro rata share (determined as of the time that the applicable unreimbursed expense or indemnity payment is sought)</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of such unpaid</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amount;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the unreimbursed expense or indemnified loss, claim, damage, liability or related expense, as the case may be, was incurred by or asserted against the Administrative Agent or the Collateral Agent in its capacity as such</w:t>
      </w:r>
      <w:r>
        <w:rPr>
          <w:rFonts w:ascii="Arial" w:cs="Arial" w:eastAsia="Arial" w:hAnsi="Arial"/>
          <w:sz w:val="16"/>
          <w:szCs w:val="16"/>
          <w:u w:val="single" w:color="auto"/>
          <w:color w:val="0000FF"/>
          <w:strike w:val="1"/>
        </w:rPr>
        <w:t>, from and against any and all losses, claims, damages, liabilities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and related expenses (including Attorney Costs) of any kind or nature whatsoever which may at any time be imposed on, incurred by or asserted against any Agent Indemnitee in any way relating to or arising out of or in connection with this Agreement or any other Loan Document or in the performance by the Agents in its duties under the Loan Documents; provided that no Lender shall be liable for any portion of such losses, claims, damages, liabilities and related expenses resulting from any Agent Indemnitees gross negligence, bad faith or willful misconduct (as determined by a court of competent jurisdiction in a final and non-appealable decision). Without limiting the foregoing, to the extent not paid or reimbursed by the Loan Parties, each Lender shall pay or reimburse the Agent Indemnitees based on and to the extent of such Lender’s pro rata share of all reasonable and documented out-of-pocket costs and expenses reimbursable pursuant to Section 10.05, incurred in connection with the enforcement (whether through negotiations, legal proceedings or otherwise) of any rights or remedies under this Agreement or the other Loan Documents (including all such out-of-pocket costs and expenses incurred during any legal proceeding, including any proceeding under any Debtor Relief Laws, and including all Attorney Costs)</w:t>
      </w:r>
      <w:r>
        <w:rPr>
          <w:rFonts w:ascii="Arial" w:cs="Arial" w:eastAsia="Arial" w:hAnsi="Arial"/>
          <w:sz w:val="16"/>
          <w:szCs w:val="16"/>
          <w:color w:val="000000"/>
          <w:strike w:val="1"/>
        </w:rPr>
        <w:t>. For purposes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hereof, if the Term Loans have been paid in full prior to such determination pursuant to the immediately preceding sentence, then each such Lender’s “pro rata share” shall be determined as of the last date the Term Loans were in effect immediately prior to such payment in full. </w:t>
      </w:r>
      <w:r>
        <w:rPr>
          <w:rFonts w:ascii="Arial" w:cs="Arial" w:eastAsia="Arial" w:hAnsi="Arial"/>
          <w:sz w:val="16"/>
          <w:szCs w:val="16"/>
          <w:color w:val="0000FF"/>
          <w:strike w:val="1"/>
        </w:rPr>
        <w:t>The provisions of this</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Section shall survive the resignation or replacement of the Administrative Agent or Collateral Agent, the termination of the Loan Documents, the termination of the Commitments and the repayment, satisfaction or discharge of all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-2609215</wp:posOffset>
            </wp:positionV>
            <wp:extent cx="12001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-2334895</wp:posOffset>
            </wp:positionV>
            <wp:extent cx="420878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-2197735</wp:posOffset>
            </wp:positionV>
            <wp:extent cx="69176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-2060575</wp:posOffset>
            </wp:positionV>
            <wp:extent cx="20574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-2146300</wp:posOffset>
            </wp:positionV>
            <wp:extent cx="70104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701040"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-1786255</wp:posOffset>
            </wp:positionV>
            <wp:extent cx="294894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-1649095</wp:posOffset>
            </wp:positionV>
            <wp:extent cx="695198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-1511935</wp:posOffset>
            </wp:positionV>
            <wp:extent cx="690054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-1374775</wp:posOffset>
            </wp:positionV>
            <wp:extent cx="695198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-1237615</wp:posOffset>
            </wp:positionV>
            <wp:extent cx="6797675"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-1100455</wp:posOffset>
            </wp:positionV>
            <wp:extent cx="665226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-963295</wp:posOffset>
            </wp:positionV>
            <wp:extent cx="6660515"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-826135</wp:posOffset>
            </wp:positionV>
            <wp:extent cx="684911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-688975</wp:posOffset>
            </wp:positionV>
            <wp:extent cx="6978015"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-551815</wp:posOffset>
            </wp:positionV>
            <wp:extent cx="633476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-277495</wp:posOffset>
            </wp:positionV>
            <wp:extent cx="1028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-311785</wp:posOffset>
            </wp:positionV>
            <wp:extent cx="102806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-140335</wp:posOffset>
            </wp:positionV>
            <wp:extent cx="664337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561467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0"/>
          </w:cols>
          <w:pgMar w:left="440" w:top="274" w:right="459" w:bottom="1440" w:gutter="0" w:footer="0" w:header="0"/>
        </w:sectPr>
      </w:pPr>
    </w:p>
    <w:bookmarkStart w:id="307" w:name="page308"/>
    <w:bookmarkEnd w:id="307"/>
    <w:p>
      <w:pPr>
        <w:ind w:left="444"/>
        <w:spacing w:after="0"/>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w:t>
      </w:r>
      <w:r>
        <w:rPr>
          <w:rFonts w:ascii="Arial" w:cs="Arial" w:eastAsia="Arial" w:hAnsi="Arial"/>
          <w:sz w:val="16"/>
          <w:szCs w:val="16"/>
          <w:color w:val="000000"/>
        </w:rPr>
        <w:t xml:space="preserve">  </w:t>
      </w:r>
      <w:r>
        <w:rPr>
          <w:rFonts w:ascii="Arial" w:cs="Arial" w:eastAsia="Arial" w:hAnsi="Arial"/>
          <w:sz w:val="16"/>
          <w:szCs w:val="16"/>
          <w:color w:val="FF0000"/>
          <w:strike w:val="1"/>
        </w:rPr>
        <w:t>(c)</w:t>
      </w:r>
      <w:r>
        <w:rPr>
          <w:rFonts w:ascii="Arial" w:cs="Arial" w:eastAsia="Arial" w:hAnsi="Arial"/>
          <w:sz w:val="16"/>
          <w:szCs w:val="16"/>
          <w:color w:val="0000FF"/>
        </w:rPr>
        <w:t xml:space="preserve"> </w:t>
      </w:r>
      <w:r>
        <w:rPr>
          <w:rFonts w:ascii="Arial" w:cs="Arial" w:eastAsia="Arial" w:hAnsi="Arial"/>
          <w:sz w:val="16"/>
          <w:szCs w:val="16"/>
          <w:color w:val="000000"/>
        </w:rPr>
        <w:t>To the extent permitted by applicable Law, (i) no Loan Party shall assert, and each hereby waives, any claim against any Indemnitee and</w:t>
      </w:r>
    </w:p>
    <w:p>
      <w:pPr>
        <w:spacing w:after="0" w:line="46" w:lineRule="exact"/>
        <w:rPr>
          <w:sz w:val="20"/>
          <w:szCs w:val="20"/>
          <w:color w:val="auto"/>
        </w:rPr>
      </w:pPr>
    </w:p>
    <w:p>
      <w:pPr>
        <w:ind w:left="4" w:right="80" w:hanging="4"/>
        <w:spacing w:after="0" w:line="271" w:lineRule="auto"/>
        <w:tabs>
          <w:tab w:leader="none" w:pos="269"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no Indemnitee shall assert, and each hereby waives, any claim against any Loan Party, on any theory of liability, for special, indirect, consequential or punitive damages (as opposed to direct or actual damages) arising out of, in connection with, or as a result of, </w:t>
      </w:r>
      <w:r>
        <w:rPr>
          <w:rFonts w:ascii="Arial" w:cs="Arial" w:eastAsia="Arial" w:hAnsi="Arial"/>
          <w:sz w:val="17"/>
          <w:szCs w:val="17"/>
          <w:u w:val="single" w:color="auto"/>
          <w:color w:val="0000FF"/>
        </w:rPr>
        <w:t>the DIP Term Sheet,</w:t>
      </w:r>
      <w:r>
        <w:rPr>
          <w:rFonts w:ascii="Arial" w:cs="Arial" w:eastAsia="Arial" w:hAnsi="Arial"/>
          <w:sz w:val="17"/>
          <w:szCs w:val="17"/>
          <w:color w:val="auto"/>
        </w:rPr>
        <w:t xml:space="preserve"> this Agreement, any other Loan Document or any agreement or instrument contemplated hereby or thereby, the Transactions or any Loan or the use of the proceeds thereof (whether before or after the </w:t>
      </w:r>
      <w:r>
        <w:rPr>
          <w:rFonts w:ascii="Arial" w:cs="Arial" w:eastAsia="Arial" w:hAnsi="Arial"/>
          <w:sz w:val="17"/>
          <w:szCs w:val="17"/>
          <w:color w:val="FF0000"/>
          <w:strike w:val="1"/>
        </w:rPr>
        <w:t>Restatement Effective</w:t>
      </w:r>
      <w:r>
        <w:rPr>
          <w:rFonts w:ascii="Arial" w:cs="Arial" w:eastAsia="Arial" w:hAnsi="Arial"/>
          <w:sz w:val="17"/>
          <w:szCs w:val="17"/>
          <w:u w:val="single" w:color="auto"/>
          <w:color w:val="0000FF"/>
        </w:rPr>
        <w:t>Postpetition B-2 Facility Closing</w:t>
      </w:r>
      <w:r>
        <w:rPr>
          <w:rFonts w:ascii="Arial" w:cs="Arial" w:eastAsia="Arial" w:hAnsi="Arial"/>
          <w:sz w:val="17"/>
          <w:szCs w:val="17"/>
          <w:color w:val="auto"/>
        </w:rPr>
        <w:t xml:space="preser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in no event limit the </w:t>
      </w:r>
      <w:r>
        <w:rPr>
          <w:rFonts w:ascii="Arial" w:cs="Arial" w:eastAsia="Arial" w:hAnsi="Arial"/>
          <w:sz w:val="17"/>
          <w:szCs w:val="17"/>
          <w:color w:val="FF0000"/>
          <w:strike w:val="1"/>
        </w:rPr>
        <w:t>Borrower’s</w:t>
      </w:r>
      <w:r>
        <w:rPr>
          <w:rFonts w:ascii="Arial" w:cs="Arial" w:eastAsia="Arial" w:hAnsi="Arial"/>
          <w:sz w:val="17"/>
          <w:szCs w:val="17"/>
          <w:u w:val="single" w:color="auto"/>
          <w:color w:val="0000FF"/>
        </w:rPr>
        <w:t>Loan Parties’</w:t>
      </w:r>
      <w:r>
        <w:rPr>
          <w:rFonts w:ascii="Arial" w:cs="Arial" w:eastAsia="Arial" w:hAnsi="Arial"/>
          <w:sz w:val="17"/>
          <w:szCs w:val="17"/>
          <w:color w:val="FF0000"/>
        </w:rPr>
        <w:t xml:space="preserve"> </w:t>
      </w:r>
      <w:r>
        <w:rPr>
          <w:rFonts w:ascii="Arial" w:cs="Arial" w:eastAsia="Arial" w:hAnsi="Arial"/>
          <w:sz w:val="17"/>
          <w:szCs w:val="17"/>
          <w:color w:val="000000"/>
        </w:rPr>
        <w:t>indemnification obligations under clause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-691515</wp:posOffset>
            </wp:positionV>
            <wp:extent cx="12827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-417195</wp:posOffset>
            </wp:positionV>
            <wp:extent cx="96012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-142875</wp:posOffset>
            </wp:positionV>
            <wp:extent cx="150876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-5715</wp:posOffset>
            </wp:positionV>
            <wp:extent cx="60833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58"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u w:val="single" w:color="auto"/>
          <w:color w:val="0000FF"/>
        </w:rPr>
        <w:t>(e)</w:t>
      </w:r>
      <w:r>
        <w:rPr>
          <w:rFonts w:ascii="Arial" w:cs="Arial" w:eastAsia="Arial" w:hAnsi="Arial"/>
          <w:sz w:val="18"/>
          <w:szCs w:val="18"/>
          <w:color w:val="000000"/>
        </w:rPr>
        <w:t xml:space="preserve">  </w:t>
      </w:r>
      <w:r>
        <w:rPr>
          <w:rFonts w:ascii="Arial" w:cs="Arial" w:eastAsia="Arial" w:hAnsi="Arial"/>
          <w:sz w:val="18"/>
          <w:szCs w:val="18"/>
          <w:color w:val="FF0000"/>
          <w:strike w:val="1"/>
        </w:rPr>
        <w:t>(d)</w:t>
      </w:r>
      <w:r>
        <w:rPr>
          <w:rFonts w:ascii="Arial" w:cs="Arial" w:eastAsia="Arial" w:hAnsi="Arial"/>
          <w:sz w:val="18"/>
          <w:szCs w:val="18"/>
          <w:color w:val="0000FF"/>
        </w:rPr>
        <w:t xml:space="preserve"> </w:t>
      </w:r>
      <w:r>
        <w:rPr>
          <w:rFonts w:ascii="Arial" w:cs="Arial" w:eastAsia="Arial" w:hAnsi="Arial"/>
          <w:sz w:val="18"/>
          <w:szCs w:val="18"/>
          <w:color w:val="000000"/>
        </w:rPr>
        <w:t>The provisions of this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10.05</w:t>
      </w:r>
      <w:r>
        <w:rPr>
          <w:rFonts w:ascii="Arial" w:cs="Arial" w:eastAsia="Arial" w:hAnsi="Arial"/>
          <w:sz w:val="18"/>
          <w:szCs w:val="18"/>
          <w:color w:val="0000FF"/>
        </w:rPr>
        <w:t xml:space="preserve"> </w:t>
      </w:r>
      <w:r>
        <w:rPr>
          <w:rFonts w:ascii="Arial" w:cs="Arial" w:eastAsia="Arial" w:hAnsi="Arial"/>
          <w:sz w:val="18"/>
          <w:szCs w:val="18"/>
          <w:color w:val="000000"/>
        </w:rPr>
        <w:t>shall remain operative and in full force and effect regardless of the expiration of the term of this</w:t>
      </w:r>
      <w:r>
        <w:rPr>
          <w:rFonts w:ascii="Arial" w:cs="Arial" w:eastAsia="Arial" w:hAnsi="Arial"/>
          <w:sz w:val="18"/>
          <w:szCs w:val="18"/>
          <w:color w:val="0000FF"/>
        </w:rPr>
        <w:t xml:space="preserve"> </w:t>
      </w:r>
      <w:r>
        <w:rPr>
          <w:rFonts w:ascii="Arial" w:cs="Arial" w:eastAsia="Arial" w:hAnsi="Arial"/>
          <w:sz w:val="18"/>
          <w:szCs w:val="18"/>
          <w:color w:val="000000"/>
        </w:rPr>
        <w:t xml:space="preserve">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 </w:t>
      </w:r>
      <w:r>
        <w:rPr>
          <w:rFonts w:ascii="Arial" w:cs="Arial" w:eastAsia="Arial" w:hAnsi="Arial"/>
          <w:sz w:val="18"/>
          <w:szCs w:val="18"/>
          <w:color w:val="FF0000"/>
          <w:strike w:val="1"/>
        </w:rPr>
        <w:t>All amounts due under this Section 10.05 shall be payable within 30 days after written</w:t>
      </w:r>
      <w:r>
        <w:rPr>
          <w:rFonts w:ascii="Arial" w:cs="Arial" w:eastAsia="Arial" w:hAnsi="Arial"/>
          <w:sz w:val="18"/>
          <w:szCs w:val="18"/>
          <w:color w:val="000000"/>
        </w:rPr>
        <w:t xml:space="preserve"> </w:t>
      </w:r>
      <w:r>
        <w:rPr>
          <w:rFonts w:ascii="Arial" w:cs="Arial" w:eastAsia="Arial" w:hAnsi="Arial"/>
          <w:sz w:val="18"/>
          <w:szCs w:val="18"/>
          <w:color w:val="FF0000"/>
          <w:strike w:val="1"/>
        </w:rPr>
        <w:t>demand therefor (including documentation reasonably supporting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-548005</wp:posOffset>
            </wp:positionV>
            <wp:extent cx="12001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8"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u w:val="single" w:color="auto"/>
          <w:color w:val="0000FF"/>
        </w:rPr>
        <w:t>Section 10.06</w:t>
      </w:r>
      <w:r>
        <w:rPr>
          <w:rFonts w:ascii="Arial" w:cs="Arial" w:eastAsia="Arial" w:hAnsi="Arial"/>
          <w:sz w:val="16"/>
          <w:szCs w:val="16"/>
          <w:color w:val="000000"/>
        </w:rPr>
        <w:t xml:space="preserve"> </w:t>
      </w:r>
      <w:r>
        <w:rPr>
          <w:rFonts w:ascii="Arial" w:cs="Arial" w:eastAsia="Arial" w:hAnsi="Arial"/>
          <w:sz w:val="16"/>
          <w:szCs w:val="16"/>
          <w:color w:val="FF0000"/>
          <w:strike w:val="1"/>
        </w:rPr>
        <w:t>Section 10.06.</w:t>
      </w:r>
      <w:r>
        <w:rPr>
          <w:rFonts w:ascii="Arial" w:cs="Arial" w:eastAsia="Arial" w:hAnsi="Arial"/>
          <w:sz w:val="16"/>
          <w:szCs w:val="16"/>
          <w:color w:val="0000FF"/>
        </w:rPr>
        <w:t xml:space="preserve"> </w:t>
      </w:r>
      <w:r>
        <w:rPr>
          <w:rFonts w:ascii="Arial" w:cs="Arial" w:eastAsia="Arial" w:hAnsi="Arial"/>
          <w:sz w:val="16"/>
          <w:szCs w:val="16"/>
          <w:i w:val="1"/>
          <w:iCs w:val="1"/>
          <w:color w:val="000000"/>
        </w:rPr>
        <w:t>Right of Setoff.</w:t>
      </w:r>
      <w:r>
        <w:rPr>
          <w:rFonts w:ascii="Arial" w:cs="Arial" w:eastAsia="Arial" w:hAnsi="Arial"/>
          <w:sz w:val="16"/>
          <w:szCs w:val="16"/>
          <w:color w:val="0000FF"/>
        </w:rPr>
        <w:t xml:space="preserve"> </w:t>
      </w:r>
      <w:r>
        <w:rPr>
          <w:rFonts w:ascii="Arial" w:cs="Arial" w:eastAsia="Arial" w:hAnsi="Arial"/>
          <w:sz w:val="16"/>
          <w:szCs w:val="16"/>
          <w:color w:val="000000"/>
        </w:rPr>
        <w:t>In addition to any rights and remedies of the Lenders provided by Law, upon the occurrence and</w:t>
      </w:r>
      <w:r>
        <w:rPr>
          <w:rFonts w:ascii="Arial" w:cs="Arial" w:eastAsia="Arial" w:hAnsi="Arial"/>
          <w:sz w:val="16"/>
          <w:szCs w:val="16"/>
          <w:color w:val="0000FF"/>
        </w:rPr>
        <w:t xml:space="preserve"> </w:t>
      </w:r>
      <w:r>
        <w:rPr>
          <w:rFonts w:ascii="Arial" w:cs="Arial" w:eastAsia="Arial" w:hAnsi="Arial"/>
          <w:sz w:val="16"/>
          <w:szCs w:val="16"/>
          <w:color w:val="000000"/>
        </w:rPr>
        <w:t>during the continuance of any Event of Default</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(other than an Existing Default),</w:t>
      </w:r>
      <w:r>
        <w:rPr>
          <w:rFonts w:ascii="Arial" w:cs="Arial" w:eastAsia="Arial" w:hAnsi="Arial"/>
          <w:sz w:val="16"/>
          <w:szCs w:val="16"/>
          <w:color w:val="000000"/>
        </w:rPr>
        <w:t xml:space="preserve"> each Lender and its Affiliates (and the Agents, in respect of any unpaid fees, costs and expenses payable hereunder) is authorized at any time and from time to time (with the prior consent of the Administrative Agent), without prior notice to any Loan Party, any such notice being waived by each Loan Party (on its own behalf and on behalf of each of its Subsidiaries), to the fullest extent permitted by applicable Law, to set off and apply any and all deposits (general or special, time or demand, provisional or final) (other than payroll accounts, trust </w:t>
      </w:r>
      <w:r>
        <w:rPr>
          <w:rFonts w:ascii="Arial" w:cs="Arial" w:eastAsia="Arial" w:hAnsi="Arial"/>
          <w:sz w:val="16"/>
          <w:szCs w:val="16"/>
          <w:u w:val="single" w:color="auto"/>
          <w:color w:val="0000FF"/>
        </w:rPr>
        <w:t>and tax</w:t>
      </w:r>
      <w:r>
        <w:rPr>
          <w:rFonts w:ascii="Arial" w:cs="Arial" w:eastAsia="Arial" w:hAnsi="Arial"/>
          <w:sz w:val="16"/>
          <w:szCs w:val="16"/>
          <w:color w:val="000000"/>
        </w:rPr>
        <w:t xml:space="preserve"> accounts, escrow accounts, employee benefits accounts or petty cash accounts) at any time held by, and other indebtedness at any time owing by, such Lender and its Affiliates or the Collateral Agent to or for the credit or the account of the respective Loan Parties against any and all matured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denominated in a currency different from that of the applicable deposit or Indebtedness. Each Lender agrees promptly to notify the Borrower and the Administrative Agent after any such set off and application made by such Lender; </w:t>
      </w:r>
      <w:r>
        <w:rPr>
          <w:rFonts w:ascii="Arial" w:cs="Arial" w:eastAsia="Arial" w:hAnsi="Arial"/>
          <w:sz w:val="16"/>
          <w:szCs w:val="16"/>
          <w:i w:val="1"/>
          <w:iCs w:val="1"/>
          <w:color w:val="000000"/>
        </w:rPr>
        <w:t>provided</w:t>
      </w:r>
      <w:r>
        <w:rPr>
          <w:rFonts w:ascii="Arial" w:cs="Arial" w:eastAsia="Arial" w:hAnsi="Arial"/>
          <w:sz w:val="16"/>
          <w:szCs w:val="16"/>
          <w:color w:val="000000"/>
        </w:rPr>
        <w:t>, that the failure to give such notice shall not affect the validity of such setoff and application. The rights of the Administrative Agent, the</w:t>
      </w:r>
      <w:r>
        <w:rPr>
          <w:rFonts w:ascii="Arial" w:cs="Arial" w:eastAsia="Arial" w:hAnsi="Arial"/>
          <w:sz w:val="16"/>
          <w:szCs w:val="16"/>
          <w:i w:val="1"/>
          <w:iCs w:val="1"/>
          <w:color w:val="000000"/>
        </w:rPr>
        <w:t xml:space="preserve"> </w:t>
      </w:r>
      <w:r>
        <w:rPr>
          <w:rFonts w:ascii="Arial" w:cs="Arial" w:eastAsia="Arial" w:hAnsi="Arial"/>
          <w:sz w:val="16"/>
          <w:szCs w:val="16"/>
          <w:color w:val="000000"/>
        </w:rPr>
        <w:t>Collateral Agent and each Lender under this Section 10.06 are in addition to other rights and remedies (including other rights of setoff) that the Administrative Agent, the Collateral Agent and such Lender may have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-1793875</wp:posOffset>
            </wp:positionV>
            <wp:extent cx="65151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-1656715</wp:posOffset>
            </wp:positionV>
            <wp:extent cx="148272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482725" cy="8890"/>
                    </a:xfrm>
                    <a:prstGeom prst="rect">
                      <a:avLst/>
                    </a:prstGeom>
                    <a:noFill/>
                  </pic:spPr>
                </pic:pic>
              </a:graphicData>
            </a:graphic>
          </wp:anchor>
        </w:drawing>
        <w:drawing>
          <wp:anchor simplePos="0" relativeHeight="251657728" behindDoc="1" locked="0" layoutInCell="0" allowOverlap="1">
            <wp:simplePos x="0" y="0"/>
            <wp:positionH relativeFrom="column">
              <wp:posOffset>1268730</wp:posOffset>
            </wp:positionH>
            <wp:positionV relativeFrom="paragraph">
              <wp:posOffset>-1108075</wp:posOffset>
            </wp:positionV>
            <wp:extent cx="33401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15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u w:val="single" w:color="auto"/>
          <w:color w:val="0000FF"/>
        </w:rPr>
        <w:t>Section 10.07</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10.07.</w:t>
      </w:r>
      <w:r>
        <w:rPr>
          <w:rFonts w:ascii="Arial" w:cs="Arial" w:eastAsia="Arial" w:hAnsi="Arial"/>
          <w:sz w:val="18"/>
          <w:szCs w:val="18"/>
          <w:color w:val="0000FF"/>
        </w:rPr>
        <w:t xml:space="preserve"> </w:t>
      </w:r>
      <w:r>
        <w:rPr>
          <w:rFonts w:ascii="Arial" w:cs="Arial" w:eastAsia="Arial" w:hAnsi="Arial"/>
          <w:sz w:val="18"/>
          <w:szCs w:val="18"/>
          <w:i w:val="1"/>
          <w:iCs w:val="1"/>
          <w:color w:val="000000"/>
        </w:rPr>
        <w:t>Applicable Law</w:t>
      </w:r>
      <w:r>
        <w:rPr>
          <w:rFonts w:ascii="Arial" w:cs="Arial" w:eastAsia="Arial" w:hAnsi="Arial"/>
          <w:sz w:val="18"/>
          <w:szCs w:val="18"/>
          <w:i w:val="1"/>
          <w:iCs w:val="1"/>
          <w:color w:val="FF0000"/>
          <w:strike w:val="1"/>
        </w:rPr>
        <w:t>.</w:t>
      </w:r>
      <w:r>
        <w:rPr>
          <w:rFonts w:ascii="Arial" w:cs="Arial" w:eastAsia="Arial" w:hAnsi="Arial"/>
          <w:sz w:val="18"/>
          <w:szCs w:val="18"/>
          <w:color w:val="0000FF"/>
        </w:rPr>
        <w:t xml:space="preserve"> </w:t>
      </w:r>
      <w:r>
        <w:rPr>
          <w:rFonts w:ascii="Arial" w:cs="Arial" w:eastAsia="Arial" w:hAnsi="Arial"/>
          <w:sz w:val="18"/>
          <w:szCs w:val="18"/>
          <w:color w:val="FF0000"/>
          <w:strike w:val="1"/>
        </w:rPr>
        <w:t>THIS AGREEMENT AND THE OTHER LOAN DOCUMENTS (OTHER THAN AS</w:t>
      </w:r>
      <w:r>
        <w:rPr>
          <w:rFonts w:ascii="Arial" w:cs="Arial" w:eastAsia="Arial" w:hAnsi="Arial"/>
          <w:sz w:val="18"/>
          <w:szCs w:val="18"/>
          <w:color w:val="0000FF"/>
        </w:rPr>
        <w:t xml:space="preserve"> </w:t>
      </w:r>
      <w:r>
        <w:rPr>
          <w:rFonts w:ascii="Arial" w:cs="Arial" w:eastAsia="Arial" w:hAnsi="Arial"/>
          <w:sz w:val="18"/>
          <w:szCs w:val="18"/>
          <w:color w:val="FF0000"/>
          <w:strike w:val="1"/>
        </w:rPr>
        <w:t>EXPRESSLY SET FORTH IN OTHER LOAN DOCUMENTS) SHALL BE CONSTRUED IN ACCORDANCE WITH AND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5151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4" w:lineRule="exact"/>
        <w:rPr>
          <w:sz w:val="20"/>
          <w:szCs w:val="20"/>
          <w:color w:val="auto"/>
        </w:rPr>
      </w:pPr>
    </w:p>
    <w:p>
      <w:pPr>
        <w:ind w:left="4" w:hanging="4"/>
        <w:spacing w:after="0" w:line="277" w:lineRule="auto"/>
        <w:tabs>
          <w:tab w:leader="none" w:pos="94" w:val="left"/>
        </w:tabs>
        <w:numPr>
          <w:ilvl w:val="0"/>
          <w:numId w:val="256"/>
        </w:numPr>
        <w:rPr>
          <w:rFonts w:ascii="Arial" w:cs="Arial" w:eastAsia="Arial" w:hAnsi="Arial"/>
          <w:sz w:val="18"/>
          <w:szCs w:val="18"/>
          <w:i w:val="1"/>
          <w:iCs w:val="1"/>
          <w:u w:val="single" w:color="auto"/>
          <w:color w:val="0000FF"/>
        </w:rPr>
      </w:pPr>
      <w:r>
        <w:rPr>
          <w:rFonts w:ascii="Arial" w:cs="Arial" w:eastAsia="Arial" w:hAnsi="Arial"/>
          <w:sz w:val="18"/>
          <w:szCs w:val="18"/>
          <w:u w:val="single" w:color="auto"/>
          <w:color w:val="0000FF"/>
        </w:rPr>
        <w:t>This Agreement and the other Loan Documents shall be governed by, and construed in accordance with, the law of the State of New York, except to the extent New York law is superseded by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98627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277749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04"/>
          </w:cols>
          <w:pgMar w:left="436" w:top="274" w:right="459" w:bottom="1440" w:gutter="0" w:footer="0" w:header="0"/>
        </w:sectPr>
      </w:pPr>
    </w:p>
    <w:bookmarkStart w:id="308" w:name="page309"/>
    <w:bookmarkEnd w:id="308"/>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10.08</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10.08.</w:t>
      </w:r>
      <w:r>
        <w:rPr>
          <w:rFonts w:ascii="Arial" w:cs="Arial" w:eastAsia="Arial" w:hAnsi="Arial"/>
          <w:sz w:val="18"/>
          <w:szCs w:val="18"/>
          <w:color w:val="0000FF"/>
        </w:rPr>
        <w:t xml:space="preserve"> </w:t>
      </w:r>
      <w:r>
        <w:rPr>
          <w:rFonts w:ascii="Arial" w:cs="Arial" w:eastAsia="Arial" w:hAnsi="Arial"/>
          <w:sz w:val="18"/>
          <w:szCs w:val="18"/>
          <w:i w:val="1"/>
          <w:iCs w:val="1"/>
          <w:color w:val="000000"/>
        </w:rPr>
        <w:t>Waivers; Amendment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5151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(a) No failure or delay of the Administrative Agent, the Collateral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paragraph (b) below, and then such waiver or consent shall be effective only in the specific instance and for the purpose for which given. No notice or demand on the Borrower in any case shall entitle the Borrower to any other or further notice or demand in similar or other circumstances.</w:t>
      </w:r>
    </w:p>
    <w:p>
      <w:pPr>
        <w:spacing w:after="0" w:line="16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u w:val="single" w:color="auto"/>
          <w:color w:val="0000FF"/>
        </w:rPr>
        <w:t>(b)</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Neither this Agreement nor any other Loan Document nor any provision hereof or thereof may be waived, amended or modified except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pursuant to an agreement or agreements in writing entered into by the Administrative Agent, the Borrower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-163195</wp:posOffset>
            </wp:positionV>
            <wp:extent cx="643763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565785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2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FF0000"/>
          <w:strike w:val="1"/>
        </w:rPr>
        <w:t>(b) Except as provided in Section 2.18, with respect to any Refinancing Amendment, in Section 2.19 with respect to an Extension Offer or as otherwise provided herein or in a Loan Document, neither this Agreement nor any other Loan Document nor any provision hereof or thereof may be waived, amended or modified except (x) in the case of this Agreement, pursuant to an agreement or agreements in writing entered into by the Borrower and the Required Lenders and (y) in the case of any other Loan Document, pursuant to an agreement or agreements in writing entered into by each party thereto with the consent of the Required Lenders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amendments to the ABL Intercreditor Agreement shall require the agreement of the Loan Parties (or any of them) only to the extent required pursuant to the terms thereof); </w:t>
      </w:r>
      <w:r>
        <w:rPr>
          <w:rFonts w:ascii="Arial" w:cs="Arial" w:eastAsia="Arial" w:hAnsi="Arial"/>
          <w:sz w:val="16"/>
          <w:szCs w:val="16"/>
          <w:i w:val="1"/>
          <w:iCs w:val="1"/>
          <w:color w:val="FF0000"/>
          <w:strike w:val="1"/>
        </w:rPr>
        <w:t>provided, however</w:t>
      </w:r>
      <w:r>
        <w:rPr>
          <w:rFonts w:ascii="Arial" w:cs="Arial" w:eastAsia="Arial" w:hAnsi="Arial"/>
          <w:sz w:val="16"/>
          <w:szCs w:val="16"/>
          <w:color w:val="FF0000"/>
          <w:strike w:val="1"/>
        </w:rPr>
        <w:t>, that no such agreement shall (i) decrease the principal amount of, or extend the maturity of or any scheduled principal payment date or date for the payment of any fee or any interest on any Loan, or waive or excuse any such payment or any part thereof (other than with respect to any default interest), or decrease the amount of any fee or the rate of interest on any Loan (other than with respect to any default interest), without the prior written consent of each Lender directly and adversely affected thereby (it being understood that (x) the waiver of (or amendment to the terms of) any mandatory prepayment of the Loans shall not constitute a postponement of any date scheduled for the payment of principal or interest, (y) any change to the definition of “Consolidated EBITDA” or in the component definitions thereof shall not constitute a reduction or forgiveness in any rate of interest pursuant to this clause (i), (ii) increase or extend the Commitment of any Lender without the prior written consent of such Lender (it being understood that a waiver of any condition precedent or of any Default or Event of Default, mandatory prepayment or mandatory reduction of the Commitments shall not constitute an extension or increase of any Commitment of any Lender), (iii) amend or modify the pro rata requirements of Section 2.13(b), Section 2.13(c) or Section 2.14, the provisions of Section 10.04(j) or the provisions of this Section or release all or substantially all of the Guarantors (other than in connection with the sale of such Guarantors in a transaction permitted by Sections 7.04 or 7.05) or all or substantially all of the Collateral (other than as permitted hereby), without the prior written consent of each Lender directly and adversely affected thereby (or, in the case of Section 10.04(j), each Lender), (iv) change the provisions of any Loan Document in a manner that by its terms materially and adversely affects the rights of Lenders holding Loans of one Class differently from the rights of Lenders holding Loans of any other Class without the prior written consent of the Required Class Lenders with respect to each materially and adversely affected Class, (v) modify the protections afforded to an SPV pursuant to the provisions of Section 10.04(i) without the written consent of such SPV (vi) reduce the percentage contained in the definition of the term “Required Lenders” without the prior written consent of each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0"/>
          </w:cols>
          <w:pgMar w:left="440" w:top="274" w:right="459" w:bottom="1440" w:gutter="0" w:footer="0" w:header="0"/>
        </w:sectPr>
      </w:pPr>
    </w:p>
    <w:bookmarkStart w:id="309" w:name="page310"/>
    <w:bookmarkEnd w:id="309"/>
    <w:p>
      <w:pPr>
        <w:spacing w:after="0" w:line="285"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(it being understood that, with the consent of the Required Lenders (if such consent is otherwise required), additional extensions of credit pursuant to this Agreement may be included in the determination of the Required Lenders on substantially the same basis as the Term Loan Commitments on the Restatement Effective Date) or (vii) modify the definition of “Required Class Lenders” without the consent of the Required Class Lenders with respect to each Class of Loans or Commitments; </w:t>
      </w:r>
      <w:r>
        <w:rPr>
          <w:rFonts w:ascii="Arial" w:cs="Arial" w:eastAsia="Arial" w:hAnsi="Arial"/>
          <w:sz w:val="16"/>
          <w:szCs w:val="16"/>
          <w:i w:val="1"/>
          <w:iCs w:val="1"/>
          <w:color w:val="FF0000"/>
          <w:strike w:val="1"/>
        </w:rPr>
        <w:t>provided further</w:t>
      </w:r>
      <w:r>
        <w:rPr>
          <w:rFonts w:ascii="Arial" w:cs="Arial" w:eastAsia="Arial" w:hAnsi="Arial"/>
          <w:sz w:val="16"/>
          <w:szCs w:val="16"/>
          <w:color w:val="FF0000"/>
          <w:strike w:val="1"/>
        </w:rPr>
        <w:t xml:space="preserve"> that (w) no Lender consent is required to effect a Refinancing Amendment or an Extension (except as expressly provided in 2.18 or 2.19, as applicable) or to effect any amendment expressly contemplated by Section 7.12, (x) [reserved], (y) modifications to Section 2.14, 2.15 or any other provision requiring pro rata payments or sharing of payments in connection with (I) any buy back of Term Loans by the Borrower pursuant to Section 10.04(k) or pursuant to any similar program that may in the future be permitted hereunder, (II) [reserved] or (III) any Extension, shall only require approval (to the extent any such approval is otherwise required) of the Lenders participating and (z) no Lender consent other than the consent of the Required Lenders is required to effect any amendment or supplement to the ABL Intercreditor Agreement or the Junior Lien Intercreditor Agreement (I) that the Administrative Agent is otherwise authorized to enter into with only the consent of the Required Lenders by Section 10.23, (II) that is for the purpose of adding the holders of Permitted Junior Priority Additional Debt, (or a Junior Representative with respect thereto) as parties thereto, as expressly contemplated by the Junior Lien Intercreditor Agreement (it being understood that any such amendment or supplement may make such other changes to the applicable intercreditor agreement as, in the good faith determination of the Administrative Agent, are required to effectuate the foregoing and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such other changes are not adverse, in any material respect, to the interests of the Lenders) or (III) that is expressly contemplated by Section 5.2(c) or the second paragraph of Section 7.4 of the ABL Intercreditor Agreement (or the comparable provisions, if any, of the Junior Lien Intercreditor Agreement); </w:t>
      </w:r>
      <w:r>
        <w:rPr>
          <w:rFonts w:ascii="Arial" w:cs="Arial" w:eastAsia="Arial" w:hAnsi="Arial"/>
          <w:sz w:val="16"/>
          <w:szCs w:val="16"/>
          <w:i w:val="1"/>
          <w:iCs w:val="1"/>
          <w:color w:val="FF0000"/>
          <w:strike w:val="1"/>
        </w:rPr>
        <w:t>provided further</w:t>
      </w:r>
      <w:r>
        <w:rPr>
          <w:rFonts w:ascii="Arial" w:cs="Arial" w:eastAsia="Arial" w:hAnsi="Arial"/>
          <w:sz w:val="16"/>
          <w:szCs w:val="16"/>
          <w:color w:val="FF0000"/>
          <w:strike w:val="1"/>
        </w:rPr>
        <w:t xml:space="preserve"> that no such agreement shall amend, modify or otherwise adversely affect the rights or duties of the Administrative Agent or the Collateral Agent hereunder or under any other Loan Document without the prior written consent of the Required Lenders, Administrative Agent or the Collateral Agent, as applicable.</w:t>
      </w:r>
    </w:p>
    <w:p>
      <w:pPr>
        <w:spacing w:after="0" w:line="63" w:lineRule="exact"/>
        <w:rPr>
          <w:sz w:val="20"/>
          <w:szCs w:val="20"/>
          <w:color w:val="auto"/>
        </w:rPr>
      </w:pPr>
    </w:p>
    <w:p>
      <w:pPr>
        <w:jc w:val="both"/>
        <w:ind w:left="1420" w:right="80" w:firstLine="383"/>
        <w:spacing w:after="0" w:line="287" w:lineRule="auto"/>
        <w:rPr>
          <w:sz w:val="20"/>
          <w:szCs w:val="20"/>
          <w:color w:val="auto"/>
        </w:rPr>
      </w:pPr>
      <w:r>
        <w:rPr>
          <w:rFonts w:ascii="Arial" w:cs="Arial" w:eastAsia="Arial" w:hAnsi="Arial"/>
          <w:sz w:val="16"/>
          <w:szCs w:val="16"/>
          <w:color w:val="FF0000"/>
          <w:strike w:val="1"/>
        </w:rPr>
        <w:t>Notwithstanding any other language to the contrary contained herein, with respect to any amendment, waiver or modification to which the Administrative Agent’s consent is not required, the parties agree to deliver to the Administrative Agent a copy of each such amendment, waiver or modification; provided that, (i) no party shall be liable for its failure to comply with this sentence and</w:t>
      </w:r>
    </w:p>
    <w:p>
      <w:pPr>
        <w:spacing w:after="0" w:line="2" w:lineRule="exact"/>
        <w:rPr>
          <w:sz w:val="20"/>
          <w:szCs w:val="20"/>
          <w:color w:val="auto"/>
        </w:rPr>
      </w:pPr>
    </w:p>
    <w:p>
      <w:pPr>
        <w:ind w:left="1700" w:hanging="272"/>
        <w:spacing w:after="0"/>
        <w:tabs>
          <w:tab w:leader="none" w:pos="1700" w:val="left"/>
        </w:tabs>
        <w:numPr>
          <w:ilvl w:val="1"/>
          <w:numId w:val="257"/>
        </w:numPr>
        <w:rPr>
          <w:rFonts w:ascii="Arial" w:cs="Arial" w:eastAsia="Arial" w:hAnsi="Arial"/>
          <w:sz w:val="18"/>
          <w:szCs w:val="18"/>
          <w:color w:val="FF0000"/>
          <w:strike w:val="1"/>
        </w:rPr>
      </w:pPr>
      <w:r>
        <w:rPr>
          <w:rFonts w:ascii="Arial" w:cs="Arial" w:eastAsia="Arial" w:hAnsi="Arial"/>
          <w:sz w:val="18"/>
          <w:szCs w:val="18"/>
          <w:color w:val="FF0000"/>
          <w:strike w:val="1"/>
        </w:rPr>
        <w:t>the Administrative Agent shall not be bound by any such amendment unless and until it has received a copy thereof.</w:t>
      </w:r>
    </w:p>
    <w:p>
      <w:pPr>
        <w:spacing w:after="0" w:line="210" w:lineRule="exact"/>
        <w:rPr>
          <w:rFonts w:ascii="Arial" w:cs="Arial" w:eastAsia="Arial" w:hAnsi="Arial"/>
          <w:sz w:val="18"/>
          <w:szCs w:val="18"/>
          <w:color w:val="FF0000"/>
          <w:strike w:val="1"/>
        </w:rPr>
      </w:pPr>
    </w:p>
    <w:p>
      <w:pPr>
        <w:ind w:firstLine="436"/>
        <w:spacing w:after="0" w:line="288" w:lineRule="auto"/>
        <w:tabs>
          <w:tab w:leader="none" w:pos="685" w:val="left"/>
        </w:tabs>
        <w:numPr>
          <w:ilvl w:val="0"/>
          <w:numId w:val="258"/>
        </w:numPr>
        <w:rPr>
          <w:rFonts w:ascii="Arial" w:cs="Arial" w:eastAsia="Arial" w:hAnsi="Arial"/>
          <w:sz w:val="16"/>
          <w:szCs w:val="16"/>
          <w:color w:val="FF0000"/>
          <w:strike w:val="1"/>
        </w:rPr>
      </w:pPr>
      <w:r>
        <w:rPr>
          <w:rFonts w:ascii="Arial" w:cs="Arial" w:eastAsia="Arial" w:hAnsi="Arial"/>
          <w:sz w:val="16"/>
          <w:szCs w:val="16"/>
          <w:color w:val="FF0000"/>
          <w:strike w:val="1"/>
        </w:rPr>
        <w:t>Notwithstanding the foregoing, this Agreement and any other Loan Document may be amended solely with the consent of the Administrative Agent, the Required Lenders and the Borrower without the need to obtain the consent of any other Lender if such amendment is delivered in order to if such amendment is delivered in order to correct or cure (x) ambiguities, errors, omissions, defects, (y) to effect administrative changes of a technical or immaterial nature or (z) incorrect cross references or similar inaccuracies in this Agreement or the applicable Loan Document. This Agreement, guarantees, collateral documents, security documents, intercreditor agreements, and related documents executed in connection with this Agreement may be in a form reasonably determined by the Administrative Agent or Collateral Agent, as applicable, and may be amended, modified, terminated or waived, and consent to any departure therefrom may be given, without the consent of any Lender if such amendment, modification, waiver or consent is given in order to (x) comply with local law or advice of counsel or (y) cause such guarantee, collateral document, security document or related document to be consistent with this Agreement and the other Loan Documents. The Borrower, the Required Lenders and the Administrative Agent may, without the consent of any other Lender, effect amendments to this Agreement and the other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960"/>
          </w:cols>
          <w:pgMar w:left="440" w:top="274" w:right="499" w:bottom="1440" w:gutter="0" w:footer="0" w:header="0"/>
        </w:sectPr>
      </w:pPr>
    </w:p>
    <w:bookmarkStart w:id="310" w:name="page311"/>
    <w:bookmarkEnd w:id="310"/>
    <w:p>
      <w:pPr>
        <w:ind w:right="16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Documents as may be necessary in the reasonable opinion of the Borrower, the Required Lenders and the Administrative Agent to effect the provisions of Section 2.05, Section 2.1 7, Section 2.18 and Section 2.19 . Notwithstanding anything to the contrary contained herein, such amendment shall become effective without any further consent of any other party to such Loan Document.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Section 10.09</w:t>
      </w:r>
      <w:r>
        <w:rPr>
          <w:rFonts w:ascii="Arial" w:cs="Arial" w:eastAsia="Arial" w:hAnsi="Arial"/>
          <w:sz w:val="16"/>
          <w:szCs w:val="16"/>
          <w:color w:val="000000"/>
        </w:rPr>
        <w:t xml:space="preserve"> </w:t>
      </w:r>
      <w:r>
        <w:rPr>
          <w:rFonts w:ascii="Arial" w:cs="Arial" w:eastAsia="Arial" w:hAnsi="Arial"/>
          <w:sz w:val="16"/>
          <w:szCs w:val="16"/>
          <w:color w:val="FF0000"/>
          <w:strike w:val="1"/>
        </w:rPr>
        <w:t>Section 10.09.</w:t>
      </w:r>
      <w:r>
        <w:rPr>
          <w:rFonts w:ascii="Arial" w:cs="Arial" w:eastAsia="Arial" w:hAnsi="Arial"/>
          <w:sz w:val="16"/>
          <w:szCs w:val="16"/>
          <w:color w:val="0000FF"/>
        </w:rPr>
        <w:t xml:space="preserve"> </w:t>
      </w:r>
      <w:r>
        <w:rPr>
          <w:rFonts w:ascii="Arial" w:cs="Arial" w:eastAsia="Arial" w:hAnsi="Arial"/>
          <w:sz w:val="16"/>
          <w:szCs w:val="16"/>
          <w:i w:val="1"/>
          <w:iCs w:val="1"/>
          <w:color w:val="000000"/>
        </w:rPr>
        <w:t>Interest Rate Limitation.</w:t>
      </w:r>
      <w:r>
        <w:rPr>
          <w:rFonts w:ascii="Arial" w:cs="Arial" w:eastAsia="Arial" w:hAnsi="Arial"/>
          <w:sz w:val="16"/>
          <w:szCs w:val="16"/>
          <w:color w:val="0000FF"/>
        </w:rPr>
        <w:t xml:space="preserve"> </w:t>
      </w:r>
      <w:r>
        <w:rPr>
          <w:rFonts w:ascii="Arial" w:cs="Arial" w:eastAsia="Arial" w:hAnsi="Arial"/>
          <w:sz w:val="16"/>
          <w:szCs w:val="16"/>
          <w:color w:val="000000"/>
        </w:rPr>
        <w:t>Notwithstanding anything herein to the contrary, if at any time the interest rate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any Loan, together with all fees, charges and other amounts which are treated as interest on such Loan under applicable Law (collectively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-114935</wp:posOffset>
            </wp:positionV>
            <wp:extent cx="65151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b w:val="1"/>
          <w:bCs w:val="1"/>
          <w:color w:val="auto"/>
        </w:rPr>
        <w:t>Maximum Rate</w:t>
      </w:r>
      <w:r>
        <w:rPr>
          <w:rFonts w:ascii="Arial" w:cs="Arial" w:eastAsia="Arial" w:hAnsi="Arial"/>
          <w:sz w:val="16"/>
          <w:szCs w:val="16"/>
          <w:color w:val="auto"/>
        </w:rPr>
        <w:t>”) which may be contracted for, charged, taken, received or reserved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Lender holding such Loan or participation in accordance with applicable Law, the rate of interest payable in respect of such Loan or participation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hereunder, together with all Charges payable in respect thereof, shall be limited to the Maximum Rate and, to the extent lawful, the interest and Charges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that would have been payable in respect of such Loan or participation but were not payable as a result of the operation of this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cumulated and the interest and Charges payable to such Lender in respect of other Loans or participations or periods shall be increased (but not above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Rate therefor) until such cumulated amount, together with interest thereon at the Federal Funds Effective Rate to the date of repayment,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been received by such Lender.</w:t>
      </w:r>
    </w:p>
    <w:p>
      <w:pPr>
        <w:spacing w:after="0" w:line="211"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u w:val="single" w:color="auto"/>
          <w:color w:val="0000FF"/>
        </w:rPr>
        <w:t>Section 10.10</w:t>
      </w:r>
      <w:r>
        <w:rPr>
          <w:rFonts w:ascii="Arial" w:cs="Arial" w:eastAsia="Arial" w:hAnsi="Arial"/>
          <w:sz w:val="16"/>
          <w:szCs w:val="16"/>
          <w:color w:val="000000"/>
        </w:rPr>
        <w:t xml:space="preserve"> </w:t>
      </w:r>
      <w:r>
        <w:rPr>
          <w:rFonts w:ascii="Arial" w:cs="Arial" w:eastAsia="Arial" w:hAnsi="Arial"/>
          <w:sz w:val="16"/>
          <w:szCs w:val="16"/>
          <w:color w:val="FF0000"/>
          <w:strike w:val="1"/>
        </w:rPr>
        <w:t>Section 10.10.</w:t>
      </w:r>
      <w:r>
        <w:rPr>
          <w:rFonts w:ascii="Arial" w:cs="Arial" w:eastAsia="Arial" w:hAnsi="Arial"/>
          <w:sz w:val="16"/>
          <w:szCs w:val="16"/>
          <w:color w:val="0000FF"/>
        </w:rPr>
        <w:t xml:space="preserve"> </w:t>
      </w:r>
      <w:r>
        <w:rPr>
          <w:rFonts w:ascii="Arial" w:cs="Arial" w:eastAsia="Arial" w:hAnsi="Arial"/>
          <w:sz w:val="16"/>
          <w:szCs w:val="16"/>
          <w:i w:val="1"/>
          <w:iCs w:val="1"/>
          <w:color w:val="000000"/>
        </w:rPr>
        <w:t>Entire Agreement.</w:t>
      </w:r>
      <w:r>
        <w:rPr>
          <w:rFonts w:ascii="Arial" w:cs="Arial" w:eastAsia="Arial" w:hAnsi="Arial"/>
          <w:sz w:val="16"/>
          <w:szCs w:val="16"/>
          <w:color w:val="0000FF"/>
        </w:rPr>
        <w:t xml:space="preserve"> </w:t>
      </w:r>
      <w:r>
        <w:rPr>
          <w:rFonts w:ascii="Arial" w:cs="Arial" w:eastAsia="Arial" w:hAnsi="Arial"/>
          <w:sz w:val="16"/>
          <w:szCs w:val="16"/>
          <w:color w:val="000000"/>
        </w:rPr>
        <w:t>This Agreement,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Agency</w:t>
      </w:r>
      <w:r>
        <w:rPr>
          <w:rFonts w:ascii="Arial" w:cs="Arial" w:eastAsia="Arial" w:hAnsi="Arial"/>
          <w:sz w:val="16"/>
          <w:szCs w:val="16"/>
          <w:color w:val="0000FF"/>
        </w:rPr>
        <w:t xml:space="preserve"> </w:t>
      </w:r>
      <w:r>
        <w:rPr>
          <w:rFonts w:ascii="Arial" w:cs="Arial" w:eastAsia="Arial" w:hAnsi="Arial"/>
          <w:sz w:val="16"/>
          <w:szCs w:val="16"/>
          <w:color w:val="000000"/>
        </w:rPr>
        <w:t>Fee Letter and the other Loan Documents constitute the entire</w:t>
      </w:r>
      <w:r>
        <w:rPr>
          <w:rFonts w:ascii="Arial" w:cs="Arial" w:eastAsia="Arial" w:hAnsi="Arial"/>
          <w:sz w:val="16"/>
          <w:szCs w:val="16"/>
          <w:color w:val="0000FF"/>
        </w:rPr>
        <w:t xml:space="preserve"> </w:t>
      </w:r>
      <w:r>
        <w:rPr>
          <w:rFonts w:ascii="Arial" w:cs="Arial" w:eastAsia="Arial" w:hAnsi="Arial"/>
          <w:sz w:val="16"/>
          <w:szCs w:val="16"/>
          <w:color w:val="000000"/>
        </w:rPr>
        <w:t xml:space="preserve">contract between the parties relative to the subject matter hereof. Any other previous agreement among the parties with respect to the subject matter hereof is superseded by this Agreement and the other Loan Documents. Nothing in this Agreement or in the other Loan Documents, expressed or implied, is intended to confer upon any Person (other than the parties hereto and thereto, their respective successors and assigns permitted hereunder and, to the extent expressly contemplated hereby, the Related Parties of each of the </w:t>
      </w:r>
      <w:r>
        <w:rPr>
          <w:rFonts w:ascii="Arial" w:cs="Arial" w:eastAsia="Arial" w:hAnsi="Arial"/>
          <w:sz w:val="16"/>
          <w:szCs w:val="16"/>
          <w:color w:val="FF0000"/>
          <w:strike w:val="1"/>
        </w:rPr>
        <w:t>Required</w:t>
      </w:r>
      <w:r>
        <w:rPr>
          <w:rFonts w:ascii="Arial" w:cs="Arial" w:eastAsia="Arial" w:hAnsi="Arial"/>
          <w:sz w:val="16"/>
          <w:szCs w:val="16"/>
          <w:color w:val="000000"/>
        </w:rPr>
        <w:t xml:space="preserve"> Lenders, Administrative Agent, the Collateral Agent and the Lenders) any rights, remedies, obligations or liabilities under or by reason of this Agreement or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-700405</wp:posOffset>
            </wp:positionV>
            <wp:extent cx="65151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-700405</wp:posOffset>
            </wp:positionV>
            <wp:extent cx="38608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14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u w:val="single" w:color="auto"/>
          <w:color w:val="0000FF"/>
        </w:rPr>
        <w:t>Section 10.11</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10.11.</w:t>
      </w:r>
      <w:r>
        <w:rPr>
          <w:rFonts w:ascii="Arial" w:cs="Arial" w:eastAsia="Arial" w:hAnsi="Arial"/>
          <w:sz w:val="18"/>
          <w:szCs w:val="18"/>
          <w:color w:val="0000FF"/>
        </w:rPr>
        <w:t xml:space="preserve"> </w:t>
      </w:r>
      <w:r>
        <w:rPr>
          <w:rFonts w:ascii="Arial" w:cs="Arial" w:eastAsia="Arial" w:hAnsi="Arial"/>
          <w:sz w:val="18"/>
          <w:szCs w:val="18"/>
          <w:i w:val="1"/>
          <w:iCs w:val="1"/>
          <w:color w:val="000000"/>
        </w:rPr>
        <w:t>WAIVER OF JURY TRIAL</w:t>
      </w:r>
      <w:r>
        <w:rPr>
          <w:rFonts w:ascii="Arial" w:cs="Arial" w:eastAsia="Arial" w:hAnsi="Arial"/>
          <w:sz w:val="18"/>
          <w:szCs w:val="18"/>
          <w:color w:val="000000"/>
        </w:rPr>
        <w:t>. EACH PARTY HERETO HEREBY WAIVES, TO THE FULLEST EXTENT</w:t>
      </w:r>
      <w:r>
        <w:rPr>
          <w:rFonts w:ascii="Arial" w:cs="Arial" w:eastAsia="Arial" w:hAnsi="Arial"/>
          <w:sz w:val="18"/>
          <w:szCs w:val="18"/>
          <w:color w:val="0000FF"/>
        </w:rPr>
        <w:t xml:space="preserve"> </w:t>
      </w:r>
      <w:r>
        <w:rPr>
          <w:rFonts w:ascii="Arial" w:cs="Arial" w:eastAsia="Arial" w:hAnsi="Arial"/>
          <w:sz w:val="18"/>
          <w:szCs w:val="18"/>
          <w:color w:val="000000"/>
        </w:rPr>
        <w:t xml:space="preserve">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Arial" w:cs="Arial" w:eastAsia="Arial" w:hAnsi="Arial"/>
          <w:sz w:val="18"/>
          <w:szCs w:val="18"/>
          <w:u w:val="single" w:color="auto"/>
          <w:color w:val="000000"/>
        </w:rPr>
        <w:t>SECTION 10.11</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-957580</wp:posOffset>
            </wp:positionV>
            <wp:extent cx="65151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7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u w:val="single" w:color="auto"/>
          <w:color w:val="0000FF"/>
        </w:rPr>
        <w:t>Section 10.12</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10.12.</w:t>
      </w:r>
      <w:r>
        <w:rPr>
          <w:rFonts w:ascii="Arial" w:cs="Arial" w:eastAsia="Arial" w:hAnsi="Arial"/>
          <w:sz w:val="18"/>
          <w:szCs w:val="18"/>
          <w:color w:val="0000FF"/>
        </w:rPr>
        <w:t xml:space="preserve"> </w:t>
      </w:r>
      <w:r>
        <w:rPr>
          <w:rFonts w:ascii="Arial" w:cs="Arial" w:eastAsia="Arial" w:hAnsi="Arial"/>
          <w:sz w:val="18"/>
          <w:szCs w:val="18"/>
          <w:i w:val="1"/>
          <w:iCs w:val="1"/>
          <w:color w:val="000000"/>
        </w:rPr>
        <w:t>Severability.</w:t>
      </w:r>
      <w:r>
        <w:rPr>
          <w:rFonts w:ascii="Arial" w:cs="Arial" w:eastAsia="Arial" w:hAnsi="Arial"/>
          <w:sz w:val="18"/>
          <w:szCs w:val="18"/>
          <w:color w:val="0000FF"/>
        </w:rPr>
        <w:t xml:space="preserve"> </w:t>
      </w:r>
      <w:r>
        <w:rPr>
          <w:rFonts w:ascii="Arial" w:cs="Arial" w:eastAsia="Arial" w:hAnsi="Arial"/>
          <w:sz w:val="18"/>
          <w:szCs w:val="18"/>
          <w:color w:val="000000"/>
        </w:rPr>
        <w:t>In the event any one or more of the provisions contained in this Agreement or in any other Loan</w:t>
      </w:r>
      <w:r>
        <w:rPr>
          <w:rFonts w:ascii="Arial" w:cs="Arial" w:eastAsia="Arial" w:hAnsi="Arial"/>
          <w:sz w:val="18"/>
          <w:szCs w:val="18"/>
          <w:color w:val="0000FF"/>
        </w:rPr>
        <w:t xml:space="preserve"> </w:t>
      </w:r>
      <w:r>
        <w:rPr>
          <w:rFonts w:ascii="Arial" w:cs="Arial" w:eastAsia="Arial" w:hAnsi="Arial"/>
          <w:sz w:val="18"/>
          <w:szCs w:val="18"/>
          <w:color w:val="000000"/>
        </w:rPr>
        <w:t>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5151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960"/>
          </w:cols>
          <w:pgMar w:left="440" w:top="274" w:right="499" w:bottom="1440" w:gutter="0" w:footer="0" w:header="0"/>
        </w:sectPr>
      </w:pPr>
    </w:p>
    <w:bookmarkStart w:id="311" w:name="page312"/>
    <w:bookmarkEnd w:id="311"/>
    <w:p>
      <w:pPr>
        <w:ind w:right="140" w:firstLine="44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10.13</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10.13.</w:t>
      </w:r>
      <w:r>
        <w:rPr>
          <w:rFonts w:ascii="Arial" w:cs="Arial" w:eastAsia="Arial" w:hAnsi="Arial"/>
          <w:sz w:val="18"/>
          <w:szCs w:val="18"/>
          <w:color w:val="0000FF"/>
        </w:rPr>
        <w:t xml:space="preserve"> </w:t>
      </w:r>
      <w:r>
        <w:rPr>
          <w:rFonts w:ascii="Arial" w:cs="Arial" w:eastAsia="Arial" w:hAnsi="Arial"/>
          <w:sz w:val="18"/>
          <w:szCs w:val="18"/>
          <w:i w:val="1"/>
          <w:iCs w:val="1"/>
          <w:color w:val="000000"/>
        </w:rPr>
        <w:t>Counterparts.</w:t>
      </w:r>
      <w:r>
        <w:rPr>
          <w:rFonts w:ascii="Arial" w:cs="Arial" w:eastAsia="Arial" w:hAnsi="Arial"/>
          <w:sz w:val="18"/>
          <w:szCs w:val="18"/>
          <w:color w:val="0000FF"/>
        </w:rPr>
        <w:t xml:space="preserve"> </w:t>
      </w:r>
      <w:r>
        <w:rPr>
          <w:rFonts w:ascii="Arial" w:cs="Arial" w:eastAsia="Arial" w:hAnsi="Arial"/>
          <w:sz w:val="18"/>
          <w:szCs w:val="18"/>
          <w:color w:val="000000"/>
        </w:rPr>
        <w:t>This Agreement may be executed in counterparts (and by different parties hereto on different</w:t>
      </w:r>
      <w:r>
        <w:rPr>
          <w:rFonts w:ascii="Arial" w:cs="Arial" w:eastAsia="Arial" w:hAnsi="Arial"/>
          <w:sz w:val="18"/>
          <w:szCs w:val="18"/>
          <w:color w:val="0000FF"/>
        </w:rPr>
        <w:t xml:space="preserve"> </w:t>
      </w:r>
      <w:r>
        <w:rPr>
          <w:rFonts w:ascii="Arial" w:cs="Arial" w:eastAsia="Arial" w:hAnsi="Arial"/>
          <w:sz w:val="18"/>
          <w:szCs w:val="18"/>
          <w:color w:val="000000"/>
        </w:rPr>
        <w:t>counterparts), each of which shall constitute an original but all of which when taken together shall constitute a single contract, and shall become effective as provided in Section 10.03. Delivery of an executed signature page to this Agreement by facsimile or other electronic imaging transmission shall be as effective as delivery of a manually signed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151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7"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u w:val="single" w:color="auto"/>
          <w:color w:val="0000FF"/>
        </w:rPr>
        <w:t>Section 10.14</w:t>
      </w:r>
      <w:r>
        <w:rPr>
          <w:rFonts w:ascii="Arial" w:cs="Arial" w:eastAsia="Arial" w:hAnsi="Arial"/>
          <w:sz w:val="16"/>
          <w:szCs w:val="16"/>
          <w:color w:val="000000"/>
        </w:rPr>
        <w:t xml:space="preserve"> </w:t>
      </w:r>
      <w:r>
        <w:rPr>
          <w:rFonts w:ascii="Arial" w:cs="Arial" w:eastAsia="Arial" w:hAnsi="Arial"/>
          <w:sz w:val="16"/>
          <w:szCs w:val="16"/>
          <w:color w:val="FF0000"/>
          <w:strike w:val="1"/>
        </w:rPr>
        <w:t>Section 10.14.</w:t>
      </w:r>
      <w:r>
        <w:rPr>
          <w:rFonts w:ascii="Arial" w:cs="Arial" w:eastAsia="Arial" w:hAnsi="Arial"/>
          <w:sz w:val="16"/>
          <w:szCs w:val="16"/>
          <w:color w:val="0000FF"/>
        </w:rPr>
        <w:t xml:space="preserve"> </w:t>
      </w:r>
      <w:r>
        <w:rPr>
          <w:rFonts w:ascii="Arial" w:cs="Arial" w:eastAsia="Arial" w:hAnsi="Arial"/>
          <w:sz w:val="16"/>
          <w:szCs w:val="16"/>
          <w:i w:val="1"/>
          <w:iCs w:val="1"/>
          <w:color w:val="000000"/>
        </w:rPr>
        <w:t>Headings.</w:t>
      </w:r>
      <w:r>
        <w:rPr>
          <w:rFonts w:ascii="Arial" w:cs="Arial" w:eastAsia="Arial" w:hAnsi="Arial"/>
          <w:sz w:val="16"/>
          <w:szCs w:val="16"/>
          <w:color w:val="0000FF"/>
        </w:rPr>
        <w:t xml:space="preserve"> </w:t>
      </w:r>
      <w:r>
        <w:rPr>
          <w:rFonts w:ascii="Arial" w:cs="Arial" w:eastAsia="Arial" w:hAnsi="Arial"/>
          <w:sz w:val="16"/>
          <w:szCs w:val="16"/>
          <w:color w:val="000000"/>
        </w:rPr>
        <w:t>Article and Section headings and the Table of Contents used herein are for convenience of reference</w:t>
      </w:r>
      <w:r>
        <w:rPr>
          <w:rFonts w:ascii="Arial" w:cs="Arial" w:eastAsia="Arial" w:hAnsi="Arial"/>
          <w:sz w:val="16"/>
          <w:szCs w:val="16"/>
          <w:color w:val="0000FF"/>
        </w:rPr>
        <w:t xml:space="preserve"> </w:t>
      </w:r>
      <w:r>
        <w:rPr>
          <w:rFonts w:ascii="Arial" w:cs="Arial" w:eastAsia="Arial" w:hAnsi="Arial"/>
          <w:sz w:val="16"/>
          <w:szCs w:val="16"/>
          <w:color w:val="000000"/>
        </w:rPr>
        <w:t>only, are not part of this Agreement and are not to affect the construction of, or to be taken into consideration in interpreting,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-177800</wp:posOffset>
            </wp:positionV>
            <wp:extent cx="65151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10.15</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10.15.</w:t>
      </w:r>
      <w:r>
        <w:rPr>
          <w:rFonts w:ascii="Arial" w:cs="Arial" w:eastAsia="Arial" w:hAnsi="Arial"/>
          <w:sz w:val="18"/>
          <w:szCs w:val="18"/>
          <w:color w:val="0000FF"/>
        </w:rPr>
        <w:t xml:space="preserve"> </w:t>
      </w:r>
      <w:r>
        <w:rPr>
          <w:rFonts w:ascii="Arial" w:cs="Arial" w:eastAsia="Arial" w:hAnsi="Arial"/>
          <w:sz w:val="18"/>
          <w:szCs w:val="18"/>
          <w:i w:val="1"/>
          <w:iCs w:val="1"/>
          <w:color w:val="000000"/>
        </w:rPr>
        <w:t>Jurisdiction; Consent to Service of Process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5151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(a) Each of the parties hereto hereby irrevocably and unconditionally submits, for itself and its property, to the </w:t>
      </w:r>
      <w:r>
        <w:rPr>
          <w:rFonts w:ascii="Arial" w:cs="Arial" w:eastAsia="Arial" w:hAnsi="Arial"/>
          <w:sz w:val="17"/>
          <w:szCs w:val="17"/>
          <w:color w:val="FF0000"/>
          <w:strike w:val="1"/>
        </w:rPr>
        <w:t>exclusive</w:t>
      </w:r>
      <w:r>
        <w:rPr>
          <w:rFonts w:ascii="Arial" w:cs="Arial" w:eastAsia="Arial" w:hAnsi="Arial"/>
          <w:sz w:val="17"/>
          <w:szCs w:val="17"/>
          <w:u w:val="single" w:color="auto"/>
          <w:color w:val="0000FF"/>
        </w:rPr>
        <w:t>non-exclusive</w:t>
      </w:r>
      <w:r>
        <w:rPr>
          <w:rFonts w:ascii="Arial" w:cs="Arial" w:eastAsia="Arial" w:hAnsi="Arial"/>
          <w:sz w:val="17"/>
          <w:szCs w:val="17"/>
          <w:color w:val="auto"/>
        </w:rPr>
        <w:t xml:space="preserve"> jurisdiction of </w:t>
      </w:r>
      <w:r>
        <w:rPr>
          <w:rFonts w:ascii="Arial" w:cs="Arial" w:eastAsia="Arial" w:hAnsi="Arial"/>
          <w:sz w:val="17"/>
          <w:szCs w:val="17"/>
          <w:u w:val="single" w:color="auto"/>
          <w:color w:val="0000FF"/>
        </w:rPr>
        <w:t>the Bankruptcy Court or, in the event that the Bankruptcy Court does not have or does not exercise jurisdiction,</w:t>
      </w:r>
      <w:r>
        <w:rPr>
          <w:rFonts w:ascii="Arial" w:cs="Arial" w:eastAsia="Arial" w:hAnsi="Arial"/>
          <w:sz w:val="17"/>
          <w:szCs w:val="17"/>
          <w:color w:val="auto"/>
        </w:rPr>
        <w:t xml:space="preserve"> any New York State court or Federal court of the United States of America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w:t>
      </w:r>
      <w:r>
        <w:rPr>
          <w:rFonts w:ascii="Arial" w:cs="Arial" w:eastAsia="Arial" w:hAnsi="Arial"/>
          <w:sz w:val="17"/>
          <w:szCs w:val="17"/>
          <w:u w:val="single" w:color="auto"/>
          <w:color w:val="0000FF"/>
        </w:rPr>
        <w:t>the Bankruptcy Court or, in the event that the Bankruptcy Court does not have or does not exercise jurisdiction,</w:t>
      </w:r>
      <w:r>
        <w:rPr>
          <w:rFonts w:ascii="Arial" w:cs="Arial" w:eastAsia="Arial" w:hAnsi="Arial"/>
          <w:sz w:val="17"/>
          <w:szCs w:val="17"/>
          <w:color w:val="0000FF"/>
        </w:rPr>
        <w:t xml:space="preserve"> </w:t>
      </w:r>
      <w:r>
        <w:rPr>
          <w:rFonts w:ascii="Arial" w:cs="Arial" w:eastAsia="Arial" w:hAnsi="Arial"/>
          <w:sz w:val="17"/>
          <w:szCs w:val="17"/>
          <w:color w:val="000000"/>
        </w:rPr>
        <w:t>such New York State or, to the extent</w:t>
      </w:r>
      <w:r>
        <w:rPr>
          <w:rFonts w:ascii="Arial" w:cs="Arial" w:eastAsia="Arial" w:hAnsi="Arial"/>
          <w:sz w:val="17"/>
          <w:szCs w:val="17"/>
          <w:color w:val="0000FF"/>
        </w:rPr>
        <w:t xml:space="preserve"> </w:t>
      </w:r>
      <w:r>
        <w:rPr>
          <w:rFonts w:ascii="Arial" w:cs="Arial" w:eastAsia="Arial" w:hAnsi="Arial"/>
          <w:sz w:val="17"/>
          <w:szCs w:val="17"/>
          <w:color w:val="000000"/>
        </w:rPr>
        <w:t xml:space="preserve">permitted by law, </w:t>
      </w:r>
      <w:r>
        <w:rPr>
          <w:rFonts w:ascii="Arial" w:cs="Arial" w:eastAsia="Arial" w:hAnsi="Arial"/>
          <w:sz w:val="17"/>
          <w:szCs w:val="17"/>
          <w:color w:val="FF0000"/>
          <w:strike w:val="1"/>
        </w:rPr>
        <w:t>in</w:t>
      </w:r>
      <w:r>
        <w:rPr>
          <w:rFonts w:ascii="Arial" w:cs="Arial" w:eastAsia="Arial" w:hAnsi="Arial"/>
          <w:sz w:val="17"/>
          <w:szCs w:val="17"/>
          <w:color w:val="000000"/>
        </w:rPr>
        <w:t xml:space="preserve"> such Federal court. Each of the parties hereto agrees that a final judgment in any such action or proceeding shall be conclusive and may be enforced in other jurisdictions by suit on the judgment or in any other manner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-965835</wp:posOffset>
            </wp:positionV>
            <wp:extent cx="63436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-828675</wp:posOffset>
            </wp:positionV>
            <wp:extent cx="51263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511746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5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w:t>
      </w:r>
      <w:r>
        <w:rPr>
          <w:rFonts w:ascii="Arial" w:cs="Arial" w:eastAsia="Arial" w:hAnsi="Arial"/>
          <w:sz w:val="17"/>
          <w:szCs w:val="17"/>
          <w:color w:val="FF0000"/>
          <w:strike w:val="1"/>
        </w:rPr>
        <w:t>any New York State or Federal court.</w:t>
      </w:r>
      <w:r>
        <w:rPr>
          <w:rFonts w:ascii="Arial" w:cs="Arial" w:eastAsia="Arial" w:hAnsi="Arial"/>
          <w:sz w:val="17"/>
          <w:szCs w:val="17"/>
          <w:u w:val="single" w:color="auto"/>
          <w:color w:val="0000FF"/>
        </w:rPr>
        <w:t>the Bankruptcy Court.</w:t>
      </w:r>
      <w:r>
        <w:rPr>
          <w:rFonts w:ascii="Arial" w:cs="Arial" w:eastAsia="Arial" w:hAnsi="Arial"/>
          <w:sz w:val="17"/>
          <w:szCs w:val="17"/>
          <w:color w:val="auto"/>
        </w:rPr>
        <w:t xml:space="preserve"> Each of the parties hereto hereby irrevocably waives, to the fullest extent permitted by law, the defense of an inconvenient forum to the maintenance of such action or proceeding in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-147320</wp:posOffset>
            </wp:positionV>
            <wp:extent cx="101981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5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(c) Each party to this Agreement irrevocably consents to service of process in the manner provided for notices in </w:t>
      </w:r>
      <w:r>
        <w:rPr>
          <w:rFonts w:ascii="Arial" w:cs="Arial" w:eastAsia="Arial" w:hAnsi="Arial"/>
          <w:sz w:val="18"/>
          <w:szCs w:val="18"/>
          <w:u w:val="single" w:color="auto"/>
          <w:color w:val="auto"/>
        </w:rPr>
        <w:t>Section 10.01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u w:val="single" w:color="auto"/>
          <w:color w:val="0000FF"/>
        </w:rPr>
        <w:t>(d)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Notwithstanding anything to the contrary herein, the Canadian Recognition Proceedings and the orders of the Canadian Court granted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therein shall be subject to the exclusive jurisdiction of the Canadian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38619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4118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5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u w:val="single" w:color="auto"/>
          <w:color w:val="0000FF"/>
        </w:rPr>
        <w:t>Section 10.16</w:t>
      </w:r>
      <w:r>
        <w:rPr>
          <w:rFonts w:ascii="Arial" w:cs="Arial" w:eastAsia="Arial" w:hAnsi="Arial"/>
          <w:sz w:val="17"/>
          <w:szCs w:val="17"/>
          <w:color w:val="000000"/>
        </w:rPr>
        <w:t xml:space="preserve"> </w:t>
      </w:r>
      <w:r>
        <w:rPr>
          <w:rFonts w:ascii="Arial" w:cs="Arial" w:eastAsia="Arial" w:hAnsi="Arial"/>
          <w:sz w:val="17"/>
          <w:szCs w:val="17"/>
          <w:color w:val="FF0000"/>
          <w:strike w:val="1"/>
        </w:rPr>
        <w:t>Section 10.16.</w:t>
      </w:r>
      <w:r>
        <w:rPr>
          <w:rFonts w:ascii="Arial" w:cs="Arial" w:eastAsia="Arial" w:hAnsi="Arial"/>
          <w:sz w:val="17"/>
          <w:szCs w:val="17"/>
          <w:color w:val="0000FF"/>
        </w:rPr>
        <w:t xml:space="preserve"> </w:t>
      </w:r>
      <w:r>
        <w:rPr>
          <w:rFonts w:ascii="Arial" w:cs="Arial" w:eastAsia="Arial" w:hAnsi="Arial"/>
          <w:sz w:val="17"/>
          <w:szCs w:val="17"/>
          <w:i w:val="1"/>
          <w:iCs w:val="1"/>
          <w:color w:val="000000"/>
        </w:rPr>
        <w:t>Confidentiality.</w:t>
      </w:r>
      <w:r>
        <w:rPr>
          <w:rFonts w:ascii="Arial" w:cs="Arial" w:eastAsia="Arial" w:hAnsi="Arial"/>
          <w:sz w:val="17"/>
          <w:szCs w:val="17"/>
          <w:color w:val="0000FF"/>
        </w:rPr>
        <w:t xml:space="preserve"> </w:t>
      </w:r>
      <w:r>
        <w:rPr>
          <w:rFonts w:ascii="Arial" w:cs="Arial" w:eastAsia="Arial" w:hAnsi="Arial"/>
          <w:sz w:val="17"/>
          <w:szCs w:val="17"/>
          <w:color w:val="000000"/>
        </w:rPr>
        <w:t>Each of the Administrative Agent, the Collateral Agent,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w:t>
      </w:r>
      <w:r>
        <w:rPr>
          <w:rFonts w:ascii="Arial" w:cs="Arial" w:eastAsia="Arial" w:hAnsi="Arial"/>
          <w:sz w:val="17"/>
          <w:szCs w:val="17"/>
          <w:color w:val="0000FF"/>
        </w:rPr>
        <w:t xml:space="preserve"> </w:t>
      </w:r>
      <w:r>
        <w:rPr>
          <w:rFonts w:ascii="Arial" w:cs="Arial" w:eastAsia="Arial" w:hAnsi="Arial"/>
          <w:sz w:val="17"/>
          <w:szCs w:val="17"/>
          <w:color w:val="000000"/>
        </w:rPr>
        <w:t>the Lenders</w:t>
      </w:r>
      <w:r>
        <w:rPr>
          <w:rFonts w:ascii="Arial" w:cs="Arial" w:eastAsia="Arial" w:hAnsi="Arial"/>
          <w:sz w:val="17"/>
          <w:szCs w:val="17"/>
          <w:color w:val="0000FF"/>
        </w:rPr>
        <w:t xml:space="preserve"> </w:t>
      </w:r>
      <w:r>
        <w:rPr>
          <w:rFonts w:ascii="Arial" w:cs="Arial" w:eastAsia="Arial" w:hAnsi="Arial"/>
          <w:sz w:val="17"/>
          <w:szCs w:val="17"/>
          <w:color w:val="FF0000"/>
          <w:strike w:val="1"/>
        </w:rPr>
        <w:t>and after designation</w:t>
      </w:r>
      <w:r>
        <w:rPr>
          <w:rFonts w:ascii="Arial" w:cs="Arial" w:eastAsia="Arial" w:hAnsi="Arial"/>
          <w:sz w:val="17"/>
          <w:szCs w:val="17"/>
          <w:color w:val="0000FF"/>
        </w:rPr>
        <w:t xml:space="preserve"> </w:t>
      </w:r>
      <w:r>
        <w:rPr>
          <w:rFonts w:ascii="Arial" w:cs="Arial" w:eastAsia="Arial" w:hAnsi="Arial"/>
          <w:sz w:val="17"/>
          <w:szCs w:val="17"/>
          <w:color w:val="FF0000"/>
          <w:strike w:val="1"/>
        </w:rPr>
        <w:t>thereof in accordance with Section 6.18, the Board Observer</w:t>
      </w:r>
      <w:r>
        <w:rPr>
          <w:rFonts w:ascii="Arial" w:cs="Arial" w:eastAsia="Arial" w:hAnsi="Arial"/>
          <w:sz w:val="17"/>
          <w:szCs w:val="17"/>
          <w:color w:val="FF0000"/>
        </w:rPr>
        <w:t xml:space="preserve"> </w:t>
      </w:r>
      <w:r>
        <w:rPr>
          <w:rFonts w:ascii="Arial" w:cs="Arial" w:eastAsia="Arial" w:hAnsi="Arial"/>
          <w:sz w:val="17"/>
          <w:szCs w:val="17"/>
          <w:color w:val="000000"/>
        </w:rPr>
        <w:t>agrees to maintain the confidentiality of the Information (as defined below), except that</w:t>
      </w:r>
      <w:r>
        <w:rPr>
          <w:rFonts w:ascii="Arial" w:cs="Arial" w:eastAsia="Arial" w:hAnsi="Arial"/>
          <w:sz w:val="17"/>
          <w:szCs w:val="17"/>
          <w:color w:val="FF0000"/>
        </w:rPr>
        <w:t xml:space="preserve"> </w:t>
      </w:r>
      <w:r>
        <w:rPr>
          <w:rFonts w:ascii="Arial" w:cs="Arial" w:eastAsia="Arial" w:hAnsi="Arial"/>
          <w:sz w:val="17"/>
          <w:szCs w:val="17"/>
          <w:color w:val="000000"/>
        </w:rPr>
        <w:t>Information may be disclosed (a) to its and its Affiliates’ officers, directors, employees and agents, including accountants, financing sources, legal counsel and other advisors involved in the Transaction on a “need to know” basis (it being understood that the Persons to whom such disclosure is made will be informed of the confidential nature of such Information and instructed to keep such Information confidential), (b) to the extent requested by any regulatory authority or quasi-regulatory authority (such as the National Association of Insurance Commissioners), (c) to the extent required by applicable Laws or regulations or by any subpoena or similar legal process (and in such case, such Person shall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-829310</wp:posOffset>
            </wp:positionV>
            <wp:extent cx="65151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-829310</wp:posOffset>
            </wp:positionV>
            <wp:extent cx="19685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980"/>
          </w:cols>
          <w:pgMar w:left="440" w:top="274" w:right="479" w:bottom="1440" w:gutter="0" w:footer="0" w:header="0"/>
        </w:sectPr>
      </w:pPr>
    </w:p>
    <w:bookmarkStart w:id="312" w:name="page313"/>
    <w:bookmarkEnd w:id="31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notify the Borrower of such disclosure), (d) in connection with the exercise of any remedies hereunder or under the other Loan Documents or any suit, action or proceeding relating to the enforcement of its rights hereunder or thereunder, (e) subject to an agreement containing provisions substantially the same as those of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to (i) any actual or prospective assignee of or participant in any of its rights or obligations under this Agreement and the other Loan Documents or (ii) any actual or prospective counterparty (or its advisors) to any swap or derivative transaction relating to the Borrower or any Subsidiary or </w:t>
      </w:r>
      <w:r>
        <w:rPr>
          <w:rFonts w:ascii="Arial" w:cs="Arial" w:eastAsia="Arial" w:hAnsi="Arial"/>
          <w:sz w:val="16"/>
          <w:szCs w:val="16"/>
          <w:color w:val="FF0000"/>
          <w:strike w:val="1"/>
        </w:rPr>
        <w:t>any</w:t>
      </w:r>
      <w:r>
        <w:rPr>
          <w:rFonts w:ascii="Arial" w:cs="Arial" w:eastAsia="Arial" w:hAnsi="Arial"/>
          <w:sz w:val="16"/>
          <w:szCs w:val="16"/>
          <w:color w:val="auto"/>
        </w:rPr>
        <w:t xml:space="preserve"> of their respective obligations, (f) with the prior written consent of the Borrower, (g) on a confidential basis to (x) any rating agency in connection with rating the Borrower or its Subsidiaries or the Facility or (y) the CUSIP Service Bureau or any similar agency in connection with the issuance and monitoring of CUSIP numbers with respect to the Facility, or (h) to the extent such Information becomes publicly available other than as a result of a </w:t>
      </w:r>
      <w:r>
        <w:rPr>
          <w:rFonts w:ascii="Arial" w:cs="Arial" w:eastAsia="Arial" w:hAnsi="Arial"/>
          <w:sz w:val="16"/>
          <w:szCs w:val="16"/>
          <w:u w:val="single" w:color="auto"/>
          <w:color w:val="0000FF"/>
        </w:rPr>
        <w:t>material</w:t>
      </w:r>
      <w:r>
        <w:rPr>
          <w:rFonts w:ascii="Arial" w:cs="Arial" w:eastAsia="Arial" w:hAnsi="Arial"/>
          <w:sz w:val="16"/>
          <w:szCs w:val="16"/>
          <w:color w:val="auto"/>
        </w:rPr>
        <w:t xml:space="preserve"> breach of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or other confidentiality obligation owed to the Borrower or any of its Subsidiaries. For the purposes of this Article, “</w:t>
      </w:r>
      <w:r>
        <w:rPr>
          <w:rFonts w:ascii="Arial" w:cs="Arial" w:eastAsia="Arial" w:hAnsi="Arial"/>
          <w:sz w:val="16"/>
          <w:szCs w:val="16"/>
          <w:b w:val="1"/>
          <w:bCs w:val="1"/>
          <w:color w:val="auto"/>
        </w:rPr>
        <w:t>Information</w:t>
      </w:r>
      <w:r>
        <w:rPr>
          <w:rFonts w:ascii="Arial" w:cs="Arial" w:eastAsia="Arial" w:hAnsi="Arial"/>
          <w:sz w:val="16"/>
          <w:szCs w:val="16"/>
          <w:color w:val="auto"/>
        </w:rPr>
        <w:t xml:space="preserve">” shall mean all information received from the Borrower and related to the Borrower, its business, other than any such information that was available to the Administrative Agent, the Collateral Agent or any Lender on a nonconfidential basis prior to its disclosure by the Borrower not in violation of any confidentiality or obligation owed to the Borrower and the Subsidiaries.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Any Person required to maintain the confidentiality of Information as provided in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shall be considered to have complied with its obligation to do so if such Person has exercised the same degree of care to maintain the confidentiality of such Information as such Person would accord its own confidential information. </w:t>
      </w:r>
      <w:r>
        <w:rPr>
          <w:rFonts w:ascii="Arial" w:cs="Arial" w:eastAsia="Arial" w:hAnsi="Arial"/>
          <w:sz w:val="16"/>
          <w:szCs w:val="16"/>
          <w:color w:val="FF0000"/>
          <w:strike w:val="1"/>
        </w:rPr>
        <w:t>None of the Borrower and its Subsidiaries or their respective Affiliates or their and their</w:t>
      </w:r>
      <w:r>
        <w:rPr>
          <w:rFonts w:ascii="Arial" w:cs="Arial" w:eastAsia="Arial" w:hAnsi="Arial"/>
          <w:sz w:val="16"/>
          <w:szCs w:val="16"/>
          <w:color w:val="auto"/>
        </w:rPr>
        <w:t xml:space="preserve"> </w:t>
      </w:r>
      <w:r>
        <w:rPr>
          <w:rFonts w:ascii="Arial" w:cs="Arial" w:eastAsia="Arial" w:hAnsi="Arial"/>
          <w:sz w:val="16"/>
          <w:szCs w:val="16"/>
          <w:color w:val="FF0000"/>
          <w:strike w:val="1"/>
        </w:rPr>
        <w:t>Affiliates’ respective representatives shall make any public announcement or filing, whether or not relating to this Agreement, which names any Lender or the investment advisor or manager of any Lender without the prior written approval such Lender except solely to the extent including such name in such announcement or filing is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-1520190</wp:posOffset>
            </wp:positionV>
            <wp:extent cx="4025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49"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u w:val="single" w:color="auto"/>
          <w:color w:val="0000FF"/>
        </w:rPr>
        <w:t>Section 10.17</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10.17.</w:t>
      </w:r>
      <w:r>
        <w:rPr>
          <w:rFonts w:ascii="Arial" w:cs="Arial" w:eastAsia="Arial" w:hAnsi="Arial"/>
          <w:sz w:val="18"/>
          <w:szCs w:val="18"/>
          <w:color w:val="0000FF"/>
        </w:rPr>
        <w:t xml:space="preserve"> </w:t>
      </w:r>
      <w:r>
        <w:rPr>
          <w:rFonts w:ascii="Arial" w:cs="Arial" w:eastAsia="Arial" w:hAnsi="Arial"/>
          <w:sz w:val="18"/>
          <w:szCs w:val="18"/>
          <w:i w:val="1"/>
          <w:iCs w:val="1"/>
          <w:color w:val="FF0000"/>
          <w:strike w:val="1"/>
        </w:rPr>
        <w:t>Lender Action</w:t>
      </w:r>
      <w:r>
        <w:rPr>
          <w:rFonts w:ascii="Arial" w:cs="Arial" w:eastAsia="Arial" w:hAnsi="Arial"/>
          <w:sz w:val="18"/>
          <w:szCs w:val="18"/>
          <w:i w:val="1"/>
          <w:iCs w:val="1"/>
          <w:u w:val="single" w:color="auto"/>
          <w:color w:val="0000FF"/>
        </w:rPr>
        <w:t>[Reserved] .</w:t>
      </w:r>
      <w:r>
        <w:rPr>
          <w:rFonts w:ascii="Arial" w:cs="Arial" w:eastAsia="Arial" w:hAnsi="Arial"/>
          <w:sz w:val="18"/>
          <w:szCs w:val="18"/>
          <w:color w:val="0000FF"/>
        </w:rPr>
        <w:t xml:space="preserve"> </w:t>
      </w:r>
      <w:r>
        <w:rPr>
          <w:rFonts w:ascii="Arial" w:cs="Arial" w:eastAsia="Arial" w:hAnsi="Arial"/>
          <w:sz w:val="18"/>
          <w:szCs w:val="18"/>
          <w:color w:val="FF0000"/>
          <w:strike w:val="1"/>
        </w:rPr>
        <w:t>Each Lender agrees that it shall not take or institute any actions or proceedings, judicial</w:t>
      </w:r>
      <w:r>
        <w:rPr>
          <w:rFonts w:ascii="Arial" w:cs="Arial" w:eastAsia="Arial" w:hAnsi="Arial"/>
          <w:sz w:val="18"/>
          <w:szCs w:val="18"/>
          <w:color w:val="0000FF"/>
        </w:rPr>
        <w:t xml:space="preserve"> </w:t>
      </w:r>
      <w:r>
        <w:rPr>
          <w:rFonts w:ascii="Arial" w:cs="Arial" w:eastAsia="Arial" w:hAnsi="Arial"/>
          <w:sz w:val="18"/>
          <w:szCs w:val="18"/>
          <w:color w:val="FF0000"/>
          <w:strike w:val="1"/>
        </w:rPr>
        <w:t>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(which shall be given at the direction of the Required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2547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-682625</wp:posOffset>
            </wp:positionV>
            <wp:extent cx="591185"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40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0000FF"/>
        </w:rPr>
        <w:t>Section 10.18</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10.18.</w:t>
      </w:r>
      <w:r>
        <w:rPr>
          <w:rFonts w:ascii="Arial" w:cs="Arial" w:eastAsia="Arial" w:hAnsi="Arial"/>
          <w:sz w:val="18"/>
          <w:szCs w:val="18"/>
          <w:color w:val="0000FF"/>
        </w:rPr>
        <w:t xml:space="preserve"> </w:t>
      </w:r>
      <w:r>
        <w:rPr>
          <w:rFonts w:ascii="Arial" w:cs="Arial" w:eastAsia="Arial" w:hAnsi="Arial"/>
          <w:sz w:val="18"/>
          <w:szCs w:val="18"/>
          <w:i w:val="1"/>
          <w:iCs w:val="1"/>
          <w:color w:val="000000"/>
        </w:rPr>
        <w:t>USA PATRIOT Act Notice.</w:t>
      </w:r>
      <w:r>
        <w:rPr>
          <w:rFonts w:ascii="Arial" w:cs="Arial" w:eastAsia="Arial" w:hAnsi="Arial"/>
          <w:sz w:val="18"/>
          <w:szCs w:val="18"/>
          <w:color w:val="0000FF"/>
        </w:rPr>
        <w:t xml:space="preserve"> </w:t>
      </w:r>
      <w:r>
        <w:rPr>
          <w:rFonts w:ascii="Arial" w:cs="Arial" w:eastAsia="Arial" w:hAnsi="Arial"/>
          <w:sz w:val="18"/>
          <w:szCs w:val="18"/>
          <w:color w:val="000000"/>
        </w:rPr>
        <w:t>Each Lender and the Administrative Agent (for itself and not on behalf of any Lender)</w:t>
      </w:r>
      <w:r>
        <w:rPr>
          <w:rFonts w:ascii="Arial" w:cs="Arial" w:eastAsia="Arial" w:hAnsi="Arial"/>
          <w:sz w:val="18"/>
          <w:szCs w:val="18"/>
          <w:color w:val="0000FF"/>
        </w:rPr>
        <w:t xml:space="preserve"> </w:t>
      </w:r>
      <w:r>
        <w:rPr>
          <w:rFonts w:ascii="Arial" w:cs="Arial" w:eastAsia="Arial" w:hAnsi="Arial"/>
          <w:sz w:val="18"/>
          <w:szCs w:val="18"/>
          <w:color w:val="000000"/>
        </w:rPr>
        <w:t>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151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80"/>
          </w:cols>
          <w:pgMar w:left="440" w:top="274" w:right="479" w:bottom="1440" w:gutter="0" w:footer="0" w:header="0"/>
        </w:sectPr>
      </w:pPr>
    </w:p>
    <w:bookmarkStart w:id="313" w:name="page314"/>
    <w:bookmarkEnd w:id="313"/>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10.19</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10.19.</w:t>
      </w:r>
      <w:r>
        <w:rPr>
          <w:rFonts w:ascii="Arial" w:cs="Arial" w:eastAsia="Arial" w:hAnsi="Arial"/>
          <w:sz w:val="18"/>
          <w:szCs w:val="18"/>
          <w:i w:val="1"/>
          <w:iCs w:val="1"/>
          <w:color w:val="000000"/>
        </w:rPr>
        <w:t>Collateral And Guaranty Matters</w:t>
      </w:r>
      <w:r>
        <w:rPr>
          <w:rFonts w:ascii="Arial" w:cs="Arial" w:eastAsia="Arial" w:hAnsi="Arial"/>
          <w:sz w:val="18"/>
          <w:szCs w:val="18"/>
          <w:color w:val="000000"/>
        </w:rPr>
        <w:t>. The Lenders irrevocably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5151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(a) that any Lien on any property granted to or held by the Administrative Agent or the Collateral Agent under any Loan Document shall be automatically released (i) upon termination of all Commitments hereunder and payment in full of all Obligations (other than contingent obligations not yet accrued or payable), (ii) at the time the property subject to such Lien is disposed as part of or in connection with any disposition permitted hereunder or under any other Loan Document to any Person other than a Person required to grant a Lien to the Administrative Agent or the Collateral Agent under the Loan Documents </w:t>
      </w:r>
      <w:r>
        <w:rPr>
          <w:rFonts w:ascii="Arial" w:cs="Arial" w:eastAsia="Arial" w:hAnsi="Arial"/>
          <w:sz w:val="17"/>
          <w:szCs w:val="17"/>
          <w:color w:val="FF0000"/>
        </w:rPr>
        <w:t>(or, if such transferee is a Person required to grant a Lien to the Administrative Agent or the Collateral Agent on such asset, at the</w:t>
      </w:r>
      <w:r>
        <w:rPr>
          <w:rFonts w:ascii="Arial" w:cs="Arial" w:eastAsia="Arial" w:hAnsi="Arial"/>
          <w:sz w:val="17"/>
          <w:szCs w:val="17"/>
          <w:color w:val="auto"/>
        </w:rPr>
        <w:t xml:space="preserve"> </w:t>
      </w:r>
      <w:r>
        <w:rPr>
          <w:rFonts w:ascii="Arial" w:cs="Arial" w:eastAsia="Arial" w:hAnsi="Arial"/>
          <w:sz w:val="17"/>
          <w:szCs w:val="17"/>
          <w:color w:val="FF0000"/>
          <w:strike w:val="1"/>
        </w:rPr>
        <w:t>option of the applicable Loan Party, such Lien on such asset may still be released in connection with the transfer so long as (x) the transferee grants a new Lien to the Administrative Agent or Collateral Agent on such asset substantially concurrently with the transfer of such asset, (y) the transfer is between parties organized under the laws of different jurisdictions and at least one of such parties is a Foreign Subsidiary and (z) the priority of the new Lien is the same as that of the original Lien)</w:t>
      </w:r>
      <w:r>
        <w:rPr>
          <w:rFonts w:ascii="Arial" w:cs="Arial" w:eastAsia="Arial" w:hAnsi="Arial"/>
          <w:sz w:val="17"/>
          <w:szCs w:val="17"/>
          <w:color w:val="000000"/>
          <w:strike w:val="1"/>
        </w:rPr>
        <w:t>, (iii) subject to</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00"/>
          <w:strike w:val="1"/>
        </w:rPr>
        <w:t>Section 10.08</w:t>
      </w:r>
      <w:r>
        <w:rPr>
          <w:rFonts w:ascii="Arial" w:cs="Arial" w:eastAsia="Arial" w:hAnsi="Arial"/>
          <w:sz w:val="17"/>
          <w:szCs w:val="17"/>
          <w:color w:val="000000"/>
          <w:strike w:val="1"/>
        </w:rPr>
        <w:t>, if the release of such Lien is approved, authorized or ratified in writing by the</w:t>
      </w:r>
      <w:r>
        <w:rPr>
          <w:rFonts w:ascii="Arial" w:cs="Arial" w:eastAsia="Arial" w:hAnsi="Arial"/>
          <w:sz w:val="17"/>
          <w:szCs w:val="17"/>
          <w:color w:val="FF0000"/>
          <w:strike w:val="1"/>
        </w:rPr>
        <w:t xml:space="preserve"> Required </w:t>
      </w:r>
      <w:r>
        <w:rPr>
          <w:rFonts w:ascii="Arial" w:cs="Arial" w:eastAsia="Arial" w:hAnsi="Arial"/>
          <w:sz w:val="17"/>
          <w:szCs w:val="17"/>
          <w:color w:val="000000"/>
          <w:strike w:val="1"/>
        </w:rPr>
        <w:t>Lenders, (iv) if the property subject to such Lien is owned by a Guarantor, upon release of such Guarantor from its obligations under its</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Guaranty pursuant to </w:t>
      </w:r>
      <w:r>
        <w:rPr>
          <w:rFonts w:ascii="Arial" w:cs="Arial" w:eastAsia="Arial" w:hAnsi="Arial"/>
          <w:sz w:val="17"/>
          <w:szCs w:val="17"/>
          <w:u w:val="single" w:color="auto"/>
          <w:color w:val="000000"/>
          <w:strike w:val="1"/>
        </w:rPr>
        <w:t>Section 11.10,</w:t>
      </w:r>
      <w:r>
        <w:rPr>
          <w:rFonts w:ascii="Arial" w:cs="Arial" w:eastAsia="Arial" w:hAnsi="Arial"/>
          <w:sz w:val="17"/>
          <w:szCs w:val="17"/>
          <w:color w:val="000000"/>
          <w:strike w:val="1"/>
        </w:rPr>
        <w:t xml:space="preserve"> (v) any such property constitutes Excluded Property or (vi) in accordance with </w:t>
      </w:r>
      <w:r>
        <w:rPr>
          <w:rFonts w:ascii="Arial" w:cs="Arial" w:eastAsia="Arial" w:hAnsi="Arial"/>
          <w:sz w:val="17"/>
          <w:szCs w:val="17"/>
          <w:color w:val="FF0000"/>
          <w:strike w:val="1"/>
        </w:rPr>
        <w:t>any</w:t>
      </w:r>
      <w:r>
        <w:rPr>
          <w:rFonts w:ascii="Arial" w:cs="Arial" w:eastAsia="Arial" w:hAnsi="Arial"/>
          <w:sz w:val="17"/>
          <w:szCs w:val="17"/>
          <w:u w:val="single" w:color="auto"/>
          <w:color w:val="0000FF"/>
          <w:strike w:val="1"/>
        </w:rPr>
        <w:t>the Prepetition ABL</w:t>
      </w:r>
      <w:r>
        <w:rPr>
          <w:rFonts w:ascii="Arial" w:cs="Arial" w:eastAsia="Arial" w:hAnsi="Arial"/>
          <w:sz w:val="17"/>
          <w:szCs w:val="17"/>
          <w:color w:val="000000"/>
          <w:strike w:val="1"/>
        </w:rPr>
        <w:t xml:space="preserve"> Intercreditor Agreement </w:t>
      </w:r>
      <w:r>
        <w:rPr>
          <w:rFonts w:ascii="Arial" w:cs="Arial" w:eastAsia="Arial" w:hAnsi="Arial"/>
          <w:sz w:val="17"/>
          <w:szCs w:val="17"/>
          <w:color w:val="0000FF"/>
          <w:strike w:val="1"/>
        </w:rPr>
        <w:t>or any Chapter 11 Order</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-1050925</wp:posOffset>
            </wp:positionV>
            <wp:extent cx="595693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5956935" cy="825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-142240</wp:posOffset>
            </wp:positionV>
            <wp:extent cx="92583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-5080</wp:posOffset>
            </wp:positionV>
            <wp:extent cx="1139825"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139825" cy="8890"/>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-39370</wp:posOffset>
            </wp:positionV>
            <wp:extent cx="114109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15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FF0000"/>
          <w:strike w:val="1"/>
        </w:rPr>
        <w:t>to release or subordinate any Lien on any property granted to or held by the Administrative Agent or the Collateral Agent under any Loan</w:t>
      </w:r>
      <w:r>
        <w:rPr>
          <w:rFonts w:ascii="Arial" w:cs="Arial" w:eastAsia="Arial" w:hAnsi="Arial"/>
          <w:sz w:val="18"/>
          <w:szCs w:val="18"/>
          <w:color w:val="auto"/>
        </w:rPr>
        <w:t xml:space="preserve"> </w:t>
      </w:r>
      <w:r>
        <w:rPr>
          <w:rFonts w:ascii="Arial" w:cs="Arial" w:eastAsia="Arial" w:hAnsi="Arial"/>
          <w:sz w:val="18"/>
          <w:szCs w:val="18"/>
          <w:color w:val="FF0000"/>
          <w:strike w:val="1"/>
        </w:rPr>
        <w:t>Document to the holder of any Lien on such property that is permitted by Sections 7.01(b), 7.01(g), 7.01(q) or 7.01(s) (in the case of Section 7.01(s), to the extent required by the terms of the obligations secured by such Liens); and</w:t>
      </w:r>
      <w:r>
        <w:rPr>
          <w:rFonts w:ascii="Arial" w:cs="Arial" w:eastAsia="Arial" w:hAnsi="Arial"/>
          <w:sz w:val="18"/>
          <w:szCs w:val="18"/>
          <w:u w:val="single" w:color="auto"/>
          <w:color w:val="0000FF"/>
          <w:strike w:val="1"/>
        </w:rPr>
        <w:t>[reserved];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-2540</wp:posOffset>
            </wp:positionV>
            <wp:extent cx="68580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(c) that any Guarantor shall be automatically released from its obligations under the Guaranty as provided in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Upon request by the Administrative Agent or the Collateral Agent at any time, the </w:t>
      </w:r>
      <w:r>
        <w:rPr>
          <w:rFonts w:ascii="Arial" w:cs="Arial" w:eastAsia="Arial" w:hAnsi="Arial"/>
          <w:sz w:val="16"/>
          <w:szCs w:val="16"/>
          <w:color w:val="FF0000"/>
          <w:strike w:val="1"/>
        </w:rPr>
        <w:t>Required</w:t>
      </w:r>
      <w:r>
        <w:rPr>
          <w:rFonts w:ascii="Arial" w:cs="Arial" w:eastAsia="Arial" w:hAnsi="Arial"/>
          <w:sz w:val="16"/>
          <w:szCs w:val="16"/>
          <w:color w:val="auto"/>
        </w:rPr>
        <w:t xml:space="preserve"> Lenders will confirm in writing the Administrative Agent’s or the Collateral Agent’s authority to release or subordinate its interest in particular types or items of property, or to release any Guarantor from its obligations under the Guaranty pursuant to this </w:t>
      </w:r>
      <w:r>
        <w:rPr>
          <w:rFonts w:ascii="Arial" w:cs="Arial" w:eastAsia="Arial" w:hAnsi="Arial"/>
          <w:sz w:val="16"/>
          <w:szCs w:val="16"/>
          <w:u w:val="single" w:color="auto"/>
          <w:color w:val="auto"/>
        </w:rPr>
        <w:t>Section 10.19</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10.19</w:t>
      </w:r>
      <w:r>
        <w:rPr>
          <w:rFonts w:ascii="Arial" w:cs="Arial" w:eastAsia="Arial" w:hAnsi="Arial"/>
          <w:sz w:val="16"/>
          <w:szCs w:val="16"/>
          <w:color w:val="auto"/>
        </w:rPr>
        <w:t xml:space="preserve">, the Administrative Agent or the Collateral Agent will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6"/>
          <w:szCs w:val="16"/>
          <w:u w:val="single" w:color="auto"/>
          <w:color w:val="auto"/>
        </w:rPr>
        <w:t>Section 10.19</w:t>
      </w:r>
      <w:r>
        <w:rPr>
          <w:rFonts w:ascii="Arial" w:cs="Arial" w:eastAsia="Arial" w:hAnsi="Arial"/>
          <w:sz w:val="16"/>
          <w:szCs w:val="16"/>
          <w:color w:val="auto"/>
        </w:rPr>
        <w:t>.</w:t>
      </w:r>
    </w:p>
    <w:p>
      <w:pPr>
        <w:spacing w:after="0" w:line="16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u w:val="single" w:color="auto"/>
          <w:color w:val="0000FF"/>
        </w:rPr>
        <w:t>Section 10.20</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10.20.</w:t>
      </w:r>
      <w:r>
        <w:rPr>
          <w:rFonts w:ascii="Arial" w:cs="Arial" w:eastAsia="Arial" w:hAnsi="Arial"/>
          <w:sz w:val="18"/>
          <w:szCs w:val="18"/>
          <w:i w:val="1"/>
          <w:iCs w:val="1"/>
          <w:u w:val="single" w:color="auto"/>
          <w:color w:val="000000"/>
        </w:rPr>
        <w:t>Limitation on Liability</w:t>
      </w:r>
      <w:r>
        <w:rPr>
          <w:rFonts w:ascii="Arial" w:cs="Arial" w:eastAsia="Arial" w:hAnsi="Arial"/>
          <w:sz w:val="18"/>
          <w:szCs w:val="18"/>
          <w:color w:val="000000"/>
        </w:rPr>
        <w:t>. TO THE EXTENT PERMITTED BY APPLICABLE LAW, AND NOTWITHSTANDING</w:t>
      </w:r>
      <w:r>
        <w:rPr>
          <w:rFonts w:ascii="Arial" w:cs="Arial" w:eastAsia="Arial" w:hAnsi="Arial"/>
          <w:sz w:val="18"/>
          <w:szCs w:val="18"/>
          <w:color w:val="0000FF"/>
        </w:rPr>
        <w:t xml:space="preserve"> </w:t>
      </w:r>
      <w:r>
        <w:rPr>
          <w:rFonts w:ascii="Arial" w:cs="Arial" w:eastAsia="Arial" w:hAnsi="Arial"/>
          <w:sz w:val="18"/>
          <w:szCs w:val="18"/>
          <w:color w:val="000000"/>
        </w:rPr>
        <w:t xml:space="preserve">ANY OTHER PROVISION OF THIS AGREEMENT OR THE OTHER LOAN DOCUMENTS: (A) NO INDEMNITEE SHALL BE LIABLE TO ANY PARTY FOR ANY INDIRECT, SPECIAL, PUNITIVE OR CONSEQUENTIAL DAMAGES IN CONNECTION WITH THEIR RESPECTIVE ACTIVITIES RELATED TO THIS AGREEMENT, THE OTHER LOAN DOCUMENTS, THE TRANSACTIONS CONTEMPLATED THEREBY, THE TERM LOANS, OR OTHERWISE IN CONNECTION WITH THE FOREGOING; (B) WITHOUT LIMITING THE FOREGOING, NO INDEMNITEE SHALL BE SUBJECT TO ANY EQUITABLE REMEDY OR RELIEF, INCLUDING SPECIFIC PERFORMANCE OR INJUNCTION ARISING OUT OF OR RELATING TO THIS AGREEMENT, THE OTHER LOAN DOCUMENTS, OR THE TRANSACTIONS CONTEMPLATED THEREBY; (C) NO INDEMNITEE SHALL HAVE ANY LIABILITY TO THE LOAN PARTIES, FOR DAMAGES OR OTHERWISE, ARISING OUT OF OR RELATING TO THIS AGREEMENT, THE OTHER LOAN DOCUMENTS, OR THE TRANSACTIONS CONTEMPLATED THEREBY </w:t>
      </w:r>
      <w:r>
        <w:rPr>
          <w:rFonts w:ascii="Arial" w:cs="Arial" w:eastAsia="Arial" w:hAnsi="Arial"/>
          <w:sz w:val="18"/>
          <w:szCs w:val="18"/>
          <w:color w:val="FF0000"/>
          <w:strike w:val="1"/>
        </w:rPr>
        <w:t>UNTIL THE AMENDMENT NO. 1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-1229995</wp:posOffset>
            </wp:positionV>
            <wp:extent cx="65151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00"/>
          </w:cols>
          <w:pgMar w:left="440" w:top="274" w:right="459" w:bottom="1440" w:gutter="0" w:footer="0" w:header="0"/>
        </w:sectPr>
      </w:pPr>
    </w:p>
    <w:bookmarkStart w:id="314" w:name="page315"/>
    <w:bookmarkEnd w:id="314"/>
    <w:p>
      <w:pPr>
        <w:ind w:right="80"/>
        <w:spacing w:after="0" w:line="255"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HAS OCCURRED</w:t>
      </w:r>
      <w:r>
        <w:rPr>
          <w:rFonts w:ascii="Arial" w:cs="Arial" w:eastAsia="Arial" w:hAnsi="Arial"/>
          <w:sz w:val="18"/>
          <w:szCs w:val="18"/>
          <w:color w:val="000000"/>
        </w:rPr>
        <w:t>; AND (D) IN NO EVENT SHALL ANY INDEMNITEE’S LIABILITY TO THE LOAN PARTIES ARISING OUT OF OR</w:t>
      </w:r>
      <w:r>
        <w:rPr>
          <w:rFonts w:ascii="Arial" w:cs="Arial" w:eastAsia="Arial" w:hAnsi="Arial"/>
          <w:sz w:val="18"/>
          <w:szCs w:val="18"/>
          <w:color w:val="FF0000"/>
        </w:rPr>
        <w:t xml:space="preserve"> </w:t>
      </w:r>
      <w:r>
        <w:rPr>
          <w:rFonts w:ascii="Arial" w:cs="Arial" w:eastAsia="Arial" w:hAnsi="Arial"/>
          <w:sz w:val="18"/>
          <w:szCs w:val="18"/>
          <w:color w:val="000000"/>
        </w:rPr>
        <w:t>RELATING TO THIS AGREEMENT, THE OTHER LOAN DOCUMENTS, OR THE TRANSACTIONS CONTEMPLATED THEREBY EXCEED ACTUAL DIRECT DAMAGES INCURRED BY THE LOAN PARTIES OF UP TO $10,000,000 IN THE AGGREGATE; PROVIDED THAT THE FOREGOING SHALL IN NO EVENT LIMIT THE LENDERS’ INDEMNIFICATION OBLIGATIONS TO THE AGENT INDEMNITEES UNDER SECTION 10.05 OF THIS AGREEMENT; PROVIDED FURTHER THAT SUCH LIMITATION OF LIABILITY SHALL NOT APPLY TO LIABILITY RESULTING FROM FRAUD BY THE INDEMNITEES</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2540</wp:posOffset>
            </wp:positionV>
            <wp:extent cx="2540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64"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u w:val="single" w:color="auto"/>
          <w:color w:val="0000FF"/>
        </w:rPr>
        <w:t>Section 10.21</w:t>
      </w:r>
      <w:r>
        <w:rPr>
          <w:rFonts w:ascii="Arial" w:cs="Arial" w:eastAsia="Arial" w:hAnsi="Arial"/>
          <w:sz w:val="17"/>
          <w:szCs w:val="17"/>
          <w:color w:val="000000"/>
        </w:rPr>
        <w:t xml:space="preserve"> </w:t>
      </w:r>
      <w:r>
        <w:rPr>
          <w:rFonts w:ascii="Arial" w:cs="Arial" w:eastAsia="Arial" w:hAnsi="Arial"/>
          <w:sz w:val="17"/>
          <w:szCs w:val="17"/>
          <w:color w:val="FF0000"/>
          <w:strike w:val="1"/>
        </w:rPr>
        <w:t>Section 10.21.</w:t>
      </w:r>
      <w:r>
        <w:rPr>
          <w:rFonts w:ascii="Arial" w:cs="Arial" w:eastAsia="Arial" w:hAnsi="Arial"/>
          <w:sz w:val="17"/>
          <w:szCs w:val="17"/>
          <w:color w:val="0000FF"/>
        </w:rPr>
        <w:t xml:space="preserve"> </w:t>
      </w:r>
      <w:r>
        <w:rPr>
          <w:rFonts w:ascii="Arial" w:cs="Arial" w:eastAsia="Arial" w:hAnsi="Arial"/>
          <w:sz w:val="17"/>
          <w:szCs w:val="17"/>
          <w:i w:val="1"/>
          <w:iCs w:val="1"/>
          <w:color w:val="000000"/>
        </w:rPr>
        <w:t>Payments Set Aside.</w:t>
      </w:r>
      <w:r>
        <w:rPr>
          <w:rFonts w:ascii="Arial" w:cs="Arial" w:eastAsia="Arial" w:hAnsi="Arial"/>
          <w:sz w:val="17"/>
          <w:szCs w:val="17"/>
          <w:color w:val="0000FF"/>
        </w:rPr>
        <w:t xml:space="preserve"> </w:t>
      </w:r>
      <w:r>
        <w:rPr>
          <w:rFonts w:ascii="Arial" w:cs="Arial" w:eastAsia="Arial" w:hAnsi="Arial"/>
          <w:sz w:val="17"/>
          <w:szCs w:val="17"/>
          <w:color w:val="000000"/>
        </w:rPr>
        <w:t>To the extent that any payment by or on behalf of the Borrower or any other Loan Party is</w:t>
      </w:r>
      <w:r>
        <w:rPr>
          <w:rFonts w:ascii="Arial" w:cs="Arial" w:eastAsia="Arial" w:hAnsi="Arial"/>
          <w:sz w:val="17"/>
          <w:szCs w:val="17"/>
          <w:color w:val="0000FF"/>
        </w:rPr>
        <w:t xml:space="preserve"> </w:t>
      </w:r>
      <w:r>
        <w:rPr>
          <w:rFonts w:ascii="Arial" w:cs="Arial" w:eastAsia="Arial" w:hAnsi="Arial"/>
          <w:sz w:val="17"/>
          <w:szCs w:val="17"/>
          <w:color w:val="000000"/>
        </w:rPr>
        <w:t>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Federal Funds Effective Rate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-1101090</wp:posOffset>
            </wp:positionV>
            <wp:extent cx="65151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10.22</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10.22.</w:t>
      </w:r>
      <w:r>
        <w:rPr>
          <w:rFonts w:ascii="Arial" w:cs="Arial" w:eastAsia="Arial" w:hAnsi="Arial"/>
          <w:sz w:val="18"/>
          <w:szCs w:val="18"/>
          <w:color w:val="0000FF"/>
        </w:rPr>
        <w:t xml:space="preserve"> </w:t>
      </w:r>
      <w:r>
        <w:rPr>
          <w:rFonts w:ascii="Arial" w:cs="Arial" w:eastAsia="Arial" w:hAnsi="Arial"/>
          <w:sz w:val="18"/>
          <w:szCs w:val="18"/>
          <w:i w:val="1"/>
          <w:iCs w:val="1"/>
          <w:color w:val="000000"/>
        </w:rPr>
        <w:t>No Advisory or Fiduciary Responsibility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5151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Agents and the Lenders, on the other hand, and the Borrower and its Subsidiaries are capable of evaluating and understanding and understands and accepts the terms, risks and conditions of the transactions contemplated hereby and by the other Loan Documents (including any amendment, waiver or other modification hereof or thereof), (ii) the Agents, the Lenders and their respective Affiliates may be engaged in a broad range of transactions that involve interests that differ from, and may conflict with, those of the Borrower and its Affiliates, and none of the Agents or the Lenders has any obligation to disclose any of such interests by virtue of any advisory, agency or fiduciary relationship, and (iii) the Agents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72"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(b) Each Loan Party acknowledges and agrees that each Lender and any of its affiliates may lend money to, invest in, and generally engage in any kind of business with, the Borrower, any of its Affiliates or any other person or entity that may do business with or own securities of any of the foregoing, all as if such Lender or Affiliate thereof were not a Lender (or an agent or any other person with any similar role under the Facilities) and without any duty to account therefor to any other Lender, the Borrower or any Affiliate of the foregoing. Each Lender and any of its Affiliates may accept fees and other consideration from the Borrower or any of its Affiliates for services in connection with this Agreement, the Facilities, the commitment letter or otherwise without having to account for the same to any other Lender, the Borrower or any Affiliate of the foregoing.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940"/>
          </w:cols>
          <w:pgMar w:left="440" w:top="274" w:right="519" w:bottom="1440" w:gutter="0" w:footer="0" w:header="0"/>
        </w:sectPr>
      </w:pPr>
    </w:p>
    <w:bookmarkStart w:id="315" w:name="page316"/>
    <w:bookmarkEnd w:id="315"/>
    <w:p>
      <w:pPr>
        <w:ind w:left="444"/>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10.23</w:t>
      </w:r>
      <w:r>
        <w:rPr>
          <w:rFonts w:ascii="Arial" w:cs="Arial" w:eastAsia="Arial" w:hAnsi="Arial"/>
          <w:sz w:val="18"/>
          <w:szCs w:val="18"/>
          <w:color w:val="000000"/>
        </w:rPr>
        <w:t xml:space="preserve"> </w:t>
      </w:r>
      <w:r>
        <w:rPr>
          <w:rFonts w:ascii="Arial" w:cs="Arial" w:eastAsia="Arial" w:hAnsi="Arial"/>
          <w:sz w:val="18"/>
          <w:szCs w:val="18"/>
          <w:color w:val="FF0000"/>
          <w:strike w:val="1"/>
        </w:rPr>
        <w:t>Section 10.23.</w:t>
      </w:r>
      <w:r>
        <w:rPr>
          <w:rFonts w:ascii="Arial" w:cs="Arial" w:eastAsia="Arial" w:hAnsi="Arial"/>
          <w:sz w:val="18"/>
          <w:szCs w:val="18"/>
          <w:color w:val="0000FF"/>
        </w:rPr>
        <w:t xml:space="preserve"> </w:t>
      </w:r>
      <w:r>
        <w:rPr>
          <w:rFonts w:ascii="Arial" w:cs="Arial" w:eastAsia="Arial" w:hAnsi="Arial"/>
          <w:sz w:val="18"/>
          <w:szCs w:val="18"/>
          <w:i w:val="1"/>
          <w:iCs w:val="1"/>
          <w:color w:val="FF0000"/>
          <w:strike w:val="1"/>
        </w:rPr>
        <w:t>Intercreditor Agreements</w:t>
      </w:r>
      <w:r>
        <w:rPr>
          <w:rFonts w:ascii="Arial" w:cs="Arial" w:eastAsia="Arial" w:hAnsi="Arial"/>
          <w:sz w:val="18"/>
          <w:szCs w:val="18"/>
          <w:i w:val="1"/>
          <w:iCs w:val="1"/>
          <w:u w:val="single" w:color="auto"/>
          <w:color w:val="0000FF"/>
        </w:rPr>
        <w:t>Release</w:t>
      </w:r>
      <w:r>
        <w:rPr>
          <w:rFonts w:ascii="Arial" w:cs="Arial" w:eastAsia="Arial" w:hAnsi="Arial"/>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62547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23495</wp:posOffset>
            </wp:positionV>
            <wp:extent cx="3517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205" w:lineRule="exact"/>
        <w:rPr>
          <w:sz w:val="20"/>
          <w:szCs w:val="20"/>
          <w:color w:val="auto"/>
        </w:rPr>
      </w:pPr>
    </w:p>
    <w:p>
      <w:pPr>
        <w:ind w:left="4" w:right="100" w:firstLine="436"/>
        <w:spacing w:after="0" w:line="289" w:lineRule="auto"/>
        <w:tabs>
          <w:tab w:leader="none" w:pos="689" w:val="left"/>
        </w:tabs>
        <w:numPr>
          <w:ilvl w:val="0"/>
          <w:numId w:val="259"/>
        </w:numPr>
        <w:rPr>
          <w:rFonts w:ascii="Arial" w:cs="Arial" w:eastAsia="Arial" w:hAnsi="Arial"/>
          <w:sz w:val="16"/>
          <w:szCs w:val="16"/>
          <w:color w:val="FF0000"/>
          <w:strike w:val="1"/>
        </w:rPr>
      </w:pPr>
      <w:r>
        <w:rPr>
          <w:rFonts w:ascii="Arial" w:cs="Arial" w:eastAsia="Arial" w:hAnsi="Arial"/>
          <w:sz w:val="16"/>
          <w:szCs w:val="16"/>
          <w:color w:val="FF0000"/>
          <w:strike w:val="1"/>
        </w:rPr>
        <w:t>The Administrative Agent is authorized to become a party to the ABL Intercreditor Agreement (and enter into the ABL Intercreditor Agreement in respect of any Permitted Refinancing of ABL Facility Indebtedness), and each of the parties hereto acknowledges that it has received a copy of the ABL Intercreditor Agreement and that the ABL Intercreditor Agreement is binding upon it. Each Lender (a) hereby consents to the subordination of the Liens on the ABL Priority Collateral securing the Obligations on the terms set forth in the ABL Intercreditor Agreement, (b) hereby agrees that it will be bound by and will take no actions contrary to the provisions of the ABL Intercreditor Agreement and (c) hereby authorizes and instructs the Administrative Agent to enter into the ABL Intercreditor Agreement and any amendments or supplements expressly contemplated thereby, and to subject the Liens on the ABL Priority Collateral securing the Obligations to the provisions of the ABL Intercreditor Agreement. The foregoing provisions are intended as an inducement to the ABL Secured Parties to extend credit to the borrowers under the ABL Credit Agreement and such ABL Secured Parties are intended third-party beneficiaries of such provisions and the provisions of the ABL Intercreditor Agreement.</w:t>
      </w:r>
    </w:p>
    <w:p>
      <w:pPr>
        <w:spacing w:after="0" w:line="166" w:lineRule="exact"/>
        <w:rPr>
          <w:rFonts w:ascii="Arial" w:cs="Arial" w:eastAsia="Arial" w:hAnsi="Arial"/>
          <w:sz w:val="16"/>
          <w:szCs w:val="16"/>
          <w:color w:val="FF0000"/>
          <w:strike w:val="1"/>
        </w:rPr>
      </w:pPr>
    </w:p>
    <w:p>
      <w:pPr>
        <w:ind w:left="4" w:firstLine="436"/>
        <w:spacing w:after="0" w:line="270" w:lineRule="auto"/>
        <w:tabs>
          <w:tab w:leader="none" w:pos="699" w:val="left"/>
        </w:tabs>
        <w:numPr>
          <w:ilvl w:val="0"/>
          <w:numId w:val="259"/>
        </w:numPr>
        <w:rPr>
          <w:rFonts w:ascii="Arial" w:cs="Arial" w:eastAsia="Arial" w:hAnsi="Arial"/>
          <w:sz w:val="17"/>
          <w:szCs w:val="17"/>
          <w:color w:val="FF0000"/>
          <w:strike w:val="1"/>
        </w:rPr>
      </w:pPr>
      <w:r>
        <w:rPr>
          <w:rFonts w:ascii="Arial" w:cs="Arial" w:eastAsia="Arial" w:hAnsi="Arial"/>
          <w:sz w:val="17"/>
          <w:szCs w:val="17"/>
          <w:color w:val="FF0000"/>
          <w:strike w:val="1"/>
        </w:rPr>
        <w:t>The Administrative Agent is authorized to enter into the Junior Lien Intercreditor Agreement, and each of the parties hereto acknowledges that each such agreement shall be binding upon it. Each Lender (a) hereby consents to the intercreditor agreements in respect of the Collateral securing the Obligations on the terms set forth in the Junior Lien Intercreditor Agreement, (b) hereby agrees that it will be bound by and will take no actions contrary to the provisions of the Junior Lien Intercreditor Agreement and (c) hereby authorizes and instructs the Administrative Agent to enter into the Junior Lien Intercreditor Agreement and, without the further consent, direction or other action of any Lender, to enter into any amendments or supplements thereto, in each case solely if the form of the agreement as so amended or supplemented would constitute the Junior Lien Intercreditor Agreement, as applicable, if being entered into as an original agreement. The foregoing provisions are intended as an inducement to the parties providing any Permitted Junior Priority Additional Debt to extend credit to the borrowers thereof and such parties are intended third-party beneficiaries of such provisions and the provisions of the Junior Lien Intercreditor Agreement.</w:t>
      </w:r>
    </w:p>
    <w:p>
      <w:pPr>
        <w:spacing w:after="0" w:line="180" w:lineRule="exact"/>
        <w:rPr>
          <w:rFonts w:ascii="Arial" w:cs="Arial" w:eastAsia="Arial" w:hAnsi="Arial"/>
          <w:sz w:val="17"/>
          <w:szCs w:val="17"/>
          <w:color w:val="FF0000"/>
          <w:strike w:val="1"/>
        </w:rPr>
      </w:pPr>
    </w:p>
    <w:p>
      <w:pPr>
        <w:ind w:left="4" w:right="660" w:firstLine="436"/>
        <w:spacing w:after="0" w:line="277" w:lineRule="auto"/>
        <w:tabs>
          <w:tab w:leader="none" w:pos="689" w:val="left"/>
        </w:tabs>
        <w:numPr>
          <w:ilvl w:val="0"/>
          <w:numId w:val="259"/>
        </w:numPr>
        <w:rPr>
          <w:rFonts w:ascii="Arial" w:cs="Arial" w:eastAsia="Arial" w:hAnsi="Arial"/>
          <w:sz w:val="18"/>
          <w:szCs w:val="18"/>
          <w:color w:val="FF0000"/>
          <w:strike w:val="1"/>
        </w:rPr>
      </w:pPr>
      <w:r>
        <w:rPr>
          <w:rFonts w:ascii="Arial" w:cs="Arial" w:eastAsia="Arial" w:hAnsi="Arial"/>
          <w:sz w:val="18"/>
          <w:szCs w:val="18"/>
          <w:color w:val="FF0000"/>
          <w:strike w:val="1"/>
        </w:rPr>
        <w:t>The extent of any conflict between the Loan Documents, on the one hand, and the ABL Intercreditor Agreement or other intercreditor agreement contemplated by this Section 10.23, on the other hand, such intercreditor agreement shall control.</w:t>
      </w:r>
    </w:p>
    <w:p>
      <w:pPr>
        <w:spacing w:after="0" w:line="170" w:lineRule="exact"/>
        <w:rPr>
          <w:sz w:val="20"/>
          <w:szCs w:val="20"/>
          <w:color w:val="auto"/>
        </w:rPr>
      </w:pPr>
    </w:p>
    <w:p>
      <w:pPr>
        <w:ind w:left="4" w:right="20" w:hanging="4"/>
        <w:spacing w:after="0" w:line="288" w:lineRule="auto"/>
        <w:tabs>
          <w:tab w:leader="none" w:pos="94" w:val="left"/>
        </w:tabs>
        <w:numPr>
          <w:ilvl w:val="0"/>
          <w:numId w:val="26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Each of the Loan Parties and each of their estates, on its own behalf and on behalf of its and their respective predecessors, successors, heirs, and past, present and future subsidiaries and assigns, hereby absolutely, unconditionally, and irrevocably releases and forever discharges and acquits the Secured Parties and each of their respective Related Parties (solely in their capacities as such) (collectively, the “</w:t>
      </w:r>
      <w:r>
        <w:rPr>
          <w:rFonts w:ascii="Arial" w:cs="Arial" w:eastAsia="Arial" w:hAnsi="Arial"/>
          <w:sz w:val="16"/>
          <w:szCs w:val="16"/>
          <w:b w:val="1"/>
          <w:bCs w:val="1"/>
          <w:u w:val="single" w:color="auto"/>
          <w:color w:val="0000FF"/>
        </w:rPr>
        <w:t>Released Parties</w:t>
      </w:r>
      <w:r>
        <w:rPr>
          <w:rFonts w:ascii="Arial" w:cs="Arial" w:eastAsia="Arial" w:hAnsi="Arial"/>
          <w:sz w:val="16"/>
          <w:szCs w:val="16"/>
          <w:u w:val="single" w:color="auto"/>
          <w:color w:val="0000FF"/>
        </w:rPr>
        <w:t>”), from any and all liability to the Loan Parties (and their successors and assigns) and from any and all claims, counterclaims, demands, defenses, offsets, debts, accounts, contracts, liabilities, actions and causes of action of any kind, nature and description, whether matured or unmatured, known or unknown, asserted or unasserted, foreseen or unforeseen, accrued or unaccrued, suspected or unsuspected, liquidated or unliquidated, pending or threatened, arising in law or equity, in contract or tort, in each case arising out of or related to the Loan Documents, the Loans, the negotiation thereof, and the transactions and agreements reflected thereby, that the Debtors at any time had, now have or may have, or that their predecessors, successors or assigns at any time had or hereafter may have against any of the Released Parties for or by reason of any act, omission, matter, or cause arising at any time on or prior to the date of this Agreement; provided that the release set forth in this section shall not release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-1246505</wp:posOffset>
            </wp:positionV>
            <wp:extent cx="688340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-1109345</wp:posOffset>
            </wp:positionV>
            <wp:extent cx="690054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-972185</wp:posOffset>
            </wp:positionV>
            <wp:extent cx="695198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-835025</wp:posOffset>
            </wp:positionV>
            <wp:extent cx="68408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-697865</wp:posOffset>
            </wp:positionV>
            <wp:extent cx="688340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-560705</wp:posOffset>
            </wp:positionV>
            <wp:extent cx="683196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678942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-286385</wp:posOffset>
            </wp:positionV>
            <wp:extent cx="688340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wp:posOffset>
            </wp:positionV>
            <wp:extent cx="675513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366014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984"/>
          </w:cols>
          <w:pgMar w:left="436" w:top="274" w:right="479" w:bottom="1440" w:gutter="0" w:footer="0" w:header="0"/>
        </w:sectPr>
      </w:pPr>
    </w:p>
    <w:bookmarkStart w:id="316" w:name="page317"/>
    <w:bookmarkEnd w:id="316"/>
    <w:p>
      <w:pPr>
        <w:jc w:val="both"/>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claims against or liabilities of a Released Party that a court of competent jurisdiction determines by a final non-appealable order to have directly and primarily resulted from such Released Party’s bad faith, fraud, gross negligence, or willful misconduct, or (ii) any Secured Party from honoring its/their obligations to the Loan Parties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96912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34835"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691765"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10.24 </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Process Agent</w:t>
      </w:r>
      <w:r>
        <w:rPr>
          <w:rFonts w:ascii="Arial" w:cs="Arial" w:eastAsia="Arial" w:hAnsi="Arial"/>
          <w:sz w:val="18"/>
          <w:szCs w:val="18"/>
          <w:u w:val="single" w:color="auto"/>
          <w:color w:val="0000FF"/>
        </w:rPr>
        <w:t>. Each Guarantor irrevocably appoints Borrower, and Borrower hereby accepts such irrevocable appointment, as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its agent and true and lawful attorney-in-fact in its name, place and stead to accept on behalf of such Guarantor and its Property and revenues service of copies of the summons and complaint and any other process which may be served in any such suit, action or proceeding brought in the Bankruptcy Court and/or the State of New York, and such Guarantor agrees that the failure of Borrower to give any notice of any such service of process to such Guarantor shall not impair or affect the validity of such service or, to the extent permitted by applicable law, the enforcement of any judgment based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-716915</wp:posOffset>
            </wp:positionV>
            <wp:extent cx="6574790" cy="4318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657479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92658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72084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78053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77227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6830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7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10.25 </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Waiver of Immunity</w:t>
      </w:r>
      <w:r>
        <w:rPr>
          <w:rFonts w:ascii="Arial" w:cs="Arial" w:eastAsia="Arial" w:hAnsi="Arial"/>
          <w:sz w:val="18"/>
          <w:szCs w:val="18"/>
          <w:u w:val="single" w:color="auto"/>
          <w:color w:val="0000FF"/>
        </w:rPr>
        <w:t>. To the extent that any Guarantor may be or become entitled to claim for itself or its property or revenues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Guarantor hereby irrevocably agrees not to claim and hereby irrevocably waives such immunity with respect to its obligations under this Agreement and the other Loan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-582295</wp:posOffset>
            </wp:positionV>
            <wp:extent cx="6523355" cy="4318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652335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8942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92658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48081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93179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u w:val="single" w:color="auto"/>
          <w:color w:val="0000FF"/>
        </w:rPr>
        <w:t>Section 10.26</w:t>
      </w:r>
      <w:r>
        <w:rPr>
          <w:rFonts w:ascii="Arial" w:cs="Arial" w:eastAsia="Arial" w:hAnsi="Arial"/>
          <w:sz w:val="16"/>
          <w:szCs w:val="16"/>
          <w:color w:val="000000"/>
        </w:rPr>
        <w:t xml:space="preserve"> </w:t>
      </w:r>
      <w:r>
        <w:rPr>
          <w:rFonts w:ascii="Arial" w:cs="Arial" w:eastAsia="Arial" w:hAnsi="Arial"/>
          <w:sz w:val="16"/>
          <w:szCs w:val="16"/>
          <w:i w:val="1"/>
          <w:iCs w:val="1"/>
          <w:u w:val="single" w:color="auto"/>
          <w:color w:val="0000FF"/>
        </w:rPr>
        <w:t>DIP Order, Prepetition ABL Intercreditor Agreement and Senior ICA Provisions Control</w:t>
      </w:r>
      <w:r>
        <w:rPr>
          <w:rFonts w:ascii="Arial" w:cs="Arial" w:eastAsia="Arial" w:hAnsi="Arial"/>
          <w:sz w:val="16"/>
          <w:szCs w:val="16"/>
          <w:u w:val="single" w:color="auto"/>
          <w:color w:val="0000FF"/>
        </w:rPr>
        <w:t>. To the fullest extent possible, the terms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 provisions of this Agreement and the other Loan Documents shall be read together with the terms and provisions of the DIP Order, the Prepetition ABL Intercreditor Agreement and the Senior ICA Provisions, as applicable, so that the terms and provisions of this Agreement and the Loan Documents do not conflict with the terms and provisions of the DIP Order, the Prepetition ABL Intercreditor Agreement or the Senior ICA Provisions; provided that, notwithstanding the foregoing or anything herein to the contrary in this Agreement or the Loan Documents, (i) in the event of any conflict or inconsistency between the terms and provisions of this Agreement or any other Loan Document (on the one hand) and the DIP Order (on the other hand), the applicable terms and provisions of the DIP Order shall govern and control to the extent of such conflict or inconsistency, (ii) in the event of any conflict or inconsistency between the terms and provisions of this Agreement or any other Loan Document (on the one hand) and the terms and provisions of the Prepetition ABL Intercreditor Agreement (on the other hand), the applicable terms and provisions of the Prepetition ABL Intercreditor Agreement shall govern and control to the extent of such conflict or inconsistency and (iii) in the event of any conflict or inconsistency between the terms and provisions of this Agreement or any other Loan Document (on the one hand) and the Senior ICA Provisions (on the other hand), the applicable Senior ICA Provisions shall govern and control to the extent of such conflict or inconsistency; it being expressly understood and agreed that the inclusion in any Loan Document of terms and provisions or supplemental rights or remedies in favor of the Administrative Agent, Collateral Agent or Lenders not directly or indirectly addressed in the DIP Order, the Prepetition ABL Intercreditor Agreement or the Senior ICA Provisions shall not be deemed to be in conflict with the DIP Order, the Prepetition ABL Intercreditor Agreement or the Senior ICA Provisions and all such additional terms, provisions, supplemental rights or remedies contained herein shall be given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-2064385</wp:posOffset>
            </wp:positionV>
            <wp:extent cx="6660515"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-1927225</wp:posOffset>
            </wp:positionV>
            <wp:extent cx="6875145"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-1790065</wp:posOffset>
            </wp:positionV>
            <wp:extent cx="697801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-1652905</wp:posOffset>
            </wp:positionV>
            <wp:extent cx="678053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-1515745</wp:posOffset>
            </wp:positionV>
            <wp:extent cx="666051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-1378585</wp:posOffset>
            </wp:positionV>
            <wp:extent cx="669480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684911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-1104265</wp:posOffset>
            </wp:positionV>
            <wp:extent cx="674624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-967105</wp:posOffset>
            </wp:positionV>
            <wp:extent cx="694372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-829945</wp:posOffset>
            </wp:positionV>
            <wp:extent cx="675513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650621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-555625</wp:posOffset>
            </wp:positionV>
            <wp:extent cx="690054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90054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3483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4911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440626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0000FF"/>
        </w:rPr>
        <w:t>Section</w:t>
      </w:r>
      <w:r>
        <w:rPr>
          <w:rFonts w:ascii="Arial" w:cs="Arial" w:eastAsia="Arial" w:hAnsi="Arial"/>
          <w:sz w:val="18"/>
          <w:szCs w:val="18"/>
          <w:color w:val="0000FF"/>
        </w:rPr>
        <w:t xml:space="preserve"> 10.27 </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Québec Security</w:t>
      </w:r>
      <w:r>
        <w:rPr>
          <w:rFonts w:ascii="Arial" w:cs="Arial" w:eastAsia="Arial" w:hAnsi="Arial"/>
          <w:sz w:val="18"/>
          <w:szCs w:val="18"/>
          <w:u w:val="single" w:color="auto"/>
          <w:color w:val="0000FF"/>
        </w:rPr>
        <w:t>. For the purposes of the grant of security under the laws of the Province of Quebec which may now or in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future be required to be provided by any Loan Party, the Collateral Agent is hereby irrevocably authorized and appointed by each of the Lenders hereto to act as hypothecary representative (within the meaning of Article 2692 of the Civil Code of Quebec) for all present and future Secured Parties (in such capacity, the “</w:t>
      </w:r>
      <w:r>
        <w:rPr>
          <w:rFonts w:ascii="Arial" w:cs="Arial" w:eastAsia="Arial" w:hAnsi="Arial"/>
          <w:sz w:val="18"/>
          <w:szCs w:val="18"/>
          <w:b w:val="1"/>
          <w:bCs w:val="1"/>
          <w:u w:val="single" w:color="auto"/>
          <w:color w:val="0000FF"/>
        </w:rPr>
        <w:t>Hypothecary Representative</w:t>
      </w:r>
      <w:r>
        <w:rPr>
          <w:rFonts w:ascii="Arial" w:cs="Arial" w:eastAsia="Arial" w:hAnsi="Arial"/>
          <w:sz w:val="18"/>
          <w:szCs w:val="18"/>
          <w:u w:val="single" w:color="auto"/>
          <w:color w:val="0000FF"/>
        </w:rPr>
        <w:t>”)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-446405</wp:posOffset>
            </wp:positionV>
            <wp:extent cx="6523355" cy="4318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652335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0943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6087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63144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980"/>
          </w:cols>
          <w:pgMar w:left="440" w:top="274" w:right="479" w:bottom="1440" w:gutter="0" w:footer="0" w:header="0"/>
        </w:sectPr>
      </w:pPr>
    </w:p>
    <w:bookmarkStart w:id="317" w:name="page318"/>
    <w:bookmarkEnd w:id="317"/>
    <w:p>
      <w:pPr>
        <w:ind w:right="40"/>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 any hypothec granted under the laws of the Province of Quebec and to exercise such rights and duties as are conferred upon the Hypothecary Representative under the relevant deed of hypothec and applicable Laws (with the power to delegate any such rights or duties). The execution prior to the date hereof by the Collateral Agent in its capacity as the Hypothecary Representative of any deed of hypothec or other security documents made pursuant to the laws of the Province of Quebec, is hereby ratified and confirmed. Any Person who becomes a Lender or successor Collateral Agent shall be deemed to have consented to and ratified the foregoing appointment of the Collateral Agent as the Hypothecary Representative on behalf of all Secured Parties, including such Person and any Affiliate of such Person designated above as a Lender. For greater certainty, the Collateral Agent, acting as the Hypothecary Representative, shall have the same rights, powers, immunities, indemnities and exclusions from liability as are prescribed in favor of the Collateral Agent in this Agreement, which shall apply mutatis mutandis. In the event of the resignation of the Collateral Agent (which shall include its resignation as the Hypothecary Representative) and appointment of a successor Collateral Agent, such successor Collateral Agent shall also act as the Hypothecary Representative, as contemplated above and shall, without any further act or formality, become the successor Hypothecary Representative under any then existing deed of hypothec.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-1374775</wp:posOffset>
            </wp:positionV>
            <wp:extent cx="667766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-1237615</wp:posOffset>
            </wp:positionV>
            <wp:extent cx="684911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-1100455</wp:posOffset>
            </wp:positionV>
            <wp:extent cx="676338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-963295</wp:posOffset>
            </wp:positionV>
            <wp:extent cx="696912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-826135</wp:posOffset>
            </wp:positionV>
            <wp:extent cx="666940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-688975</wp:posOffset>
            </wp:positionV>
            <wp:extent cx="694372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-551815</wp:posOffset>
            </wp:positionV>
            <wp:extent cx="690054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6669405"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-277495</wp:posOffset>
            </wp:positionV>
            <wp:extent cx="68922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-140335</wp:posOffset>
            </wp:positionV>
            <wp:extent cx="662622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262318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u w:val="single" w:color="auto"/>
          <w:color w:val="0000FF"/>
        </w:rPr>
        <w:t>Section 11.01</w:t>
      </w:r>
      <w:r>
        <w:rPr>
          <w:rFonts w:ascii="Arial" w:cs="Arial" w:eastAsia="Arial" w:hAnsi="Arial"/>
          <w:sz w:val="16"/>
          <w:szCs w:val="16"/>
          <w:color w:val="000000"/>
        </w:rPr>
        <w:t xml:space="preserve"> </w:t>
      </w:r>
      <w:r>
        <w:rPr>
          <w:rFonts w:ascii="Arial" w:cs="Arial" w:eastAsia="Arial" w:hAnsi="Arial"/>
          <w:sz w:val="16"/>
          <w:szCs w:val="16"/>
          <w:color w:val="FF0000"/>
          <w:strike w:val="1"/>
        </w:rPr>
        <w:t>Section 11.01.</w:t>
      </w:r>
      <w:r>
        <w:rPr>
          <w:rFonts w:ascii="Arial" w:cs="Arial" w:eastAsia="Arial" w:hAnsi="Arial"/>
          <w:sz w:val="16"/>
          <w:szCs w:val="16"/>
          <w:color w:val="0000FF"/>
        </w:rPr>
        <w:t xml:space="preserve"> </w:t>
      </w:r>
      <w:r>
        <w:rPr>
          <w:rFonts w:ascii="Arial" w:cs="Arial" w:eastAsia="Arial" w:hAnsi="Arial"/>
          <w:sz w:val="16"/>
          <w:szCs w:val="16"/>
          <w:i w:val="1"/>
          <w:iCs w:val="1"/>
          <w:color w:val="000000"/>
        </w:rPr>
        <w:t>The Guarantee.</w:t>
      </w:r>
      <w:r>
        <w:rPr>
          <w:rFonts w:ascii="Arial" w:cs="Arial" w:eastAsia="Arial" w:hAnsi="Arial"/>
          <w:sz w:val="16"/>
          <w:szCs w:val="16"/>
          <w:color w:val="0000FF"/>
        </w:rPr>
        <w:t xml:space="preserve"> </w:t>
      </w:r>
      <w:r>
        <w:rPr>
          <w:rFonts w:ascii="Arial" w:cs="Arial" w:eastAsia="Arial" w:hAnsi="Arial"/>
          <w:sz w:val="16"/>
          <w:szCs w:val="16"/>
          <w:color w:val="000000"/>
        </w:rPr>
        <w:t>Each Guarantor hereby jointly and severally with the other Guarantors guarantees, as a primary</w:t>
      </w:r>
      <w:r>
        <w:rPr>
          <w:rFonts w:ascii="Arial" w:cs="Arial" w:eastAsia="Arial" w:hAnsi="Arial"/>
          <w:sz w:val="16"/>
          <w:szCs w:val="16"/>
          <w:color w:val="0000FF"/>
        </w:rPr>
        <w:t xml:space="preserve"> </w:t>
      </w:r>
      <w:r>
        <w:rPr>
          <w:rFonts w:ascii="Arial" w:cs="Arial" w:eastAsia="Arial" w:hAnsi="Arial"/>
          <w:sz w:val="16"/>
          <w:szCs w:val="16"/>
          <w:color w:val="000000"/>
        </w:rPr>
        <w:t>obligor and not as a surety to each Secured Party and their respective permitted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whether or not such items are allowed or allowable as a claim in any applicable proceeding) on the Loans made by the Lenders to, and the Term Notes (if any) issued hereunder and held by each Lender of, the Borrower, and all other Obligations from time to time owing to the Secured Parties by any other Loan Party under any Loan Document strictly in accordance with the terms thereof (such obligations being herein collectively called the “</w:t>
      </w:r>
      <w:r>
        <w:rPr>
          <w:rFonts w:ascii="Arial" w:cs="Arial" w:eastAsia="Arial" w:hAnsi="Arial"/>
          <w:sz w:val="16"/>
          <w:szCs w:val="16"/>
          <w:b w:val="1"/>
          <w:bCs w:val="1"/>
          <w:color w:val="000000"/>
        </w:rPr>
        <w:t>Guaranteed Obligations</w:t>
      </w:r>
      <w:r>
        <w:rPr>
          <w:rFonts w:ascii="Arial" w:cs="Arial" w:eastAsia="Arial" w:hAnsi="Arial"/>
          <w:sz w:val="16"/>
          <w:szCs w:val="16"/>
          <w:color w:val="000000"/>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-1520825</wp:posOffset>
            </wp:positionV>
            <wp:extent cx="61722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4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u w:val="single" w:color="auto"/>
          <w:color w:val="0000FF"/>
        </w:rPr>
        <w:t>Section 11.02</w:t>
      </w:r>
      <w:r>
        <w:rPr>
          <w:rFonts w:ascii="Arial" w:cs="Arial" w:eastAsia="Arial" w:hAnsi="Arial"/>
          <w:sz w:val="17"/>
          <w:szCs w:val="17"/>
          <w:color w:val="000000"/>
        </w:rPr>
        <w:t xml:space="preserve"> </w:t>
      </w:r>
      <w:r>
        <w:rPr>
          <w:rFonts w:ascii="Arial" w:cs="Arial" w:eastAsia="Arial" w:hAnsi="Arial"/>
          <w:sz w:val="17"/>
          <w:szCs w:val="17"/>
          <w:color w:val="FF0000"/>
          <w:strike w:val="1"/>
        </w:rPr>
        <w:t>Section 11.02.</w:t>
      </w:r>
      <w:r>
        <w:rPr>
          <w:rFonts w:ascii="Arial" w:cs="Arial" w:eastAsia="Arial" w:hAnsi="Arial"/>
          <w:sz w:val="17"/>
          <w:szCs w:val="17"/>
          <w:color w:val="0000FF"/>
        </w:rPr>
        <w:t xml:space="preserve"> </w:t>
      </w:r>
      <w:r>
        <w:rPr>
          <w:rFonts w:ascii="Arial" w:cs="Arial" w:eastAsia="Arial" w:hAnsi="Arial"/>
          <w:sz w:val="17"/>
          <w:szCs w:val="17"/>
          <w:i w:val="1"/>
          <w:iCs w:val="1"/>
          <w:color w:val="000000"/>
        </w:rPr>
        <w:t>Obligations Unconditional.</w:t>
      </w:r>
      <w:r>
        <w:rPr>
          <w:rFonts w:ascii="Arial" w:cs="Arial" w:eastAsia="Arial" w:hAnsi="Arial"/>
          <w:sz w:val="17"/>
          <w:szCs w:val="17"/>
          <w:color w:val="0000FF"/>
        </w:rPr>
        <w:t xml:space="preserve"> </w:t>
      </w:r>
      <w:r>
        <w:rPr>
          <w:rFonts w:ascii="Arial" w:cs="Arial" w:eastAsia="Arial" w:hAnsi="Arial"/>
          <w:sz w:val="17"/>
          <w:szCs w:val="17"/>
          <w:color w:val="000000"/>
        </w:rPr>
        <w:t>The obligations of the Guarantors under</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11.01</w:t>
      </w:r>
      <w:r>
        <w:rPr>
          <w:rFonts w:ascii="Arial" w:cs="Arial" w:eastAsia="Arial" w:hAnsi="Arial"/>
          <w:sz w:val="17"/>
          <w:szCs w:val="17"/>
          <w:color w:val="0000FF"/>
        </w:rPr>
        <w:t xml:space="preserve"> </w:t>
      </w:r>
      <w:r>
        <w:rPr>
          <w:rFonts w:ascii="Arial" w:cs="Arial" w:eastAsia="Arial" w:hAnsi="Arial"/>
          <w:sz w:val="17"/>
          <w:szCs w:val="17"/>
          <w:color w:val="000000"/>
        </w:rPr>
        <w:t>shall constitute a guaranty of</w:t>
      </w:r>
      <w:r>
        <w:rPr>
          <w:rFonts w:ascii="Arial" w:cs="Arial" w:eastAsia="Arial" w:hAnsi="Arial"/>
          <w:sz w:val="17"/>
          <w:szCs w:val="17"/>
          <w:color w:val="0000FF"/>
        </w:rPr>
        <w:t xml:space="preserve"> </w:t>
      </w:r>
      <w:r>
        <w:rPr>
          <w:rFonts w:ascii="Arial" w:cs="Arial" w:eastAsia="Arial" w:hAnsi="Arial"/>
          <w:sz w:val="17"/>
          <w:szCs w:val="17"/>
          <w:color w:val="000000"/>
        </w:rPr>
        <w:t>payment and to the fullest extent permitted by applicable Law, are absolute, irrevocable and unconditional, joint and several, irrespective of the value, genuineness, validity, regularity or enforceability of the Guaranteed Obligations of the Borrower or any other Guarantor under this Agreement, any Term Notes issued under this Agreement,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Without limiting the generality of the foregoing, it is agreed that the occurrence of any one or more of the following shall not alter or impair the liability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-829310</wp:posOffset>
            </wp:positionV>
            <wp:extent cx="65151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00"/>
          </w:cols>
          <w:pgMar w:left="440" w:top="274" w:right="45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 hereunder which shall remain absolute, irrevocable and unconditional under any and all circumstances as described above:</w:t>
      </w:r>
    </w:p>
    <w:p>
      <w:pPr>
        <w:spacing w:after="0" w:line="225"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(a) at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(b) any of the acts mentioned in any of the provisions of this Agreement or the Term Notes, if any, or any other agreement or instrument referred to herein or therein shall be done or omitted;</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(c) the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(d) any Lien or security interest granted to, or in favor of, any Secured Party or Agent as security for any of the Guaranteed Obligations shall fail to be perfected; 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(e) the release of any other Guarantor pursuant to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6"/>
          <w:szCs w:val="16"/>
          <w:u w:val="single" w:color="auto"/>
          <w:color w:val="0000FF"/>
        </w:rPr>
        <w:t>Section 11.03</w:t>
      </w:r>
      <w:r>
        <w:rPr>
          <w:rFonts w:ascii="Arial" w:cs="Arial" w:eastAsia="Arial" w:hAnsi="Arial"/>
          <w:sz w:val="16"/>
          <w:szCs w:val="16"/>
          <w:color w:val="000000"/>
        </w:rPr>
        <w:t xml:space="preserve"> </w:t>
      </w:r>
      <w:r>
        <w:rPr>
          <w:rFonts w:ascii="Arial" w:cs="Arial" w:eastAsia="Arial" w:hAnsi="Arial"/>
          <w:sz w:val="16"/>
          <w:szCs w:val="16"/>
          <w:color w:val="FF0000"/>
          <w:strike w:val="1"/>
        </w:rPr>
        <w:t>Section 11.03.</w:t>
      </w:r>
      <w:r>
        <w:rPr>
          <w:rFonts w:ascii="Arial" w:cs="Arial" w:eastAsia="Arial" w:hAnsi="Arial"/>
          <w:sz w:val="16"/>
          <w:szCs w:val="16"/>
          <w:color w:val="0000FF"/>
        </w:rPr>
        <w:t xml:space="preserve"> </w:t>
      </w:r>
      <w:r>
        <w:rPr>
          <w:rFonts w:ascii="Arial" w:cs="Arial" w:eastAsia="Arial" w:hAnsi="Arial"/>
          <w:sz w:val="16"/>
          <w:szCs w:val="16"/>
          <w:i w:val="1"/>
          <w:iCs w:val="1"/>
          <w:color w:val="000000"/>
        </w:rPr>
        <w:t>Certain Waivers</w:t>
      </w:r>
      <w:r>
        <w:rPr>
          <w:rFonts w:ascii="Arial" w:cs="Arial" w:eastAsia="Arial" w:hAnsi="Arial"/>
          <w:sz w:val="16"/>
          <w:szCs w:val="16"/>
          <w:i w:val="1"/>
          <w:iCs w:val="1"/>
          <w:u w:val="single" w:color="auto"/>
          <w:color w:val="0000FF"/>
        </w:rPr>
        <w:t>. Etc</w:t>
      </w:r>
      <w:r>
        <w:rPr>
          <w:rFonts w:ascii="Arial" w:cs="Arial" w:eastAsia="Arial" w:hAnsi="Arial"/>
          <w:sz w:val="16"/>
          <w:szCs w:val="16"/>
          <w:i w:val="1"/>
          <w:iCs w:val="1"/>
          <w:color w:val="FF0000"/>
          <w:strike w:val="1"/>
        </w:rPr>
        <w:t>. Etc</w:t>
      </w:r>
      <w:r>
        <w:rPr>
          <w:rFonts w:ascii="Arial" w:cs="Arial" w:eastAsia="Arial" w:hAnsi="Arial"/>
          <w:sz w:val="16"/>
          <w:szCs w:val="16"/>
          <w:i w:val="1"/>
          <w:iCs w:val="1"/>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The Guarantors hereby expressly waive (to the extent permitted by applicable Law)</w:t>
      </w:r>
      <w:r>
        <w:rPr>
          <w:rFonts w:ascii="Arial" w:cs="Arial" w:eastAsia="Arial" w:hAnsi="Arial"/>
          <w:sz w:val="16"/>
          <w:szCs w:val="16"/>
          <w:color w:val="0000FF"/>
        </w:rPr>
        <w:t xml:space="preserve"> </w:t>
      </w:r>
      <w:r>
        <w:rPr>
          <w:rFonts w:ascii="Arial" w:cs="Arial" w:eastAsia="Arial" w:hAnsi="Arial"/>
          <w:sz w:val="16"/>
          <w:szCs w:val="16"/>
          <w:color w:val="000000"/>
        </w:rPr>
        <w:t>diligence, presentment, demand of payment, protest and, to the extent permitted by Law, all notices whatsoever, and any requirement that any Secured Party exhaust any right, power or remedy or proceed against the Borrower under this Agreement or the Term Notes issued hereunder,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permitted assigns thereof, and shall inure to the benefit of the Secured Parties, and their respective successors and permitted assigns, notwithstanding that from time to time during the term of this Agreement there may be no Guaranteed Obligations outstanding. Each Guarantor waives (to the extent permitted by Law) any rights and defenses that are or may become available to it by reason of §§ 2787 to 2855, inclusive, and §§ 2899 and 3433 of the California Civil Code. As provided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-2178050</wp:posOffset>
            </wp:positionV>
            <wp:extent cx="61722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-2178050</wp:posOffset>
            </wp:positionV>
            <wp:extent cx="20574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ind w:right="80"/>
        <w:spacing w:after="0" w:line="253" w:lineRule="auto"/>
        <w:rPr>
          <w:sz w:val="20"/>
          <w:szCs w:val="20"/>
          <w:color w:val="auto"/>
        </w:rPr>
      </w:pP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governed by, and construed in accordance with, the laws of the State of New York. The foregoing waivers and the provisions hereinafter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which pertain to California law are included solely out of an abundance of caution, and shall not be construed to mean that any of the above-referenced provisions of California law are in any way applicable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to any other provision of this Agreement or to the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00"/>
          </w:cols>
          <w:pgMar w:left="440" w:top="274" w:right="459" w:bottom="1440" w:gutter="0" w:footer="0" w:header="0"/>
        </w:sectPr>
      </w:pPr>
    </w:p>
    <w:bookmarkStart w:id="319" w:name="page320"/>
    <w:bookmarkEnd w:id="319"/>
    <w:p>
      <w:pPr>
        <w:ind w:right="100" w:firstLine="44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11.04</w:t>
      </w:r>
      <w:r>
        <w:rPr>
          <w:rFonts w:ascii="Arial" w:cs="Arial" w:eastAsia="Arial" w:hAnsi="Arial"/>
          <w:sz w:val="18"/>
          <w:szCs w:val="18"/>
          <w:color w:val="0000FF"/>
        </w:rPr>
        <w:t xml:space="preserve"> </w:t>
      </w:r>
      <w:r>
        <w:rPr>
          <w:rFonts w:ascii="Arial" w:cs="Arial" w:eastAsia="Arial" w:hAnsi="Arial"/>
          <w:sz w:val="18"/>
          <w:szCs w:val="18"/>
          <w:color w:val="FF0000"/>
          <w:strike w:val="1"/>
        </w:rPr>
        <w:t>Section 11.04.</w:t>
      </w:r>
      <w:r>
        <w:rPr>
          <w:rFonts w:ascii="Arial" w:cs="Arial" w:eastAsia="Arial" w:hAnsi="Arial"/>
          <w:sz w:val="18"/>
          <w:szCs w:val="18"/>
          <w:color w:val="000000"/>
        </w:rPr>
        <w:t xml:space="preserve"> </w:t>
      </w:r>
      <w:r>
        <w:rPr>
          <w:rFonts w:ascii="Arial" w:cs="Arial" w:eastAsia="Arial" w:hAnsi="Arial"/>
          <w:sz w:val="18"/>
          <w:szCs w:val="18"/>
          <w:i w:val="1"/>
          <w:iCs w:val="1"/>
          <w:color w:val="000000"/>
        </w:rPr>
        <w:t>Reinstatement.</w:t>
      </w:r>
      <w:r>
        <w:rPr>
          <w:rFonts w:ascii="Arial" w:cs="Arial" w:eastAsia="Arial" w:hAnsi="Arial"/>
          <w:sz w:val="18"/>
          <w:szCs w:val="18"/>
          <w:color w:val="0000FF"/>
        </w:rPr>
        <w:t xml:space="preserve"> </w:t>
      </w:r>
      <w:r>
        <w:rPr>
          <w:rFonts w:ascii="Arial" w:cs="Arial" w:eastAsia="Arial" w:hAnsi="Arial"/>
          <w:sz w:val="18"/>
          <w:szCs w:val="18"/>
          <w:color w:val="000000"/>
        </w:rPr>
        <w:t>The obligations of the Guarantors under this Article 11 shall be automatically reinstated if and to</w:t>
      </w:r>
      <w:r>
        <w:rPr>
          <w:rFonts w:ascii="Arial" w:cs="Arial" w:eastAsia="Arial" w:hAnsi="Arial"/>
          <w:sz w:val="18"/>
          <w:szCs w:val="18"/>
          <w:color w:val="0000FF"/>
        </w:rPr>
        <w:t xml:space="preserve"> </w:t>
      </w:r>
      <w:r>
        <w:rPr>
          <w:rFonts w:ascii="Arial" w:cs="Arial" w:eastAsia="Arial" w:hAnsi="Arial"/>
          <w:sz w:val="18"/>
          <w:szCs w:val="18"/>
          <w:color w:val="000000"/>
        </w:rPr>
        <w:t>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151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u w:val="single" w:color="auto"/>
          <w:color w:val="0000FF"/>
        </w:rPr>
        <w:t>Section 11.05</w:t>
      </w:r>
      <w:r>
        <w:rPr>
          <w:rFonts w:ascii="Arial" w:cs="Arial" w:eastAsia="Arial" w:hAnsi="Arial"/>
          <w:sz w:val="18"/>
          <w:szCs w:val="18"/>
          <w:color w:val="0000FF"/>
        </w:rPr>
        <w:t xml:space="preserve"> </w:t>
      </w:r>
      <w:r>
        <w:rPr>
          <w:rFonts w:ascii="Arial" w:cs="Arial" w:eastAsia="Arial" w:hAnsi="Arial"/>
          <w:sz w:val="18"/>
          <w:szCs w:val="18"/>
          <w:color w:val="FF0000"/>
          <w:strike w:val="1"/>
        </w:rPr>
        <w:t>Section 11.05.</w:t>
      </w:r>
      <w:r>
        <w:rPr>
          <w:rFonts w:ascii="Arial" w:cs="Arial" w:eastAsia="Arial" w:hAnsi="Arial"/>
          <w:sz w:val="18"/>
          <w:szCs w:val="18"/>
          <w:color w:val="000000"/>
        </w:rPr>
        <w:t xml:space="preserve"> </w:t>
      </w:r>
      <w:r>
        <w:rPr>
          <w:rFonts w:ascii="Arial" w:cs="Arial" w:eastAsia="Arial" w:hAnsi="Arial"/>
          <w:sz w:val="18"/>
          <w:szCs w:val="18"/>
          <w:i w:val="1"/>
          <w:iCs w:val="1"/>
          <w:color w:val="000000"/>
        </w:rPr>
        <w:t>Subrogation; Subordination.</w:t>
      </w:r>
      <w:r>
        <w:rPr>
          <w:rFonts w:ascii="Arial" w:cs="Arial" w:eastAsia="Arial" w:hAnsi="Arial"/>
          <w:sz w:val="18"/>
          <w:szCs w:val="18"/>
          <w:color w:val="0000FF"/>
        </w:rPr>
        <w:t xml:space="preserve"> </w:t>
      </w:r>
      <w:r>
        <w:rPr>
          <w:rFonts w:ascii="Arial" w:cs="Arial" w:eastAsia="Arial" w:hAnsi="Arial"/>
          <w:sz w:val="18"/>
          <w:szCs w:val="18"/>
          <w:color w:val="000000"/>
        </w:rPr>
        <w:t>Each Guarantor hereby agrees that until the i</w:t>
      </w:r>
      <w:r>
        <w:rPr>
          <w:rFonts w:ascii="Arial" w:cs="Arial" w:eastAsia="Arial" w:hAnsi="Arial"/>
          <w:sz w:val="18"/>
          <w:szCs w:val="18"/>
          <w:u w:val="single" w:color="auto"/>
          <w:color w:val="0000FF"/>
        </w:rPr>
        <w:t>ndefeasible</w:t>
      </w:r>
      <w:r>
        <w:rPr>
          <w:rFonts w:ascii="Arial" w:cs="Arial" w:eastAsia="Arial" w:hAnsi="Arial"/>
          <w:sz w:val="18"/>
          <w:szCs w:val="18"/>
          <w:color w:val="0000FF"/>
        </w:rPr>
        <w:t xml:space="preserve"> </w:t>
      </w:r>
      <w:r>
        <w:rPr>
          <w:rFonts w:ascii="Arial" w:cs="Arial" w:eastAsia="Arial" w:hAnsi="Arial"/>
          <w:sz w:val="18"/>
          <w:szCs w:val="18"/>
          <w:color w:val="000000"/>
        </w:rPr>
        <w:t>payment and satisfaction in</w:t>
      </w:r>
      <w:r>
        <w:rPr>
          <w:rFonts w:ascii="Arial" w:cs="Arial" w:eastAsia="Arial" w:hAnsi="Arial"/>
          <w:sz w:val="18"/>
          <w:szCs w:val="18"/>
          <w:color w:val="0000FF"/>
        </w:rPr>
        <w:t xml:space="preserve"> </w:t>
      </w:r>
      <w:r>
        <w:rPr>
          <w:rFonts w:ascii="Arial" w:cs="Arial" w:eastAsia="Arial" w:hAnsi="Arial"/>
          <w:sz w:val="18"/>
          <w:szCs w:val="18"/>
          <w:color w:val="000000"/>
        </w:rPr>
        <w:t xml:space="preserve">full in cash of all Guaranteed Obligations (other than contingent obligations) and the expiration and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8"/>
          <w:szCs w:val="18"/>
          <w:u w:val="single" w:color="auto"/>
          <w:color w:val="000000"/>
        </w:rPr>
        <w:t>Section 11.01,</w:t>
      </w:r>
      <w:r>
        <w:rPr>
          <w:rFonts w:ascii="Arial" w:cs="Arial" w:eastAsia="Arial" w:hAnsi="Arial"/>
          <w:sz w:val="18"/>
          <w:szCs w:val="18"/>
          <w:color w:val="000000"/>
        </w:rPr>
        <w:t xml:space="preserve"> whether by subrogation, </w:t>
      </w:r>
      <w:r>
        <w:rPr>
          <w:rFonts w:ascii="Arial" w:cs="Arial" w:eastAsia="Arial" w:hAnsi="Arial"/>
          <w:sz w:val="18"/>
          <w:szCs w:val="18"/>
          <w:u w:val="single" w:color="auto"/>
          <w:color w:val="0000FF"/>
        </w:rPr>
        <w:t>contribution</w:t>
      </w:r>
      <w:r>
        <w:rPr>
          <w:rFonts w:ascii="Arial" w:cs="Arial" w:eastAsia="Arial" w:hAnsi="Arial"/>
          <w:sz w:val="18"/>
          <w:szCs w:val="18"/>
          <w:color w:val="000000"/>
        </w:rPr>
        <w:t xml:space="preserve"> or otherwise, against the Borrower or any other Guarantor of any of the Guaranteed Obligations or any security for any of the Guaranteed Obligations. Any Indebtedness of any Loan Party to any Person that is not a Loan Party </w:t>
      </w:r>
      <w:r>
        <w:rPr>
          <w:rFonts w:ascii="Arial" w:cs="Arial" w:eastAsia="Arial" w:hAnsi="Arial"/>
          <w:sz w:val="18"/>
          <w:szCs w:val="18"/>
          <w:color w:val="FF0000"/>
          <w:strike w:val="1"/>
        </w:rPr>
        <w:t>permitted pursuant to Section 7.03(b) or 7.03(d)</w:t>
      </w:r>
      <w:r>
        <w:rPr>
          <w:rFonts w:ascii="Arial" w:cs="Arial" w:eastAsia="Arial" w:hAnsi="Arial"/>
          <w:sz w:val="18"/>
          <w:szCs w:val="18"/>
          <w:color w:val="000000"/>
        </w:rPr>
        <w:t xml:space="preserve"> shall be subordinated to such Loan Party’s Obligations in </w:t>
      </w:r>
      <w:r>
        <w:rPr>
          <w:rFonts w:ascii="Arial" w:cs="Arial" w:eastAsia="Arial" w:hAnsi="Arial"/>
          <w:sz w:val="18"/>
          <w:szCs w:val="18"/>
          <w:color w:val="FF0000"/>
          <w:strike w:val="1"/>
        </w:rPr>
        <w:t>an</w:t>
      </w:r>
      <w:r>
        <w:rPr>
          <w:rFonts w:ascii="Arial" w:cs="Arial" w:eastAsia="Arial" w:hAnsi="Arial"/>
          <w:sz w:val="18"/>
          <w:szCs w:val="18"/>
          <w:u w:val="single" w:color="auto"/>
          <w:color w:val="0000FF"/>
        </w:rPr>
        <w:t>a</w:t>
      </w:r>
      <w:r>
        <w:rPr>
          <w:rFonts w:ascii="Arial" w:cs="Arial" w:eastAsia="Arial" w:hAnsi="Arial"/>
          <w:sz w:val="18"/>
          <w:szCs w:val="18"/>
          <w:color w:val="000000"/>
        </w:rPr>
        <w:t xml:space="preserve"> manner reasonably acceptable to the </w:t>
      </w:r>
      <w:r>
        <w:rPr>
          <w:rFonts w:ascii="Arial" w:cs="Arial" w:eastAsia="Arial" w:hAnsi="Arial"/>
          <w:sz w:val="18"/>
          <w:szCs w:val="18"/>
          <w:color w:val="FF0000"/>
          <w:strike w:val="1"/>
        </w:rPr>
        <w:t>Required</w:t>
      </w:r>
      <w:r>
        <w:rPr>
          <w:rFonts w:ascii="Arial" w:cs="Arial" w:eastAsia="Arial" w:hAnsi="Arial"/>
          <w:sz w:val="18"/>
          <w:szCs w:val="18"/>
          <w:color w:val="FF0000"/>
        </w:rPr>
        <w:t xml:space="preserve"> </w:t>
      </w:r>
      <w:r>
        <w:rPr>
          <w:rFonts w:ascii="Arial" w:cs="Arial" w:eastAsia="Arial" w:hAnsi="Arial"/>
          <w:sz w:val="18"/>
          <w:szCs w:val="18"/>
          <w:color w:val="000000"/>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-818515</wp:posOffset>
            </wp:positionV>
            <wp:extent cx="61722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-818515</wp:posOffset>
            </wp:positionV>
            <wp:extent cx="52260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-407035</wp:posOffset>
            </wp:positionV>
            <wp:extent cx="55753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-132715</wp:posOffset>
            </wp:positionV>
            <wp:extent cx="5143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u w:val="single" w:color="auto"/>
          <w:color w:val="0000FF"/>
        </w:rPr>
        <w:t>Section 11.06</w:t>
      </w:r>
      <w:r>
        <w:rPr>
          <w:rFonts w:ascii="Arial" w:cs="Arial" w:eastAsia="Arial" w:hAnsi="Arial"/>
          <w:sz w:val="17"/>
          <w:szCs w:val="17"/>
          <w:color w:val="0000FF"/>
        </w:rPr>
        <w:t xml:space="preserve"> </w:t>
      </w:r>
      <w:r>
        <w:rPr>
          <w:rFonts w:ascii="Arial" w:cs="Arial" w:eastAsia="Arial" w:hAnsi="Arial"/>
          <w:sz w:val="17"/>
          <w:szCs w:val="17"/>
          <w:color w:val="FF0000"/>
          <w:strike w:val="1"/>
        </w:rPr>
        <w:t>Section 11.06.</w:t>
      </w:r>
      <w:r>
        <w:rPr>
          <w:rFonts w:ascii="Arial" w:cs="Arial" w:eastAsia="Arial" w:hAnsi="Arial"/>
          <w:sz w:val="17"/>
          <w:szCs w:val="17"/>
          <w:color w:val="000000"/>
        </w:rPr>
        <w:t xml:space="preserve"> </w:t>
      </w:r>
      <w:r>
        <w:rPr>
          <w:rFonts w:ascii="Arial" w:cs="Arial" w:eastAsia="Arial" w:hAnsi="Arial"/>
          <w:sz w:val="17"/>
          <w:szCs w:val="17"/>
          <w:i w:val="1"/>
          <w:iCs w:val="1"/>
          <w:color w:val="000000"/>
        </w:rPr>
        <w:t>Remedies.</w:t>
      </w:r>
      <w:r>
        <w:rPr>
          <w:rFonts w:ascii="Arial" w:cs="Arial" w:eastAsia="Arial" w:hAnsi="Arial"/>
          <w:sz w:val="17"/>
          <w:szCs w:val="17"/>
          <w:color w:val="0000FF"/>
        </w:rPr>
        <w:t xml:space="preserve"> </w:t>
      </w:r>
      <w:r>
        <w:rPr>
          <w:rFonts w:ascii="Arial" w:cs="Arial" w:eastAsia="Arial" w:hAnsi="Arial"/>
          <w:sz w:val="17"/>
          <w:szCs w:val="17"/>
          <w:color w:val="000000"/>
        </w:rPr>
        <w:t>The Guarantors jointly and severally agree that, as between the Guarantors and the Lenders, the</w:t>
      </w:r>
      <w:r>
        <w:rPr>
          <w:rFonts w:ascii="Arial" w:cs="Arial" w:eastAsia="Arial" w:hAnsi="Arial"/>
          <w:sz w:val="17"/>
          <w:szCs w:val="17"/>
          <w:color w:val="0000FF"/>
        </w:rPr>
        <w:t xml:space="preserve"> </w:t>
      </w:r>
      <w:r>
        <w:rPr>
          <w:rFonts w:ascii="Arial" w:cs="Arial" w:eastAsia="Arial" w:hAnsi="Arial"/>
          <w:sz w:val="17"/>
          <w:szCs w:val="17"/>
          <w:color w:val="000000"/>
        </w:rPr>
        <w:t xml:space="preserve">obligations of the Borrower under this Agreement and the Term Notes issued hereunder, if any, may be declared to be forthwith due and payable as provided in </w:t>
      </w:r>
      <w:r>
        <w:rPr>
          <w:rFonts w:ascii="Arial" w:cs="Arial" w:eastAsia="Arial" w:hAnsi="Arial"/>
          <w:sz w:val="17"/>
          <w:szCs w:val="17"/>
          <w:u w:val="single" w:color="auto"/>
          <w:color w:val="000000"/>
        </w:rPr>
        <w:t>Section 8.02</w:t>
      </w:r>
      <w:r>
        <w:rPr>
          <w:rFonts w:ascii="Arial" w:cs="Arial" w:eastAsia="Arial" w:hAnsi="Arial"/>
          <w:sz w:val="17"/>
          <w:szCs w:val="17"/>
          <w:color w:val="000000"/>
        </w:rPr>
        <w:t xml:space="preserve"> (and shall be deemed to have become automatically due and payable in the circumstances provided in </w:t>
      </w:r>
      <w:r>
        <w:rPr>
          <w:rFonts w:ascii="Arial" w:cs="Arial" w:eastAsia="Arial" w:hAnsi="Arial"/>
          <w:sz w:val="17"/>
          <w:szCs w:val="17"/>
          <w:u w:val="single" w:color="auto"/>
          <w:color w:val="000000"/>
        </w:rPr>
        <w:t>Section 8.02</w:t>
      </w:r>
      <w:r>
        <w:rPr>
          <w:rFonts w:ascii="Arial" w:cs="Arial" w:eastAsia="Arial" w:hAnsi="Arial"/>
          <w:sz w:val="17"/>
          <w:szCs w:val="17"/>
          <w:color w:val="000000"/>
        </w:rPr>
        <w:t xml:space="preserve">) for purposes of </w:t>
      </w:r>
      <w:r>
        <w:rPr>
          <w:rFonts w:ascii="Arial" w:cs="Arial" w:eastAsia="Arial" w:hAnsi="Arial"/>
          <w:sz w:val="17"/>
          <w:szCs w:val="17"/>
          <w:u w:val="single" w:color="auto"/>
          <w:color w:val="000000"/>
        </w:rPr>
        <w:t>Section 11.01,</w:t>
      </w:r>
      <w:r>
        <w:rPr>
          <w:rFonts w:ascii="Arial" w:cs="Arial" w:eastAsia="Arial" w:hAnsi="Arial"/>
          <w:sz w:val="17"/>
          <w:szCs w:val="17"/>
          <w:color w:val="000000"/>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7"/>
          <w:szCs w:val="17"/>
          <w:u w:val="single" w:color="auto"/>
          <w:color w:val="000000"/>
        </w:rPr>
        <w:t>Section 11.01,</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subject to the terms and conditions of the DIP Order, the Canadian Orders, the Senior ICA Provisions and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Prepetition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-965835</wp:posOffset>
            </wp:positionV>
            <wp:extent cx="65151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-142875</wp:posOffset>
            </wp:positionV>
            <wp:extent cx="500634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192024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58"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u w:val="single" w:color="auto"/>
          <w:color w:val="0000FF"/>
        </w:rPr>
        <w:t>Section 11.07</w:t>
      </w:r>
      <w:r>
        <w:rPr>
          <w:rFonts w:ascii="Arial" w:cs="Arial" w:eastAsia="Arial" w:hAnsi="Arial"/>
          <w:sz w:val="16"/>
          <w:szCs w:val="16"/>
          <w:color w:val="0000FF"/>
        </w:rPr>
        <w:t xml:space="preserve"> </w:t>
      </w:r>
      <w:r>
        <w:rPr>
          <w:rFonts w:ascii="Arial" w:cs="Arial" w:eastAsia="Arial" w:hAnsi="Arial"/>
          <w:sz w:val="16"/>
          <w:szCs w:val="16"/>
          <w:color w:val="FF0000"/>
          <w:strike w:val="1"/>
        </w:rPr>
        <w:t>Section 11.07.</w:t>
      </w:r>
      <w:r>
        <w:rPr>
          <w:rFonts w:ascii="Arial" w:cs="Arial" w:eastAsia="Arial" w:hAnsi="Arial"/>
          <w:sz w:val="16"/>
          <w:szCs w:val="16"/>
          <w:color w:val="000000"/>
        </w:rPr>
        <w:t xml:space="preserve"> </w:t>
      </w:r>
      <w:r>
        <w:rPr>
          <w:rFonts w:ascii="Arial" w:cs="Arial" w:eastAsia="Arial" w:hAnsi="Arial"/>
          <w:sz w:val="16"/>
          <w:szCs w:val="16"/>
          <w:i w:val="1"/>
          <w:iCs w:val="1"/>
          <w:color w:val="000000"/>
        </w:rPr>
        <w:t>Instrument for the Payment of Money.</w:t>
      </w:r>
      <w:r>
        <w:rPr>
          <w:rFonts w:ascii="Arial" w:cs="Arial" w:eastAsia="Arial" w:hAnsi="Arial"/>
          <w:sz w:val="16"/>
          <w:szCs w:val="16"/>
          <w:color w:val="0000FF"/>
        </w:rPr>
        <w:t xml:space="preserve"> </w:t>
      </w:r>
      <w:r>
        <w:rPr>
          <w:rFonts w:ascii="Arial" w:cs="Arial" w:eastAsia="Arial" w:hAnsi="Arial"/>
          <w:sz w:val="16"/>
          <w:szCs w:val="16"/>
          <w:color w:val="000000"/>
        </w:rPr>
        <w:t>Each Guarantor hereby acknowledges that the guarantee in this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Article 11</w:t>
      </w:r>
      <w:r>
        <w:rPr>
          <w:rFonts w:ascii="Arial" w:cs="Arial" w:eastAsia="Arial" w:hAnsi="Arial"/>
          <w:sz w:val="16"/>
          <w:szCs w:val="16"/>
          <w:color w:val="0000FF"/>
        </w:rPr>
        <w:t xml:space="preserve"> </w:t>
      </w:r>
      <w:r>
        <w:rPr>
          <w:rFonts w:ascii="Arial" w:cs="Arial" w:eastAsia="Arial" w:hAnsi="Arial"/>
          <w:sz w:val="16"/>
          <w:szCs w:val="16"/>
          <w:color w:val="000000"/>
        </w:rPr>
        <w:t>constitutes an instrument for the payment of money, and consents and agrees that any Secured Party or Agent, at its sole option, in the event of a dispute by such Guarantor in the payment of any moneys due hereunder, shall have the right to bring a motion-action under New York CPLR Section 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-298450</wp:posOffset>
            </wp:positionV>
            <wp:extent cx="65151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0000FF"/>
        </w:rPr>
        <w:t>Section 11.08</w:t>
      </w:r>
      <w:r>
        <w:rPr>
          <w:rFonts w:ascii="Arial" w:cs="Arial" w:eastAsia="Arial" w:hAnsi="Arial"/>
          <w:sz w:val="18"/>
          <w:szCs w:val="18"/>
          <w:color w:val="0000FF"/>
        </w:rPr>
        <w:t xml:space="preserve"> </w:t>
      </w:r>
      <w:r>
        <w:rPr>
          <w:rFonts w:ascii="Arial" w:cs="Arial" w:eastAsia="Arial" w:hAnsi="Arial"/>
          <w:sz w:val="18"/>
          <w:szCs w:val="18"/>
          <w:color w:val="FF0000"/>
          <w:strike w:val="1"/>
        </w:rPr>
        <w:t>Section 11.08.</w:t>
      </w:r>
      <w:r>
        <w:rPr>
          <w:rFonts w:ascii="Arial" w:cs="Arial" w:eastAsia="Arial" w:hAnsi="Arial"/>
          <w:sz w:val="18"/>
          <w:szCs w:val="18"/>
          <w:color w:val="000000"/>
        </w:rPr>
        <w:t xml:space="preserve"> </w:t>
      </w:r>
      <w:r>
        <w:rPr>
          <w:rFonts w:ascii="Arial" w:cs="Arial" w:eastAsia="Arial" w:hAnsi="Arial"/>
          <w:sz w:val="18"/>
          <w:szCs w:val="18"/>
          <w:i w:val="1"/>
          <w:iCs w:val="1"/>
          <w:color w:val="000000"/>
        </w:rPr>
        <w:t>Continuing Guarantee.</w:t>
      </w:r>
      <w:r>
        <w:rPr>
          <w:rFonts w:ascii="Arial" w:cs="Arial" w:eastAsia="Arial" w:hAnsi="Arial"/>
          <w:sz w:val="18"/>
          <w:szCs w:val="18"/>
          <w:color w:val="0000FF"/>
        </w:rPr>
        <w:t xml:space="preserve"> </w:t>
      </w:r>
      <w:r>
        <w:rPr>
          <w:rFonts w:ascii="Arial" w:cs="Arial" w:eastAsia="Arial" w:hAnsi="Arial"/>
          <w:sz w:val="18"/>
          <w:szCs w:val="18"/>
          <w:color w:val="000000"/>
        </w:rPr>
        <w:t>The guarantee in this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Article 11</w:t>
      </w:r>
      <w:r>
        <w:rPr>
          <w:rFonts w:ascii="Arial" w:cs="Arial" w:eastAsia="Arial" w:hAnsi="Arial"/>
          <w:sz w:val="18"/>
          <w:szCs w:val="18"/>
          <w:color w:val="0000FF"/>
        </w:rPr>
        <w:t xml:space="preserve"> </w:t>
      </w:r>
      <w:r>
        <w:rPr>
          <w:rFonts w:ascii="Arial" w:cs="Arial" w:eastAsia="Arial" w:hAnsi="Arial"/>
          <w:sz w:val="18"/>
          <w:szCs w:val="18"/>
          <w:color w:val="000000"/>
        </w:rPr>
        <w:t>is a continuing guarantee of payment, and shall apply to all</w:t>
      </w:r>
      <w:r>
        <w:rPr>
          <w:rFonts w:ascii="Arial" w:cs="Arial" w:eastAsia="Arial" w:hAnsi="Arial"/>
          <w:sz w:val="18"/>
          <w:szCs w:val="18"/>
          <w:color w:val="0000FF"/>
        </w:rPr>
        <w:t xml:space="preserve"> </w:t>
      </w:r>
      <w:r>
        <w:rPr>
          <w:rFonts w:ascii="Arial" w:cs="Arial" w:eastAsia="Arial" w:hAnsi="Arial"/>
          <w:sz w:val="18"/>
          <w:szCs w:val="18"/>
          <w:color w:val="000000"/>
        </w:rPr>
        <w:t>Guaranteed Obligations whenever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1722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Section 11.09</w:t>
      </w:r>
      <w:r>
        <w:rPr>
          <w:rFonts w:ascii="Arial" w:cs="Arial" w:eastAsia="Arial" w:hAnsi="Arial"/>
          <w:sz w:val="17"/>
          <w:szCs w:val="17"/>
          <w:color w:val="0000FF"/>
        </w:rPr>
        <w:t xml:space="preserve"> </w:t>
      </w:r>
      <w:r>
        <w:rPr>
          <w:rFonts w:ascii="Arial" w:cs="Arial" w:eastAsia="Arial" w:hAnsi="Arial"/>
          <w:sz w:val="17"/>
          <w:szCs w:val="17"/>
          <w:color w:val="FF0000"/>
          <w:strike w:val="1"/>
        </w:rPr>
        <w:t>Section 11.09.</w:t>
      </w:r>
      <w:r>
        <w:rPr>
          <w:rFonts w:ascii="Arial" w:cs="Arial" w:eastAsia="Arial" w:hAnsi="Arial"/>
          <w:sz w:val="17"/>
          <w:szCs w:val="17"/>
          <w:color w:val="000000"/>
        </w:rPr>
        <w:t xml:space="preserve"> </w:t>
      </w:r>
      <w:r>
        <w:rPr>
          <w:rFonts w:ascii="Arial" w:cs="Arial" w:eastAsia="Arial" w:hAnsi="Arial"/>
          <w:sz w:val="17"/>
          <w:szCs w:val="17"/>
          <w:i w:val="1"/>
          <w:iCs w:val="1"/>
          <w:color w:val="000000"/>
        </w:rPr>
        <w:t>General Limitation on Guarantee Obligations.</w:t>
      </w:r>
      <w:r>
        <w:rPr>
          <w:rFonts w:ascii="Arial" w:cs="Arial" w:eastAsia="Arial" w:hAnsi="Arial"/>
          <w:sz w:val="17"/>
          <w:szCs w:val="17"/>
          <w:color w:val="0000FF"/>
        </w:rPr>
        <w:t xml:space="preserve"> </w:t>
      </w:r>
      <w:r>
        <w:rPr>
          <w:rFonts w:ascii="Arial" w:cs="Arial" w:eastAsia="Arial" w:hAnsi="Arial"/>
          <w:sz w:val="17"/>
          <w:szCs w:val="17"/>
          <w:color w:val="000000"/>
        </w:rPr>
        <w:t>In any action or proceeding involving any state corporate, limited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partnership or limited liability company law, or any applicable state, </w:t>
      </w:r>
      <w:r>
        <w:rPr>
          <w:rFonts w:ascii="Arial" w:cs="Arial" w:eastAsia="Arial" w:hAnsi="Arial"/>
          <w:sz w:val="16"/>
          <w:szCs w:val="16"/>
          <w:u w:val="single" w:color="auto"/>
          <w:color w:val="0000FF"/>
        </w:rPr>
        <w:t>provincial, territorial,</w:t>
      </w:r>
      <w:r>
        <w:rPr>
          <w:rFonts w:ascii="Arial" w:cs="Arial" w:eastAsia="Arial" w:hAnsi="Arial"/>
          <w:sz w:val="16"/>
          <w:szCs w:val="16"/>
          <w:color w:val="auto"/>
        </w:rPr>
        <w:t xml:space="preserve"> federal or foreign bankruptcy, insolvency, reorganization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-107315</wp:posOffset>
            </wp:positionV>
            <wp:extent cx="61722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Law affecting the rights of creditors generally, if the obligations of any Guarantor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would otherwise be held or determined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-107315</wp:posOffset>
            </wp:positionV>
            <wp:extent cx="977265"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be void, voidable, invalid or unenforceable, or subordinated to the claims of any other creditors, on account of the amount of its liability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11.01</w:t>
      </w:r>
      <w:r>
        <w:rPr>
          <w:rFonts w:ascii="Arial" w:cs="Arial" w:eastAsia="Arial" w:hAnsi="Arial"/>
          <w:sz w:val="16"/>
          <w:szCs w:val="16"/>
          <w:color w:val="auto"/>
        </w:rPr>
        <w:t>, then, notwithstanding any other provision to the contrary, the amount of such liability shall, without any further action by such Guarantor,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Loan Party or any other Person, be automatically limited and reduced to the highest amount (after giving effect to the right of contribution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established in </w:t>
      </w:r>
      <w:r>
        <w:rPr>
          <w:rFonts w:ascii="Arial" w:cs="Arial" w:eastAsia="Arial" w:hAnsi="Arial"/>
          <w:sz w:val="17"/>
          <w:szCs w:val="17"/>
          <w:u w:val="single" w:color="auto"/>
          <w:color w:val="auto"/>
        </w:rPr>
        <w:t>Section 11.11</w:t>
      </w:r>
      <w:r>
        <w:rPr>
          <w:rFonts w:ascii="Arial" w:cs="Arial" w:eastAsia="Arial" w:hAnsi="Arial"/>
          <w:sz w:val="17"/>
          <w:szCs w:val="17"/>
          <w:color w:val="auto"/>
        </w:rPr>
        <w:t>) that is valid and enforceable and not subordinated to the claims of other creditors as determined in such action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proceeding.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0"/>
          </w:cols>
          <w:pgMar w:left="440" w:top="274" w:right="459" w:bottom="1440" w:gutter="0" w:footer="0" w:header="0"/>
        </w:sectPr>
      </w:pPr>
    </w:p>
    <w:bookmarkStart w:id="320" w:name="page321"/>
    <w:bookmarkEnd w:id="320"/>
    <w:p>
      <w:pPr>
        <w:jc w:val="center"/>
        <w:ind w:right="30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11.10</w:t>
      </w:r>
      <w:r>
        <w:rPr>
          <w:rFonts w:ascii="Arial" w:cs="Arial" w:eastAsia="Arial" w:hAnsi="Arial"/>
          <w:sz w:val="18"/>
          <w:szCs w:val="18"/>
          <w:color w:val="0000FF"/>
        </w:rPr>
        <w:t xml:space="preserve"> </w:t>
      </w:r>
      <w:r>
        <w:rPr>
          <w:rFonts w:ascii="Arial" w:cs="Arial" w:eastAsia="Arial" w:hAnsi="Arial"/>
          <w:sz w:val="18"/>
          <w:szCs w:val="18"/>
          <w:color w:val="FF0000"/>
          <w:strike w:val="1"/>
        </w:rPr>
        <w:t>Section 11.10.</w:t>
      </w:r>
      <w:r>
        <w:rPr>
          <w:rFonts w:ascii="Arial" w:cs="Arial" w:eastAsia="Arial" w:hAnsi="Arial"/>
          <w:sz w:val="18"/>
          <w:szCs w:val="18"/>
          <w:color w:val="000000"/>
        </w:rPr>
        <w:t xml:space="preserve"> </w:t>
      </w:r>
      <w:r>
        <w:rPr>
          <w:rFonts w:ascii="Arial" w:cs="Arial" w:eastAsia="Arial" w:hAnsi="Arial"/>
          <w:sz w:val="18"/>
          <w:szCs w:val="18"/>
          <w:i w:val="1"/>
          <w:iCs w:val="1"/>
          <w:color w:val="000000"/>
        </w:rPr>
        <w:t>Release of Guarantors.</w:t>
      </w:r>
      <w:r>
        <w:rPr>
          <w:rFonts w:ascii="Arial" w:cs="Arial" w:eastAsia="Arial" w:hAnsi="Arial"/>
          <w:sz w:val="18"/>
          <w:szCs w:val="18"/>
          <w:color w:val="0000FF"/>
        </w:rPr>
        <w:t xml:space="preserve"> </w:t>
      </w:r>
      <w:r>
        <w:rPr>
          <w:rFonts w:ascii="Arial" w:cs="Arial" w:eastAsia="Arial" w:hAnsi="Arial"/>
          <w:sz w:val="18"/>
          <w:szCs w:val="18"/>
          <w:color w:val="000000"/>
        </w:rPr>
        <w:t>If, in compliance with the terms and provisions of the Loan Documents,</w:t>
      </w:r>
      <w:r>
        <w:rPr>
          <w:rFonts w:ascii="Arial" w:cs="Arial" w:eastAsia="Arial" w:hAnsi="Arial"/>
          <w:sz w:val="18"/>
          <w:szCs w:val="18"/>
          <w:color w:val="0000FF"/>
        </w:rPr>
        <w:t xml:space="preserve"> </w:t>
      </w:r>
      <w:r>
        <w:rPr>
          <w:rFonts w:ascii="Arial" w:cs="Arial" w:eastAsia="Arial" w:hAnsi="Arial"/>
          <w:sz w:val="18"/>
          <w:szCs w:val="18"/>
          <w:color w:val="FF0000"/>
          <w:strike w:val="1"/>
        </w:rPr>
        <w:t>(i)</w:t>
      </w:r>
      <w:r>
        <w:rPr>
          <w:rFonts w:ascii="Arial" w:cs="Arial" w:eastAsia="Arial" w:hAnsi="Arial"/>
          <w:sz w:val="18"/>
          <w:szCs w:val="18"/>
          <w:color w:val="0000FF"/>
        </w:rPr>
        <w:t xml:space="preserve"> </w:t>
      </w:r>
      <w:r>
        <w:rPr>
          <w:rFonts w:ascii="Arial" w:cs="Arial" w:eastAsia="Arial" w:hAnsi="Arial"/>
          <w:sz w:val="18"/>
          <w:szCs w:val="18"/>
          <w:color w:val="000000"/>
        </w:rPr>
        <w:t>all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Equity Interests or property of any Guarantor are sold or otherwise transferred to a Person or Persons none of which is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-107315</wp:posOffset>
            </wp:positionV>
            <wp:extent cx="65151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Party </w:t>
      </w:r>
      <w:r>
        <w:rPr>
          <w:rFonts w:ascii="Arial" w:cs="Arial" w:eastAsia="Arial" w:hAnsi="Arial"/>
          <w:sz w:val="17"/>
          <w:szCs w:val="17"/>
          <w:color w:val="FF0000"/>
          <w:strike w:val="1"/>
        </w:rPr>
        <w:t>or (ii) any Guarantor becomes an Excluded Subsidiary</w:t>
      </w:r>
      <w:r>
        <w:rPr>
          <w:rFonts w:ascii="Arial" w:cs="Arial" w:eastAsia="Arial" w:hAnsi="Arial"/>
          <w:sz w:val="17"/>
          <w:szCs w:val="17"/>
          <w:color w:val="auto"/>
        </w:rPr>
        <w:t xml:space="preserve"> (any such Guarantor, </w:t>
      </w:r>
      <w:r>
        <w:rPr>
          <w:rFonts w:ascii="Arial" w:cs="Arial" w:eastAsia="Arial" w:hAnsi="Arial"/>
          <w:sz w:val="17"/>
          <w:szCs w:val="17"/>
          <w:color w:val="FF0000"/>
          <w:strike w:val="1"/>
        </w:rPr>
        <w:t>and any Guarantor referred to in clause (i),</w:t>
      </w:r>
      <w:r>
        <w:rPr>
          <w:rFonts w:ascii="Arial" w:cs="Arial" w:eastAsia="Arial" w:hAnsi="Arial"/>
          <w:sz w:val="17"/>
          <w:szCs w:val="17"/>
          <w:color w:val="auto"/>
        </w:rPr>
        <w:t xml:space="preserve"> a “</w:t>
      </w:r>
      <w:r>
        <w:rPr>
          <w:rFonts w:ascii="Arial" w:cs="Arial" w:eastAsia="Arial" w:hAnsi="Arial"/>
          <w:sz w:val="17"/>
          <w:szCs w:val="17"/>
          <w:b w:val="1"/>
          <w:bCs w:val="1"/>
          <w:color w:val="auto"/>
        </w:rPr>
        <w:t>Transferred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Guarantor</w:t>
      </w:r>
      <w:r>
        <w:rPr>
          <w:rFonts w:ascii="Arial" w:cs="Arial" w:eastAsia="Arial" w:hAnsi="Arial"/>
          <w:sz w:val="16"/>
          <w:szCs w:val="16"/>
          <w:color w:val="auto"/>
        </w:rPr>
        <w:t>”), such Transferred Guarantor shall, upon</w:t>
      </w:r>
      <w:r>
        <w:rPr>
          <w:rFonts w:ascii="Arial" w:cs="Arial" w:eastAsia="Arial" w:hAnsi="Arial"/>
          <w:sz w:val="16"/>
          <w:szCs w:val="16"/>
          <w:b w:val="1"/>
          <w:bCs w:val="1"/>
          <w:color w:val="auto"/>
        </w:rPr>
        <w:t xml:space="preserve"> </w:t>
      </w:r>
      <w:r>
        <w:rPr>
          <w:rFonts w:ascii="Arial" w:cs="Arial" w:eastAsia="Arial" w:hAnsi="Arial"/>
          <w:sz w:val="16"/>
          <w:szCs w:val="16"/>
          <w:color w:val="FF0000"/>
          <w:strike w:val="1"/>
        </w:rPr>
        <w:t>(x)</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consummation of such sale or transfer or other transaction</w:t>
      </w:r>
      <w:r>
        <w:rPr>
          <w:rFonts w:ascii="Arial" w:cs="Arial" w:eastAsia="Arial" w:hAnsi="Arial"/>
          <w:sz w:val="16"/>
          <w:szCs w:val="16"/>
          <w:b w:val="1"/>
          <w:bCs w:val="1"/>
          <w:color w:val="auto"/>
        </w:rPr>
        <w:t xml:space="preserve"> </w:t>
      </w:r>
      <w:r>
        <w:rPr>
          <w:rFonts w:ascii="Arial" w:cs="Arial" w:eastAsia="Arial" w:hAnsi="Arial"/>
          <w:sz w:val="16"/>
          <w:szCs w:val="16"/>
          <w:color w:val="FF0000"/>
          <w:strike w:val="1"/>
        </w:rPr>
        <w:t>or (y) becoming an Excluded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Subsidiary pursuant to clause (e) of the definition thereof</w:t>
      </w:r>
      <w:r>
        <w:rPr>
          <w:rFonts w:ascii="Arial" w:cs="Arial" w:eastAsia="Arial" w:hAnsi="Arial"/>
          <w:sz w:val="17"/>
          <w:szCs w:val="17"/>
          <w:color w:val="000000"/>
        </w:rPr>
        <w:t>, be automatically released from its obligations under this Agreement (including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hereof) and its obligations to pledge and grant any Collateral owned by it pursuant to any Collateral Document and, in the case of a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or substantially all of the Equity Interests of the Transferred Guarantor, the pledge of such Equity Interests to the Collateral Agent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Documents shall be automatically released, and, the Collateral Agent shall take such actions as are necessary to effect each release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in accordance with the relevant provisions of the Collateral Documents; </w:t>
      </w:r>
      <w:r>
        <w:rPr>
          <w:rFonts w:ascii="Arial" w:cs="Arial" w:eastAsia="Arial" w:hAnsi="Arial"/>
          <w:sz w:val="16"/>
          <w:szCs w:val="16"/>
          <w:i w:val="1"/>
          <w:iCs w:val="1"/>
          <w:color w:val="auto"/>
        </w:rPr>
        <w:t>provided</w:t>
      </w:r>
      <w:r>
        <w:rPr>
          <w:rFonts w:ascii="Arial" w:cs="Arial" w:eastAsia="Arial" w:hAnsi="Arial"/>
          <w:sz w:val="16"/>
          <w:szCs w:val="16"/>
          <w:color w:val="auto"/>
        </w:rPr>
        <w:t>, that no Guarantor shall be released as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this paragraph if such Guarantor continues to be a guarantor in respect of any </w:t>
      </w:r>
      <w:r>
        <w:rPr>
          <w:rFonts w:ascii="Arial" w:cs="Arial" w:eastAsia="Arial" w:hAnsi="Arial"/>
          <w:sz w:val="16"/>
          <w:szCs w:val="16"/>
          <w:u w:val="single" w:color="auto"/>
          <w:color w:val="0000FF"/>
        </w:rPr>
        <w:t>Prepetition</w:t>
      </w:r>
      <w:r>
        <w:rPr>
          <w:rFonts w:ascii="Arial" w:cs="Arial" w:eastAsia="Arial" w:hAnsi="Arial"/>
          <w:sz w:val="16"/>
          <w:szCs w:val="16"/>
          <w:color w:val="auto"/>
        </w:rPr>
        <w:t xml:space="preserve"> Indebtedness </w:t>
      </w:r>
      <w:r>
        <w:rPr>
          <w:rFonts w:ascii="Arial" w:cs="Arial" w:eastAsia="Arial" w:hAnsi="Arial"/>
          <w:sz w:val="16"/>
          <w:szCs w:val="16"/>
          <w:color w:val="FF0000"/>
          <w:strike w:val="1"/>
        </w:rPr>
        <w:t>incurred pursuant to Section 7.03(o),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Permitted Additional Debt, any Junior Financing, any UST Tranche A Facility Indebtedness, UST Tranche B Facility Indebtedness or any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-107315</wp:posOffset>
            </wp:positionV>
            <wp:extent cx="49720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Refinancing of any of the foregoing. Notwithstanding anything herein to the contrary, if any Guarantor becomes an Excluded Subsidiary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clause (a) of the definition of Excluded Subsidiary, such Guarantor shall only be permitted to be released from its Guarantee so long as the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value of any and all Investments then held by the Loan Parties in such Person are permitted as an Investment under Section 7.02(c)(iii)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Section 7.02(p) at the time such Person becomes an Excluded Subsidiary pursuant to clause (a) of the definition of “Excluded Subsidiary”.</w:t>
      </w:r>
      <w:r>
        <w:rPr>
          <w:rFonts w:ascii="Arial" w:cs="Arial" w:eastAsia="Arial" w:hAnsi="Arial"/>
          <w:sz w:val="17"/>
          <w:szCs w:val="17"/>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21590</wp:posOffset>
            </wp:positionV>
            <wp:extent cx="2603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2"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When all Commitments hereunder have terminated, and all Loans or other Obligations hereunder which are accrued and payable have been paid or satisfied, this Agreement and the Guarantees made herein shall automatically terminate with respect to all Obligations, except with respect to Obligations that expressly survive such repayment pursuant to the terms of this Agreement.</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u w:val="single" w:color="auto"/>
          <w:color w:val="0000FF"/>
        </w:rPr>
        <w:t>Section 11.11</w:t>
      </w:r>
      <w:r>
        <w:rPr>
          <w:rFonts w:ascii="Arial" w:cs="Arial" w:eastAsia="Arial" w:hAnsi="Arial"/>
          <w:sz w:val="18"/>
          <w:szCs w:val="18"/>
          <w:color w:val="0000FF"/>
        </w:rPr>
        <w:t xml:space="preserve"> </w:t>
      </w:r>
      <w:r>
        <w:rPr>
          <w:rFonts w:ascii="Arial" w:cs="Arial" w:eastAsia="Arial" w:hAnsi="Arial"/>
          <w:sz w:val="18"/>
          <w:szCs w:val="18"/>
          <w:color w:val="FF0000"/>
          <w:strike w:val="1"/>
        </w:rPr>
        <w:t>Section 11.11.</w:t>
      </w:r>
      <w:r>
        <w:rPr>
          <w:rFonts w:ascii="Arial" w:cs="Arial" w:eastAsia="Arial" w:hAnsi="Arial"/>
          <w:sz w:val="18"/>
          <w:szCs w:val="18"/>
          <w:color w:val="000000"/>
        </w:rPr>
        <w:t xml:space="preserve"> </w:t>
      </w:r>
      <w:r>
        <w:rPr>
          <w:rFonts w:ascii="Arial" w:cs="Arial" w:eastAsia="Arial" w:hAnsi="Arial"/>
          <w:sz w:val="18"/>
          <w:szCs w:val="18"/>
          <w:i w:val="1"/>
          <w:iCs w:val="1"/>
          <w:color w:val="000000"/>
        </w:rPr>
        <w:t>Right of Contribution.</w:t>
      </w:r>
      <w:r>
        <w:rPr>
          <w:rFonts w:ascii="Arial" w:cs="Arial" w:eastAsia="Arial" w:hAnsi="Arial"/>
          <w:sz w:val="18"/>
          <w:szCs w:val="18"/>
          <w:color w:val="0000FF"/>
        </w:rPr>
        <w:t xml:space="preserve"> </w:t>
      </w:r>
      <w:r>
        <w:rPr>
          <w:rFonts w:ascii="Arial" w:cs="Arial" w:eastAsia="Arial" w:hAnsi="Arial"/>
          <w:sz w:val="18"/>
          <w:szCs w:val="18"/>
          <w:color w:val="000000"/>
        </w:rPr>
        <w:t>Each Guarantor hereby agrees that to the extent that a Guarantor shall have paid more than</w:t>
      </w:r>
      <w:r>
        <w:rPr>
          <w:rFonts w:ascii="Arial" w:cs="Arial" w:eastAsia="Arial" w:hAnsi="Arial"/>
          <w:sz w:val="18"/>
          <w:szCs w:val="18"/>
          <w:color w:val="0000FF"/>
        </w:rPr>
        <w:t xml:space="preserve"> </w:t>
      </w:r>
      <w:r>
        <w:rPr>
          <w:rFonts w:ascii="Arial" w:cs="Arial" w:eastAsia="Arial" w:hAnsi="Arial"/>
          <w:sz w:val="18"/>
          <w:szCs w:val="18"/>
          <w:color w:val="000000"/>
        </w:rPr>
        <w:t xml:space="preserve">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000000"/>
        </w:rPr>
        <w:t>Section 11.05</w:t>
      </w:r>
      <w:r>
        <w:rPr>
          <w:rFonts w:ascii="Arial" w:cs="Arial" w:eastAsia="Arial" w:hAnsi="Arial"/>
          <w:sz w:val="18"/>
          <w:szCs w:val="18"/>
          <w:color w:val="000000"/>
        </w:rPr>
        <w:t xml:space="preserve">. The provisions of this </w:t>
      </w:r>
      <w:r>
        <w:rPr>
          <w:rFonts w:ascii="Arial" w:cs="Arial" w:eastAsia="Arial" w:hAnsi="Arial"/>
          <w:sz w:val="18"/>
          <w:szCs w:val="18"/>
          <w:u w:val="single" w:color="auto"/>
          <w:color w:val="000000"/>
        </w:rPr>
        <w:t>Section 11.11</w:t>
      </w:r>
      <w:r>
        <w:rPr>
          <w:rFonts w:ascii="Arial" w:cs="Arial" w:eastAsia="Arial" w:hAnsi="Arial"/>
          <w:sz w:val="18"/>
          <w:szCs w:val="18"/>
          <w:color w:val="000000"/>
        </w:rPr>
        <w:t xml:space="preserve"> shall in no respect limit the obligations and liabilities of any Guarantor to the Administrative Agent and the Secured Parties, and each Guarantor shall remain liable to the Administrative Agent and the Secured Parties for the full amount guaranteed by such Guarantor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4262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11.12</w:t>
      </w:r>
      <w:r>
        <w:rPr>
          <w:rFonts w:ascii="Arial" w:cs="Arial" w:eastAsia="Arial" w:hAnsi="Arial"/>
          <w:sz w:val="18"/>
          <w:szCs w:val="18"/>
          <w:color w:val="0000FF"/>
        </w:rPr>
        <w:t xml:space="preserve"> </w:t>
      </w:r>
      <w:r>
        <w:rPr>
          <w:rFonts w:ascii="Arial" w:cs="Arial" w:eastAsia="Arial" w:hAnsi="Arial"/>
          <w:sz w:val="18"/>
          <w:szCs w:val="18"/>
          <w:color w:val="FF0000"/>
          <w:strike w:val="1"/>
        </w:rPr>
        <w:t>Section 11.12.</w:t>
      </w:r>
      <w:r>
        <w:rPr>
          <w:rFonts w:ascii="Arial" w:cs="Arial" w:eastAsia="Arial" w:hAnsi="Arial"/>
          <w:sz w:val="18"/>
          <w:szCs w:val="18"/>
          <w:color w:val="000000"/>
        </w:rPr>
        <w:t xml:space="preserve"> </w:t>
      </w:r>
      <w:r>
        <w:rPr>
          <w:rFonts w:ascii="Arial" w:cs="Arial" w:eastAsia="Arial" w:hAnsi="Arial"/>
          <w:sz w:val="18"/>
          <w:szCs w:val="18"/>
          <w:i w:val="1"/>
          <w:iCs w:val="1"/>
          <w:color w:val="000000"/>
        </w:rPr>
        <w:t>Additional Guarantor Waivers and Agreements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5151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(a) Each Guarantor understands and acknowledges that if the Collateral Agent or any other Secured Party forecloses judicially or nonjudicially against any real property security for the Obligations, that foreclosure could impair or destroy any ability that such Guarantor may have to seek reimbursement, contribution, or indemnification from the Borrower or others based on any right such Guarantor may have of subrogation, reimbursement, contribution, or indemnification for any amounts paid by such Guarantor under the Guaranty. Each Guarantor further understands and acknowledges that in the absence of this paragraph, such potential impairment or destruction of such Guarantor’s rights, if any, may entitle such Guarantor to assert a defense to this Guaranty based on Section 580d of the California Code of Civil Procedure as interpreted in </w:t>
      </w:r>
      <w:r>
        <w:rPr>
          <w:rFonts w:ascii="Arial" w:cs="Arial" w:eastAsia="Arial" w:hAnsi="Arial"/>
          <w:sz w:val="18"/>
          <w:szCs w:val="18"/>
          <w:u w:val="single" w:color="auto"/>
          <w:color w:val="auto"/>
        </w:rPr>
        <w:t>Union Bank v. Gradsky</w:t>
      </w:r>
      <w:r>
        <w:rPr>
          <w:rFonts w:ascii="Arial" w:cs="Arial" w:eastAsia="Arial" w:hAnsi="Arial"/>
          <w:sz w:val="18"/>
          <w:szCs w:val="18"/>
          <w:color w:val="auto"/>
        </w:rPr>
        <w:t>, 265 Cal. App. 2d 40 (1968). By executing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00"/>
          </w:cols>
          <w:pgMar w:left="440" w:top="274" w:right="459" w:bottom="1440" w:gutter="0" w:footer="0" w:header="0"/>
        </w:sectPr>
      </w:pPr>
    </w:p>
    <w:bookmarkStart w:id="321" w:name="page322"/>
    <w:bookmarkEnd w:id="321"/>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Guaranty, each Guarantor freely, irrevocably, and unconditionally: (i) waives (to the extent permitted by Law) and relinquishes that defense and agrees that such Guarantor will be fully liable under this Guaranty even though the Collateral Agent or any other Secured Party may foreclose, either by judicial foreclosure or by exercise of power of sale, any deed of trust securing the Obligations; (ii) agrees that such Guarantor will not assert that defense in any action or proceeding which the Administrative Agent, the Collateral Agent or any other Secured Party may commence to enforce this Guaranty;</w:t>
      </w:r>
    </w:p>
    <w:p>
      <w:pPr>
        <w:spacing w:after="0" w:line="1" w:lineRule="exact"/>
        <w:rPr>
          <w:sz w:val="20"/>
          <w:szCs w:val="20"/>
          <w:color w:val="auto"/>
        </w:rPr>
      </w:pPr>
    </w:p>
    <w:p>
      <w:pPr>
        <w:ind w:left="4" w:right="100" w:hanging="4"/>
        <w:spacing w:after="0" w:line="295" w:lineRule="auto"/>
        <w:tabs>
          <w:tab w:leader="none" w:pos="31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acknowledges and agrees that the rights and defenses waived by such Guarantor in this Guaranty include any right or defense that such Guarantor may have or be entitled to assert based upon or arising out of any one or more of §§ 580a, 580b, 580d, or 726 of the California Code of Civil Procedure or § 2848 of the California Civil Code; and (iv) acknowledges and agrees that the Secured Parties are relying on this waiver in creating the Obligations, and that this waiver is a material part of the consideration which the Secured Parties are receiving for creating the Obligations.</w:t>
      </w:r>
    </w:p>
    <w:p>
      <w:pPr>
        <w:spacing w:after="0" w:line="161"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(b) Each Guarantor waives (to the extent permitted by Law) all rights and defenses that such Guarantor may have because any of the Obligations is secured by real property. This means, among other things: (i) the Administrative Agent, the Collateral Agent and the other Secured Parties may collect from such Guarantor without first foreclosing on any real or personal property Collateral pledged by the other Loan Parties; and (ii) if the Collateral Agent or any other Secured Party forecloses on any real property Collateral pledged by the other Loan Parties: (A) the amount of the Obligations may be reduced only by the price for which that Collateral is sold at the foreclosure sale, even if the collateral is worth more than the sale price, and (B) the Administrative Agent, the Collateral Agent and the other Secured Parties may collect from such Guarantor even if the Secured Parties, by foreclosing on the real property Collateral, have destroyed any right such Guarantor may have to collect from the Borrower. This is an unconditional and irrevocable waiver of any rights and defenses such Guarantor may have because any of the Obligations is secured by real property. These rights and defenses include, but are not limited to, any rights or defenses based upon § 580a, 580b, 580d, or 726 of the California Code of Civil Procedure.</w:t>
      </w:r>
    </w:p>
    <w:p>
      <w:pPr>
        <w:spacing w:after="0" w:line="166"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(c) Each Guarantor waives (to the extent permitted by Law) any right or defense it may have at law or equity, including California Code of Civil Procedure § 580a, to a fair market value hearing or action to determine a deficiency judgment after a foreclosure.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12</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FF0000"/>
          <w:strike w:val="1"/>
        </w:rPr>
        <w:t>CARES ACT REQUIREMENTS</w:t>
      </w:r>
      <w:r>
        <w:rPr>
          <w:rFonts w:ascii="Arial" w:cs="Arial" w:eastAsia="Arial" w:hAnsi="Arial"/>
          <w:sz w:val="17"/>
          <w:szCs w:val="17"/>
          <w:u w:val="single" w:color="auto"/>
          <w:color w:val="0000FF"/>
          <w:strike w:val="1"/>
        </w:rPr>
        <w:t>R</w:t>
      </w:r>
      <w:r>
        <w:rPr>
          <w:rFonts w:ascii="Arial" w:cs="Arial" w:eastAsia="Arial" w:hAnsi="Arial"/>
          <w:sz w:val="15"/>
          <w:szCs w:val="15"/>
          <w:u w:val="single" w:color="auto"/>
          <w:color w:val="0000FF"/>
          <w:strike w:val="1"/>
        </w:rPr>
        <w:t>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-54610</wp:posOffset>
            </wp:positionV>
            <wp:extent cx="2857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-54610</wp:posOffset>
            </wp:positionV>
            <wp:extent cx="2857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30480</wp:posOffset>
            </wp:positionV>
            <wp:extent cx="49720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0000FF"/>
        </w:rPr>
        <w:t>ARTICLE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26035</wp:posOffset>
            </wp:positionV>
            <wp:extent cx="65151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0000FF"/>
        </w:rPr>
        <w:t>S</w:t>
      </w:r>
      <w:r>
        <w:rPr>
          <w:rFonts w:ascii="Arial" w:cs="Arial" w:eastAsia="Arial" w:hAnsi="Arial"/>
          <w:sz w:val="14"/>
          <w:szCs w:val="14"/>
          <w:u w:val="single" w:color="auto"/>
          <w:color w:val="0000FF"/>
        </w:rPr>
        <w:t>ECURITY AND</w:t>
      </w:r>
      <w:r>
        <w:rPr>
          <w:rFonts w:ascii="Arial" w:cs="Arial" w:eastAsia="Arial" w:hAnsi="Arial"/>
          <w:sz w:val="18"/>
          <w:szCs w:val="18"/>
          <w:u w:val="single" w:color="auto"/>
          <w:color w:val="0000FF"/>
        </w:rPr>
        <w:t xml:space="preserve"> A</w:t>
      </w:r>
      <w:r>
        <w:rPr>
          <w:rFonts w:ascii="Arial" w:cs="Arial" w:eastAsia="Arial" w:hAnsi="Arial"/>
          <w:sz w:val="14"/>
          <w:szCs w:val="14"/>
          <w:u w:val="single" w:color="auto"/>
          <w:color w:val="0000FF"/>
        </w:rPr>
        <w:t>DMINISTRATIVE</w:t>
      </w:r>
      <w:r>
        <w:rPr>
          <w:rFonts w:ascii="Arial" w:cs="Arial" w:eastAsia="Arial" w:hAnsi="Arial"/>
          <w:sz w:val="18"/>
          <w:szCs w:val="18"/>
          <w:u w:val="single" w:color="auto"/>
          <w:color w:val="0000FF"/>
        </w:rPr>
        <w:t xml:space="preserve"> P</w:t>
      </w:r>
      <w:r>
        <w:rPr>
          <w:rFonts w:ascii="Arial" w:cs="Arial" w:eastAsia="Arial" w:hAnsi="Arial"/>
          <w:sz w:val="14"/>
          <w:szCs w:val="14"/>
          <w:u w:val="single" w:color="auto"/>
          <w:color w:val="0000FF"/>
        </w:rPr>
        <w:t>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23495</wp:posOffset>
            </wp:positionV>
            <wp:extent cx="2040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5" w:lineRule="exact"/>
        <w:rPr>
          <w:sz w:val="20"/>
          <w:szCs w:val="20"/>
          <w:color w:val="auto"/>
        </w:rPr>
      </w:pPr>
    </w:p>
    <w:p>
      <w:pPr>
        <w:ind w:left="4" w:right="40" w:firstLine="440"/>
        <w:spacing w:after="0" w:line="290" w:lineRule="auto"/>
        <w:rPr>
          <w:sz w:val="20"/>
          <w:szCs w:val="20"/>
          <w:color w:val="auto"/>
        </w:rPr>
      </w:pPr>
      <w:r>
        <w:rPr>
          <w:rFonts w:ascii="Arial" w:cs="Arial" w:eastAsia="Arial" w:hAnsi="Arial"/>
          <w:sz w:val="16"/>
          <w:szCs w:val="16"/>
          <w:u w:val="single" w:color="auto"/>
          <w:color w:val="0000FF"/>
        </w:rPr>
        <w:t>Section</w:t>
      </w:r>
      <w:r>
        <w:rPr>
          <w:rFonts w:ascii="Arial" w:cs="Arial" w:eastAsia="Arial" w:hAnsi="Arial"/>
          <w:sz w:val="16"/>
          <w:szCs w:val="16"/>
          <w:color w:val="0000FF"/>
        </w:rPr>
        <w:t xml:space="preserve"> 13.01 </w:t>
      </w:r>
      <w:r>
        <w:rPr>
          <w:rFonts w:ascii="Arial" w:cs="Arial" w:eastAsia="Arial" w:hAnsi="Arial"/>
          <w:sz w:val="16"/>
          <w:szCs w:val="16"/>
          <w:color w:val="000000"/>
        </w:rPr>
        <w:t xml:space="preserve"> </w:t>
      </w:r>
      <w:r>
        <w:rPr>
          <w:rFonts w:ascii="Arial" w:cs="Arial" w:eastAsia="Arial" w:hAnsi="Arial"/>
          <w:sz w:val="16"/>
          <w:szCs w:val="16"/>
          <w:i w:val="1"/>
          <w:iCs w:val="1"/>
          <w:u w:val="single" w:color="auto"/>
          <w:color w:val="0000FF"/>
        </w:rPr>
        <w:t>Obligations relating to Prepetition Loans</w:t>
      </w:r>
      <w:r>
        <w:rPr>
          <w:rFonts w:ascii="Arial" w:cs="Arial" w:eastAsia="Arial" w:hAnsi="Arial"/>
          <w:sz w:val="16"/>
          <w:szCs w:val="16"/>
          <w:i w:val="1"/>
          <w:iCs w:val="1"/>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Each of the Loan Parties hereby acknowledges, confirms and agrees that each of them</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are each indebted to the Administrative Agent and the Lenders for the Obligations relating to the Prepetition Loans, in an aggregate principal amount, as of the Petition Date, of not less than $485,372,693.29 plus the exit fee referred to in Section 2.05(c) of the Prepetition B-2 Term Loan Credit Agreement in an aggregate amount of $9,707,453.87, plus accrued and unpaid interest, as of the Petition Date, of not less than $6,504,005.15, plus fees, costs, expenses, charges and disbursements incurred in connection therewith (including attorneys’ fees), indemnities, reimbursement obligations and other charges now or hereafter owed by the Borrower and its Subsidiaries (including the Loan Parties) to the Administrative Agent and the Lenders pursuant to the terms of the Prepetition B-2 Term Loan Credit Agreement, all of which are unconditionally owing by the Borrower and its Subsidiaries (including the Loan Parties) to the Administrative Agent and the Lenders, without offset, defense or counterclaim of any kind, nature and description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-1008380</wp:posOffset>
            </wp:positionV>
            <wp:extent cx="6677660" cy="4318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667766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-836930</wp:posOffset>
            </wp:positionV>
            <wp:extent cx="696087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-699770</wp:posOffset>
            </wp:positionV>
            <wp:extent cx="695198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-562610</wp:posOffset>
            </wp:positionV>
            <wp:extent cx="669480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-425450</wp:posOffset>
            </wp:positionV>
            <wp:extent cx="6772275"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-288290</wp:posOffset>
            </wp:positionV>
            <wp:extent cx="68922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696912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68834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04"/>
          </w:cols>
          <w:pgMar w:left="436" w:top="274" w:right="459" w:bottom="1440" w:gutter="0" w:footer="0" w:header="0"/>
        </w:sectPr>
      </w:pPr>
    </w:p>
    <w:bookmarkStart w:id="322" w:name="page323"/>
    <w:bookmarkEnd w:id="322"/>
    <w:p>
      <w:pPr>
        <w:ind w:right="120" w:firstLine="440"/>
        <w:spacing w:after="0" w:line="273"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13.02</w:t>
      </w:r>
      <w:r>
        <w:rPr>
          <w:rFonts w:ascii="Arial" w:cs="Arial" w:eastAsia="Arial" w:hAnsi="Arial"/>
          <w:sz w:val="17"/>
          <w:szCs w:val="17"/>
          <w:color w:val="000000"/>
        </w:rPr>
        <w:t xml:space="preserve"> </w:t>
      </w:r>
      <w:r>
        <w:rPr>
          <w:rFonts w:ascii="Arial" w:cs="Arial" w:eastAsia="Arial" w:hAnsi="Arial"/>
          <w:sz w:val="17"/>
          <w:szCs w:val="17"/>
          <w:color w:val="FF0000"/>
          <w:strike w:val="1"/>
        </w:rPr>
        <w:t>Section 12.01.</w:t>
      </w:r>
      <w:r>
        <w:rPr>
          <w:rFonts w:ascii="Arial" w:cs="Arial" w:eastAsia="Arial" w:hAnsi="Arial"/>
          <w:sz w:val="17"/>
          <w:szCs w:val="17"/>
          <w:color w:val="0000FF"/>
        </w:rPr>
        <w:t xml:space="preserve"> </w:t>
      </w:r>
      <w:r>
        <w:rPr>
          <w:rFonts w:ascii="Arial" w:cs="Arial" w:eastAsia="Arial" w:hAnsi="Arial"/>
          <w:sz w:val="17"/>
          <w:szCs w:val="17"/>
          <w:i w:val="1"/>
          <w:iCs w:val="1"/>
          <w:color w:val="FF0000"/>
          <w:strike w:val="1"/>
        </w:rPr>
        <w:t>CARES Act Compliance</w:t>
      </w:r>
      <w:r>
        <w:rPr>
          <w:rFonts w:ascii="Arial" w:cs="Arial" w:eastAsia="Arial" w:hAnsi="Arial"/>
          <w:sz w:val="17"/>
          <w:szCs w:val="17"/>
          <w:i w:val="1"/>
          <w:iCs w:val="1"/>
          <w:u w:val="single" w:color="auto"/>
          <w:color w:val="0000FF"/>
        </w:rPr>
        <w:t>Acknowledgement of Security Interests</w:t>
      </w:r>
      <w:r>
        <w:rPr>
          <w:rFonts w:ascii="Arial" w:cs="Arial" w:eastAsia="Arial" w:hAnsi="Arial"/>
          <w:sz w:val="17"/>
          <w:szCs w:val="17"/>
          <w:color w:val="FF0000"/>
          <w:strike w:val="1"/>
        </w:rPr>
        <w:t>. The Borrower and its controlled Affiliates are in</w:t>
      </w:r>
      <w:r>
        <w:rPr>
          <w:rFonts w:ascii="Arial" w:cs="Arial" w:eastAsia="Arial" w:hAnsi="Arial"/>
          <w:sz w:val="17"/>
          <w:szCs w:val="17"/>
          <w:color w:val="0000FF"/>
        </w:rPr>
        <w:t xml:space="preserve"> </w:t>
      </w:r>
      <w:r>
        <w:rPr>
          <w:rFonts w:ascii="Arial" w:cs="Arial" w:eastAsia="Arial" w:hAnsi="Arial"/>
          <w:sz w:val="17"/>
          <w:szCs w:val="17"/>
          <w:color w:val="FF0000"/>
          <w:strike w:val="1"/>
        </w:rPr>
        <w:t>material compliance, and will at all times comply in all material respects, with all applicable material requirements under Title IV of the CARES Act, including any applicable material requirements pertaining to the Borrower’s eligibility to receive the loans under the UST Tranche A Credit Agreement and the UST Tranche B Credit Agreement, respectively (such loans, for purposes of this Article 12, the “</w:t>
      </w:r>
      <w:r>
        <w:rPr>
          <w:rFonts w:ascii="Arial" w:cs="Arial" w:eastAsia="Arial" w:hAnsi="Arial"/>
          <w:sz w:val="17"/>
          <w:szCs w:val="17"/>
          <w:b w:val="1"/>
          <w:bCs w:val="1"/>
          <w:color w:val="FF0000"/>
          <w:strike w:val="1"/>
        </w:rPr>
        <w:t>UST Loans</w:t>
      </w:r>
      <w:r>
        <w:rPr>
          <w:rFonts w:ascii="Arial" w:cs="Arial" w:eastAsia="Arial" w:hAnsi="Arial"/>
          <w:sz w:val="17"/>
          <w:szCs w:val="17"/>
          <w:color w:val="FF0000"/>
          <w:strike w:val="1"/>
        </w:rPr>
        <w:t>”). The Borrower will provide any information requested by the Lenders to assess the compliance by the Borrower and its controlled Affiliates with the applicable material requirements under Title IV of the CARES Act or the Borrower’s eligibility to receive the Loan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-691515</wp:posOffset>
            </wp:positionV>
            <wp:extent cx="65151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-691515</wp:posOffset>
            </wp:positionV>
            <wp:extent cx="17741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u w:val="single" w:color="auto"/>
          <w:color w:val="0000FF"/>
        </w:rPr>
        <w: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FF"/>
        </w:rPr>
        <w:t>Each of the Loan Parties hereby acknowledges, confirms and agrees (and hereby agrees that it will not dispute, challenge or otherwise contest) that,</w:t>
      </w:r>
      <w:r>
        <w:rPr>
          <w:rFonts w:ascii="Arial" w:cs="Arial" w:eastAsia="Arial" w:hAnsi="Arial"/>
          <w:sz w:val="16"/>
          <w:szCs w:val="16"/>
          <w:i w:val="1"/>
          <w:iCs w:val="1"/>
          <w:color w:val="0000FF"/>
        </w:rPr>
        <w:t xml:space="preserve"> </w:t>
      </w:r>
      <w:r>
        <w:rPr>
          <w:rFonts w:ascii="Arial" w:cs="Arial" w:eastAsia="Arial" w:hAnsi="Arial"/>
          <w:sz w:val="16"/>
          <w:szCs w:val="16"/>
          <w:u w:val="single" w:color="auto"/>
          <w:color w:val="0000FF"/>
        </w:rPr>
        <w:t>as of the Petition Date, (i) the Administrative Agent and the Lenders have valid, enforceable and perfected first priority and senior liens (subject only to Liens permitted under Section 7.01 of the Prepetition B-2 Term Loan Credit Agreement) upon and security interests in all of the Collateral (as defined in the Prepetition B-2 Term Loan Credit Agreement) granted pursuant to the Existing Loan Documents and the other “Collateral Documents” (as defined in the Existing Loan Documents) as in effect on the Petition Date to secure all of the Obligations (as defined in the Prepetition B-2 Term Loan Credit Agreement) and (ii) such Liens are not subject to avoidance, set off, counterclaim, recharacterization, reduction, disallowance, impairment or subordination (whether contractual, equitable or otherwise) or other challenge pursuant to Debtor Relief Law or applicable non-bankruptcy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-836295</wp:posOffset>
            </wp:positionV>
            <wp:extent cx="689229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934835"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978015"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99516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69480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454775"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65747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13.03</w:t>
      </w:r>
      <w:r>
        <w:rPr>
          <w:rFonts w:ascii="Arial" w:cs="Arial" w:eastAsia="Arial" w:hAnsi="Arial"/>
          <w:sz w:val="18"/>
          <w:szCs w:val="18"/>
          <w:color w:val="000000"/>
        </w:rPr>
        <w:t xml:space="preserve"> </w:t>
      </w:r>
      <w:r>
        <w:rPr>
          <w:rFonts w:ascii="Arial" w:cs="Arial" w:eastAsia="Arial" w:hAnsi="Arial"/>
          <w:sz w:val="18"/>
          <w:szCs w:val="18"/>
          <w:i w:val="1"/>
          <w:iCs w:val="1"/>
          <w:color w:val="FF0000"/>
          <w:strike w:val="1"/>
        </w:rPr>
        <w:t>Dividends and Buybacks</w:t>
      </w:r>
      <w:r>
        <w:rPr>
          <w:rFonts w:ascii="Arial" w:cs="Arial" w:eastAsia="Arial" w:hAnsi="Arial"/>
          <w:sz w:val="18"/>
          <w:szCs w:val="18"/>
          <w:i w:val="1"/>
          <w:iCs w:val="1"/>
          <w:u w:val="single" w:color="auto"/>
          <w:color w:val="0000FF"/>
        </w:rPr>
        <w:t>Binding Effect of Documents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2547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23495</wp:posOffset>
            </wp:positionV>
            <wp:extent cx="132016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u w:val="single" w:color="auto"/>
          <w:color w:val="0000FF"/>
        </w:rPr>
        <w:t>Each of the Loan Parties hereby acknowledges, confirms and agrees (and hereby agrees that it will not dispute, challenge or otherwise contest) that (i) each of the Loan Documents and the other “Collateral Documents” (as defined in the Loan Documents) to which it is a party is in full force and effect as of the date hereof, (ii) the agreements and obligations of the Borrower and each of its Subsidiaries contained in the Loan Documents and the other “Collateral Documents” (as defined in the Loan Documents) constitute the legal, valid and binding obligations of each of the Borrower and its Subsidiaries enforceable against each of them in accordance with their respective terms, except as such enforceability may be limited by Debtor Relief Laws and by general principles of equity, and neither the Borrower nor any of its Subsidiaries has any valid defense, offset or counterclaim to the enforcement of such obligations and (iii) subject to the DIP Order, the Administrative Agent and the Lenders are and shall be entitled to all of the rights, remedies and benefits provided for in the Loan Documents and the other “Collateral Documents” (as defined in the Loan Documents), except to the extent clauses (ii) and (iii) above are subject to the automatic stay under the Bankruptcy Code upon commencement of the Chapter 11 Cases and the stay of proceedings pursuant to the applicable Canadian Orders in the Canadian Recognition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-1246505</wp:posOffset>
            </wp:positionV>
            <wp:extent cx="65151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-1109345</wp:posOffset>
            </wp:positionV>
            <wp:extent cx="6900545"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-972185</wp:posOffset>
            </wp:positionV>
            <wp:extent cx="682371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-835025</wp:posOffset>
            </wp:positionV>
            <wp:extent cx="676338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-697865</wp:posOffset>
            </wp:positionV>
            <wp:extent cx="688340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664337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-423545</wp:posOffset>
            </wp:positionV>
            <wp:extent cx="696087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675513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98627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462915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48"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u w:val="single" w:color="auto"/>
          <w:color w:val="0000FF"/>
        </w:rPr>
        <w:t>Section</w:t>
      </w:r>
      <w:r>
        <w:rPr>
          <w:rFonts w:ascii="Arial" w:cs="Arial" w:eastAsia="Arial" w:hAnsi="Arial"/>
          <w:sz w:val="17"/>
          <w:szCs w:val="17"/>
          <w:color w:val="0000FF"/>
        </w:rPr>
        <w:t xml:space="preserve"> 13.04 </w:t>
      </w:r>
      <w:r>
        <w:rPr>
          <w:rFonts w:ascii="Arial" w:cs="Arial" w:eastAsia="Arial" w:hAnsi="Arial"/>
          <w:sz w:val="17"/>
          <w:szCs w:val="17"/>
          <w:color w:val="000000"/>
        </w:rPr>
        <w:t xml:space="preserve"> </w:t>
      </w:r>
      <w:r>
        <w:rPr>
          <w:rFonts w:ascii="Arial" w:cs="Arial" w:eastAsia="Arial" w:hAnsi="Arial"/>
          <w:sz w:val="17"/>
          <w:szCs w:val="17"/>
          <w:i w:val="1"/>
          <w:iCs w:val="1"/>
          <w:u w:val="single" w:color="auto"/>
          <w:color w:val="0000FF"/>
        </w:rPr>
        <w:t>Collateral; Grant of Lien and Security Interest</w:t>
      </w:r>
      <w:r>
        <w:rPr>
          <w:rFonts w:ascii="Arial" w:cs="Arial" w:eastAsia="Arial" w:hAnsi="Arial"/>
          <w:sz w:val="17"/>
          <w:szCs w:val="17"/>
          <w:color w:val="FF0000"/>
          <w:strike w:val="1"/>
        </w:rPr>
        <w:t>Until the date that is 12 months after the date on which the UST Loans are no</w:t>
      </w:r>
      <w:r>
        <w:rPr>
          <w:rFonts w:ascii="Arial" w:cs="Arial" w:eastAsia="Arial" w:hAnsi="Arial"/>
          <w:sz w:val="17"/>
          <w:szCs w:val="17"/>
          <w:color w:val="0000FF"/>
        </w:rPr>
        <w:t xml:space="preserve"> </w:t>
      </w:r>
      <w:r>
        <w:rPr>
          <w:rFonts w:ascii="Arial" w:cs="Arial" w:eastAsia="Arial" w:hAnsi="Arial"/>
          <w:sz w:val="17"/>
          <w:szCs w:val="17"/>
          <w:color w:val="FF0000"/>
          <w:strike w:val="1"/>
        </w:rPr>
        <w:t>longer outstanding, neither the Borrower nor any of its Affiliates (other than an Affiliate that is a natural person) shall, in any transaction, purchase an equity security of the Borrower or of any direct or indirect parent company of the Borrower, in either case, is listed on a national securities exchange, except to the extent required under a contractual obligation in effect as of the date of enactment of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-455930</wp:posOffset>
            </wp:positionV>
            <wp:extent cx="2931795" cy="4318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2931795" cy="4318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20"/>
          </w:cols>
          <w:pgMar w:left="440" w:top="274" w:right="439" w:bottom="1440" w:gutter="0" w:footer="0" w:header="0"/>
        </w:sectPr>
      </w:pPr>
    </w:p>
    <w:bookmarkStart w:id="323" w:name="page324"/>
    <w:bookmarkEnd w:id="323"/>
    <w:p>
      <w:pPr>
        <w:ind w:right="320" w:firstLine="436"/>
        <w:spacing w:after="0" w:line="277" w:lineRule="auto"/>
        <w:tabs>
          <w:tab w:leader="none" w:pos="695" w:val="left"/>
        </w:tabs>
        <w:numPr>
          <w:ilvl w:val="0"/>
          <w:numId w:val="262"/>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the date that is 12 months after the date on which the UST Loans are no longer outstanding, the Borrower shall not pay dividends, or make any other capital distributions, with respect to the common stock of the Borrower.</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i w:val="1"/>
          <w:iCs w:val="1"/>
          <w:color w:val="FF0000"/>
          <w:strike w:val="1"/>
        </w:rPr>
        <w:t xml:space="preserve">Section 12.03. Maintenance of Employment Levels. </w:t>
      </w:r>
      <w:r>
        <w:rPr>
          <w:rFonts w:ascii="Arial" w:cs="Arial" w:eastAsia="Arial" w:hAnsi="Arial"/>
          <w:sz w:val="18"/>
          <w:szCs w:val="18"/>
          <w:color w:val="FF0000"/>
          <w:strike w:val="1"/>
        </w:rPr>
        <w:t>Until September 30, 2020, the Borrower shall maintain its employment levels as of March</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24, 2020, to the extent practicable, and in any case shall not reduce its employment levels by more than ten (10) percent from the levels on March 24, 2020.</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FF0000"/>
          <w:strike w:val="1"/>
        </w:rPr>
        <w:t>Section 12.04. United States Business</w:t>
      </w:r>
      <w:r>
        <w:rPr>
          <w:rFonts w:ascii="Arial" w:cs="Arial" w:eastAsia="Arial" w:hAnsi="Arial"/>
          <w:sz w:val="18"/>
          <w:szCs w:val="18"/>
          <w:i w:val="1"/>
          <w:iCs w:val="1"/>
          <w:color w:val="FF0000"/>
          <w:strike w:val="1"/>
        </w:rPr>
        <w:t>.</w:t>
      </w:r>
      <w:r>
        <w:rPr>
          <w:rFonts w:ascii="Arial" w:cs="Arial" w:eastAsia="Arial" w:hAnsi="Arial"/>
          <w:sz w:val="18"/>
          <w:szCs w:val="18"/>
          <w:color w:val="FF0000"/>
          <w:strike w:val="1"/>
        </w:rPr>
        <w:t xml:space="preserve"> The Borrower is created or organized in the United States or under the laws of the United States and has significant operations in and a majority of its employees based in the United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FF0000"/>
          <w:strike w:val="1"/>
        </w:rPr>
        <w:t>Section 12.05. Limitations on Certain Compensation</w:t>
      </w:r>
      <w:r>
        <w:rPr>
          <w:rFonts w:ascii="Arial" w:cs="Arial" w:eastAsia="Arial" w:hAnsi="Arial"/>
          <w:sz w:val="18"/>
          <w:szCs w:val="18"/>
          <w:color w:val="000000"/>
        </w:rPr>
        <w:t>.</w:t>
      </w:r>
    </w:p>
    <w:p>
      <w:pPr>
        <w:spacing w:after="0" w:line="225" w:lineRule="exact"/>
        <w:rPr>
          <w:sz w:val="20"/>
          <w:szCs w:val="20"/>
          <w:color w:val="auto"/>
        </w:rPr>
      </w:pPr>
    </w:p>
    <w:p>
      <w:pPr>
        <w:ind w:right="40" w:firstLine="436"/>
        <w:spacing w:after="0" w:line="259" w:lineRule="auto"/>
        <w:tabs>
          <w:tab w:leader="none" w:pos="685" w:val="left"/>
        </w:tabs>
        <w:numPr>
          <w:ilvl w:val="0"/>
          <w:numId w:val="263"/>
        </w:numPr>
        <w:rPr>
          <w:rFonts w:ascii="Arial" w:cs="Arial" w:eastAsia="Arial" w:hAnsi="Arial"/>
          <w:sz w:val="18"/>
          <w:szCs w:val="18"/>
          <w:color w:val="FF0000"/>
          <w:strike w:val="1"/>
        </w:rPr>
      </w:pPr>
      <w:r>
        <w:rPr>
          <w:rFonts w:ascii="Arial" w:cs="Arial" w:eastAsia="Arial" w:hAnsi="Arial"/>
          <w:sz w:val="18"/>
          <w:szCs w:val="18"/>
          <w:color w:val="FF0000"/>
          <w:strike w:val="1"/>
        </w:rPr>
        <w:t>Beginning on the Effective Date and ending on the date that is one year after the date on which the UST Loans are no longer outstanding, the Borrower shall not pay any of the Borrower’s Corporate Officers or Employees whose Total Compensation exceeded $425,000 in calendar year 2019 or the Subsequent Reference Period (other than an Employee whose compensation is determined through an existing collective bargaining agreement entered into before March 1, 2020):</w:t>
      </w:r>
    </w:p>
    <w:p>
      <w:pPr>
        <w:spacing w:after="0" w:line="78" w:lineRule="exact"/>
        <w:rPr>
          <w:rFonts w:ascii="Arial" w:cs="Arial" w:eastAsia="Arial" w:hAnsi="Arial"/>
          <w:sz w:val="18"/>
          <w:szCs w:val="18"/>
          <w:color w:val="FF0000"/>
          <w:strike w:val="1"/>
        </w:rPr>
      </w:pPr>
    </w:p>
    <w:p>
      <w:pPr>
        <w:ind w:left="440" w:right="40" w:firstLine="419"/>
        <w:spacing w:after="0" w:line="263" w:lineRule="auto"/>
        <w:tabs>
          <w:tab w:leader="none" w:pos="1078" w:val="left"/>
        </w:tabs>
        <w:numPr>
          <w:ilvl w:val="1"/>
          <w:numId w:val="263"/>
        </w:numPr>
        <w:rPr>
          <w:rFonts w:ascii="Arial" w:cs="Arial" w:eastAsia="Arial" w:hAnsi="Arial"/>
          <w:sz w:val="18"/>
          <w:szCs w:val="18"/>
          <w:color w:val="FF0000"/>
          <w:strike w:val="1"/>
        </w:rPr>
      </w:pPr>
      <w:r>
        <w:rPr>
          <w:rFonts w:ascii="Arial" w:cs="Arial" w:eastAsia="Arial" w:hAnsi="Arial"/>
          <w:sz w:val="18"/>
          <w:szCs w:val="18"/>
          <w:color w:val="FF0000"/>
          <w:strike w:val="1"/>
        </w:rPr>
        <w:t>Total Compensation which exceeds, during any 12 consecutive months of the period beginning on the Effective Date, and ending on the date that is one year after the date on which the UST Loans are no longer outstanding, the Total Compensation the Corporate Officer or Employee received in calendar year 2019 or the Subsequent Reference Period; or</w:t>
      </w:r>
    </w:p>
    <w:p>
      <w:pPr>
        <w:spacing w:after="0" w:line="75" w:lineRule="exact"/>
        <w:rPr>
          <w:rFonts w:ascii="Arial" w:cs="Arial" w:eastAsia="Arial" w:hAnsi="Arial"/>
          <w:sz w:val="18"/>
          <w:szCs w:val="18"/>
          <w:color w:val="FF0000"/>
          <w:strike w:val="1"/>
        </w:rPr>
      </w:pPr>
    </w:p>
    <w:p>
      <w:pPr>
        <w:ind w:left="440" w:right="120" w:firstLine="419"/>
        <w:spacing w:after="0" w:line="342" w:lineRule="auto"/>
        <w:tabs>
          <w:tab w:leader="none" w:pos="1128" w:val="left"/>
        </w:tabs>
        <w:numPr>
          <w:ilvl w:val="1"/>
          <w:numId w:val="263"/>
        </w:numPr>
        <w:rPr>
          <w:rFonts w:ascii="Arial" w:cs="Arial" w:eastAsia="Arial" w:hAnsi="Arial"/>
          <w:sz w:val="16"/>
          <w:szCs w:val="16"/>
          <w:color w:val="FF0000"/>
          <w:strike w:val="1"/>
        </w:rPr>
      </w:pPr>
      <w:r>
        <w:rPr>
          <w:rFonts w:ascii="Arial" w:cs="Arial" w:eastAsia="Arial" w:hAnsi="Arial"/>
          <w:sz w:val="16"/>
          <w:szCs w:val="16"/>
          <w:color w:val="FF0000"/>
          <w:strike w:val="1"/>
        </w:rPr>
        <w:t>Severance Pay or Other Benefits in connection with a termination of employment with the Borrower which exceed twice the maximum Total Compensation received by such Corporate Officer or Employee in calendar year 2019 or the Subsequent Reference Period.</w:t>
      </w:r>
    </w:p>
    <w:p>
      <w:pPr>
        <w:spacing w:after="0" w:line="123" w:lineRule="exact"/>
        <w:rPr>
          <w:rFonts w:ascii="Arial" w:cs="Arial" w:eastAsia="Arial" w:hAnsi="Arial"/>
          <w:sz w:val="16"/>
          <w:szCs w:val="16"/>
          <w:color w:val="FF0000"/>
          <w:strike w:val="1"/>
        </w:rPr>
      </w:pPr>
    </w:p>
    <w:p>
      <w:pPr>
        <w:jc w:val="both"/>
        <w:ind w:right="80" w:firstLine="436"/>
        <w:spacing w:after="0" w:line="263" w:lineRule="auto"/>
        <w:tabs>
          <w:tab w:leader="none" w:pos="695" w:val="left"/>
        </w:tabs>
        <w:numPr>
          <w:ilvl w:val="0"/>
          <w:numId w:val="263"/>
        </w:numPr>
        <w:rPr>
          <w:rFonts w:ascii="Arial" w:cs="Arial" w:eastAsia="Arial" w:hAnsi="Arial"/>
          <w:sz w:val="18"/>
          <w:szCs w:val="18"/>
          <w:color w:val="FF0000"/>
          <w:strike w:val="1"/>
        </w:rPr>
      </w:pPr>
      <w:r>
        <w:rPr>
          <w:rFonts w:ascii="Arial" w:cs="Arial" w:eastAsia="Arial" w:hAnsi="Arial"/>
          <w:sz w:val="18"/>
          <w:szCs w:val="18"/>
          <w:color w:val="FF0000"/>
          <w:strike w:val="1"/>
        </w:rPr>
        <w:t>Beginning on the Effective Date, and ending on the date that is one year after the date on which the UST Loans are no longer outstanding, the Borrower shall not pay any of the Borrower’s Corporate Officers or Employees whose Total Compensation exceeded $3,000,000 in calendar year 2019 or the Subsequent Reference Period Total Compensation in excess of the sum of:</w:t>
      </w:r>
    </w:p>
    <w:p>
      <w:pPr>
        <w:spacing w:after="0" w:line="75" w:lineRule="exact"/>
        <w:rPr>
          <w:rFonts w:ascii="Arial" w:cs="Arial" w:eastAsia="Arial" w:hAnsi="Arial"/>
          <w:sz w:val="18"/>
          <w:szCs w:val="18"/>
          <w:color w:val="FF0000"/>
          <w:strike w:val="1"/>
        </w:rPr>
      </w:pPr>
    </w:p>
    <w:p>
      <w:pPr>
        <w:ind w:left="1080" w:hanging="221"/>
        <w:spacing w:after="0"/>
        <w:tabs>
          <w:tab w:leader="none" w:pos="1080" w:val="left"/>
        </w:tabs>
        <w:numPr>
          <w:ilvl w:val="1"/>
          <w:numId w:val="263"/>
        </w:numPr>
        <w:rPr>
          <w:rFonts w:ascii="Arial" w:cs="Arial" w:eastAsia="Arial" w:hAnsi="Arial"/>
          <w:sz w:val="18"/>
          <w:szCs w:val="18"/>
          <w:color w:val="FF0000"/>
          <w:strike w:val="1"/>
        </w:rPr>
      </w:pPr>
      <w:r>
        <w:rPr>
          <w:rFonts w:ascii="Arial" w:cs="Arial" w:eastAsia="Arial" w:hAnsi="Arial"/>
          <w:sz w:val="18"/>
          <w:szCs w:val="18"/>
          <w:color w:val="FF0000"/>
          <w:strike w:val="1"/>
        </w:rPr>
        <w:t>$3,000,000; and</w:t>
      </w:r>
    </w:p>
    <w:p>
      <w:pPr>
        <w:spacing w:after="0" w:line="117" w:lineRule="exact"/>
        <w:rPr>
          <w:rFonts w:ascii="Arial" w:cs="Arial" w:eastAsia="Arial" w:hAnsi="Arial"/>
          <w:sz w:val="18"/>
          <w:szCs w:val="18"/>
          <w:color w:val="FF0000"/>
          <w:strike w:val="1"/>
        </w:rPr>
      </w:pPr>
    </w:p>
    <w:p>
      <w:pPr>
        <w:ind w:left="440" w:right="200" w:firstLine="419"/>
        <w:spacing w:after="0" w:line="277" w:lineRule="auto"/>
        <w:tabs>
          <w:tab w:leader="none" w:pos="1128" w:val="left"/>
        </w:tabs>
        <w:numPr>
          <w:ilvl w:val="1"/>
          <w:numId w:val="263"/>
        </w:numPr>
        <w:rPr>
          <w:rFonts w:ascii="Arial" w:cs="Arial" w:eastAsia="Arial" w:hAnsi="Arial"/>
          <w:sz w:val="18"/>
          <w:szCs w:val="18"/>
          <w:color w:val="FF0000"/>
          <w:strike w:val="1"/>
        </w:rPr>
      </w:pPr>
      <w:r>
        <w:rPr>
          <w:rFonts w:ascii="Arial" w:cs="Arial" w:eastAsia="Arial" w:hAnsi="Arial"/>
          <w:sz w:val="18"/>
          <w:szCs w:val="18"/>
          <w:color w:val="FF0000"/>
          <w:strike w:val="1"/>
        </w:rPr>
        <w:t>50 percent of the excess over $3,000,000 of the Total Compensation received by such Corporate Officer or Employee in calendar year 2019 or the Subsequent Reference Period.</w:t>
      </w:r>
    </w:p>
    <w:p>
      <w:pPr>
        <w:spacing w:after="0" w:line="170" w:lineRule="exact"/>
        <w:rPr>
          <w:rFonts w:ascii="Arial" w:cs="Arial" w:eastAsia="Arial" w:hAnsi="Arial"/>
          <w:sz w:val="18"/>
          <w:szCs w:val="18"/>
          <w:color w:val="FF0000"/>
          <w:strike w:val="1"/>
        </w:rPr>
      </w:pPr>
    </w:p>
    <w:p>
      <w:pPr>
        <w:ind w:right="20" w:firstLine="436"/>
        <w:spacing w:after="0" w:line="263" w:lineRule="auto"/>
        <w:tabs>
          <w:tab w:leader="none" w:pos="685" w:val="left"/>
        </w:tabs>
        <w:numPr>
          <w:ilvl w:val="0"/>
          <w:numId w:val="263"/>
        </w:numPr>
        <w:rPr>
          <w:rFonts w:ascii="Arial" w:cs="Arial" w:eastAsia="Arial" w:hAnsi="Arial"/>
          <w:sz w:val="18"/>
          <w:szCs w:val="18"/>
          <w:color w:val="FF0000"/>
          <w:strike w:val="1"/>
        </w:rPr>
      </w:pPr>
      <w:r>
        <w:rPr>
          <w:rFonts w:ascii="Arial" w:cs="Arial" w:eastAsia="Arial" w:hAnsi="Arial"/>
          <w:sz w:val="18"/>
          <w:szCs w:val="18"/>
          <w:color w:val="FF0000"/>
          <w:strike w:val="1"/>
        </w:rPr>
        <w:t>For purposes of determining applicable amounts under this clause (5) with respect to any Corporate Officer or Employee who was employed by the Borrower for less than all of calendar year 2019, the amount of Total Compensation in calendar year 2019 shall mean such Corporate Officer’s or Employee’s Total Compensation on an annualized basis.</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0000FF"/>
        </w:rPr>
        <w:t>(i)</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Pursuant to the DIP Order and in accordance with the terms thereof, and, in the case of the Canadian Collateral, the DIP Order and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Canadian Orders, as security for the full and timely payment and performance of all Obligations in respect of the Postpetition B-2 Facility (including the New Money Postpetition Term Loans and the Commitments) as provided herein and in the DIP Order, each of the Loan Parties hereby collaterally assigns, pledges and grants to the Collateral Agent, for the benefit of the Secured Parties who hold such Obligations, a security interest in, and Lien on, the Collateral, which is hereby acknowledged to include all of the property, assets or interests in property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-555625</wp:posOffset>
            </wp:positionV>
            <wp:extent cx="6386195"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97801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69480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909435"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492887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980"/>
          </w:cols>
          <w:pgMar w:left="440" w:top="274" w:right="479" w:bottom="1440" w:gutter="0" w:footer="0" w:header="0"/>
        </w:sectPr>
      </w:pPr>
    </w:p>
    <w:bookmarkStart w:id="324" w:name="page325"/>
    <w:bookmarkEnd w:id="324"/>
    <w:p>
      <w:pPr>
        <w:ind w:right="20"/>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assets of such Person, of any kind or nature whatsoever, real or personal, tangible and intangible now existing or hereafter acquired or created, including all property of the “estate ” (within the meaning of the Bankruptcy Code) of the Loan Parties, and all accounts, inventory, goods, contract rights, instruments, documents, chattel paper, patents, trademarks, copyrights and licenses therefor, general intangibles, payment intangibles, intangibles, letters of credit, letter-of-credit rights, supporting obligations, machinery and equipment, real property, fixtures, leases, all of the issued and outstanding Equity Interests entitled to vote (within the meaning of Treas. Reg. Section 1.956-2(c)(2)) and all of the issued and outstanding Equity Interests not entitled to vote (within the meaning of Treas. Reg. Section 1.956-2(c)(2)) of each Subsidiary of the Borrower, all of the Equity Interests of all other Persons that are not Subsidiaries directly owned by the Borrower, money, investment property, deposit accounts, all commercial tort claims and other causes of action other than Avoidance Actions, the proceeds of all Avoidance Actions (excluding for the avoidance of doubt, any claims and the causes of actions themselves), all Cash Collateral, and all cash and non-cash proceeds, rents, products, substitutions, accessions and profits of any of Collateral described above, in each case, other than Excluded Property, but including the proceeds thereof. No limitation in any Collateral Document (including, without limitation, any limitation on recoveries or other equivalent cap in any Mortgage) shall constitute a limitation with respect to any of the foregoing security interests or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-1513840</wp:posOffset>
            </wp:positionV>
            <wp:extent cx="6969125"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-1376680</wp:posOffset>
            </wp:positionV>
            <wp:extent cx="6600825"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-1239520</wp:posOffset>
            </wp:positionV>
            <wp:extent cx="697801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-1102360</wp:posOffset>
            </wp:positionV>
            <wp:extent cx="696087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-965200</wp:posOffset>
            </wp:positionV>
            <wp:extent cx="68834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-828040</wp:posOffset>
            </wp:positionV>
            <wp:extent cx="699516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-690880</wp:posOffset>
            </wp:positionV>
            <wp:extent cx="682371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-553720</wp:posOffset>
            </wp:positionV>
            <wp:extent cx="661797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-416560</wp:posOffset>
            </wp:positionV>
            <wp:extent cx="692658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676338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60908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1208405"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5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u w:val="single" w:color="auto"/>
          <w:color w:val="0000FF"/>
        </w:rPr>
        <w:t>(ii)</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The security interests and Liens in favor of the Collateral Agent in the Collateral described in paragraph (i) above shall be effective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immediately upon the entry of the Interim Order and shall continue in effect (or be effective, if applicable) upon the entry of the Final Order and subject and subordinate only to (i) the Carve-Out, (ii) solely with respect to the Canadian Collateral, the Canadian Priority Charges (in a maximum amount not to exceed CDN$4,200,000) pursuant to the Canadian Orders, and (iii) with respect to any Prepetition ABL Priority Collateral, Prepetition UST Tranche B Priority Collateral or Prepetition UST Tranche B Joint Collateral, the terms (including subordination terms) and conditions set forth in the Interim Order and the Prepetition ABL Intercreditor Agreement. Such Liens and security interests and their priority shall remain in effect until the Commitments shall have been terminated and all Obligations in respect of the Postpetition B-2 Facility (other than contingent obligations not claimed) shall have been paid in full. For the avoidance of doubt, the security interests and Liens in favor of the Collateral Agent in the Collateral shall be senior in all respects to the Junior DIP Liens (other than with respect to Unencumbered Assets, on which the Junior DIP Liens shall be senior, and the DIP Proceeds Account, on which the Junior DIP Liens solely with respect to proceeds of the Junior DIP Facility shall have first priority). Notwithstanding anything to the contrary herein, nothing in this Section 13.04(ii) is intended to or does conflict with or override the UST Adequate Protection Order and in the event of any inconsistencies between this Section 13.04(ii) and the UST Adequate Protection Order, the UST Adequate Protection Order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-1520825</wp:posOffset>
            </wp:positionV>
            <wp:extent cx="626618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-1383665</wp:posOffset>
            </wp:positionV>
            <wp:extent cx="694372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-1246505</wp:posOffset>
            </wp:positionV>
            <wp:extent cx="6909435"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-1109345</wp:posOffset>
            </wp:positionV>
            <wp:extent cx="692658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-972185</wp:posOffset>
            </wp:positionV>
            <wp:extent cx="6772275"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-835025</wp:posOffset>
            </wp:positionV>
            <wp:extent cx="699516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-697865</wp:posOffset>
            </wp:positionV>
            <wp:extent cx="6943725"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695198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-423545</wp:posOffset>
            </wp:positionV>
            <wp:extent cx="699516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6943725"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694805"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627507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4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u w:val="single" w:color="auto"/>
          <w:color w:val="0000FF"/>
        </w:rPr>
        <w:t>(iii)</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Notwithstanding anything herein to the contrary (A) all proceeds received by the Administrative Agent and the Lenders from the Collateral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subject to the Liens granted in this Section 13.04 and in the DIP Order and each other Loan Document shall be, upon the occurrence and during the continuation of an Event of Default (other than an Existing Default), subject to the terms (including priority and subordination terms) and conditions set forth in the DIP Order and, in the case of the Canadian Collateral, the DIP Order and the Canadian Orders, and the Prepetition ABL Intercreditor Agreement, and subject and subordinate to the prior payment of the Carve-Out and the Canadian Priority Charges (in a maximum amount not to exceed CDN$4,200,000) pursuant to the DIP Order and the Canadian Orders, and (B) no Person entitled to the Carve-Out shall be entitled to sell or otherwise dispose of any Collateral, and without limiting such Person’s right solely to receive proceeds of a sale up to the amount of the Carve-Out, owed to such Person, such Person shall not seek or object to the sale or other disposition of any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-974090</wp:posOffset>
            </wp:positionV>
            <wp:extent cx="667766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-836930</wp:posOffset>
            </wp:positionV>
            <wp:extent cx="6729095"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-699770</wp:posOffset>
            </wp:positionV>
            <wp:extent cx="6943725"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-562610</wp:posOffset>
            </wp:positionV>
            <wp:extent cx="661797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693483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-288290</wp:posOffset>
            </wp:positionV>
            <wp:extent cx="687514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9176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23481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20"/>
          </w:cols>
          <w:pgMar w:left="440" w:top="274" w:right="439" w:bottom="1440" w:gutter="0" w:footer="0" w:header="0"/>
        </w:sectPr>
      </w:pPr>
    </w:p>
    <w:bookmarkStart w:id="325" w:name="page326"/>
    <w:bookmarkEnd w:id="325"/>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831215"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u w:val="single" w:color="auto"/>
          <w:color w:val="0000FF"/>
        </w:rPr>
        <w:t>Section 13.05 </w:t>
      </w:r>
      <w:r>
        <w:rPr>
          <w:rFonts w:ascii="Arial" w:cs="Arial" w:eastAsia="Arial" w:hAnsi="Arial"/>
          <w:sz w:val="16"/>
          <w:szCs w:val="16"/>
          <w:i w:val="1"/>
          <w:iCs w:val="1"/>
          <w:u w:val="single" w:color="auto"/>
          <w:color w:val="0000FF"/>
        </w:rPr>
        <w:t>Administrative Priority.</w:t>
      </w:r>
      <w:r>
        <w:rPr>
          <w:rFonts w:ascii="Arial" w:cs="Arial" w:eastAsia="Arial" w:hAnsi="Arial"/>
          <w:sz w:val="16"/>
          <w:szCs w:val="16"/>
          <w:u w:val="single" w:color="auto"/>
          <w:color w:val="0000FF"/>
        </w:rPr>
        <w:t xml:space="preserve"> Subject to the terms and priorities set forth in the DIP Order, each Loan Party agrees that its Obligations in respect of the Postpetition B-2 Facility (including the New Money Postpetition Term Loans and the Commitments) as provided herein and in the DIP Order and the B-2 Adequate Protection Obligations (as defined in the DIP Order) shall constitute allowed administrative expenses in the Chapter 11 Cases, having priority over all administrative expenses of and unsecured claims against such Person now existing or hereafter arising, of any kind or nature whatsoever, including, without limitation, all administrative expenses of the kind specified in, or arising or ordered under, Sections 105, 326, 328, 330, 331, 503(b), 506(c), 507(a), 507(b), 546(c), 726 and 1114 of the Bankruptcy Code (the “</w:t>
      </w:r>
      <w:r>
        <w:rPr>
          <w:rFonts w:ascii="Arial" w:cs="Arial" w:eastAsia="Arial" w:hAnsi="Arial"/>
          <w:sz w:val="16"/>
          <w:szCs w:val="16"/>
          <w:b w:val="1"/>
          <w:bCs w:val="1"/>
          <w:u w:val="single" w:color="auto"/>
          <w:color w:val="0000FF"/>
        </w:rPr>
        <w:t>Postpetition B-2 Superpriority Claims</w:t>
      </w:r>
      <w:r>
        <w:rPr>
          <w:rFonts w:ascii="Arial" w:cs="Arial" w:eastAsia="Arial" w:hAnsi="Arial"/>
          <w:sz w:val="16"/>
          <w:szCs w:val="16"/>
          <w:u w:val="single" w:color="auto"/>
          <w:color w:val="0000FF"/>
        </w:rPr>
        <w:t>”), subject only to prior payment of the Carve-Out and the Canadian Priority Charges pursuant to the Canadian Orders to the extent set forth in the Canadian DIP Recognition Order and the other Canadian Orders and the terms and conditions of the DIP Order and the Canadian Orders. The Postpetition B-2 Superpriority Claims shall be senior in all respects to the Junior DIP Superpriority Claims (other than with respect to proceeds of the loans issued under the Junior DIP Facility in the DIP Proceeds Account, with respect to which the Junior DIP Superpriority Claims shall be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-1246505</wp:posOffset>
            </wp:positionV>
            <wp:extent cx="664337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-1109345</wp:posOffset>
            </wp:positionV>
            <wp:extent cx="693483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-972185</wp:posOffset>
            </wp:positionV>
            <wp:extent cx="676338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-835025</wp:posOffset>
            </wp:positionV>
            <wp:extent cx="678053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-697865</wp:posOffset>
            </wp:positionV>
            <wp:extent cx="697801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694372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-423545</wp:posOffset>
            </wp:positionV>
            <wp:extent cx="651510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659193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93483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5880735"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14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u w:val="single" w:color="auto"/>
          <w:color w:val="0000FF"/>
        </w:rPr>
        <w:t>Section 13.06 </w:t>
      </w:r>
      <w:r>
        <w:rPr>
          <w:rFonts w:ascii="Arial" w:cs="Arial" w:eastAsia="Arial" w:hAnsi="Arial"/>
          <w:sz w:val="18"/>
          <w:szCs w:val="18"/>
          <w:i w:val="1"/>
          <w:iCs w:val="1"/>
          <w:u w:val="single" w:color="auto"/>
          <w:color w:val="0000FF"/>
        </w:rPr>
        <w:t>Grants, Rights and Remedies.</w:t>
      </w:r>
      <w:r>
        <w:rPr>
          <w:rFonts w:ascii="Arial" w:cs="Arial" w:eastAsia="Arial" w:hAnsi="Arial"/>
          <w:sz w:val="18"/>
          <w:szCs w:val="18"/>
          <w:u w:val="single" w:color="auto"/>
          <w:color w:val="0000FF"/>
        </w:rPr>
        <w:t xml:space="preserve"> The Liens and security interests granted pursuant to clause (i) of Section 13.04 and the administrative priority granted pursuant to Section 13.05 may be independently granted by the Loan Documents, the DIP Order, the applicable Canadian Orders and by other Loan Documents hereafter entered into. Subject to Section 10.26, this Agreement, the DIP Order and such other Loan Documents supplement each other, and the grants, priorities, rights and remedies of the Administrative Agent, the Collateral Agent and the Lenders hereunder and thereunder are cumulative.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08647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97801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7514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75145"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217295"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u w:val="single" w:color="auto"/>
          <w:color w:val="0000FF"/>
        </w:rPr>
        <w:t>Section 13.07 </w:t>
      </w:r>
      <w:r>
        <w:rPr>
          <w:rFonts w:ascii="Arial" w:cs="Arial" w:eastAsia="Arial" w:hAnsi="Arial"/>
          <w:sz w:val="17"/>
          <w:szCs w:val="17"/>
          <w:i w:val="1"/>
          <w:iCs w:val="1"/>
          <w:u w:val="single" w:color="auto"/>
          <w:color w:val="0000FF"/>
        </w:rPr>
        <w:t>No Filings Required.</w:t>
      </w:r>
      <w:r>
        <w:rPr>
          <w:rFonts w:ascii="Arial" w:cs="Arial" w:eastAsia="Arial" w:hAnsi="Arial"/>
          <w:sz w:val="17"/>
          <w:szCs w:val="17"/>
          <w:u w:val="single" w:color="auto"/>
          <w:color w:val="0000FF"/>
        </w:rPr>
        <w:t xml:space="preserve"> The Liens and security interests referred to herein shall be deemed valid and perfected by entry of the Interim Order or the Final Order, as the case may be, and, in the case of the Canadian Collateral, by entry of the DIP Order and the Canadian Orders. The Collateral Agent shall not be required to file any financing statements, mortgages, notices of Lien or similar instruments in any jurisdiction or filing office, take possession or control of any Collateral, or take any other action in order to validate or perfect the Lien and security interest granted by or pursuant to this Agreement, the DIP Order, the Canadian Orders,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-555625</wp:posOffset>
            </wp:positionV>
            <wp:extent cx="636905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79767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6087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78942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434594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5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u w:val="single" w:color="auto"/>
          <w:color w:val="0000FF"/>
        </w:rPr>
        <w:t>Section 13.08</w:t>
      </w:r>
      <w:r>
        <w:rPr>
          <w:rFonts w:ascii="Arial" w:cs="Arial" w:eastAsia="Arial" w:hAnsi="Arial"/>
          <w:sz w:val="18"/>
          <w:szCs w:val="18"/>
          <w:color w:val="000000"/>
        </w:rPr>
        <w:t xml:space="preserve"> </w:t>
      </w:r>
      <w:r>
        <w:rPr>
          <w:rFonts w:ascii="Arial" w:cs="Arial" w:eastAsia="Arial" w:hAnsi="Arial"/>
          <w:sz w:val="18"/>
          <w:szCs w:val="18"/>
          <w:i w:val="1"/>
          <w:iCs w:val="1"/>
          <w:color w:val="FF0000"/>
          <w:strike w:val="1"/>
        </w:rPr>
        <w:t>Additional Defined Terms</w:t>
      </w:r>
      <w:r>
        <w:rPr>
          <w:rFonts w:ascii="Arial" w:cs="Arial" w:eastAsia="Arial" w:hAnsi="Arial"/>
          <w:sz w:val="18"/>
          <w:szCs w:val="18"/>
          <w:i w:val="1"/>
          <w:iCs w:val="1"/>
          <w:u w:val="single" w:color="auto"/>
          <w:color w:val="0000FF"/>
        </w:rPr>
        <w:t>Survival</w:t>
      </w:r>
      <w:r>
        <w:rPr>
          <w:rFonts w:ascii="Arial" w:cs="Arial" w:eastAsia="Arial" w:hAnsi="Arial"/>
          <w:sz w:val="18"/>
          <w:szCs w:val="18"/>
          <w:i w:val="1"/>
          <w:iCs w:val="1"/>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Except as provided herein, in the Canadian Orders and in the DIP Order, the Liens, lien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priority, administrative priorities and other rights and remedies granted to the Administrative Agent and the Lenders pursuant to this Agreement, the DIP Order, the Canadian Orders and the other Loan Documents (specifically including, but not limited to, the existence, perfection and priority of the Liens and security interests provided herein and therein, and the administrative priority provided herein and therein) shall not be modified, altered or impaired in any manner by any other financing or extension of credit or incurrence of Indebtedness by the Loan Parties (pursuant to Section 364 of the Bankruptcy Code or otherwise), or by any dismissal or conversion of any of the Chapter 11 Cases or the Canadian Recognition Proceedings, or by any other act or omission whatsoever. Without limitation, notwithstanding any such order, financing, extension, incurrence, dismissal, conversion, act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-957580</wp:posOffset>
            </wp:positionV>
            <wp:extent cx="65151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-957580</wp:posOffset>
            </wp:positionV>
            <wp:extent cx="443166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-820420</wp:posOffset>
            </wp:positionV>
            <wp:extent cx="698627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690943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943725"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454775"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88340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77227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4577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72"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u w:val="single" w:color="auto"/>
          <w:color w:val="0000FF"/>
        </w:rPr>
        <w:t>(i)</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except to the extent of (a) the Carve-Out and (b) the Canadian Priority Charges (in a maximum amount not to exceed CDN$4,200,000)</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pursuant to the Canadian Orders to the extent set forth in the Canadian DIP Recognition Order and the other Canadian Orders, no fees, charges, disbursements, costs or expenses of administration which have been or may be incurred in the Chapter 11 Cases or the Canadian Recognition Proceedings or any conversion of the same or in any other proceedings related thereto, and no priority claims, are or will be prior to or on parity with any claim of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41223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557645"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45477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1482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45732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00"/>
          </w:cols>
          <w:pgMar w:left="440" w:top="274" w:right="459" w:bottom="1440" w:gutter="0" w:footer="0" w:header="0"/>
        </w:sectPr>
      </w:pPr>
    </w:p>
    <w:bookmarkStart w:id="326" w:name="page327"/>
    <w:bookmarkEnd w:id="326"/>
    <w:p>
      <w:pPr>
        <w:ind w:right="100"/>
        <w:spacing w:after="0" w:line="342"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and the Lenders against the Loan Parties in respect of any Obligation (except with respect to Liens of the Junior DIP Lenders solely with respect to Unencumbered Assets and the DIP Proceeds Account), subject, in each case, to the terms of the DIP Order and the Canadian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09435"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18934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0000FF"/>
        </w:rPr>
        <w:t>(ii)</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Liens in favor of the Collateral Agent and the Lenders set forth in Section 13.04, the DIP Order and the Canadian Orders shall constitute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valid and perfected Liens and security interests with the priority as set forth in the DIP Order (and with respect to the Canadian Collateral, with the priority as set forth in the DIP Order and the Canadian Orders), and shall be prior to all other Liens and security interests, now existing or hereafter arising, in favor of any other creditor or any other Person whatsoever (other than the Carve-Out and the Canadian Priority Charges), in each case subject to and in accordance with the DIP Order and the Canadian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68655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1195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72084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6087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23151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8"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u w:val="single" w:color="auto"/>
          <w:color w:val="0000FF"/>
        </w:rPr>
        <w:t>(iii)</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subject to the DIP Order, the Liens in favor of the Collateral Agent and the Lenders set forth herein and in the other Loan Documents,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DIP Order and the Canadian Orders shall continue to be valid and perfected without the necessity that the Administrative Agent file financing statements or mortgages, take possession or control of any Collateral, or otherwise perfect its Lien under applicable non-bankruptcy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-298450</wp:posOffset>
            </wp:positionV>
            <wp:extent cx="659193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48906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6249035"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129"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u w:val="single" w:color="auto"/>
          <w:color w:val="0000FF"/>
        </w:rPr>
        <w:t>Notwithstanding anything to the contrary in this Agreement, the other Loan Documents or the DIP Order, it is expressly understood and agreed that no prepayment, repayment, repurchase, or exchange of Obligations in respect of the Prepetition Term Loans shall occur until all Obligations in respect of the Postpetition B-2 Facility (other than contingent obligations not claimed) have first been indefeasibly paid in full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-298450</wp:posOffset>
            </wp:positionV>
            <wp:extent cx="654050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72084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613791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 As used in this Article 12, the following terms have the meanings specified below:</w:t>
      </w:r>
    </w:p>
    <w:p>
      <w:pPr>
        <w:spacing w:after="0" w:line="2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Benefits</w:t>
      </w:r>
      <w:r>
        <w:rPr>
          <w:rFonts w:ascii="Arial" w:cs="Arial" w:eastAsia="Arial" w:hAnsi="Arial"/>
          <w:sz w:val="17"/>
          <w:szCs w:val="17"/>
          <w:color w:val="FF0000"/>
          <w:strike w:val="1"/>
        </w:rPr>
        <w:t>” means, without duplication of any amounts counted as Salary or Wages, pension expenses (including company retirement or 401(k) plan contributions and direct annuity payments) in respect of Employees, all expenses for accident, sickness, hospital, and death benefits to Employees, and the cost of insurance (or self-insured costs) to provide such benefits; any Severance Pay or Other Benefits payable to Employees pursuant to a bona fide voluntary early retirement program or voluntary furlough; and any other similar expenses paid by the Borrower for the benefit of Employees, including other fringe benefit expenses (such as those relating to travel, meals, lodging, trade memberships, dues and registrations, tools or uniforms, moving and relocation costs, education, medical and recreational programs, and company contributions for group accident, health or life insurance) but excluding any Federal, state, or local payroll taxes paid by the Borrower.</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Cares Act</w:t>
      </w:r>
      <w:r>
        <w:rPr>
          <w:rFonts w:ascii="Arial" w:cs="Arial" w:eastAsia="Arial" w:hAnsi="Arial"/>
          <w:sz w:val="18"/>
          <w:szCs w:val="18"/>
          <w:color w:val="FF0000"/>
          <w:strike w:val="1"/>
        </w:rPr>
        <w:t>” means the Coronavirus Aid, Relief, and Economic Security Act of 2020.</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Corporate Officer</w:t>
      </w:r>
      <w:r>
        <w:rPr>
          <w:rFonts w:ascii="Arial" w:cs="Arial" w:eastAsia="Arial" w:hAnsi="Arial"/>
          <w:sz w:val="18"/>
          <w:szCs w:val="18"/>
          <w:color w:val="FF0000"/>
          <w:strike w:val="1"/>
        </w:rPr>
        <w:t>” means, with respect to the Borrower, its president; any vice president in charge of a principal business unit, division, or function (such as sales, administration or finance); any other officer who performs a policy-making function; or any other person who performs similar policy making functions for the Borrower. Executive officers of subsidiaries or parents of the Borrower may be deemed Corporate Officers of the Borrower if they perform such policy-making functions for the Borrower.</w:t>
      </w:r>
    </w:p>
    <w:p>
      <w:pPr>
        <w:spacing w:after="0" w:line="180" w:lineRule="exact"/>
        <w:rPr>
          <w:sz w:val="20"/>
          <w:szCs w:val="20"/>
          <w:color w:val="auto"/>
        </w:rPr>
      </w:pPr>
    </w:p>
    <w:p>
      <w:pPr>
        <w:jc w:val="both"/>
        <w:ind w:right="40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Employee</w:t>
      </w:r>
      <w:r>
        <w:rPr>
          <w:rFonts w:ascii="Arial" w:cs="Arial" w:eastAsia="Arial" w:hAnsi="Arial"/>
          <w:sz w:val="18"/>
          <w:szCs w:val="18"/>
          <w:color w:val="FF0000"/>
          <w:strike w:val="1"/>
        </w:rPr>
        <w:t>” has the meaning given to the term in section 2 of the National Labor Relations Act (29 U.S.C. 152 and includes any individual employed by an employer subject to the Railway Labor Act (45 U.S.C. 151 et seq.) and for the avoidance of doubt includes all individuals who are employed by the Borrower who are not Corporate Officers.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80"/>
          </w:cols>
          <w:pgMar w:left="440" w:top="274" w:right="479" w:bottom="1440" w:gutter="0" w:footer="0" w:header="0"/>
        </w:sectPr>
      </w:pPr>
    </w:p>
    <w:bookmarkStart w:id="327" w:name="page328"/>
    <w:bookmarkEnd w:id="327"/>
    <w:p>
      <w:pPr>
        <w:ind w:right="40" w:firstLine="440"/>
        <w:spacing w:after="0" w:line="314"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Arial" w:cs="Arial" w:eastAsia="Arial" w:hAnsi="Arial"/>
          <w:sz w:val="16"/>
          <w:szCs w:val="16"/>
          <w:b w:val="1"/>
          <w:bCs w:val="1"/>
          <w:color w:val="FF0000"/>
          <w:strike w:val="1"/>
        </w:rPr>
        <w:t>Salary</w:t>
      </w:r>
      <w:r>
        <w:rPr>
          <w:rFonts w:ascii="Arial" w:cs="Arial" w:eastAsia="Arial" w:hAnsi="Arial"/>
          <w:sz w:val="16"/>
          <w:szCs w:val="16"/>
          <w:color w:val="FF0000"/>
          <w:strike w:val="1"/>
        </w:rPr>
        <w:t>” means, without duplication of any amounts counted as Benefits, a predetermined regular payment, typically paid on a weekly or less frequent basis but which may be expressed as an hourly, weekly, annual or other rate, as well as cost-of-living differentials, vacation time, paid time off, sick leave, and overtime pay, paid by the Borrower to its Employees, but excluding any Federal, state, or local payroll taxes paid by the Borrower.</w:t>
      </w:r>
    </w:p>
    <w:p>
      <w:pPr>
        <w:spacing w:after="0" w:line="142"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Severance Pay or Other Benefits</w:t>
      </w:r>
      <w:r>
        <w:rPr>
          <w:rFonts w:ascii="Arial" w:cs="Arial" w:eastAsia="Arial" w:hAnsi="Arial"/>
          <w:sz w:val="17"/>
          <w:szCs w:val="17"/>
          <w:color w:val="FF0000"/>
          <w:strike w:val="1"/>
        </w:rPr>
        <w:t>” means any severance payment or other similar benefits, including cash payments, health care benefits, perquisites, the enhancement or acceleration of the payment or vesting of any payment or benefit or any other in-kind benefit payable (whether in lump sum or over time, including after March 24, 2022) by the Borrower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Borrower in the manner prescribed in 17 CFR 229.402(j) (without regard to its limitation to the five most highly compensated executives and using the actual date of termination of employment rather than the last business day of the Borrower’s last completed fiscal year as the trigger event).</w:t>
      </w:r>
    </w:p>
    <w:p>
      <w:pPr>
        <w:spacing w:after="0" w:line="17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Subsequent Reference Period</w:t>
      </w:r>
      <w:r>
        <w:rPr>
          <w:rFonts w:ascii="Arial" w:cs="Arial" w:eastAsia="Arial" w:hAnsi="Arial"/>
          <w:sz w:val="17"/>
          <w:szCs w:val="17"/>
          <w:color w:val="FF0000"/>
          <w:strike w:val="1"/>
        </w:rPr>
        <w:t>” means (i) for a Corporate Officer or Employee whose employment with the Borrower or an Affiliate started during 2019 or later, the 12-month period starting from the end of the month in which the officer or employee commenced employment, if such officer’s or employee’s total compensation exceeds $425,000 (or $3,000,000) during such period and (ii) for a Corporate Officer or Employee whose Total Compensation first exceeds $425,000 during a 12-month period ending after 2019, the 12-month period starting from the end of the month in which the Corporate Officer’s or Employee’s Total Compensation first exceeded $425,000 (or $3,000,000).</w:t>
      </w:r>
    </w:p>
    <w:p>
      <w:pPr>
        <w:spacing w:after="0" w:line="16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Total Compensation</w:t>
      </w:r>
      <w:r>
        <w:rPr>
          <w:rFonts w:ascii="Arial" w:cs="Arial" w:eastAsia="Arial" w:hAnsi="Arial"/>
          <w:sz w:val="18"/>
          <w:szCs w:val="18"/>
          <w:color w:val="FF0000"/>
          <w:strike w:val="1"/>
        </w:rPr>
        <w:t>” means Salary, bonuses, awards of stock and other financial benefits provided by the Borrower to a Corporate Officer or Employee of the Borrower.</w:t>
      </w:r>
    </w:p>
    <w:p>
      <w:pPr>
        <w:spacing w:after="0" w:line="162"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Wage</w:t>
      </w:r>
      <w:r>
        <w:rPr>
          <w:rFonts w:ascii="Arial" w:cs="Arial" w:eastAsia="Arial" w:hAnsi="Arial"/>
          <w:sz w:val="18"/>
          <w:szCs w:val="18"/>
          <w:color w:val="FF0000"/>
          <w:strike w:val="1"/>
        </w:rPr>
        <w:t>” means, without duplication of any amounts counted as Benefits, a payment, typically paid on an hourly, daily, or piecework basis, including cost-of-living differentials, vacation, paid time off, sick leave, and overtime pay, paid by the Borrower to its Employees, but excluding any Federal, state, or local payroll taxes paid by the Borrower.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80"/>
          </w:cols>
          <w:pgMar w:left="440" w:top="270" w:right="479" w:bottom="1440" w:gutter="0" w:footer="0" w:header="0"/>
        </w:sectPr>
      </w:pPr>
    </w:p>
    <w:bookmarkStart w:id="328" w:name="page329"/>
    <w:bookmarkEnd w:id="328"/>
    <w:tbl>
      <w:tblPr>
        <w:tblLayout w:type="fixed"/>
        <w:tblInd w:w="7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99"/>
              </w:rPr>
              <w:t>APPENDIX A</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4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b w:val="1"/>
                <w:bCs w:val="1"/>
                <w:color w:val="0000FF"/>
              </w:rPr>
              <w:t>TO AMENDED AND RESTATED CREDIT AGREEMENT</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Borders>
              <w:bottom w:val="single" w:sz="8" w:color="0000FF"/>
            </w:tcBorders>
          </w:tcPr>
          <w:p>
            <w:pPr>
              <w:spacing w:after="0"/>
              <w:rPr>
                <w:sz w:val="2"/>
                <w:szCs w:val="2"/>
                <w:color w:val="auto"/>
              </w:rPr>
            </w:pPr>
          </w:p>
        </w:tc>
        <w:tc>
          <w:tcPr>
            <w:tcW w:w="4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80" w:type="dxa"/>
            <w:vAlign w:val="bottom"/>
            <w:tcBorders>
              <w:bottom w:val="single" w:sz="8" w:color="0000FF"/>
            </w:tcBorders>
          </w:tcPr>
          <w:p>
            <w:pPr>
              <w:spacing w:after="0"/>
              <w:rPr>
                <w:sz w:val="2"/>
                <w:szCs w:val="2"/>
                <w:color w:val="auto"/>
              </w:rPr>
            </w:pPr>
          </w:p>
        </w:tc>
        <w:tc>
          <w:tcPr>
            <w:tcW w:w="660" w:type="dxa"/>
            <w:vAlign w:val="bottom"/>
            <w:tcBorders>
              <w:bottom w:val="single" w:sz="8" w:color="0000FF"/>
            </w:tcBorders>
          </w:tcPr>
          <w:p>
            <w:pPr>
              <w:spacing w:after="0"/>
              <w:rPr>
                <w:sz w:val="2"/>
                <w:szCs w:val="2"/>
                <w:color w:val="auto"/>
              </w:rPr>
            </w:pPr>
          </w:p>
        </w:tc>
        <w:tc>
          <w:tcPr>
            <w:tcW w:w="11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11"/>
          </w:tcPr>
          <w:p>
            <w:pPr>
              <w:jc w:val="right"/>
              <w:ind w:right="427"/>
              <w:spacing w:after="0"/>
              <w:rPr>
                <w:sz w:val="20"/>
                <w:szCs w:val="20"/>
                <w:color w:val="auto"/>
              </w:rPr>
            </w:pPr>
            <w:r>
              <w:rPr>
                <w:rFonts w:ascii="Arial" w:cs="Arial" w:eastAsia="Arial" w:hAnsi="Arial"/>
                <w:sz w:val="18"/>
                <w:szCs w:val="18"/>
                <w:b w:val="1"/>
                <w:bCs w:val="1"/>
                <w:color w:val="0000FF"/>
                <w:w w:val="91"/>
              </w:rPr>
              <w:t>Initial Postpetition Commitments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4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gridSpan w:val="9"/>
          </w:tcPr>
          <w:p>
            <w:pPr>
              <w:jc w:val="center"/>
              <w:ind w:right="2220"/>
              <w:spacing w:after="0"/>
              <w:rPr>
                <w:sz w:val="20"/>
                <w:szCs w:val="20"/>
                <w:color w:val="auto"/>
              </w:rPr>
            </w:pPr>
            <w:r>
              <w:rPr>
                <w:rFonts w:ascii="Arial" w:cs="Arial" w:eastAsia="Arial" w:hAnsi="Arial"/>
                <w:sz w:val="14"/>
                <w:szCs w:val="14"/>
                <w:b w:val="1"/>
                <w:bCs w:val="1"/>
                <w:color w:val="0000FF"/>
                <w:w w:val="89"/>
              </w:rPr>
              <w:t>Lender</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6"/>
          </w:tcPr>
          <w:p>
            <w:pPr>
              <w:jc w:val="right"/>
              <w:ind w:right="1750"/>
              <w:spacing w:after="0"/>
              <w:rPr>
                <w:sz w:val="20"/>
                <w:szCs w:val="20"/>
                <w:color w:val="auto"/>
              </w:rPr>
            </w:pPr>
            <w:r>
              <w:rPr>
                <w:rFonts w:ascii="Arial" w:cs="Arial" w:eastAsia="Arial" w:hAnsi="Arial"/>
                <w:sz w:val="14"/>
                <w:szCs w:val="14"/>
                <w:b w:val="1"/>
                <w:bCs w:val="1"/>
                <w:color w:val="0000FF"/>
                <w:w w:val="92"/>
              </w:rPr>
              <w:t>Initial Postpetition Commitment</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right w:val="single" w:sz="8" w:color="CCEEFF"/>
            </w:tcBorders>
            <w:gridSpan w:val="4"/>
            <w:vMerge w:val="restart"/>
            <w:shd w:val="clear" w:color="auto" w:fill="CCEEFF"/>
          </w:tcPr>
          <w:p>
            <w:pPr>
              <w:spacing w:after="0" w:line="156" w:lineRule="exact"/>
              <w:rPr>
                <w:sz w:val="20"/>
                <w:szCs w:val="20"/>
                <w:color w:val="auto"/>
              </w:rPr>
            </w:pPr>
            <w:r>
              <w:rPr>
                <w:rFonts w:ascii="Arial" w:cs="Arial" w:eastAsia="Arial" w:hAnsi="Arial"/>
                <w:sz w:val="18"/>
                <w:szCs w:val="18"/>
                <w:color w:val="0000FF"/>
                <w:w w:val="86"/>
              </w:rPr>
              <w:t>Citadel Credit</w:t>
            </w:r>
          </w:p>
        </w:tc>
        <w:tc>
          <w:tcPr>
            <w:tcW w:w="440" w:type="dxa"/>
            <w:vAlign w:val="bottom"/>
            <w:tcBorders>
              <w:top w:val="single" w:sz="8" w:color="auto"/>
              <w:bottom w:val="single" w:sz="8" w:color="CCEE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bottom w:val="single" w:sz="8" w:color="CCEEFF"/>
            </w:tcBorders>
            <w:gridSpan w:val="2"/>
            <w:shd w:val="clear" w:color="auto" w:fill="CCEEFF"/>
          </w:tcPr>
          <w:p>
            <w:pPr>
              <w:spacing w:after="0" w:line="20" w:lineRule="exact"/>
              <w:rPr>
                <w:sz w:val="1"/>
                <w:szCs w:val="1"/>
                <w:color w:val="auto"/>
              </w:rPr>
            </w:pPr>
          </w:p>
        </w:tc>
        <w:tc>
          <w:tcPr>
            <w:tcW w:w="3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auto"/>
              <w:bottom w:val="single" w:sz="8" w:color="0000FF"/>
              <w:right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980" w:type="dxa"/>
            <w:vAlign w:val="bottom"/>
            <w:tcBorders>
              <w:right w:val="single" w:sz="8" w:color="CCEEFF"/>
            </w:tcBorders>
            <w:gridSpan w:val="4"/>
            <w:vMerge w:val="continue"/>
            <w:shd w:val="clear" w:color="auto" w:fill="CCEEFF"/>
          </w:tcPr>
          <w:p>
            <w:pPr>
              <w:spacing w:after="0"/>
              <w:rPr>
                <w:sz w:val="13"/>
                <w:szCs w:val="13"/>
                <w:color w:val="auto"/>
              </w:rPr>
            </w:pPr>
          </w:p>
        </w:tc>
        <w:tc>
          <w:tcPr>
            <w:tcW w:w="2640" w:type="dxa"/>
            <w:vAlign w:val="bottom"/>
            <w:gridSpan w:val="9"/>
            <w:shd w:val="clear" w:color="auto" w:fill="CCEEFF"/>
          </w:tcPr>
          <w:p>
            <w:pPr>
              <w:ind w:left="80"/>
              <w:spacing w:after="0" w:line="116" w:lineRule="exact"/>
              <w:rPr>
                <w:sz w:val="20"/>
                <w:szCs w:val="20"/>
                <w:color w:val="auto"/>
              </w:rPr>
            </w:pPr>
            <w:r>
              <w:rPr>
                <w:rFonts w:ascii="Arial" w:cs="Arial" w:eastAsia="Arial" w:hAnsi="Arial"/>
                <w:sz w:val="13"/>
                <w:szCs w:val="13"/>
                <w:color w:val="0000FF"/>
              </w:rPr>
              <w:t>Master Fund LLC</w:t>
            </w: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0000FF"/>
            </w:tcBorders>
            <w:gridSpan w:val="2"/>
            <w:shd w:val="clear" w:color="auto" w:fill="0000FF"/>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80" w:type="dxa"/>
            <w:vAlign w:val="bottom"/>
            <w:gridSpan w:val="14"/>
            <w:shd w:val="clear" w:color="auto" w:fill="CCEEFF"/>
          </w:tcPr>
          <w:p>
            <w:pPr>
              <w:jc w:val="center"/>
              <w:ind w:right="1100"/>
              <w:spacing w:after="0" w:line="142" w:lineRule="exact"/>
              <w:rPr>
                <w:sz w:val="20"/>
                <w:szCs w:val="20"/>
                <w:color w:val="auto"/>
              </w:rPr>
            </w:pPr>
            <w:r>
              <w:rPr>
                <w:rFonts w:ascii="Arial" w:cs="Arial" w:eastAsia="Arial" w:hAnsi="Arial"/>
                <w:sz w:val="16"/>
                <w:szCs w:val="16"/>
                <w:color w:val="0000FF"/>
              </w:rPr>
              <w:t>c/o Citadel Enterprise Americas LLC</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520" w:type="dxa"/>
            <w:vAlign w:val="bottom"/>
            <w:tcBorders>
              <w:top w:val="single" w:sz="8" w:color="0000FF"/>
            </w:tcBorders>
            <w:gridSpan w:val="10"/>
            <w:shd w:val="clear" w:color="auto" w:fill="CCEEFF"/>
          </w:tcPr>
          <w:p>
            <w:pPr>
              <w:jc w:val="center"/>
              <w:ind w:right="140"/>
              <w:spacing w:after="0" w:line="142" w:lineRule="exact"/>
              <w:rPr>
                <w:sz w:val="20"/>
                <w:szCs w:val="20"/>
                <w:color w:val="auto"/>
              </w:rPr>
            </w:pPr>
            <w:r>
              <w:rPr>
                <w:rFonts w:ascii="Arial" w:cs="Arial" w:eastAsia="Arial" w:hAnsi="Arial"/>
                <w:sz w:val="16"/>
                <w:szCs w:val="16"/>
                <w:color w:val="0000FF"/>
              </w:rPr>
              <w:t>Southeast Financial Center</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color w:val="0000FF"/>
                <w:w w:val="95"/>
              </w:rPr>
              <w:t>200 S</w:t>
            </w:r>
          </w:p>
        </w:tc>
        <w:tc>
          <w:tcPr>
            <w:tcW w:w="20" w:type="dxa"/>
            <w:vAlign w:val="bottom"/>
            <w:tcBorders>
              <w:top w:val="single" w:sz="8" w:color="0000FF"/>
            </w:tcBorders>
            <w:shd w:val="clear" w:color="auto" w:fill="CCEEFF"/>
          </w:tcPr>
          <w:p>
            <w:pPr>
              <w:spacing w:after="0"/>
              <w:rPr>
                <w:sz w:val="17"/>
                <w:szCs w:val="17"/>
                <w:color w:val="auto"/>
              </w:rPr>
            </w:pPr>
          </w:p>
        </w:tc>
        <w:tc>
          <w:tcPr>
            <w:tcW w:w="1920" w:type="dxa"/>
            <w:vAlign w:val="bottom"/>
            <w:tcBorders>
              <w:top w:val="single" w:sz="8" w:color="0000FF"/>
            </w:tcBorders>
            <w:gridSpan w:val="6"/>
            <w:shd w:val="clear" w:color="auto" w:fill="CCEEFF"/>
          </w:tcPr>
          <w:p>
            <w:pPr>
              <w:jc w:val="center"/>
              <w:spacing w:after="0" w:line="142" w:lineRule="exact"/>
              <w:rPr>
                <w:sz w:val="20"/>
                <w:szCs w:val="20"/>
                <w:color w:val="auto"/>
              </w:rPr>
            </w:pPr>
            <w:r>
              <w:rPr>
                <w:rFonts w:ascii="Arial" w:cs="Arial" w:eastAsia="Arial" w:hAnsi="Arial"/>
                <w:sz w:val="16"/>
                <w:szCs w:val="16"/>
                <w:color w:val="0000FF"/>
              </w:rPr>
              <w:t>Biscayne Boulevard, Suite</w:t>
            </w:r>
          </w:p>
        </w:tc>
        <w:tc>
          <w:tcPr>
            <w:tcW w:w="1460" w:type="dxa"/>
            <w:vAlign w:val="bottom"/>
            <w:tcBorders>
              <w:top w:val="single" w:sz="8" w:color="CCEEFF"/>
            </w:tcBorders>
            <w:gridSpan w:val="5"/>
            <w:shd w:val="clear" w:color="auto" w:fill="CCEEFF"/>
          </w:tcPr>
          <w:p>
            <w:pPr>
              <w:jc w:val="right"/>
              <w:ind w:right="1040"/>
              <w:spacing w:after="0" w:line="142" w:lineRule="exact"/>
              <w:rPr>
                <w:sz w:val="20"/>
                <w:szCs w:val="20"/>
                <w:color w:val="auto"/>
              </w:rPr>
            </w:pPr>
            <w:r>
              <w:rPr>
                <w:rFonts w:ascii="Arial" w:cs="Arial" w:eastAsia="Arial" w:hAnsi="Arial"/>
                <w:sz w:val="16"/>
                <w:szCs w:val="16"/>
                <w:color w:val="0000FF"/>
              </w:rPr>
              <w:t>3300</w:t>
            </w:r>
          </w:p>
        </w:tc>
        <w:tc>
          <w:tcPr>
            <w:tcW w:w="900" w:type="dxa"/>
            <w:vAlign w:val="bottom"/>
            <w:tcBorders>
              <w:top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FF"/>
              </w:rPr>
              <w:t>$</w:t>
            </w:r>
          </w:p>
        </w:tc>
        <w:tc>
          <w:tcPr>
            <w:tcW w:w="1960" w:type="dxa"/>
            <w:vAlign w:val="bottom"/>
            <w:tcBorders>
              <w:top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0000FF"/>
              </w:rPr>
              <w:t>42,105,263.</w:t>
            </w:r>
            <w:r>
              <w:rPr>
                <w:rFonts w:ascii="Arial" w:cs="Arial" w:eastAsia="Arial" w:hAnsi="Arial"/>
                <w:sz w:val="18"/>
                <w:szCs w:val="18"/>
                <w:u w:val="single" w:color="auto"/>
                <w:color w:val="0000FF"/>
              </w:rPr>
              <w:t>16</w:t>
            </w: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2020" w:type="dxa"/>
            <w:vAlign w:val="bottom"/>
            <w:tcBorders>
              <w:top w:val="single" w:sz="8" w:color="0000FF"/>
            </w:tcBorders>
            <w:gridSpan w:val="8"/>
            <w:shd w:val="clear" w:color="auto" w:fill="CCEEFF"/>
          </w:tcPr>
          <w:p>
            <w:pPr>
              <w:jc w:val="center"/>
              <w:ind w:right="740"/>
              <w:spacing w:after="0" w:line="129" w:lineRule="exact"/>
              <w:rPr>
                <w:sz w:val="20"/>
                <w:szCs w:val="20"/>
                <w:color w:val="auto"/>
              </w:rPr>
            </w:pPr>
            <w:r>
              <w:rPr>
                <w:rFonts w:ascii="Arial" w:cs="Arial" w:eastAsia="Arial" w:hAnsi="Arial"/>
                <w:sz w:val="13"/>
                <w:szCs w:val="13"/>
                <w:color w:val="0000FF"/>
              </w:rPr>
              <w:t>Miami, FL 33131</w:t>
            </w:r>
          </w:p>
        </w:tc>
        <w:tc>
          <w:tcPr>
            <w:tcW w:w="20" w:type="dxa"/>
            <w:vAlign w:val="bottom"/>
            <w:tcBorders>
              <w:top w:val="single" w:sz="8" w:color="0000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gridSpan w:val="3"/>
            <w:vMerge w:val="continue"/>
            <w:shd w:val="clear" w:color="auto" w:fill="CCEEFF"/>
          </w:tcPr>
          <w:p>
            <w:pPr>
              <w:spacing w:after="0"/>
              <w:rPr>
                <w:sz w:val="19"/>
                <w:szCs w:val="19"/>
                <w:color w:val="auto"/>
              </w:rPr>
            </w:pPr>
          </w:p>
        </w:tc>
        <w:tc>
          <w:tcPr>
            <w:tcW w:w="1960" w:type="dxa"/>
            <w:vAlign w:val="bottom"/>
            <w:tcBorders>
              <w:top w:val="single" w:sz="8" w:color="CCEEFF"/>
              <w:right w:val="single" w:sz="8" w:color="CCEEFF"/>
            </w:tcBorders>
            <w:gridSpan w:val="3"/>
            <w:vMerge w:val="continue"/>
            <w:shd w:val="clear" w:color="auto" w:fill="CCEEFF"/>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3"/>
          </w:tcPr>
          <w:p>
            <w:pPr>
              <w:jc w:val="center"/>
              <w:ind w:right="440"/>
              <w:spacing w:after="0" w:line="157" w:lineRule="exact"/>
              <w:rPr>
                <w:sz w:val="20"/>
                <w:szCs w:val="20"/>
                <w:color w:val="auto"/>
              </w:rPr>
            </w:pPr>
            <w:r>
              <w:rPr>
                <w:rFonts w:ascii="Arial" w:cs="Arial" w:eastAsia="Arial" w:hAnsi="Arial"/>
                <w:sz w:val="18"/>
                <w:szCs w:val="18"/>
                <w:b w:val="1"/>
                <w:bCs w:val="1"/>
                <w:color w:val="0000FF"/>
                <w:w w:val="92"/>
              </w:rPr>
              <w:t>Total</w:t>
            </w:r>
          </w:p>
        </w:tc>
        <w:tc>
          <w:tcPr>
            <w:tcW w:w="3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0000FF"/>
                <w:w w:val="71"/>
              </w:rPr>
              <w:t>$</w:t>
            </w:r>
          </w:p>
        </w:tc>
        <w:tc>
          <w:tcPr>
            <w:tcW w:w="8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60"/>
              <w:spacing w:after="0" w:line="157" w:lineRule="exact"/>
              <w:rPr>
                <w:sz w:val="20"/>
                <w:szCs w:val="20"/>
                <w:color w:val="auto"/>
              </w:rPr>
            </w:pPr>
            <w:r>
              <w:rPr>
                <w:rFonts w:ascii="Arial" w:cs="Arial" w:eastAsia="Arial" w:hAnsi="Arial"/>
                <w:sz w:val="18"/>
                <w:szCs w:val="18"/>
                <w:color w:val="0000FF"/>
                <w:w w:val="88"/>
              </w:rPr>
              <w:t>42,105,263.</w:t>
            </w:r>
            <w:r>
              <w:rPr>
                <w:rFonts w:ascii="Arial" w:cs="Arial" w:eastAsia="Arial" w:hAnsi="Arial"/>
                <w:sz w:val="18"/>
                <w:szCs w:val="18"/>
                <w:u w:val="single" w:color="auto"/>
                <w:color w:val="0000FF"/>
                <w:w w:val="88"/>
              </w:rPr>
              <w:t>16</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top w:val="single" w:sz="8" w:color="0000FF"/>
              <w:bottom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80" w:type="dxa"/>
            <w:vAlign w:val="bottom"/>
            <w:tcBorders>
              <w:top w:val="single" w:sz="8" w:color="0000FF"/>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20"/>
          </w:cols>
          <w:pgMar w:left="1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9" w:name="page330"/>
    <w:bookmarkEnd w:id="329"/>
    <w:tbl>
      <w:tblPr>
        <w:tblLayout w:type="fixed"/>
        <w:tblInd w:w="7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98"/>
              </w:rPr>
              <w:t>APPENDIX B</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4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b w:val="1"/>
                <w:bCs w:val="1"/>
                <w:color w:val="0000FF"/>
              </w:rPr>
              <w:t>TO AMENDED AND RESTATED CREDIT AGREEMENT</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Borders>
              <w:bottom w:val="single" w:sz="8" w:color="0000FF"/>
            </w:tcBorders>
          </w:tcPr>
          <w:p>
            <w:pPr>
              <w:spacing w:after="0"/>
              <w:rPr>
                <w:sz w:val="2"/>
                <w:szCs w:val="2"/>
                <w:color w:val="auto"/>
              </w:rPr>
            </w:pPr>
          </w:p>
        </w:tc>
        <w:tc>
          <w:tcPr>
            <w:tcW w:w="4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8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80" w:type="dxa"/>
            <w:vAlign w:val="bottom"/>
            <w:tcBorders>
              <w:bottom w:val="single" w:sz="8" w:color="0000FF"/>
            </w:tcBorders>
          </w:tcPr>
          <w:p>
            <w:pPr>
              <w:spacing w:after="0"/>
              <w:rPr>
                <w:sz w:val="2"/>
                <w:szCs w:val="2"/>
                <w:color w:val="auto"/>
              </w:rPr>
            </w:pPr>
          </w:p>
        </w:tc>
        <w:tc>
          <w:tcPr>
            <w:tcW w:w="680" w:type="dxa"/>
            <w:vAlign w:val="bottom"/>
            <w:tcBorders>
              <w:bottom w:val="single" w:sz="8" w:color="0000FF"/>
            </w:tcBorders>
          </w:tcPr>
          <w:p>
            <w:pPr>
              <w:spacing w:after="0"/>
              <w:rPr>
                <w:sz w:val="2"/>
                <w:szCs w:val="2"/>
                <w:color w:val="auto"/>
              </w:rPr>
            </w:pPr>
          </w:p>
        </w:tc>
        <w:tc>
          <w:tcPr>
            <w:tcW w:w="1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11"/>
          </w:tcPr>
          <w:p>
            <w:pPr>
              <w:spacing w:after="0"/>
              <w:rPr>
                <w:sz w:val="20"/>
                <w:szCs w:val="20"/>
                <w:color w:val="auto"/>
              </w:rPr>
            </w:pPr>
            <w:r>
              <w:rPr>
                <w:rFonts w:ascii="Arial" w:cs="Arial" w:eastAsia="Arial" w:hAnsi="Arial"/>
                <w:sz w:val="18"/>
                <w:szCs w:val="18"/>
                <w:b w:val="1"/>
                <w:bCs w:val="1"/>
                <w:color w:val="0000FF"/>
              </w:rPr>
              <w:t>Second Postpetition Commitments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8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9"/>
          </w:tcPr>
          <w:p>
            <w:pPr>
              <w:jc w:val="center"/>
              <w:ind w:right="2160"/>
              <w:spacing w:after="0"/>
              <w:rPr>
                <w:sz w:val="20"/>
                <w:szCs w:val="20"/>
                <w:color w:val="auto"/>
              </w:rPr>
            </w:pPr>
            <w:r>
              <w:rPr>
                <w:rFonts w:ascii="Arial" w:cs="Arial" w:eastAsia="Arial" w:hAnsi="Arial"/>
                <w:sz w:val="14"/>
                <w:szCs w:val="14"/>
                <w:b w:val="1"/>
                <w:bCs w:val="1"/>
                <w:color w:val="0000FF"/>
                <w:w w:val="89"/>
              </w:rPr>
              <w:t>Lender</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Arial" w:cs="Arial" w:eastAsia="Arial" w:hAnsi="Arial"/>
                <w:sz w:val="14"/>
                <w:szCs w:val="14"/>
                <w:b w:val="1"/>
                <w:bCs w:val="1"/>
                <w:color w:val="0000FF"/>
              </w:rPr>
              <w:t>Final Postpetition Commitment</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right w:val="single" w:sz="8" w:color="CCEEFF"/>
            </w:tcBorders>
            <w:gridSpan w:val="3"/>
            <w:vMerge w:val="restart"/>
            <w:shd w:val="clear" w:color="auto" w:fill="CCEEFF"/>
          </w:tcPr>
          <w:p>
            <w:pPr>
              <w:spacing w:after="0" w:line="156" w:lineRule="exact"/>
              <w:rPr>
                <w:sz w:val="20"/>
                <w:szCs w:val="20"/>
                <w:color w:val="auto"/>
              </w:rPr>
            </w:pPr>
            <w:r>
              <w:rPr>
                <w:rFonts w:ascii="Arial" w:cs="Arial" w:eastAsia="Arial" w:hAnsi="Arial"/>
                <w:sz w:val="18"/>
                <w:szCs w:val="18"/>
                <w:color w:val="0000FF"/>
                <w:w w:val="86"/>
              </w:rPr>
              <w:t>Citadel Credit</w:t>
            </w:r>
          </w:p>
        </w:tc>
        <w:tc>
          <w:tcPr>
            <w:tcW w:w="440" w:type="dxa"/>
            <w:vAlign w:val="bottom"/>
            <w:tcBorders>
              <w:top w:val="single" w:sz="8" w:color="auto"/>
              <w:bottom w:val="single" w:sz="8" w:color="CCEEFF"/>
              <w:right w:val="single" w:sz="8" w:color="0000FF"/>
            </w:tcBorders>
            <w:gridSpan w:val="2"/>
            <w:shd w:val="clear" w:color="auto" w:fill="0000FF"/>
          </w:tcPr>
          <w:p>
            <w:pPr>
              <w:spacing w:after="0" w:line="20" w:lineRule="exact"/>
              <w:rPr>
                <w:sz w:val="1"/>
                <w:szCs w:val="1"/>
                <w:color w:val="auto"/>
              </w:rPr>
            </w:pPr>
          </w:p>
        </w:tc>
        <w:tc>
          <w:tcPr>
            <w:tcW w:w="4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auto"/>
              <w:bottom w:val="single" w:sz="8" w:color="0000FF"/>
              <w:right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0000FF"/>
              <w:right w:val="single" w:sz="8" w:color="CCEEFF"/>
            </w:tcBorders>
            <w:gridSpan w:val="3"/>
            <w:vMerge w:val="continue"/>
            <w:shd w:val="clear" w:color="auto" w:fill="CCEEFF"/>
          </w:tcPr>
          <w:p>
            <w:pPr>
              <w:spacing w:after="0"/>
              <w:rPr>
                <w:sz w:val="14"/>
                <w:szCs w:val="14"/>
                <w:color w:val="auto"/>
              </w:rPr>
            </w:pPr>
          </w:p>
        </w:tc>
        <w:tc>
          <w:tcPr>
            <w:tcW w:w="1380" w:type="dxa"/>
            <w:vAlign w:val="bottom"/>
            <w:tcBorders>
              <w:bottom w:val="single" w:sz="8" w:color="0000FF"/>
            </w:tcBorders>
            <w:gridSpan w:val="5"/>
            <w:shd w:val="clear" w:color="auto" w:fill="CCEEFF"/>
          </w:tcPr>
          <w:p>
            <w:pPr>
              <w:ind w:left="80"/>
              <w:spacing w:after="0" w:line="116" w:lineRule="exact"/>
              <w:rPr>
                <w:sz w:val="20"/>
                <w:szCs w:val="20"/>
                <w:color w:val="auto"/>
              </w:rPr>
            </w:pPr>
            <w:r>
              <w:rPr>
                <w:rFonts w:ascii="Arial" w:cs="Arial" w:eastAsia="Arial" w:hAnsi="Arial"/>
                <w:sz w:val="13"/>
                <w:szCs w:val="13"/>
                <w:color w:val="0000FF"/>
              </w:rPr>
              <w:t>Master Fund LLC</w:t>
            </w:r>
          </w:p>
        </w:tc>
        <w:tc>
          <w:tcPr>
            <w:tcW w:w="1200" w:type="dxa"/>
            <w:vAlign w:val="bottom"/>
            <w:tcBorders>
              <w:bottom w:val="single" w:sz="8" w:color="CCEEFF"/>
            </w:tcBorders>
            <w:gridSpan w:val="4"/>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20" w:type="dxa"/>
            <w:vAlign w:val="bottom"/>
            <w:gridSpan w:val="13"/>
            <w:shd w:val="clear" w:color="auto" w:fill="CCEEFF"/>
          </w:tcPr>
          <w:p>
            <w:pPr>
              <w:jc w:val="center"/>
              <w:ind w:right="1040"/>
              <w:spacing w:after="0" w:line="142" w:lineRule="exact"/>
              <w:rPr>
                <w:sz w:val="20"/>
                <w:szCs w:val="20"/>
                <w:color w:val="auto"/>
              </w:rPr>
            </w:pPr>
            <w:r>
              <w:rPr>
                <w:rFonts w:ascii="Arial" w:cs="Arial" w:eastAsia="Arial" w:hAnsi="Arial"/>
                <w:sz w:val="16"/>
                <w:szCs w:val="16"/>
                <w:color w:val="0000FF"/>
              </w:rPr>
              <w:t>c/o Citadel Enterprise Americas LLC</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right w:val="single" w:sz="8" w:color="CCEEFF"/>
            </w:tcBorders>
            <w:shd w:val="clear" w:color="auto" w:fill="CCEEFF"/>
          </w:tcPr>
          <w:p>
            <w:pPr>
              <w:spacing w:after="0"/>
              <w:rPr>
                <w:sz w:val="12"/>
                <w:szCs w:val="12"/>
                <w:color w:val="auto"/>
              </w:rPr>
            </w:pPr>
          </w:p>
        </w:tc>
        <w:tc>
          <w:tcPr>
            <w:tcW w:w="2300" w:type="dxa"/>
            <w:vAlign w:val="bottom"/>
            <w:tcBorders>
              <w:top w:val="single" w:sz="8" w:color="0000FF"/>
            </w:tcBorders>
            <w:gridSpan w:val="8"/>
            <w:shd w:val="clear" w:color="auto" w:fill="CCEEFF"/>
          </w:tcPr>
          <w:p>
            <w:pPr>
              <w:jc w:val="center"/>
              <w:ind w:right="380"/>
              <w:spacing w:after="0" w:line="142" w:lineRule="exact"/>
              <w:rPr>
                <w:sz w:val="20"/>
                <w:szCs w:val="20"/>
                <w:color w:val="auto"/>
              </w:rPr>
            </w:pPr>
            <w:r>
              <w:rPr>
                <w:rFonts w:ascii="Arial" w:cs="Arial" w:eastAsia="Arial" w:hAnsi="Arial"/>
                <w:sz w:val="16"/>
                <w:szCs w:val="16"/>
                <w:color w:val="0000FF"/>
                <w:w w:val="99"/>
              </w:rPr>
              <w:t>Southeast Financial Center</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8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right w:val="single" w:sz="8" w:color="0000FF"/>
            </w:tcBorders>
            <w:gridSpan w:val="3"/>
            <w:shd w:val="clear" w:color="auto" w:fill="CCEEFF"/>
          </w:tcPr>
          <w:p>
            <w:pPr>
              <w:spacing w:after="0"/>
              <w:rPr>
                <w:sz w:val="4"/>
                <w:szCs w:val="4"/>
                <w:color w:val="auto"/>
              </w:rPr>
            </w:pPr>
          </w:p>
        </w:tc>
        <w:tc>
          <w:tcPr>
            <w:tcW w:w="320" w:type="dxa"/>
            <w:vAlign w:val="bottom"/>
            <w:tcBorders>
              <w:bottom w:val="single" w:sz="8" w:color="CCEEFF"/>
            </w:tcBorders>
            <w:shd w:val="clear" w:color="auto" w:fill="0000FF"/>
          </w:tcPr>
          <w:p>
            <w:pPr>
              <w:spacing w:after="0"/>
              <w:rPr>
                <w:sz w:val="4"/>
                <w:szCs w:val="4"/>
                <w:color w:val="auto"/>
              </w:rPr>
            </w:pPr>
          </w:p>
        </w:tc>
        <w:tc>
          <w:tcPr>
            <w:tcW w:w="440" w:type="dxa"/>
            <w:vAlign w:val="bottom"/>
            <w:tcBorders>
              <w:bottom w:val="single" w:sz="8" w:color="CCEEFF"/>
              <w:right w:val="single" w:sz="8" w:color="0000FF"/>
            </w:tcBorders>
            <w:shd w:val="clear" w:color="auto" w:fill="0000FF"/>
          </w:tcPr>
          <w:p>
            <w:pPr>
              <w:spacing w:after="0"/>
              <w:rPr>
                <w:sz w:val="4"/>
                <w:szCs w:val="4"/>
                <w:color w:val="auto"/>
              </w:rPr>
            </w:pPr>
          </w:p>
        </w:tc>
        <w:tc>
          <w:tcPr>
            <w:tcW w:w="380" w:type="dxa"/>
            <w:vAlign w:val="bottom"/>
            <w:tcBorders>
              <w:bottom w:val="single" w:sz="8" w:color="CCEEFF"/>
            </w:tcBorders>
            <w:shd w:val="clear" w:color="auto" w:fill="0000FF"/>
          </w:tcPr>
          <w:p>
            <w:pPr>
              <w:spacing w:after="0"/>
              <w:rPr>
                <w:sz w:val="4"/>
                <w:szCs w:val="4"/>
                <w:color w:val="auto"/>
              </w:rPr>
            </w:pPr>
          </w:p>
        </w:tc>
        <w:tc>
          <w:tcPr>
            <w:tcW w:w="60" w:type="dxa"/>
            <w:vAlign w:val="bottom"/>
            <w:tcBorders>
              <w:bottom w:val="single" w:sz="8" w:color="CCEEFF"/>
              <w:right w:val="single" w:sz="8" w:color="0000FF"/>
            </w:tcBorders>
            <w:shd w:val="clear" w:color="auto" w:fill="0000FF"/>
          </w:tcPr>
          <w:p>
            <w:pPr>
              <w:spacing w:after="0"/>
              <w:rPr>
                <w:sz w:val="4"/>
                <w:szCs w:val="4"/>
                <w:color w:val="auto"/>
              </w:rPr>
            </w:pPr>
          </w:p>
        </w:tc>
        <w:tc>
          <w:tcPr>
            <w:tcW w:w="400" w:type="dxa"/>
            <w:vAlign w:val="bottom"/>
            <w:tcBorders>
              <w:bottom w:val="single" w:sz="8" w:color="CCEEFF"/>
            </w:tcBorders>
            <w:shd w:val="clear" w:color="auto" w:fill="0000FF"/>
          </w:tcPr>
          <w:p>
            <w:pPr>
              <w:spacing w:after="0"/>
              <w:rPr>
                <w:sz w:val="4"/>
                <w:szCs w:val="4"/>
                <w:color w:val="auto"/>
              </w:rPr>
            </w:pPr>
          </w:p>
        </w:tc>
        <w:tc>
          <w:tcPr>
            <w:tcW w:w="320" w:type="dxa"/>
            <w:vAlign w:val="bottom"/>
            <w:tcBorders>
              <w:bottom w:val="single" w:sz="8" w:color="CCEEFF"/>
            </w:tcBorders>
            <w:shd w:val="clear" w:color="auto" w:fill="0000FF"/>
          </w:tcPr>
          <w:p>
            <w:pPr>
              <w:spacing w:after="0"/>
              <w:rPr>
                <w:sz w:val="4"/>
                <w:szCs w:val="4"/>
                <w:color w:val="auto"/>
              </w:rPr>
            </w:pPr>
          </w:p>
        </w:tc>
        <w:tc>
          <w:tcPr>
            <w:tcW w:w="420" w:type="dxa"/>
            <w:vAlign w:val="bottom"/>
            <w:tcBorders>
              <w:bottom w:val="single" w:sz="8" w:color="CCEEFF"/>
            </w:tcBorders>
            <w:gridSpan w:val="3"/>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right w:val="single" w:sz="8" w:color="CCEEFF"/>
            </w:tcBorders>
            <w:shd w:val="clear" w:color="auto" w:fill="CCEEFF"/>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gridSpan w:val="4"/>
            <w:shd w:val="clear" w:color="auto" w:fill="CCEEFF"/>
          </w:tcPr>
          <w:p>
            <w:pPr>
              <w:spacing w:after="0" w:line="142" w:lineRule="exact"/>
              <w:rPr>
                <w:sz w:val="20"/>
                <w:szCs w:val="20"/>
                <w:color w:val="auto"/>
              </w:rPr>
            </w:pPr>
            <w:r>
              <w:rPr>
                <w:rFonts w:ascii="Arial" w:cs="Arial" w:eastAsia="Arial" w:hAnsi="Arial"/>
                <w:sz w:val="16"/>
                <w:szCs w:val="16"/>
                <w:color w:val="0000FF"/>
                <w:w w:val="95"/>
              </w:rPr>
              <w:t>200 S</w:t>
            </w:r>
          </w:p>
        </w:tc>
        <w:tc>
          <w:tcPr>
            <w:tcW w:w="1920" w:type="dxa"/>
            <w:vAlign w:val="bottom"/>
            <w:tcBorders>
              <w:top w:val="single" w:sz="8" w:color="0000FF"/>
            </w:tcBorders>
            <w:gridSpan w:val="6"/>
            <w:shd w:val="clear" w:color="auto" w:fill="CCEEFF"/>
          </w:tcPr>
          <w:p>
            <w:pPr>
              <w:jc w:val="center"/>
              <w:spacing w:after="0" w:line="142" w:lineRule="exact"/>
              <w:rPr>
                <w:sz w:val="20"/>
                <w:szCs w:val="20"/>
                <w:color w:val="auto"/>
              </w:rPr>
            </w:pPr>
            <w:r>
              <w:rPr>
                <w:rFonts w:ascii="Arial" w:cs="Arial" w:eastAsia="Arial" w:hAnsi="Arial"/>
                <w:sz w:val="16"/>
                <w:szCs w:val="16"/>
                <w:color w:val="0000FF"/>
              </w:rPr>
              <w:t>Biscayne Boulevard, Suite</w:t>
            </w:r>
          </w:p>
        </w:tc>
        <w:tc>
          <w:tcPr>
            <w:tcW w:w="1420" w:type="dxa"/>
            <w:vAlign w:val="bottom"/>
            <w:tcBorders>
              <w:top w:val="single" w:sz="8" w:color="CCEEFF"/>
            </w:tcBorders>
            <w:gridSpan w:val="5"/>
            <w:shd w:val="clear" w:color="auto" w:fill="CCEEFF"/>
          </w:tcPr>
          <w:p>
            <w:pPr>
              <w:jc w:val="right"/>
              <w:ind w:right="1000"/>
              <w:spacing w:after="0" w:line="142" w:lineRule="exact"/>
              <w:rPr>
                <w:sz w:val="20"/>
                <w:szCs w:val="20"/>
                <w:color w:val="auto"/>
              </w:rPr>
            </w:pPr>
            <w:r>
              <w:rPr>
                <w:rFonts w:ascii="Arial" w:cs="Arial" w:eastAsia="Arial" w:hAnsi="Arial"/>
                <w:sz w:val="16"/>
                <w:szCs w:val="16"/>
                <w:color w:val="0000FF"/>
              </w:rPr>
              <w:t>3300</w:t>
            </w:r>
          </w:p>
        </w:tc>
        <w:tc>
          <w:tcPr>
            <w:tcW w:w="960" w:type="dxa"/>
            <w:vAlign w:val="bottom"/>
            <w:tcBorders>
              <w:top w:val="single" w:sz="8" w:color="CCEEFF"/>
            </w:tcBorders>
            <w:gridSpan w:val="3"/>
            <w:vMerge w:val="restart"/>
            <w:shd w:val="clear" w:color="auto" w:fill="CCEEFF"/>
          </w:tcPr>
          <w:p>
            <w:pPr>
              <w:ind w:left="860"/>
              <w:spacing w:after="0"/>
              <w:rPr>
                <w:sz w:val="20"/>
                <w:szCs w:val="20"/>
                <w:color w:val="auto"/>
              </w:rPr>
            </w:pPr>
            <w:r>
              <w:rPr>
                <w:rFonts w:ascii="Arial" w:cs="Arial" w:eastAsia="Arial" w:hAnsi="Arial"/>
                <w:sz w:val="18"/>
                <w:szCs w:val="18"/>
                <w:b w:val="1"/>
                <w:bCs w:val="1"/>
                <w:color w:val="0000FF"/>
                <w:w w:val="79"/>
              </w:rPr>
              <w:t>$</w:t>
            </w:r>
          </w:p>
        </w:tc>
        <w:tc>
          <w:tcPr>
            <w:tcW w:w="1900" w:type="dxa"/>
            <w:vAlign w:val="bottom"/>
            <w:tcBorders>
              <w:top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0000FF"/>
              </w:rPr>
              <w:t>26,315,789.</w:t>
            </w:r>
            <w:r>
              <w:rPr>
                <w:rFonts w:ascii="Arial" w:cs="Arial" w:eastAsia="Arial" w:hAnsi="Arial"/>
                <w:sz w:val="18"/>
                <w:szCs w:val="18"/>
                <w:u w:val="single" w:color="auto"/>
                <w:color w:val="0000FF"/>
              </w:rPr>
              <w:t>47</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right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020" w:type="dxa"/>
            <w:vAlign w:val="bottom"/>
            <w:tcBorders>
              <w:top w:val="single" w:sz="8" w:color="0000FF"/>
            </w:tcBorders>
            <w:gridSpan w:val="8"/>
            <w:shd w:val="clear" w:color="auto" w:fill="CCEEFF"/>
          </w:tcPr>
          <w:p>
            <w:pPr>
              <w:jc w:val="center"/>
              <w:ind w:right="760"/>
              <w:spacing w:after="0" w:line="129" w:lineRule="exact"/>
              <w:rPr>
                <w:sz w:val="20"/>
                <w:szCs w:val="20"/>
                <w:color w:val="auto"/>
              </w:rPr>
            </w:pPr>
            <w:r>
              <w:rPr>
                <w:rFonts w:ascii="Arial" w:cs="Arial" w:eastAsia="Arial" w:hAnsi="Arial"/>
                <w:sz w:val="13"/>
                <w:szCs w:val="13"/>
                <w:color w:val="0000FF"/>
              </w:rPr>
              <w:t>Miami, FL 33131</w:t>
            </w:r>
          </w:p>
        </w:tc>
        <w:tc>
          <w:tcPr>
            <w:tcW w:w="20" w:type="dxa"/>
            <w:vAlign w:val="bottom"/>
            <w:tcBorders>
              <w:top w:val="single" w:sz="8" w:color="0000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gridSpan w:val="3"/>
            <w:vMerge w:val="continue"/>
            <w:shd w:val="clear" w:color="auto" w:fill="CCEEFF"/>
          </w:tcPr>
          <w:p>
            <w:pPr>
              <w:spacing w:after="0"/>
              <w:rPr>
                <w:sz w:val="19"/>
                <w:szCs w:val="19"/>
                <w:color w:val="auto"/>
              </w:rPr>
            </w:pPr>
          </w:p>
        </w:tc>
        <w:tc>
          <w:tcPr>
            <w:tcW w:w="1900" w:type="dxa"/>
            <w:vAlign w:val="bottom"/>
            <w:tcBorders>
              <w:top w:val="single" w:sz="8" w:color="CCEEFF"/>
              <w:right w:val="single" w:sz="8" w:color="CCEEFF"/>
            </w:tcBorders>
            <w:gridSpan w:val="3"/>
            <w:vMerge w:val="continue"/>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3"/>
          </w:tcPr>
          <w:p>
            <w:pPr>
              <w:jc w:val="center"/>
              <w:ind w:right="440"/>
              <w:spacing w:after="0" w:line="157" w:lineRule="exact"/>
              <w:rPr>
                <w:sz w:val="20"/>
                <w:szCs w:val="20"/>
                <w:color w:val="auto"/>
              </w:rPr>
            </w:pPr>
            <w:r>
              <w:rPr>
                <w:rFonts w:ascii="Arial" w:cs="Arial" w:eastAsia="Arial" w:hAnsi="Arial"/>
                <w:sz w:val="18"/>
                <w:szCs w:val="18"/>
                <w:b w:val="1"/>
                <w:bCs w:val="1"/>
                <w:color w:val="0000FF"/>
                <w:w w:val="92"/>
              </w:rPr>
              <w:t>Total</w:t>
            </w:r>
          </w:p>
        </w:tc>
        <w:tc>
          <w:tcPr>
            <w:tcW w:w="3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line="157" w:lineRule="exact"/>
              <w:rPr>
                <w:sz w:val="20"/>
                <w:szCs w:val="20"/>
                <w:color w:val="auto"/>
              </w:rPr>
            </w:pPr>
            <w:r>
              <w:rPr>
                <w:rFonts w:ascii="Arial" w:cs="Arial" w:eastAsia="Arial" w:hAnsi="Arial"/>
                <w:sz w:val="18"/>
                <w:szCs w:val="18"/>
                <w:b w:val="1"/>
                <w:bCs w:val="1"/>
                <w:color w:val="0000FF"/>
                <w:w w:val="79"/>
              </w:rPr>
              <w:t>$</w:t>
            </w:r>
          </w:p>
        </w:tc>
        <w:tc>
          <w:tcPr>
            <w:tcW w:w="8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60"/>
              <w:spacing w:after="0" w:line="157" w:lineRule="exact"/>
              <w:rPr>
                <w:sz w:val="20"/>
                <w:szCs w:val="20"/>
                <w:color w:val="auto"/>
              </w:rPr>
            </w:pPr>
            <w:r>
              <w:rPr>
                <w:rFonts w:ascii="Arial" w:cs="Arial" w:eastAsia="Arial" w:hAnsi="Arial"/>
                <w:sz w:val="18"/>
                <w:szCs w:val="18"/>
                <w:color w:val="0000FF"/>
                <w:w w:val="88"/>
              </w:rPr>
              <w:t>26,315,789.</w:t>
            </w:r>
            <w:r>
              <w:rPr>
                <w:rFonts w:ascii="Arial" w:cs="Arial" w:eastAsia="Arial" w:hAnsi="Arial"/>
                <w:sz w:val="18"/>
                <w:szCs w:val="18"/>
                <w:u w:val="single" w:color="auto"/>
                <w:color w:val="0000FF"/>
                <w:w w:val="88"/>
              </w:rPr>
              <w:t>47</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Borders>
              <w:top w:val="single" w:sz="8" w:color="0000FF"/>
              <w:bottom w:val="single" w:sz="8" w:color="0000FF"/>
            </w:tcBorders>
          </w:tcPr>
          <w:p>
            <w:pPr>
              <w:spacing w:after="0"/>
              <w:rPr>
                <w:sz w:val="5"/>
                <w:szCs w:val="5"/>
                <w:color w:val="auto"/>
              </w:rPr>
            </w:pPr>
          </w:p>
        </w:tc>
        <w:tc>
          <w:tcPr>
            <w:tcW w:w="60" w:type="dxa"/>
            <w:vAlign w:val="bottom"/>
            <w:tcBorders>
              <w:top w:val="single" w:sz="8" w:color="0000FF"/>
              <w:bottom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80" w:type="dxa"/>
            <w:vAlign w:val="bottom"/>
            <w:tcBorders>
              <w:top w:val="single" w:sz="8" w:color="0000FF"/>
              <w:bottom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20"/>
          </w:cols>
          <w:pgMar w:left="1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30" w:name="page331"/>
    <w:bookmarkEnd w:id="330"/>
    <w:tbl>
      <w:tblPr>
        <w:tblLayout w:type="fixed"/>
        <w:tblInd w:w="7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99"/>
              </w:rPr>
              <w:t>APPENDIX C</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4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b w:val="1"/>
                <w:bCs w:val="1"/>
                <w:color w:val="0000FF"/>
              </w:rPr>
              <w:t>TO AMENDED AND RESTATED CREDIT AGREEMENT</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4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8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80" w:type="dxa"/>
            <w:vAlign w:val="bottom"/>
            <w:tcBorders>
              <w:bottom w:val="single" w:sz="8" w:color="0000FF"/>
            </w:tcBorders>
          </w:tcPr>
          <w:p>
            <w:pPr>
              <w:spacing w:after="0"/>
              <w:rPr>
                <w:sz w:val="2"/>
                <w:szCs w:val="2"/>
                <w:color w:val="auto"/>
              </w:rPr>
            </w:pPr>
          </w:p>
        </w:tc>
        <w:tc>
          <w:tcPr>
            <w:tcW w:w="660" w:type="dxa"/>
            <w:vAlign w:val="bottom"/>
            <w:tcBorders>
              <w:bottom w:val="single" w:sz="8" w:color="0000FF"/>
            </w:tcBorders>
          </w:tcPr>
          <w:p>
            <w:pPr>
              <w:spacing w:after="0"/>
              <w:rPr>
                <w:sz w:val="2"/>
                <w:szCs w:val="2"/>
                <w:color w:val="auto"/>
              </w:rPr>
            </w:pPr>
          </w:p>
        </w:tc>
        <w:tc>
          <w:tcPr>
            <w:tcW w:w="11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11"/>
          </w:tcPr>
          <w:p>
            <w:pPr>
              <w:ind w:left="20"/>
              <w:spacing w:after="0"/>
              <w:rPr>
                <w:sz w:val="20"/>
                <w:szCs w:val="20"/>
                <w:color w:val="auto"/>
              </w:rPr>
            </w:pPr>
            <w:r>
              <w:rPr>
                <w:rFonts w:ascii="Arial" w:cs="Arial" w:eastAsia="Arial" w:hAnsi="Arial"/>
                <w:sz w:val="18"/>
                <w:szCs w:val="18"/>
                <w:b w:val="1"/>
                <w:bCs w:val="1"/>
                <w:color w:val="0000FF"/>
              </w:rPr>
              <w:t>Final Postpetition Commitments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80" w:type="dxa"/>
            <w:vAlign w:val="bottom"/>
            <w:tcBorders>
              <w:top w:val="single" w:sz="8" w:color="0000FF"/>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9"/>
          </w:tcPr>
          <w:p>
            <w:pPr>
              <w:jc w:val="center"/>
              <w:ind w:right="2160"/>
              <w:spacing w:after="0"/>
              <w:rPr>
                <w:sz w:val="20"/>
                <w:szCs w:val="20"/>
                <w:color w:val="auto"/>
              </w:rPr>
            </w:pPr>
            <w:r>
              <w:rPr>
                <w:rFonts w:ascii="Arial" w:cs="Arial" w:eastAsia="Arial" w:hAnsi="Arial"/>
                <w:sz w:val="14"/>
                <w:szCs w:val="14"/>
                <w:b w:val="1"/>
                <w:bCs w:val="1"/>
                <w:color w:val="0000FF"/>
                <w:w w:val="89"/>
              </w:rPr>
              <w:t>Lender</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Arial" w:cs="Arial" w:eastAsia="Arial" w:hAnsi="Arial"/>
                <w:sz w:val="14"/>
                <w:szCs w:val="14"/>
                <w:b w:val="1"/>
                <w:bCs w:val="1"/>
                <w:color w:val="0000FF"/>
              </w:rPr>
              <w:t>Final Postpetition Commitment</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right w:val="single" w:sz="8" w:color="CCEEFF"/>
            </w:tcBorders>
            <w:gridSpan w:val="3"/>
            <w:vMerge w:val="restart"/>
            <w:shd w:val="clear" w:color="auto" w:fill="CCEEFF"/>
          </w:tcPr>
          <w:p>
            <w:pPr>
              <w:spacing w:after="0" w:line="156" w:lineRule="exact"/>
              <w:rPr>
                <w:sz w:val="20"/>
                <w:szCs w:val="20"/>
                <w:color w:val="auto"/>
              </w:rPr>
            </w:pPr>
            <w:r>
              <w:rPr>
                <w:rFonts w:ascii="Arial" w:cs="Arial" w:eastAsia="Arial" w:hAnsi="Arial"/>
                <w:sz w:val="18"/>
                <w:szCs w:val="18"/>
                <w:color w:val="0000FF"/>
                <w:w w:val="86"/>
              </w:rPr>
              <w:t>Citadel Credit</w:t>
            </w:r>
          </w:p>
        </w:tc>
        <w:tc>
          <w:tcPr>
            <w:tcW w:w="440" w:type="dxa"/>
            <w:vAlign w:val="bottom"/>
            <w:tcBorders>
              <w:top w:val="single" w:sz="8" w:color="auto"/>
              <w:bottom w:val="single" w:sz="8" w:color="CCEE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bottom w:val="single" w:sz="8" w:color="CCEEFF"/>
            </w:tcBorders>
            <w:gridSpan w:val="2"/>
            <w:shd w:val="clear" w:color="auto" w:fill="CCEEFF"/>
          </w:tcPr>
          <w:p>
            <w:pPr>
              <w:spacing w:after="0" w:line="20" w:lineRule="exact"/>
              <w:rPr>
                <w:sz w:val="1"/>
                <w:szCs w:val="1"/>
                <w:color w:val="auto"/>
              </w:rPr>
            </w:pPr>
          </w:p>
        </w:tc>
        <w:tc>
          <w:tcPr>
            <w:tcW w:w="3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auto"/>
              <w:bottom w:val="single" w:sz="8" w:color="0000FF"/>
              <w:right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0000FF"/>
              <w:right w:val="single" w:sz="8" w:color="CCEEFF"/>
            </w:tcBorders>
            <w:gridSpan w:val="3"/>
            <w:vMerge w:val="continue"/>
            <w:shd w:val="clear" w:color="auto" w:fill="CCEEFF"/>
          </w:tcPr>
          <w:p>
            <w:pPr>
              <w:spacing w:after="0"/>
              <w:rPr>
                <w:sz w:val="14"/>
                <w:szCs w:val="14"/>
                <w:color w:val="auto"/>
              </w:rPr>
            </w:pPr>
          </w:p>
        </w:tc>
        <w:tc>
          <w:tcPr>
            <w:tcW w:w="1380" w:type="dxa"/>
            <w:vAlign w:val="bottom"/>
            <w:tcBorders>
              <w:bottom w:val="single" w:sz="8" w:color="0000FF"/>
            </w:tcBorders>
            <w:gridSpan w:val="5"/>
            <w:shd w:val="clear" w:color="auto" w:fill="CCEEFF"/>
          </w:tcPr>
          <w:p>
            <w:pPr>
              <w:ind w:left="80"/>
              <w:spacing w:after="0" w:line="116" w:lineRule="exact"/>
              <w:rPr>
                <w:sz w:val="20"/>
                <w:szCs w:val="20"/>
                <w:color w:val="auto"/>
              </w:rPr>
            </w:pPr>
            <w:r>
              <w:rPr>
                <w:rFonts w:ascii="Arial" w:cs="Arial" w:eastAsia="Arial" w:hAnsi="Arial"/>
                <w:sz w:val="13"/>
                <w:szCs w:val="13"/>
                <w:color w:val="0000FF"/>
              </w:rPr>
              <w:t>Master Fund LLC</w:t>
            </w:r>
          </w:p>
        </w:tc>
        <w:tc>
          <w:tcPr>
            <w:tcW w:w="1200" w:type="dxa"/>
            <w:vAlign w:val="bottom"/>
            <w:tcBorders>
              <w:bottom w:val="single" w:sz="8" w:color="CCEEFF"/>
            </w:tcBorders>
            <w:gridSpan w:val="4"/>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right w:val="single" w:sz="8" w:color="CCEEFF"/>
            </w:tcBorders>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20" w:type="dxa"/>
            <w:vAlign w:val="bottom"/>
            <w:gridSpan w:val="13"/>
            <w:shd w:val="clear" w:color="auto" w:fill="CCEEFF"/>
          </w:tcPr>
          <w:p>
            <w:pPr>
              <w:jc w:val="center"/>
              <w:ind w:right="1040"/>
              <w:spacing w:after="0" w:line="142" w:lineRule="exact"/>
              <w:rPr>
                <w:sz w:val="20"/>
                <w:szCs w:val="20"/>
                <w:color w:val="auto"/>
              </w:rPr>
            </w:pPr>
            <w:r>
              <w:rPr>
                <w:rFonts w:ascii="Arial" w:cs="Arial" w:eastAsia="Arial" w:hAnsi="Arial"/>
                <w:sz w:val="16"/>
                <w:szCs w:val="16"/>
                <w:color w:val="0000FF"/>
              </w:rPr>
              <w:t>c/o Citadel Enterprise Americas LLC</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right w:val="single" w:sz="8" w:color="CCEEFF"/>
            </w:tcBorders>
            <w:shd w:val="clear" w:color="auto" w:fill="CCEEFF"/>
          </w:tcPr>
          <w:p>
            <w:pPr>
              <w:spacing w:after="0"/>
              <w:rPr>
                <w:sz w:val="12"/>
                <w:szCs w:val="12"/>
                <w:color w:val="auto"/>
              </w:rPr>
            </w:pPr>
          </w:p>
        </w:tc>
        <w:tc>
          <w:tcPr>
            <w:tcW w:w="2300" w:type="dxa"/>
            <w:vAlign w:val="bottom"/>
            <w:tcBorders>
              <w:top w:val="single" w:sz="8" w:color="0000FF"/>
            </w:tcBorders>
            <w:gridSpan w:val="8"/>
            <w:shd w:val="clear" w:color="auto" w:fill="CCEEFF"/>
          </w:tcPr>
          <w:p>
            <w:pPr>
              <w:jc w:val="center"/>
              <w:ind w:right="380"/>
              <w:spacing w:after="0" w:line="142" w:lineRule="exact"/>
              <w:rPr>
                <w:sz w:val="20"/>
                <w:szCs w:val="20"/>
                <w:color w:val="auto"/>
              </w:rPr>
            </w:pPr>
            <w:r>
              <w:rPr>
                <w:rFonts w:ascii="Arial" w:cs="Arial" w:eastAsia="Arial" w:hAnsi="Arial"/>
                <w:sz w:val="16"/>
                <w:szCs w:val="16"/>
                <w:color w:val="0000FF"/>
                <w:w w:val="99"/>
              </w:rPr>
              <w:t>Southeast Financial Center</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8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right w:val="single" w:sz="8" w:color="0000FF"/>
            </w:tcBorders>
            <w:gridSpan w:val="3"/>
            <w:shd w:val="clear" w:color="auto" w:fill="CCEEFF"/>
          </w:tcPr>
          <w:p>
            <w:pPr>
              <w:spacing w:after="0"/>
              <w:rPr>
                <w:sz w:val="4"/>
                <w:szCs w:val="4"/>
                <w:color w:val="auto"/>
              </w:rPr>
            </w:pPr>
          </w:p>
        </w:tc>
        <w:tc>
          <w:tcPr>
            <w:tcW w:w="320" w:type="dxa"/>
            <w:vAlign w:val="bottom"/>
            <w:tcBorders>
              <w:bottom w:val="single" w:sz="8" w:color="CCEEFF"/>
            </w:tcBorders>
            <w:shd w:val="clear" w:color="auto" w:fill="0000FF"/>
          </w:tcPr>
          <w:p>
            <w:pPr>
              <w:spacing w:after="0"/>
              <w:rPr>
                <w:sz w:val="4"/>
                <w:szCs w:val="4"/>
                <w:color w:val="auto"/>
              </w:rPr>
            </w:pPr>
          </w:p>
        </w:tc>
        <w:tc>
          <w:tcPr>
            <w:tcW w:w="440" w:type="dxa"/>
            <w:vAlign w:val="bottom"/>
            <w:tcBorders>
              <w:bottom w:val="single" w:sz="8" w:color="CCEEFF"/>
              <w:right w:val="single" w:sz="8" w:color="0000FF"/>
            </w:tcBorders>
            <w:shd w:val="clear" w:color="auto" w:fill="0000FF"/>
          </w:tcPr>
          <w:p>
            <w:pPr>
              <w:spacing w:after="0"/>
              <w:rPr>
                <w:sz w:val="4"/>
                <w:szCs w:val="4"/>
                <w:color w:val="auto"/>
              </w:rPr>
            </w:pPr>
          </w:p>
        </w:tc>
        <w:tc>
          <w:tcPr>
            <w:tcW w:w="440" w:type="dxa"/>
            <w:vAlign w:val="bottom"/>
            <w:tcBorders>
              <w:bottom w:val="single" w:sz="8" w:color="CCEEFF"/>
              <w:right w:val="single" w:sz="8" w:color="0000FF"/>
            </w:tcBorders>
            <w:shd w:val="clear" w:color="auto" w:fill="0000FF"/>
          </w:tcPr>
          <w:p>
            <w:pPr>
              <w:spacing w:after="0"/>
              <w:rPr>
                <w:sz w:val="4"/>
                <w:szCs w:val="4"/>
                <w:color w:val="auto"/>
              </w:rPr>
            </w:pPr>
          </w:p>
        </w:tc>
        <w:tc>
          <w:tcPr>
            <w:tcW w:w="20" w:type="dxa"/>
            <w:vAlign w:val="bottom"/>
            <w:tcBorders>
              <w:bottom w:val="single" w:sz="8" w:color="CCEEFF"/>
            </w:tcBorders>
            <w:shd w:val="clear" w:color="auto" w:fill="0000FF"/>
          </w:tcPr>
          <w:p>
            <w:pPr>
              <w:spacing w:after="0"/>
              <w:rPr>
                <w:sz w:val="4"/>
                <w:szCs w:val="4"/>
                <w:color w:val="auto"/>
              </w:rPr>
            </w:pPr>
          </w:p>
        </w:tc>
        <w:tc>
          <w:tcPr>
            <w:tcW w:w="380" w:type="dxa"/>
            <w:vAlign w:val="bottom"/>
            <w:tcBorders>
              <w:bottom w:val="single" w:sz="8" w:color="CCEEFF"/>
            </w:tcBorders>
            <w:shd w:val="clear" w:color="auto" w:fill="0000FF"/>
          </w:tcPr>
          <w:p>
            <w:pPr>
              <w:spacing w:after="0"/>
              <w:rPr>
                <w:sz w:val="4"/>
                <w:szCs w:val="4"/>
                <w:color w:val="auto"/>
              </w:rPr>
            </w:pPr>
          </w:p>
        </w:tc>
        <w:tc>
          <w:tcPr>
            <w:tcW w:w="320" w:type="dxa"/>
            <w:vAlign w:val="bottom"/>
            <w:tcBorders>
              <w:bottom w:val="single" w:sz="8" w:color="CCEEFF"/>
            </w:tcBorders>
            <w:shd w:val="clear" w:color="auto" w:fill="0000FF"/>
          </w:tcPr>
          <w:p>
            <w:pPr>
              <w:spacing w:after="0"/>
              <w:rPr>
                <w:sz w:val="4"/>
                <w:szCs w:val="4"/>
                <w:color w:val="auto"/>
              </w:rPr>
            </w:pPr>
          </w:p>
        </w:tc>
        <w:tc>
          <w:tcPr>
            <w:tcW w:w="420" w:type="dxa"/>
            <w:vAlign w:val="bottom"/>
            <w:tcBorders>
              <w:bottom w:val="single" w:sz="8" w:color="CCEEFF"/>
            </w:tcBorders>
            <w:gridSpan w:val="3"/>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right w:val="single" w:sz="8" w:color="CCEEFF"/>
            </w:tcBorders>
            <w:shd w:val="clear" w:color="auto" w:fill="CCEEFF"/>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gridSpan w:val="4"/>
            <w:shd w:val="clear" w:color="auto" w:fill="CCEEFF"/>
          </w:tcPr>
          <w:p>
            <w:pPr>
              <w:spacing w:after="0" w:line="142" w:lineRule="exact"/>
              <w:rPr>
                <w:sz w:val="20"/>
                <w:szCs w:val="20"/>
                <w:color w:val="auto"/>
              </w:rPr>
            </w:pPr>
            <w:r>
              <w:rPr>
                <w:rFonts w:ascii="Arial" w:cs="Arial" w:eastAsia="Arial" w:hAnsi="Arial"/>
                <w:sz w:val="16"/>
                <w:szCs w:val="16"/>
                <w:color w:val="0000FF"/>
                <w:w w:val="95"/>
              </w:rPr>
              <w:t>200 S</w:t>
            </w:r>
          </w:p>
        </w:tc>
        <w:tc>
          <w:tcPr>
            <w:tcW w:w="1920" w:type="dxa"/>
            <w:vAlign w:val="bottom"/>
            <w:tcBorders>
              <w:top w:val="single" w:sz="8" w:color="0000FF"/>
            </w:tcBorders>
            <w:gridSpan w:val="6"/>
            <w:shd w:val="clear" w:color="auto" w:fill="CCEEFF"/>
          </w:tcPr>
          <w:p>
            <w:pPr>
              <w:jc w:val="center"/>
              <w:spacing w:after="0" w:line="142" w:lineRule="exact"/>
              <w:rPr>
                <w:sz w:val="20"/>
                <w:szCs w:val="20"/>
                <w:color w:val="auto"/>
              </w:rPr>
            </w:pPr>
            <w:r>
              <w:rPr>
                <w:rFonts w:ascii="Arial" w:cs="Arial" w:eastAsia="Arial" w:hAnsi="Arial"/>
                <w:sz w:val="16"/>
                <w:szCs w:val="16"/>
                <w:color w:val="0000FF"/>
              </w:rPr>
              <w:t>Biscayne Boulevard, Suite</w:t>
            </w:r>
          </w:p>
        </w:tc>
        <w:tc>
          <w:tcPr>
            <w:tcW w:w="1420" w:type="dxa"/>
            <w:vAlign w:val="bottom"/>
            <w:tcBorders>
              <w:top w:val="single" w:sz="8" w:color="CCEEFF"/>
            </w:tcBorders>
            <w:gridSpan w:val="5"/>
            <w:shd w:val="clear" w:color="auto" w:fill="CCEEFF"/>
          </w:tcPr>
          <w:p>
            <w:pPr>
              <w:jc w:val="right"/>
              <w:ind w:right="1000"/>
              <w:spacing w:after="0" w:line="142" w:lineRule="exact"/>
              <w:rPr>
                <w:sz w:val="20"/>
                <w:szCs w:val="20"/>
                <w:color w:val="auto"/>
              </w:rPr>
            </w:pPr>
            <w:r>
              <w:rPr>
                <w:rFonts w:ascii="Arial" w:cs="Arial" w:eastAsia="Arial" w:hAnsi="Arial"/>
                <w:sz w:val="16"/>
                <w:szCs w:val="16"/>
                <w:color w:val="0000FF"/>
              </w:rPr>
              <w:t>3300</w:t>
            </w:r>
          </w:p>
        </w:tc>
        <w:tc>
          <w:tcPr>
            <w:tcW w:w="960" w:type="dxa"/>
            <w:vAlign w:val="bottom"/>
            <w:tcBorders>
              <w:top w:val="single" w:sz="8" w:color="CCEEFF"/>
            </w:tcBorders>
            <w:gridSpan w:val="3"/>
            <w:vMerge w:val="restart"/>
            <w:shd w:val="clear" w:color="auto" w:fill="CCEEFF"/>
          </w:tcPr>
          <w:p>
            <w:pPr>
              <w:ind w:left="860"/>
              <w:spacing w:after="0"/>
              <w:rPr>
                <w:sz w:val="20"/>
                <w:szCs w:val="20"/>
                <w:color w:val="auto"/>
              </w:rPr>
            </w:pPr>
            <w:r>
              <w:rPr>
                <w:rFonts w:ascii="Arial" w:cs="Arial" w:eastAsia="Arial" w:hAnsi="Arial"/>
                <w:sz w:val="18"/>
                <w:szCs w:val="18"/>
                <w:b w:val="1"/>
                <w:bCs w:val="1"/>
                <w:color w:val="0000FF"/>
                <w:w w:val="79"/>
              </w:rPr>
              <w:t>$</w:t>
            </w:r>
          </w:p>
        </w:tc>
        <w:tc>
          <w:tcPr>
            <w:tcW w:w="1900" w:type="dxa"/>
            <w:vAlign w:val="bottom"/>
            <w:tcBorders>
              <w:top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0000FF"/>
              </w:rPr>
              <w:t>31,578,947.</w:t>
            </w:r>
            <w:r>
              <w:rPr>
                <w:rFonts w:ascii="Arial" w:cs="Arial" w:eastAsia="Arial" w:hAnsi="Arial"/>
                <w:sz w:val="18"/>
                <w:szCs w:val="18"/>
                <w:u w:val="single" w:color="auto"/>
                <w:color w:val="0000FF"/>
              </w:rPr>
              <w:t>37</w:t>
            </w: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right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020" w:type="dxa"/>
            <w:vAlign w:val="bottom"/>
            <w:tcBorders>
              <w:top w:val="single" w:sz="8" w:color="0000FF"/>
            </w:tcBorders>
            <w:gridSpan w:val="8"/>
            <w:shd w:val="clear" w:color="auto" w:fill="CCEEFF"/>
          </w:tcPr>
          <w:p>
            <w:pPr>
              <w:jc w:val="center"/>
              <w:ind w:right="760"/>
              <w:spacing w:after="0" w:line="129" w:lineRule="exact"/>
              <w:rPr>
                <w:sz w:val="20"/>
                <w:szCs w:val="20"/>
                <w:color w:val="auto"/>
              </w:rPr>
            </w:pPr>
            <w:r>
              <w:rPr>
                <w:rFonts w:ascii="Arial" w:cs="Arial" w:eastAsia="Arial" w:hAnsi="Arial"/>
                <w:sz w:val="13"/>
                <w:szCs w:val="13"/>
                <w:color w:val="0000FF"/>
              </w:rPr>
              <w:t>Miami, FL 33131</w:t>
            </w:r>
          </w:p>
        </w:tc>
        <w:tc>
          <w:tcPr>
            <w:tcW w:w="20" w:type="dxa"/>
            <w:vAlign w:val="bottom"/>
            <w:tcBorders>
              <w:top w:val="single" w:sz="8" w:color="0000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gridSpan w:val="3"/>
            <w:vMerge w:val="continue"/>
            <w:shd w:val="clear" w:color="auto" w:fill="CCEEFF"/>
          </w:tcPr>
          <w:p>
            <w:pPr>
              <w:spacing w:after="0"/>
              <w:rPr>
                <w:sz w:val="19"/>
                <w:szCs w:val="19"/>
                <w:color w:val="auto"/>
              </w:rPr>
            </w:pPr>
          </w:p>
        </w:tc>
        <w:tc>
          <w:tcPr>
            <w:tcW w:w="1900" w:type="dxa"/>
            <w:vAlign w:val="bottom"/>
            <w:tcBorders>
              <w:top w:val="single" w:sz="8" w:color="CCEEFF"/>
              <w:right w:val="single" w:sz="8" w:color="CCEEFF"/>
            </w:tcBorders>
            <w:gridSpan w:val="3"/>
            <w:vMerge w:val="continue"/>
            <w:shd w:val="clear" w:color="auto" w:fill="CCEEFF"/>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3"/>
          </w:tcPr>
          <w:p>
            <w:pPr>
              <w:jc w:val="center"/>
              <w:ind w:right="440"/>
              <w:spacing w:after="0" w:line="157" w:lineRule="exact"/>
              <w:rPr>
                <w:sz w:val="20"/>
                <w:szCs w:val="20"/>
                <w:color w:val="auto"/>
              </w:rPr>
            </w:pPr>
            <w:r>
              <w:rPr>
                <w:rFonts w:ascii="Arial" w:cs="Arial" w:eastAsia="Arial" w:hAnsi="Arial"/>
                <w:sz w:val="18"/>
                <w:szCs w:val="18"/>
                <w:b w:val="1"/>
                <w:bCs w:val="1"/>
                <w:color w:val="0000FF"/>
                <w:w w:val="92"/>
              </w:rPr>
              <w:t>Total</w:t>
            </w:r>
          </w:p>
        </w:tc>
        <w:tc>
          <w:tcPr>
            <w:tcW w:w="3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line="157" w:lineRule="exact"/>
              <w:rPr>
                <w:sz w:val="20"/>
                <w:szCs w:val="20"/>
                <w:color w:val="auto"/>
              </w:rPr>
            </w:pPr>
            <w:r>
              <w:rPr>
                <w:rFonts w:ascii="Arial" w:cs="Arial" w:eastAsia="Arial" w:hAnsi="Arial"/>
                <w:sz w:val="18"/>
                <w:szCs w:val="18"/>
                <w:b w:val="1"/>
                <w:bCs w:val="1"/>
                <w:color w:val="0000FF"/>
                <w:w w:val="79"/>
              </w:rPr>
              <w:t>$</w:t>
            </w:r>
          </w:p>
        </w:tc>
        <w:tc>
          <w:tcPr>
            <w:tcW w:w="8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60"/>
              <w:spacing w:after="0" w:line="157" w:lineRule="exact"/>
              <w:rPr>
                <w:sz w:val="20"/>
                <w:szCs w:val="20"/>
                <w:color w:val="auto"/>
              </w:rPr>
            </w:pPr>
            <w:r>
              <w:rPr>
                <w:rFonts w:ascii="Arial" w:cs="Arial" w:eastAsia="Arial" w:hAnsi="Arial"/>
                <w:sz w:val="18"/>
                <w:szCs w:val="18"/>
                <w:color w:val="0000FF"/>
                <w:w w:val="88"/>
              </w:rPr>
              <w:t>31,578,947.</w:t>
            </w:r>
            <w:r>
              <w:rPr>
                <w:rFonts w:ascii="Arial" w:cs="Arial" w:eastAsia="Arial" w:hAnsi="Arial"/>
                <w:sz w:val="18"/>
                <w:szCs w:val="18"/>
                <w:u w:val="single" w:color="auto"/>
                <w:color w:val="0000FF"/>
                <w:w w:val="88"/>
              </w:rPr>
              <w:t>37</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top w:val="single" w:sz="8" w:color="0000FF"/>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80" w:type="dxa"/>
            <w:vAlign w:val="bottom"/>
            <w:tcBorders>
              <w:top w:val="single" w:sz="8" w:color="0000FF"/>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20"/>
          </w:cols>
          <w:pgMar w:left="1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31" w:name="page332"/>
    <w:bookmarkEnd w:id="331"/>
    <w:tbl>
      <w:tblPr>
        <w:tblLayout w:type="fixed"/>
        <w:tblInd w:w="7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99"/>
              </w:rPr>
              <w:t>APPENDIX D</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4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b w:val="1"/>
                <w:bCs w:val="1"/>
                <w:color w:val="0000FF"/>
              </w:rPr>
              <w:t>TO AMENDED AND RESTATED CREDIT AGREEMENT</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Borders>
              <w:bottom w:val="single" w:sz="8" w:color="0000FF"/>
            </w:tcBorders>
          </w:tcPr>
          <w:p>
            <w:pPr>
              <w:spacing w:after="0"/>
              <w:rPr>
                <w:sz w:val="2"/>
                <w:szCs w:val="2"/>
                <w:color w:val="auto"/>
              </w:rPr>
            </w:pPr>
          </w:p>
        </w:tc>
        <w:tc>
          <w:tcPr>
            <w:tcW w:w="5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7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160" w:type="dxa"/>
            <w:vAlign w:val="bottom"/>
            <w:tcBorders>
              <w:bottom w:val="single" w:sz="8" w:color="0000FF"/>
            </w:tcBorders>
          </w:tcPr>
          <w:p>
            <w:pPr>
              <w:spacing w:after="0"/>
              <w:rPr>
                <w:sz w:val="2"/>
                <w:szCs w:val="2"/>
                <w:color w:val="auto"/>
              </w:rPr>
            </w:pPr>
          </w:p>
        </w:tc>
        <w:tc>
          <w:tcPr>
            <w:tcW w:w="660" w:type="dxa"/>
            <w:vAlign w:val="bottom"/>
            <w:tcBorders>
              <w:bottom w:val="single" w:sz="8" w:color="0000FF"/>
            </w:tcBorders>
          </w:tcPr>
          <w:p>
            <w:pPr>
              <w:spacing w:after="0"/>
              <w:rPr>
                <w:sz w:val="2"/>
                <w:szCs w:val="2"/>
                <w:color w:val="auto"/>
              </w:rPr>
            </w:pPr>
          </w:p>
        </w:tc>
        <w:tc>
          <w:tcPr>
            <w:tcW w:w="11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10"/>
          </w:tcPr>
          <w:p>
            <w:pPr>
              <w:jc w:val="right"/>
              <w:ind w:right="527"/>
              <w:spacing w:after="0"/>
              <w:rPr>
                <w:sz w:val="20"/>
                <w:szCs w:val="20"/>
                <w:color w:val="auto"/>
              </w:rPr>
            </w:pPr>
            <w:r>
              <w:rPr>
                <w:rFonts w:ascii="Arial" w:cs="Arial" w:eastAsia="Arial" w:hAnsi="Arial"/>
                <w:sz w:val="18"/>
                <w:szCs w:val="18"/>
                <w:b w:val="1"/>
                <w:bCs w:val="1"/>
                <w:color w:val="0000FF"/>
                <w:w w:val="90"/>
              </w:rPr>
              <w:t>Prepetition Term Loan Amount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gridSpan w:val="10"/>
          </w:tcPr>
          <w:p>
            <w:pPr>
              <w:jc w:val="center"/>
              <w:ind w:right="2180"/>
              <w:spacing w:after="0"/>
              <w:rPr>
                <w:sz w:val="20"/>
                <w:szCs w:val="20"/>
                <w:color w:val="auto"/>
              </w:rPr>
            </w:pPr>
            <w:r>
              <w:rPr>
                <w:rFonts w:ascii="Arial" w:cs="Arial" w:eastAsia="Arial" w:hAnsi="Arial"/>
                <w:sz w:val="14"/>
                <w:szCs w:val="14"/>
                <w:b w:val="1"/>
                <w:bCs w:val="1"/>
                <w:color w:val="0000FF"/>
                <w:w w:val="89"/>
              </w:rPr>
              <w:t>Lender</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gridSpan w:val="6"/>
          </w:tcPr>
          <w:p>
            <w:pPr>
              <w:jc w:val="right"/>
              <w:ind w:right="1750"/>
              <w:spacing w:after="0"/>
              <w:rPr>
                <w:sz w:val="20"/>
                <w:szCs w:val="20"/>
                <w:color w:val="auto"/>
              </w:rPr>
            </w:pPr>
            <w:r>
              <w:rPr>
                <w:rFonts w:ascii="Arial" w:cs="Arial" w:eastAsia="Arial" w:hAnsi="Arial"/>
                <w:sz w:val="14"/>
                <w:szCs w:val="14"/>
                <w:b w:val="1"/>
                <w:bCs w:val="1"/>
                <w:color w:val="0000FF"/>
                <w:w w:val="93"/>
              </w:rPr>
              <w:t>Prepetition Term Loan Amount</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right w:val="single" w:sz="8" w:color="CCEEFF"/>
            </w:tcBorders>
            <w:gridSpan w:val="4"/>
            <w:vMerge w:val="restart"/>
            <w:shd w:val="clear" w:color="auto" w:fill="CCEEFF"/>
          </w:tcPr>
          <w:p>
            <w:pPr>
              <w:spacing w:after="0" w:line="156" w:lineRule="exact"/>
              <w:rPr>
                <w:sz w:val="20"/>
                <w:szCs w:val="20"/>
                <w:color w:val="auto"/>
              </w:rPr>
            </w:pPr>
            <w:r>
              <w:rPr>
                <w:rFonts w:ascii="Arial" w:cs="Arial" w:eastAsia="Arial" w:hAnsi="Arial"/>
                <w:sz w:val="18"/>
                <w:szCs w:val="18"/>
                <w:color w:val="0000FF"/>
                <w:w w:val="86"/>
              </w:rPr>
              <w:t>Citadel Credit</w:t>
            </w:r>
          </w:p>
        </w:tc>
        <w:tc>
          <w:tcPr>
            <w:tcW w:w="440" w:type="dxa"/>
            <w:vAlign w:val="bottom"/>
            <w:tcBorders>
              <w:top w:val="single" w:sz="8" w:color="auto"/>
              <w:bottom w:val="single" w:sz="8" w:color="CCEE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bottom w:val="single" w:sz="8" w:color="CCEEFF"/>
            </w:tcBorders>
            <w:gridSpan w:val="3"/>
            <w:shd w:val="clear" w:color="auto" w:fill="CCEEFF"/>
          </w:tcPr>
          <w:p>
            <w:pPr>
              <w:spacing w:after="0" w:line="20" w:lineRule="exact"/>
              <w:rPr>
                <w:sz w:val="1"/>
                <w:szCs w:val="1"/>
                <w:color w:val="auto"/>
              </w:rPr>
            </w:pPr>
          </w:p>
        </w:tc>
        <w:tc>
          <w:tcPr>
            <w:tcW w:w="3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auto"/>
              <w:bottom w:val="single" w:sz="8" w:color="0000FF"/>
              <w:right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980" w:type="dxa"/>
            <w:vAlign w:val="bottom"/>
            <w:tcBorders>
              <w:right w:val="single" w:sz="8" w:color="CCEEFF"/>
            </w:tcBorders>
            <w:gridSpan w:val="4"/>
            <w:vMerge w:val="continue"/>
            <w:shd w:val="clear" w:color="auto" w:fill="CCEEFF"/>
          </w:tcPr>
          <w:p>
            <w:pPr>
              <w:spacing w:after="0"/>
              <w:rPr>
                <w:sz w:val="13"/>
                <w:szCs w:val="13"/>
                <w:color w:val="auto"/>
              </w:rPr>
            </w:pPr>
          </w:p>
        </w:tc>
        <w:tc>
          <w:tcPr>
            <w:tcW w:w="2600" w:type="dxa"/>
            <w:vAlign w:val="bottom"/>
            <w:gridSpan w:val="10"/>
            <w:shd w:val="clear" w:color="auto" w:fill="CCEEFF"/>
          </w:tcPr>
          <w:p>
            <w:pPr>
              <w:ind w:left="80"/>
              <w:spacing w:after="0" w:line="116" w:lineRule="exact"/>
              <w:rPr>
                <w:sz w:val="20"/>
                <w:szCs w:val="20"/>
                <w:color w:val="auto"/>
              </w:rPr>
            </w:pPr>
            <w:r>
              <w:rPr>
                <w:rFonts w:ascii="Arial" w:cs="Arial" w:eastAsia="Arial" w:hAnsi="Arial"/>
                <w:sz w:val="13"/>
                <w:szCs w:val="13"/>
                <w:color w:val="0000FF"/>
              </w:rPr>
              <w:t>Master Fund LLC</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0000FF"/>
            </w:tcBorders>
            <w:gridSpan w:val="3"/>
            <w:shd w:val="clear" w:color="auto" w:fill="0000FF"/>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40" w:type="dxa"/>
            <w:vAlign w:val="bottom"/>
            <w:gridSpan w:val="15"/>
            <w:shd w:val="clear" w:color="auto" w:fill="CCEEFF"/>
          </w:tcPr>
          <w:p>
            <w:pPr>
              <w:jc w:val="center"/>
              <w:ind w:right="1060"/>
              <w:spacing w:after="0" w:line="142" w:lineRule="exact"/>
              <w:rPr>
                <w:sz w:val="20"/>
                <w:szCs w:val="20"/>
                <w:color w:val="auto"/>
              </w:rPr>
            </w:pPr>
            <w:r>
              <w:rPr>
                <w:rFonts w:ascii="Arial" w:cs="Arial" w:eastAsia="Arial" w:hAnsi="Arial"/>
                <w:sz w:val="16"/>
                <w:szCs w:val="16"/>
                <w:color w:val="0000FF"/>
              </w:rPr>
              <w:t>c/o Citadel Enterprise Americas LLC</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1940" w:type="dxa"/>
            <w:vAlign w:val="bottom"/>
            <w:tcBorders>
              <w:top w:val="single" w:sz="8" w:color="0000FF"/>
              <w:bottom w:val="single" w:sz="8" w:color="0000FF"/>
            </w:tcBorders>
            <w:gridSpan w:val="8"/>
            <w:shd w:val="clear" w:color="auto" w:fill="CCEEFF"/>
          </w:tcPr>
          <w:p>
            <w:pPr>
              <w:jc w:val="center"/>
              <w:spacing w:after="0" w:line="142" w:lineRule="exact"/>
              <w:rPr>
                <w:sz w:val="20"/>
                <w:szCs w:val="20"/>
                <w:color w:val="auto"/>
              </w:rPr>
            </w:pPr>
            <w:r>
              <w:rPr>
                <w:rFonts w:ascii="Arial" w:cs="Arial" w:eastAsia="Arial" w:hAnsi="Arial"/>
                <w:sz w:val="16"/>
                <w:szCs w:val="16"/>
                <w:color w:val="0000FF"/>
              </w:rPr>
              <w:t>Southeast Financial Center</w:t>
            </w:r>
          </w:p>
        </w:tc>
        <w:tc>
          <w:tcPr>
            <w:tcW w:w="36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gridSpan w:val="5"/>
            <w:shd w:val="clear" w:color="auto" w:fill="CCEEFF"/>
          </w:tcPr>
          <w:p>
            <w:pPr>
              <w:ind w:left="840"/>
              <w:spacing w:after="0" w:line="142" w:lineRule="exact"/>
              <w:rPr>
                <w:sz w:val="20"/>
                <w:szCs w:val="20"/>
                <w:color w:val="auto"/>
              </w:rPr>
            </w:pPr>
            <w:r>
              <w:rPr>
                <w:rFonts w:ascii="Arial" w:cs="Arial" w:eastAsia="Arial" w:hAnsi="Arial"/>
                <w:sz w:val="16"/>
                <w:szCs w:val="16"/>
                <w:color w:val="0000FF"/>
              </w:rPr>
              <w:t>200 S</w:t>
            </w:r>
          </w:p>
        </w:tc>
        <w:tc>
          <w:tcPr>
            <w:tcW w:w="1920" w:type="dxa"/>
            <w:vAlign w:val="bottom"/>
            <w:tcBorders>
              <w:top w:val="single" w:sz="8" w:color="0000FF"/>
            </w:tcBorders>
            <w:gridSpan w:val="7"/>
            <w:shd w:val="clear" w:color="auto" w:fill="CCEEFF"/>
          </w:tcPr>
          <w:p>
            <w:pPr>
              <w:jc w:val="center"/>
              <w:spacing w:after="0" w:line="142" w:lineRule="exact"/>
              <w:rPr>
                <w:sz w:val="20"/>
                <w:szCs w:val="20"/>
                <w:color w:val="auto"/>
              </w:rPr>
            </w:pPr>
            <w:r>
              <w:rPr>
                <w:rFonts w:ascii="Arial" w:cs="Arial" w:eastAsia="Arial" w:hAnsi="Arial"/>
                <w:sz w:val="16"/>
                <w:szCs w:val="16"/>
                <w:color w:val="0000FF"/>
              </w:rPr>
              <w:t>Biscayne Boulevard, Suite</w:t>
            </w:r>
          </w:p>
        </w:tc>
        <w:tc>
          <w:tcPr>
            <w:tcW w:w="1420" w:type="dxa"/>
            <w:vAlign w:val="bottom"/>
            <w:tcBorders>
              <w:top w:val="single" w:sz="8" w:color="CCEEFF"/>
            </w:tcBorders>
            <w:gridSpan w:val="5"/>
            <w:shd w:val="clear" w:color="auto" w:fill="CCEEFF"/>
          </w:tcPr>
          <w:p>
            <w:pPr>
              <w:jc w:val="right"/>
              <w:ind w:right="1000"/>
              <w:spacing w:after="0" w:line="142" w:lineRule="exact"/>
              <w:rPr>
                <w:sz w:val="20"/>
                <w:szCs w:val="20"/>
                <w:color w:val="auto"/>
              </w:rPr>
            </w:pPr>
            <w:r>
              <w:rPr>
                <w:rFonts w:ascii="Arial" w:cs="Arial" w:eastAsia="Arial" w:hAnsi="Arial"/>
                <w:sz w:val="16"/>
                <w:szCs w:val="16"/>
                <w:color w:val="0000FF"/>
              </w:rPr>
              <w:t>3300</w:t>
            </w:r>
          </w:p>
        </w:tc>
        <w:tc>
          <w:tcPr>
            <w:tcW w:w="940" w:type="dxa"/>
            <w:vAlign w:val="bottom"/>
            <w:tcBorders>
              <w:top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FF"/>
              </w:rPr>
              <w:t>$</w:t>
            </w:r>
          </w:p>
        </w:tc>
        <w:tc>
          <w:tcPr>
            <w:tcW w:w="1920" w:type="dxa"/>
            <w:vAlign w:val="bottom"/>
            <w:tcBorders>
              <w:top w:val="single" w:sz="8" w:color="CCEEFF"/>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FF"/>
              </w:rPr>
              <w:t>485,372,693.</w:t>
            </w:r>
            <w:r>
              <w:rPr>
                <w:rFonts w:ascii="Arial" w:cs="Arial" w:eastAsia="Arial" w:hAnsi="Arial"/>
                <w:sz w:val="18"/>
                <w:szCs w:val="18"/>
                <w:u w:val="single" w:color="auto"/>
                <w:color w:val="0000FF"/>
              </w:rPr>
              <w:t>29</w:t>
            </w: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2020" w:type="dxa"/>
            <w:vAlign w:val="bottom"/>
            <w:tcBorders>
              <w:top w:val="single" w:sz="8" w:color="0000FF"/>
            </w:tcBorders>
            <w:gridSpan w:val="9"/>
            <w:shd w:val="clear" w:color="auto" w:fill="CCEEFF"/>
          </w:tcPr>
          <w:p>
            <w:pPr>
              <w:jc w:val="center"/>
              <w:ind w:right="740"/>
              <w:spacing w:after="0" w:line="129" w:lineRule="exact"/>
              <w:rPr>
                <w:sz w:val="20"/>
                <w:szCs w:val="20"/>
                <w:color w:val="auto"/>
              </w:rPr>
            </w:pPr>
            <w:r>
              <w:rPr>
                <w:rFonts w:ascii="Arial" w:cs="Arial" w:eastAsia="Arial" w:hAnsi="Arial"/>
                <w:sz w:val="13"/>
                <w:szCs w:val="13"/>
                <w:color w:val="0000FF"/>
              </w:rPr>
              <w:t>Miami, FL 33131</w:t>
            </w:r>
          </w:p>
        </w:tc>
        <w:tc>
          <w:tcPr>
            <w:tcW w:w="20" w:type="dxa"/>
            <w:vAlign w:val="bottom"/>
            <w:tcBorders>
              <w:top w:val="single" w:sz="8" w:color="0000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gridSpan w:val="3"/>
            <w:vMerge w:val="continue"/>
            <w:shd w:val="clear" w:color="auto" w:fill="CCEEFF"/>
          </w:tcPr>
          <w:p>
            <w:pPr>
              <w:spacing w:after="0"/>
              <w:rPr>
                <w:sz w:val="19"/>
                <w:szCs w:val="19"/>
                <w:color w:val="auto"/>
              </w:rPr>
            </w:pPr>
          </w:p>
        </w:tc>
        <w:tc>
          <w:tcPr>
            <w:tcW w:w="1920" w:type="dxa"/>
            <w:vAlign w:val="bottom"/>
            <w:tcBorders>
              <w:top w:val="single" w:sz="8" w:color="CCEEFF"/>
              <w:right w:val="single" w:sz="8" w:color="CCEEFF"/>
            </w:tcBorders>
            <w:gridSpan w:val="3"/>
            <w:vMerge w:val="continue"/>
            <w:shd w:val="clear" w:color="auto" w:fill="CCEEFF"/>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4"/>
          </w:tcPr>
          <w:p>
            <w:pPr>
              <w:jc w:val="center"/>
              <w:ind w:right="350"/>
              <w:spacing w:after="0" w:line="157" w:lineRule="exact"/>
              <w:rPr>
                <w:sz w:val="20"/>
                <w:szCs w:val="20"/>
                <w:color w:val="auto"/>
              </w:rPr>
            </w:pPr>
            <w:r>
              <w:rPr>
                <w:rFonts w:ascii="Arial" w:cs="Arial" w:eastAsia="Arial" w:hAnsi="Arial"/>
                <w:sz w:val="18"/>
                <w:szCs w:val="18"/>
                <w:b w:val="1"/>
                <w:bCs w:val="1"/>
                <w:color w:val="0000FF"/>
                <w:w w:val="92"/>
              </w:rPr>
              <w:t>Total</w:t>
            </w:r>
          </w:p>
        </w:tc>
        <w:tc>
          <w:tcPr>
            <w:tcW w:w="3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0000FF"/>
                <w:w w:val="71"/>
              </w:rPr>
              <w:t>$</w:t>
            </w: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8"/>
                <w:szCs w:val="18"/>
                <w:color w:val="0000FF"/>
                <w:w w:val="86"/>
              </w:rPr>
              <w:t>485,372,693.</w:t>
            </w:r>
            <w:r>
              <w:rPr>
                <w:rFonts w:ascii="Arial" w:cs="Arial" w:eastAsia="Arial" w:hAnsi="Arial"/>
                <w:sz w:val="18"/>
                <w:szCs w:val="18"/>
                <w:u w:val="single" w:color="auto"/>
                <w:color w:val="0000FF"/>
                <w:w w:val="86"/>
              </w:rPr>
              <w:t>29</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top w:val="single" w:sz="8" w:color="0000FF"/>
              <w:bottom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160" w:type="dxa"/>
            <w:vAlign w:val="bottom"/>
            <w:tcBorders>
              <w:top w:val="single" w:sz="8" w:color="0000FF"/>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20"/>
          </w:cols>
          <w:pgMar w:left="1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32" w:name="page333"/>
    <w:bookmarkEnd w:id="332"/>
    <w:p>
      <w:pPr>
        <w:ind w:left="4"/>
        <w:spacing w:after="0"/>
        <w:rPr>
          <w:sz w:val="20"/>
          <w:szCs w:val="20"/>
          <w:color w:val="auto"/>
        </w:rPr>
      </w:pPr>
      <w:r>
        <w:rPr>
          <w:rFonts w:ascii="Arial" w:cs="Arial" w:eastAsia="Arial" w:hAnsi="Arial"/>
          <w:sz w:val="18"/>
          <w:szCs w:val="18"/>
          <w:i w:val="1"/>
          <w:iCs w:val="1"/>
          <w:color w:val="FF433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[Different first page link-to-previous setting changed from off in original to on in modified.].</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APPENDIX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26035</wp:posOffset>
            </wp:positionV>
            <wp:extent cx="6940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26035</wp:posOffset>
            </wp:positionV>
            <wp:extent cx="2931795"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0000FF"/>
        </w:rPr>
        <w:t>Chapter 11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26035</wp:posOffset>
            </wp:positionV>
            <wp:extent cx="109728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9" w:lineRule="exact"/>
        <w:rPr>
          <w:sz w:val="20"/>
          <w:szCs w:val="20"/>
          <w:color w:val="auto"/>
        </w:rPr>
      </w:pPr>
    </w:p>
    <w:p>
      <w:pPr>
        <w:ind w:left="4" w:right="120" w:hanging="4"/>
        <w:spacing w:after="0" w:line="277" w:lineRule="auto"/>
        <w:tabs>
          <w:tab w:leader="none" w:pos="199"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By no later than thirty (30) calendar days after the Petition Date, the Bankruptcy Court shall have entered the Bidding Procedures Order, in form and substance reasonably satisfactory to the Junior DIP Lenders.</w:t>
      </w:r>
    </w:p>
    <w:p>
      <w:pPr>
        <w:spacing w:after="0" w:line="170" w:lineRule="exact"/>
        <w:rPr>
          <w:rFonts w:ascii="Arial" w:cs="Arial" w:eastAsia="Arial" w:hAnsi="Arial"/>
          <w:sz w:val="18"/>
          <w:szCs w:val="18"/>
          <w:u w:val="single" w:color="auto"/>
          <w:color w:val="0000FF"/>
        </w:rPr>
      </w:pPr>
    </w:p>
    <w:p>
      <w:pPr>
        <w:jc w:val="both"/>
        <w:ind w:left="4" w:right="320" w:hanging="4"/>
        <w:spacing w:after="0" w:line="263" w:lineRule="auto"/>
        <w:tabs>
          <w:tab w:leader="none" w:pos="199"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By no later than fifteen (15) calendar days after the Final Order Entry Date, the Borrower, in its capacity as foreign representative on behalf of the Debtors, shall have filed a motion with the Canadian Court for the recognition of, and the Canadian Court shall have issued, the Canadian Final DIP Recognition Order.</w:t>
      </w:r>
    </w:p>
    <w:p>
      <w:pPr>
        <w:spacing w:after="0" w:line="183" w:lineRule="exact"/>
        <w:rPr>
          <w:rFonts w:ascii="Arial" w:cs="Arial" w:eastAsia="Arial" w:hAnsi="Arial"/>
          <w:sz w:val="18"/>
          <w:szCs w:val="18"/>
          <w:u w:val="single" w:color="auto"/>
          <w:color w:val="0000FF"/>
        </w:rPr>
      </w:pPr>
    </w:p>
    <w:p>
      <w:pPr>
        <w:ind w:left="4" w:right="140" w:hanging="4"/>
        <w:spacing w:after="0" w:line="277" w:lineRule="auto"/>
        <w:tabs>
          <w:tab w:leader="none" w:pos="199"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By no later than forty-five (45) calendar days after the Petition Date, the Bankruptcy Court shall have entered the Final Order, in form and substance satisfactory in all material respects to the Lenders, the Agents, the Junior DIP Lenders and the Junior DIP Agent.</w:t>
      </w:r>
    </w:p>
    <w:p>
      <w:pPr>
        <w:spacing w:after="0" w:line="170" w:lineRule="exact"/>
        <w:rPr>
          <w:rFonts w:ascii="Arial" w:cs="Arial" w:eastAsia="Arial" w:hAnsi="Arial"/>
          <w:sz w:val="18"/>
          <w:szCs w:val="18"/>
          <w:u w:val="single" w:color="auto"/>
          <w:color w:val="0000FF"/>
        </w:rPr>
      </w:pPr>
    </w:p>
    <w:p>
      <w:pPr>
        <w:ind w:left="4" w:right="260" w:hanging="4"/>
        <w:spacing w:after="0" w:line="342" w:lineRule="auto"/>
        <w:tabs>
          <w:tab w:leader="none" w:pos="199" w:val="left"/>
        </w:tabs>
        <w:numPr>
          <w:ilvl w:val="0"/>
          <w:numId w:val="26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By no later than ninety (90) calendar days after the Petition Date, the Debtors shall have received unique, non-duplicative binding cash bids for the B-2 Priority Collateral pursuant to the Bidding Procedures Order that would generate, in the aggregate, Net Proceeds at least equal to $250,000,000.</w:t>
      </w:r>
    </w:p>
    <w:p>
      <w:pPr>
        <w:spacing w:after="0" w:line="123" w:lineRule="exact"/>
        <w:rPr>
          <w:rFonts w:ascii="Arial" w:cs="Arial" w:eastAsia="Arial" w:hAnsi="Arial"/>
          <w:sz w:val="16"/>
          <w:szCs w:val="16"/>
          <w:u w:val="single" w:color="auto"/>
          <w:color w:val="0000FF"/>
        </w:rPr>
      </w:pPr>
    </w:p>
    <w:p>
      <w:pPr>
        <w:ind w:left="4" w:right="60" w:hanging="4"/>
        <w:spacing w:after="0" w:line="286" w:lineRule="auto"/>
        <w:tabs>
          <w:tab w:leader="none" w:pos="199" w:val="left"/>
        </w:tabs>
        <w:numPr>
          <w:ilvl w:val="0"/>
          <w:numId w:val="26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By (A) no earlier than one-hundred twenty (120) calendar days after the Petition Date (which may be extended to one-hundred fifty (150) calendar days after the Petition Date with (i) the consent of the Prepetition ABL Agent, the Administrative Agent and the UST Secured Parties (in each case such consent not to be unreasonably withheld) and (ii) the consent of the Junior DIP Lenders in their sole discretion) and (B) not later than one-hundred and fifty (150) calendar days after the Petition Date (which may be extended to one-hundred and eighty (180) calendar days after the Petition Date with</w:t>
      </w:r>
    </w:p>
    <w:p>
      <w:pPr>
        <w:spacing w:after="0" w:line="1" w:lineRule="exact"/>
        <w:rPr>
          <w:rFonts w:ascii="Arial" w:cs="Arial" w:eastAsia="Arial" w:hAnsi="Arial"/>
          <w:sz w:val="16"/>
          <w:szCs w:val="16"/>
          <w:u w:val="single" w:color="auto"/>
          <w:color w:val="0000FF"/>
        </w:rPr>
      </w:pPr>
    </w:p>
    <w:p>
      <w:pPr>
        <w:ind w:left="4" w:right="40"/>
        <w:spacing w:after="0" w:line="292" w:lineRule="auto"/>
        <w:rPr>
          <w:rFonts w:ascii="Arial" w:cs="Arial" w:eastAsia="Arial" w:hAnsi="Arial"/>
          <w:sz w:val="16"/>
          <w:szCs w:val="16"/>
          <w:u w:val="single" w:color="auto"/>
          <w:color w:val="0000FF"/>
        </w:rPr>
      </w:pPr>
      <w:r>
        <w:rPr>
          <w:rFonts w:ascii="Arial" w:cs="Arial" w:eastAsia="Arial" w:hAnsi="Arial"/>
          <w:sz w:val="16"/>
          <w:szCs w:val="16"/>
          <w:u w:val="single" w:color="auto"/>
          <w:color w:val="0000FF"/>
        </w:rPr>
        <w:t>(i) the consent of the Prepetition ABL Agent, the Administrative Agent and the UST Secured Parties (in each case such consent not to be unreasonably withheld) and (ii) the consent of the Junior DIP Lenders in their sole discretion), the Debtors shall have consummated one or more Dispositions of all or substantially all of their assets in accordance with the Bidding Procedures Order that generates Net Proceeds in respect of the B-2 Priority Collateral equal to at least 100% of the sum of the aggregate amount of Obligations outstanding hereunder as of such date and the Junior DIP Obligations and shall have indefeasibly repaid both the Junior DIP Obligations and the Obligations outstanding hereunder in full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-2896235</wp:posOffset>
            </wp:positionV>
            <wp:extent cx="691769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-2759075</wp:posOffset>
            </wp:positionV>
            <wp:extent cx="276034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-2484755</wp:posOffset>
            </wp:positionV>
            <wp:extent cx="6797675"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-2347595</wp:posOffset>
            </wp:positionV>
            <wp:extent cx="677227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-2210435</wp:posOffset>
            </wp:positionV>
            <wp:extent cx="87439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-1936115</wp:posOffset>
            </wp:positionV>
            <wp:extent cx="691769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-1798955</wp:posOffset>
            </wp:positionV>
            <wp:extent cx="516064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5160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-1524635</wp:posOffset>
            </wp:positionV>
            <wp:extent cx="6840855"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-1387475</wp:posOffset>
            </wp:positionV>
            <wp:extent cx="677227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-1113155</wp:posOffset>
            </wp:positionV>
            <wp:extent cx="6831965"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-975995</wp:posOffset>
            </wp:positionV>
            <wp:extent cx="696087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-838835</wp:posOffset>
            </wp:positionV>
            <wp:extent cx="689229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-701675</wp:posOffset>
            </wp:positionV>
            <wp:extent cx="6737985"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-564515</wp:posOffset>
            </wp:positionV>
            <wp:extent cx="690054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-427355</wp:posOffset>
            </wp:positionV>
            <wp:extent cx="695198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-290195</wp:posOffset>
            </wp:positionV>
            <wp:extent cx="678053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-153035</wp:posOffset>
            </wp:positionV>
            <wp:extent cx="697801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525462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5254625" cy="8255"/>
                    </a:xfrm>
                    <a:prstGeom prst="rect">
                      <a:avLst/>
                    </a:prstGeom>
                    <a:noFill/>
                  </pic:spPr>
                </pic:pic>
              </a:graphicData>
            </a:graphic>
          </wp:anchor>
        </w:drawing>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FF4338"/>
        </w:rPr>
        <w:t>[Different first page link-to-previous setting changed from off in original to on in modified.].</w:t>
      </w:r>
    </w:p>
    <w:p>
      <w:pPr>
        <w:sectPr>
          <w:pgSz w:w="11900" w:h="16838" w:orient="portrait"/>
          <w:cols w:equalWidth="0" w:num="1">
            <w:col w:w="11024"/>
          </w:cols>
          <w:pgMar w:left="436" w:top="274" w:right="4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00" w:lineRule="exact"/>
        <w:rPr>
          <w:sz w:val="20"/>
          <w:szCs w:val="20"/>
          <w:color w:val="auto"/>
        </w:rPr>
      </w:pPr>
    </w:p>
    <w:p>
      <w:pPr>
        <w:spacing w:after="0" w:line="2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Amendment No. 4</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u w:val="single" w:color="auto"/>
          <w:color w:val="auto"/>
        </w:rPr>
        <w:t>Schedules to Amended and Restated Credit Agreement</w:t>
      </w:r>
    </w:p>
    <w:p>
      <w:pPr>
        <w:spacing w:after="0" w:line="2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020"/>
          </w:cols>
          <w:pgMar w:left="1440" w:top="274" w:right="4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00" w:lineRule="exact"/>
        <w:rPr>
          <w:sz w:val="20"/>
          <w:szCs w:val="20"/>
          <w:color w:val="auto"/>
        </w:rPr>
      </w:pPr>
    </w:p>
    <w:p>
      <w:pPr>
        <w:spacing w:after="0" w:line="2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Amendment No. 4</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Exhibit D to Amended and Restated Credit Agreement</w:t>
      </w:r>
    </w:p>
    <w:p>
      <w:pPr>
        <w:spacing w:after="0" w:line="2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020"/>
          </w:cols>
          <w:pgMar w:left="1440" w:top="274" w:right="4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00" w:lineRule="exact"/>
        <w:rPr>
          <w:sz w:val="20"/>
          <w:szCs w:val="20"/>
          <w:color w:val="auto"/>
        </w:rPr>
      </w:pPr>
    </w:p>
    <w:p>
      <w:pPr>
        <w:spacing w:after="0" w:line="2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Amendment No. 4</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u w:val="single" w:color="auto"/>
          <w:color w:val="auto"/>
        </w:rPr>
        <w:t>Exhibit H to Amended and Restated Credit Agreement</w:t>
      </w:r>
    </w:p>
    <w:p>
      <w:pPr>
        <w:spacing w:after="0" w:line="2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sectPr>
      <w:pgSz w:w="11900" w:h="16838" w:orient="portrait"/>
      <w:cols w:equalWidth="0" w:num="1">
        <w:col w:w="10020"/>
      </w:cols>
      <w:pgMar w:left="1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37E80A"/>
    <w:multiLevelType w:val="hybridMultilevel"/>
    <w:lvl w:ilvl="0">
      <w:lvlJc w:val="left"/>
      <w:lvlText w:val="☐"/>
      <w:numFmt w:val="bullet"/>
      <w:start w:val="1"/>
    </w:lvl>
  </w:abstractNum>
  <w:abstractNum w:abstractNumId="1">
    <w:nsid w:val="2157F6BC"/>
    <w:multiLevelType w:val="hybridMultilevel"/>
    <w:lvl w:ilvl="0">
      <w:lvlJc w:val="left"/>
      <w:lvlText w:val="*"/>
      <w:numFmt w:val="bullet"/>
      <w:start w:val="1"/>
    </w:lvl>
  </w:abstractNum>
  <w:abstractNum w:abstractNumId="2">
    <w:nsid w:val="704E1DD5"/>
    <w:multiLevelType w:val="hybridMultilevel"/>
    <w:lvl w:ilvl="0">
      <w:lvlJc w:val="left"/>
      <w:lvlText w:val="B"/>
      <w:numFmt w:val="bullet"/>
      <w:start w:val="1"/>
    </w:lvl>
  </w:abstractNum>
  <w:abstractNum w:abstractNumId="3">
    <w:nsid w:val="57D2F10E"/>
    <w:multiLevelType w:val="hybridMultilevel"/>
    <w:lvl w:ilvl="0">
      <w:lvlJc w:val="left"/>
      <w:lvlText w:val="(%1)"/>
      <w:numFmt w:val="lowerLetter"/>
      <w:start w:val="1"/>
    </w:lvl>
    <w:lvl w:ilvl="1">
      <w:lvlJc w:val="left"/>
      <w:lvlText w:val="(%2)"/>
      <w:numFmt w:val="lowerRoman"/>
      <w:start w:val="1"/>
    </w:lvl>
  </w:abstractNum>
  <w:abstractNum w:abstractNumId="4">
    <w:nsid w:val="BFFAE18"/>
    <w:multiLevelType w:val="hybridMultilevel"/>
    <w:lvl w:ilvl="0">
      <w:lvlJc w:val="left"/>
      <w:lvlText w:val="(%1)"/>
      <w:numFmt w:val="lowerLetter"/>
      <w:start w:val="25"/>
    </w:lvl>
  </w:abstractNum>
  <w:abstractNum w:abstractNumId="5">
    <w:nsid w:val="E3E47A8"/>
    <w:multiLevelType w:val="hybridMultilevel"/>
    <w:lvl w:ilvl="0">
      <w:lvlJc w:val="left"/>
      <w:lvlText w:val="(%1)"/>
      <w:numFmt w:val="lowerRoman"/>
      <w:start w:val="2"/>
    </w:lvl>
  </w:abstractNum>
  <w:abstractNum w:abstractNumId="6">
    <w:nsid w:val="2E48F044"/>
    <w:multiLevelType w:val="hybridMultilevel"/>
    <w:lvl w:ilvl="0">
      <w:lvlJc w:val="left"/>
      <w:lvlText w:val="(%1)"/>
      <w:numFmt w:val="lowerLetter"/>
      <w:start w:val="4"/>
    </w:lvl>
  </w:abstractNum>
  <w:abstractNum w:abstractNumId="7">
    <w:nsid w:val="49D0FEAC"/>
    <w:multiLevelType w:val="hybridMultilevel"/>
    <w:lvl w:ilvl="0">
      <w:lvlJc w:val="left"/>
      <w:lvlText w:val="(%1)"/>
      <w:numFmt w:val="lowerRoman"/>
      <w:start w:val="1"/>
    </w:lvl>
  </w:abstractNum>
  <w:abstractNum w:abstractNumId="8">
    <w:nsid w:val="4BEE5A5B"/>
    <w:multiLevelType w:val="hybridMultilevel"/>
    <w:lvl w:ilvl="0">
      <w:lvlJc w:val="left"/>
      <w:lvlText w:val="(%1)"/>
      <w:numFmt w:val="lowerRoman"/>
      <w:start w:val="10"/>
    </w:lvl>
  </w:abstractNum>
  <w:abstractNum w:abstractNumId="9">
    <w:nsid w:val="5551B9F3"/>
    <w:multiLevelType w:val="hybridMultilevel"/>
    <w:lvl w:ilvl="0">
      <w:lvlJc w:val="left"/>
      <w:lvlText w:val="(%1)"/>
      <w:numFmt w:val="lowerRoman"/>
      <w:start w:val="1"/>
    </w:lvl>
  </w:abstractNum>
  <w:abstractNum w:abstractNumId="10">
    <w:nsid w:val="24F6AB8E"/>
    <w:multiLevelType w:val="hybridMultilevel"/>
    <w:lvl w:ilvl="0">
      <w:lvlJc w:val="left"/>
      <w:lvlText w:val="(%1)"/>
      <w:numFmt w:val="decimal"/>
      <w:start w:val="10"/>
    </w:lvl>
  </w:abstractNum>
  <w:abstractNum w:abstractNumId="11">
    <w:nsid w:val="634C574C"/>
    <w:multiLevelType w:val="hybridMultilevel"/>
    <w:lvl w:ilvl="0">
      <w:lvlJc w:val="left"/>
      <w:lvlText w:val="(%1)"/>
      <w:numFmt w:val="decimal"/>
      <w:start w:val="5"/>
    </w:lvl>
  </w:abstractNum>
  <w:abstractNum w:abstractNumId="12">
    <w:nsid w:val="24E99DD7"/>
    <w:multiLevelType w:val="hybridMultilevel"/>
    <w:lvl w:ilvl="0">
      <w:lvlJc w:val="left"/>
      <w:lvlText w:val="(%1)"/>
      <w:numFmt w:val="lowerRoman"/>
      <w:start w:val="2"/>
    </w:lvl>
  </w:abstractNum>
  <w:abstractNum w:abstractNumId="13">
    <w:nsid w:val="2A31B62D"/>
    <w:multiLevelType w:val="hybridMultilevel"/>
    <w:lvl w:ilvl="0">
      <w:lvlJc w:val="left"/>
      <w:lvlText w:val="(%1)"/>
      <w:numFmt w:val="lowerLetter"/>
      <w:start w:val="2"/>
    </w:lvl>
  </w:abstractNum>
  <w:abstractNum w:abstractNumId="14">
    <w:nsid w:val="1849C29B"/>
    <w:multiLevelType w:val="hybridMultilevel"/>
    <w:lvl w:ilvl="0">
      <w:lvlJc w:val="left"/>
      <w:lvlText w:val="(%1)"/>
      <w:numFmt w:val="lowerRoman"/>
      <w:start w:val="1"/>
    </w:lvl>
  </w:abstractNum>
  <w:abstractNum w:abstractNumId="15">
    <w:nsid w:val="7DFF9D09"/>
    <w:multiLevelType w:val="hybridMultilevel"/>
    <w:lvl w:ilvl="0">
      <w:lvlJc w:val="left"/>
      <w:lvlText w:val="(%1)"/>
      <w:numFmt w:val="upperLetter"/>
      <w:start w:val="1"/>
    </w:lvl>
  </w:abstractNum>
  <w:abstractNum w:abstractNumId="16">
    <w:nsid w:val="754342"/>
    <w:multiLevelType w:val="hybridMultilevel"/>
    <w:lvl w:ilvl="0">
      <w:lvlJc w:val="left"/>
      <w:lvlText w:val="(%1)"/>
      <w:numFmt w:val="decimal"/>
      <w:start w:val="5"/>
    </w:lvl>
  </w:abstractNum>
  <w:abstractNum w:abstractNumId="17">
    <w:nsid w:val="69E7F3E5"/>
    <w:multiLevelType w:val="hybridMultilevel"/>
    <w:lvl w:ilvl="0">
      <w:lvlJc w:val="left"/>
      <w:lvlText w:val="(%1)"/>
      <w:numFmt w:val="lowerRoman"/>
      <w:start w:val="3"/>
    </w:lvl>
  </w:abstractNum>
  <w:abstractNum w:abstractNumId="18">
    <w:nsid w:val="2A6DE806"/>
    <w:multiLevelType w:val="hybridMultilevel"/>
    <w:lvl w:ilvl="0">
      <w:lvlJc w:val="left"/>
      <w:lvlText w:val="(%1)"/>
      <w:numFmt w:val="lowerRoman"/>
      <w:start w:val="2"/>
    </w:lvl>
  </w:abstractNum>
  <w:abstractNum w:abstractNumId="19">
    <w:nsid w:val="1816F8C4"/>
    <w:multiLevelType w:val="hybridMultilevel"/>
    <w:lvl w:ilvl="0">
      <w:lvlJc w:val="left"/>
      <w:lvlText w:val="(%1)"/>
      <w:numFmt w:val="lowerLetter"/>
      <w:start w:val="1"/>
    </w:lvl>
  </w:abstractNum>
  <w:abstractNum w:abstractNumId="20">
    <w:nsid w:val="37DF2233"/>
    <w:multiLevelType w:val="hybridMultilevel"/>
    <w:lvl w:ilvl="0">
      <w:lvlJc w:val="left"/>
      <w:lvlText w:val="(%1)"/>
      <w:numFmt w:val="lowerLetter"/>
      <w:start w:val="2"/>
    </w:lvl>
  </w:abstractNum>
  <w:abstractNum w:abstractNumId="21">
    <w:nsid w:val="7AB49DAF"/>
    <w:multiLevelType w:val="hybridMultilevel"/>
    <w:lvl w:ilvl="0">
      <w:lvlJc w:val="left"/>
      <w:lvlText w:val="(%1)"/>
      <w:numFmt w:val="lowerLetter"/>
      <w:start w:val="3"/>
    </w:lvl>
  </w:abstractNum>
  <w:abstractNum w:abstractNumId="22">
    <w:nsid w:val="759F82CD"/>
    <w:multiLevelType w:val="hybridMultilevel"/>
    <w:lvl w:ilvl="0">
      <w:lvlJc w:val="left"/>
      <w:lvlText w:val="(%1)"/>
      <w:numFmt w:val="lowerRoman"/>
      <w:start w:val="3"/>
    </w:lvl>
  </w:abstractNum>
  <w:abstractNum w:abstractNumId="23">
    <w:nsid w:val="61E74EA3"/>
    <w:multiLevelType w:val="hybridMultilevel"/>
    <w:lvl w:ilvl="0">
      <w:lvlJc w:val="left"/>
      <w:lvlText w:val="(%1)"/>
      <w:numFmt w:val="lowerLetter"/>
      <w:start w:val="1"/>
    </w:lvl>
  </w:abstractNum>
  <w:abstractNum w:abstractNumId="24">
    <w:nsid w:val="597B4D84"/>
    <w:multiLevelType w:val="hybridMultilevel"/>
    <w:lvl w:ilvl="0">
      <w:lvlJc w:val="left"/>
      <w:lvlText w:val="(%1)"/>
      <w:numFmt w:val="lowerRoman"/>
      <w:start w:val="2"/>
    </w:lvl>
  </w:abstractNum>
  <w:abstractNum w:abstractNumId="25">
    <w:nsid w:val="F819E7F"/>
    <w:multiLevelType w:val="hybridMultilevel"/>
    <w:lvl w:ilvl="0">
      <w:lvlJc w:val="left"/>
      <w:lvlText w:val="(%1)"/>
      <w:numFmt w:val="lowerLetter"/>
      <w:start w:val="7"/>
    </w:lvl>
  </w:abstractNum>
  <w:abstractNum w:abstractNumId="26">
    <w:nsid w:val="57C7D42D"/>
    <w:multiLevelType w:val="hybridMultilevel"/>
    <w:lvl w:ilvl="0">
      <w:lvlJc w:val="left"/>
      <w:lvlText w:val="%1)"/>
      <w:numFmt w:val="decimal"/>
      <w:start w:val="1"/>
    </w:lvl>
  </w:abstractNum>
  <w:abstractNum w:abstractNumId="27">
    <w:nsid w:val="312167AD"/>
    <w:multiLevelType w:val="hybridMultilevel"/>
    <w:lvl w:ilvl="0">
      <w:lvlJc w:val="left"/>
      <w:lvlText w:val="(%1)"/>
      <w:numFmt w:val="lowerLetter"/>
      <w:start w:val="1"/>
    </w:lvl>
  </w:abstractNum>
  <w:abstractNum w:abstractNumId="28">
    <w:nsid w:val="631B64D4"/>
    <w:multiLevelType w:val="hybridMultilevel"/>
    <w:lvl w:ilvl="0">
      <w:lvlJc w:val="left"/>
      <w:lvlText w:val="(%1)"/>
      <w:numFmt w:val="lowerLetter"/>
      <w:start w:val="8"/>
    </w:lvl>
  </w:abstractNum>
  <w:abstractNum w:abstractNumId="29">
    <w:nsid w:val="78B5E776"/>
    <w:multiLevelType w:val="hybridMultilevel"/>
    <w:lvl w:ilvl="0">
      <w:lvlJc w:val="left"/>
      <w:lvlText w:val="(%1)"/>
      <w:numFmt w:val="lowerLetter"/>
      <w:start w:val="9"/>
    </w:lvl>
  </w:abstractNum>
  <w:abstractNum w:abstractNumId="30">
    <w:nsid w:val="75486E47"/>
    <w:multiLevelType w:val="hybridMultilevel"/>
    <w:lvl w:ilvl="0">
      <w:lvlJc w:val="left"/>
      <w:lvlText w:val="(%1)"/>
      <w:numFmt w:val="lowerLetter"/>
      <w:start w:val="1"/>
    </w:lvl>
  </w:abstractNum>
  <w:abstractNum w:abstractNumId="31">
    <w:nsid w:val="6E534CDE"/>
    <w:multiLevelType w:val="hybridMultilevel"/>
    <w:lvl w:ilvl="0">
      <w:lvlJc w:val="left"/>
      <w:lvlText w:val="(%1)"/>
      <w:numFmt w:val="lowerLetter"/>
      <w:start w:val="1"/>
    </w:lvl>
  </w:abstractNum>
  <w:abstractNum w:abstractNumId="32">
    <w:nsid w:val="1A0DDE32"/>
    <w:multiLevelType w:val="hybridMultilevel"/>
    <w:lvl w:ilvl="0">
      <w:lvlJc w:val="left"/>
      <w:lvlText w:val="A"/>
      <w:numFmt w:val="bullet"/>
      <w:start w:val="1"/>
    </w:lvl>
  </w:abstractNum>
  <w:abstractNum w:abstractNumId="33">
    <w:nsid w:val="65968C1C"/>
    <w:multiLevelType w:val="hybridMultilevel"/>
    <w:lvl w:ilvl="0">
      <w:lvlJc w:val="left"/>
      <w:lvlText w:val="B"/>
      <w:numFmt w:val="bullet"/>
      <w:start w:val="1"/>
    </w:lvl>
  </w:abstractNum>
  <w:abstractNum w:abstractNumId="34">
    <w:nsid w:val="46263DEC"/>
    <w:multiLevelType w:val="hybridMultilevel"/>
    <w:lvl w:ilvl="0">
      <w:lvlJc w:val="left"/>
      <w:lvlText w:val="C"/>
      <w:numFmt w:val="bullet"/>
      <w:start w:val="1"/>
    </w:lvl>
  </w:abstractNum>
  <w:abstractNum w:abstractNumId="35">
    <w:nsid w:val="260D8C4A"/>
    <w:multiLevelType w:val="hybridMultilevel"/>
    <w:lvl w:ilvl="0">
      <w:lvlJc w:val="left"/>
      <w:lvlText w:val="D"/>
      <w:numFmt w:val="bullet"/>
      <w:start w:val="1"/>
    </w:lvl>
  </w:abstractNum>
  <w:abstractNum w:abstractNumId="36">
    <w:nsid w:val="73D4D3C4"/>
    <w:multiLevelType w:val="hybridMultilevel"/>
    <w:lvl w:ilvl="0">
      <w:lvlJc w:val="left"/>
      <w:lvlText w:val="E"/>
      <w:numFmt w:val="bullet"/>
      <w:start w:val="1"/>
    </w:lvl>
  </w:abstractNum>
  <w:abstractNum w:abstractNumId="37">
    <w:nsid w:val="746F2E30"/>
    <w:multiLevelType w:val="hybridMultilevel"/>
    <w:lvl w:ilvl="0">
      <w:lvlJc w:val="left"/>
      <w:lvlText w:val="\ldblquote"/>
      <w:numFmt w:val="bullet"/>
      <w:start w:val="1"/>
    </w:lvl>
  </w:abstractNum>
  <w:abstractNum w:abstractNumId="38">
    <w:nsid w:val="6FDE8AF6"/>
    <w:multiLevelType w:val="hybridMultilevel"/>
    <w:lvl w:ilvl="0">
      <w:lvlJc w:val="left"/>
      <w:lvlText w:val="\ldblquote"/>
      <w:numFmt w:val="bullet"/>
      <w:start w:val="1"/>
    </w:lvl>
  </w:abstractNum>
  <w:abstractNum w:abstractNumId="39">
    <w:nsid w:val="3FC32E20"/>
    <w:multiLevelType w:val="hybridMultilevel"/>
    <w:lvl w:ilvl="0">
      <w:lvlJc w:val="left"/>
      <w:lvlText w:val="\ldblquote"/>
      <w:numFmt w:val="bullet"/>
      <w:start w:val="1"/>
    </w:lvl>
  </w:abstractNum>
  <w:abstractNum w:abstractNumId="40">
    <w:nsid w:val="49C0E823"/>
    <w:multiLevelType w:val="hybridMultilevel"/>
    <w:lvl w:ilvl="0">
      <w:lvlJc w:val="left"/>
      <w:lvlText w:val="\ldblquote"/>
      <w:numFmt w:val="bullet"/>
      <w:start w:val="1"/>
    </w:lvl>
  </w:abstractNum>
  <w:abstractNum w:abstractNumId="41">
    <w:nsid w:val="14D53685"/>
    <w:multiLevelType w:val="hybridMultilevel"/>
    <w:lvl w:ilvl="0">
      <w:lvlJc w:val="left"/>
      <w:lvlText w:val="%1"/>
      <w:numFmt w:val="upperLetter"/>
      <w:start w:val="1"/>
    </w:lvl>
    <w:lvl w:ilvl="1">
      <w:lvlJc w:val="left"/>
      <w:lvlText w:val="(%2)"/>
      <w:numFmt w:val="lowerLetter"/>
      <w:start w:val="1"/>
    </w:lvl>
  </w:abstractNum>
  <w:abstractNum w:abstractNumId="42">
    <w:nsid w:val="230F856C"/>
    <w:multiLevelType w:val="hybridMultilevel"/>
    <w:lvl w:ilvl="0">
      <w:lvlJc w:val="left"/>
      <w:lvlText w:val="(%1)"/>
      <w:numFmt w:val="upperLetter"/>
      <w:start w:val="1"/>
    </w:lvl>
    <w:lvl w:ilvl="1">
      <w:lvlJc w:val="left"/>
      <w:lvlText w:val="%2"/>
      <w:numFmt w:val="lowerLetter"/>
      <w:start w:val="1"/>
    </w:lvl>
  </w:abstractNum>
  <w:abstractNum w:abstractNumId="43">
    <w:nsid w:val="6EAA85FB"/>
    <w:multiLevelType w:val="hybridMultilevel"/>
    <w:lvl w:ilvl="0">
      <w:lvlJc w:val="left"/>
      <w:lvlText w:val="\ldblquote"/>
      <w:numFmt w:val="bullet"/>
      <w:start w:val="1"/>
    </w:lvl>
  </w:abstractNum>
  <w:abstractNum w:abstractNumId="44">
    <w:nsid w:val="3F06ECB2"/>
    <w:multiLevelType w:val="hybridMultilevel"/>
    <w:lvl w:ilvl="0">
      <w:lvlJc w:val="left"/>
      <w:lvlText w:val="\ldblquote"/>
      <w:numFmt w:val="bullet"/>
      <w:start w:val="1"/>
    </w:lvl>
  </w:abstractNum>
  <w:abstractNum w:abstractNumId="45">
    <w:nsid w:val="3B594807"/>
    <w:multiLevelType w:val="hybridMultilevel"/>
    <w:lvl w:ilvl="0">
      <w:lvlJc w:val="left"/>
      <w:lvlText w:val="\ldblquote"/>
      <w:numFmt w:val="bullet"/>
      <w:start w:val="1"/>
    </w:lvl>
  </w:abstractNum>
  <w:abstractNum w:abstractNumId="46">
    <w:nsid w:val="6CAA2304"/>
    <w:multiLevelType w:val="hybridMultilevel"/>
    <w:lvl w:ilvl="0">
      <w:lvlJc w:val="left"/>
      <w:lvlText w:val="\ldblquote"/>
      <w:numFmt w:val="bullet"/>
      <w:start w:val="1"/>
    </w:lvl>
  </w:abstractNum>
  <w:abstractNum w:abstractNumId="47">
    <w:nsid w:val="3F7C2FF4"/>
    <w:multiLevelType w:val="hybridMultilevel"/>
    <w:lvl w:ilvl="0">
      <w:lvlJc w:val="left"/>
      <w:lvlText w:val="\ldblquote"/>
      <w:numFmt w:val="bullet"/>
      <w:start w:val="1"/>
    </w:lvl>
  </w:abstractNum>
  <w:abstractNum w:abstractNumId="48">
    <w:nsid w:val="25413BEC"/>
    <w:multiLevelType w:val="hybridMultilevel"/>
    <w:lvl w:ilvl="0">
      <w:lvlJc w:val="left"/>
      <w:lvlText w:val="\ldblquote"/>
      <w:numFmt w:val="bullet"/>
      <w:start w:val="1"/>
    </w:lvl>
  </w:abstractNum>
  <w:abstractNum w:abstractNumId="49">
    <w:nsid w:val="17180B0B"/>
    <w:multiLevelType w:val="hybridMultilevel"/>
    <w:lvl w:ilvl="0">
      <w:lvlJc w:val="left"/>
      <w:lvlText w:val="\ldblquote"/>
      <w:numFmt w:val="bullet"/>
      <w:start w:val="1"/>
    </w:lvl>
  </w:abstractNum>
  <w:abstractNum w:abstractNumId="50">
    <w:nsid w:val="579328B9"/>
    <w:multiLevelType w:val="hybridMultilevel"/>
    <w:lvl w:ilvl="0">
      <w:lvlJc w:val="left"/>
      <w:lvlText w:val="\ldblquote"/>
      <w:numFmt w:val="bullet"/>
      <w:start w:val="1"/>
    </w:lvl>
  </w:abstractNum>
  <w:abstractNum w:abstractNumId="51">
    <w:nsid w:val="5D205E20"/>
    <w:multiLevelType w:val="hybridMultilevel"/>
    <w:lvl w:ilvl="0">
      <w:lvlJc w:val="left"/>
      <w:lvlText w:val="(%1)"/>
      <w:numFmt w:val="lowerLetter"/>
      <w:start w:val="2"/>
    </w:lvl>
    <w:lvl w:ilvl="1">
      <w:lvlJc w:val="left"/>
      <w:lvlText w:val="\ldblquote"/>
      <w:numFmt w:val="bullet"/>
      <w:start w:val="1"/>
    </w:lvl>
  </w:abstractNum>
  <w:abstractNum w:abstractNumId="52">
    <w:nsid w:val="11CCA8BA"/>
    <w:multiLevelType w:val="hybridMultilevel"/>
    <w:lvl w:ilvl="0">
      <w:lvlJc w:val="left"/>
      <w:lvlText w:val="(%1)"/>
      <w:numFmt w:val="lowerRoman"/>
      <w:start w:val="1"/>
    </w:lvl>
  </w:abstractNum>
  <w:abstractNum w:abstractNumId="53">
    <w:nsid w:val="4D32AB86"/>
    <w:multiLevelType w:val="hybridMultilevel"/>
    <w:lvl w:ilvl="0">
      <w:lvlJc w:val="left"/>
      <w:lvlText w:val="(%1)"/>
      <w:numFmt w:val="lowerRoman"/>
      <w:start w:val="2"/>
    </w:lvl>
  </w:abstractNum>
  <w:abstractNum w:abstractNumId="54">
    <w:nsid w:val="3F07ACC3"/>
    <w:multiLevelType w:val="hybridMultilevel"/>
    <w:lvl w:ilvl="0">
      <w:lvlJc w:val="left"/>
      <w:lvlText w:val="(%1)"/>
      <w:numFmt w:val="lowerLetter"/>
      <w:start w:val="25"/>
    </w:lvl>
  </w:abstractNum>
  <w:abstractNum w:abstractNumId="55">
    <w:nsid w:val="6B47F63E"/>
    <w:multiLevelType w:val="hybridMultilevel"/>
    <w:lvl w:ilvl="0">
      <w:lvlJc w:val="left"/>
      <w:lvlText w:val="(%1)"/>
      <w:numFmt w:val="lowerRoman"/>
      <w:start w:val="1"/>
    </w:lvl>
  </w:abstractNum>
  <w:abstractNum w:abstractNumId="56">
    <w:nsid w:val="5CB44A05"/>
    <w:multiLevelType w:val="hybridMultilevel"/>
    <w:lvl w:ilvl="0">
      <w:lvlJc w:val="left"/>
      <w:lvlText w:val="(%1)"/>
      <w:numFmt w:val="lowerRoman"/>
      <w:start w:val="3"/>
    </w:lvl>
  </w:abstractNum>
  <w:abstractNum w:abstractNumId="57">
    <w:nsid w:val="16CF80F1"/>
    <w:multiLevelType w:val="hybridMultilevel"/>
    <w:lvl w:ilvl="0">
      <w:lvlJc w:val="left"/>
      <w:lvlText w:val="(%1)"/>
      <w:numFmt w:val="lowerRoman"/>
      <w:start w:val="4"/>
    </w:lvl>
  </w:abstractNum>
  <w:abstractNum w:abstractNumId="58">
    <w:nsid w:val="1C695DEC"/>
    <w:multiLevelType w:val="hybridMultilevel"/>
    <w:lvl w:ilvl="0">
      <w:lvlJc w:val="left"/>
      <w:lvlText w:val="(%1)"/>
      <w:numFmt w:val="lowerRoman"/>
      <w:start w:val="7"/>
    </w:lvl>
  </w:abstractNum>
  <w:abstractNum w:abstractNumId="59">
    <w:nsid w:val="3FCFAED9"/>
    <w:multiLevelType w:val="hybridMultilevel"/>
    <w:lvl w:ilvl="0">
      <w:lvlJc w:val="left"/>
      <w:lvlText w:val="%1"/>
      <w:numFmt w:val="lowerRoman"/>
      <w:start w:val="1"/>
    </w:lvl>
    <w:lvl w:ilvl="1">
      <w:lvlJc w:val="left"/>
      <w:lvlText w:val="(%2)"/>
      <w:numFmt w:val="lowerRoman"/>
      <w:start w:val="1"/>
    </w:lvl>
  </w:abstractNum>
  <w:abstractNum w:abstractNumId="60">
    <w:nsid w:val="F856867"/>
    <w:multiLevelType w:val="hybridMultilevel"/>
    <w:lvl w:ilvl="0">
      <w:lvlJc w:val="left"/>
      <w:lvlText w:val="(%1)"/>
      <w:numFmt w:val="lowerRoman"/>
      <w:start w:val="6"/>
    </w:lvl>
    <w:lvl w:ilvl="1">
      <w:lvlJc w:val="left"/>
      <w:lvlText w:val="(%2)"/>
      <w:numFmt w:val="lowerRoman"/>
      <w:start w:val="5"/>
    </w:lvl>
  </w:abstractNum>
  <w:abstractNum w:abstractNumId="61">
    <w:nsid w:val="11B1CC33"/>
    <w:multiLevelType w:val="hybridMultilevel"/>
    <w:lvl w:ilvl="0">
      <w:lvlJc w:val="left"/>
      <w:lvlText w:val="%1"/>
      <w:numFmt w:val="upperLetter"/>
      <w:start w:val="1"/>
    </w:lvl>
    <w:lvl w:ilvl="1">
      <w:lvlJc w:val="left"/>
      <w:lvlText w:val="(%2)"/>
      <w:numFmt w:val="lowerRoman"/>
      <w:start w:val="7"/>
    </w:lvl>
  </w:abstractNum>
  <w:abstractNum w:abstractNumId="62">
    <w:nsid w:val="2E22FBB7"/>
    <w:multiLevelType w:val="hybridMultilevel"/>
    <w:lvl w:ilvl="0">
      <w:lvlJc w:val="left"/>
      <w:lvlText w:val="(%1)"/>
      <w:numFmt w:val="upperLetter"/>
      <w:start w:val="3"/>
    </w:lvl>
    <w:lvl w:ilvl="1">
      <w:lvlJc w:val="left"/>
      <w:lvlText w:val="(%2)"/>
      <w:numFmt w:val="lowerRoman"/>
      <w:start w:val="9"/>
    </w:lvl>
  </w:abstractNum>
  <w:abstractNum w:abstractNumId="63">
    <w:nsid w:val="29934699"/>
    <w:multiLevelType w:val="hybridMultilevel"/>
    <w:lvl w:ilvl="0">
      <w:lvlJc w:val="left"/>
      <w:lvlText w:val="(%1)"/>
      <w:numFmt w:val="lowerRoman"/>
      <w:start w:val="13"/>
    </w:lvl>
  </w:abstractNum>
  <w:abstractNum w:abstractNumId="64">
    <w:nsid w:val="77485850"/>
    <w:multiLevelType w:val="hybridMultilevel"/>
    <w:lvl w:ilvl="0">
      <w:lvlJc w:val="left"/>
      <w:lvlText w:val="(%1)"/>
      <w:numFmt w:val="lowerLetter"/>
      <w:start w:val="1"/>
    </w:lvl>
  </w:abstractNum>
  <w:abstractNum w:abstractNumId="65">
    <w:nsid w:val="744939A3"/>
    <w:multiLevelType w:val="hybridMultilevel"/>
    <w:lvl w:ilvl="0">
      <w:lvlJc w:val="left"/>
      <w:lvlText w:val="\ldblquote"/>
      <w:numFmt w:val="bullet"/>
      <w:start w:val="1"/>
    </w:lvl>
  </w:abstractNum>
  <w:abstractNum w:abstractNumId="66">
    <w:nsid w:val="4FA0D2E3"/>
    <w:multiLevelType w:val="hybridMultilevel"/>
    <w:lvl w:ilvl="0">
      <w:lvlJc w:val="left"/>
      <w:lvlText w:val="\ldblquote"/>
      <w:numFmt w:val="bullet"/>
      <w:start w:val="1"/>
    </w:lvl>
  </w:abstractNum>
  <w:abstractNum w:abstractNumId="67">
    <w:nsid w:val="6B1D2C14"/>
    <w:multiLevelType w:val="hybridMultilevel"/>
    <w:lvl w:ilvl="0">
      <w:lvlJc w:val="left"/>
      <w:lvlText w:val="(%1)"/>
      <w:numFmt w:val="lowerLetter"/>
      <w:start w:val="1"/>
    </w:lvl>
  </w:abstractNum>
  <w:abstractNum w:abstractNumId="68">
    <w:nsid w:val="68B867D3"/>
    <w:multiLevelType w:val="hybridMultilevel"/>
    <w:lvl w:ilvl="0">
      <w:lvlJc w:val="left"/>
      <w:lvlText w:val="(%1)"/>
      <w:numFmt w:val="lowerLetter"/>
      <w:start w:val="6"/>
    </w:lvl>
  </w:abstractNum>
  <w:abstractNum w:abstractNumId="69">
    <w:nsid w:val="3F7F5DD9"/>
    <w:multiLevelType w:val="hybridMultilevel"/>
    <w:lvl w:ilvl="0">
      <w:lvlJc w:val="left"/>
      <w:lvlText w:val="\ldblquote"/>
      <w:numFmt w:val="bullet"/>
      <w:start w:val="1"/>
    </w:lvl>
  </w:abstractNum>
  <w:abstractNum w:abstractNumId="70">
    <w:nsid w:val="2AE05A34"/>
    <w:multiLevelType w:val="hybridMultilevel"/>
    <w:lvl w:ilvl="0">
      <w:lvlJc w:val="left"/>
      <w:lvlText w:val="\ldblquote"/>
      <w:numFmt w:val="bullet"/>
      <w:start w:val="1"/>
    </w:lvl>
  </w:abstractNum>
  <w:abstractNum w:abstractNumId="71">
    <w:nsid w:val="32794FF7"/>
    <w:multiLevelType w:val="hybridMultilevel"/>
    <w:lvl w:ilvl="0">
      <w:lvlJc w:val="left"/>
      <w:lvlText w:val="(%1)"/>
      <w:numFmt w:val="lowerLetter"/>
      <w:start w:val="25"/>
    </w:lvl>
  </w:abstractNum>
  <w:abstractNum w:abstractNumId="72">
    <w:nsid w:val="5454945E"/>
    <w:multiLevelType w:val="hybridMultilevel"/>
    <w:lvl w:ilvl="0">
      <w:lvlJc w:val="left"/>
      <w:lvlText w:val="(%1)"/>
      <w:numFmt w:val="upperLetter"/>
      <w:start w:val="2"/>
    </w:lvl>
  </w:abstractNum>
  <w:abstractNum w:abstractNumId="73">
    <w:nsid w:val="4DEFDFA0"/>
    <w:multiLevelType w:val="hybridMultilevel"/>
    <w:lvl w:ilvl="0">
      <w:lvlJc w:val="left"/>
      <w:lvlText w:val="(%1)"/>
      <w:numFmt w:val="upperLetter"/>
      <w:start w:val="1"/>
    </w:lvl>
  </w:abstractNum>
  <w:abstractNum w:abstractNumId="74">
    <w:nsid w:val="2123D5F2"/>
    <w:multiLevelType w:val="hybridMultilevel"/>
    <w:lvl w:ilvl="0">
      <w:lvlJc w:val="left"/>
      <w:lvlText w:val="(%1)"/>
      <w:numFmt w:val="lowerRoman"/>
      <w:start w:val="10"/>
    </w:lvl>
  </w:abstractNum>
  <w:abstractNum w:abstractNumId="75">
    <w:nsid w:val="135B8110"/>
    <w:multiLevelType w:val="hybridMultilevel"/>
    <w:lvl w:ilvl="0">
      <w:lvlJc w:val="left"/>
      <w:lvlText w:val="(%1)"/>
      <w:numFmt w:val="lowerRoman"/>
      <w:start w:val="3"/>
    </w:lvl>
  </w:abstractNum>
  <w:abstractNum w:abstractNumId="76">
    <w:nsid w:val="94927A8"/>
    <w:multiLevelType w:val="hybridMultilevel"/>
    <w:lvl w:ilvl="0">
      <w:lvlJc w:val="left"/>
      <w:lvlText w:val="\ldblquote"/>
      <w:numFmt w:val="bullet"/>
      <w:start w:val="1"/>
    </w:lvl>
  </w:abstractNum>
  <w:abstractNum w:abstractNumId="77">
    <w:nsid w:val="DCDF8F6"/>
    <w:multiLevelType w:val="hybridMultilevel"/>
    <w:lvl w:ilvl="0">
      <w:lvlJc w:val="left"/>
      <w:lvlText w:val="\ldblquote"/>
      <w:numFmt w:val="bullet"/>
      <w:start w:val="1"/>
    </w:lvl>
  </w:abstractNum>
  <w:abstractNum w:abstractNumId="78">
    <w:nsid w:val="52D7B105"/>
    <w:multiLevelType w:val="hybridMultilevel"/>
    <w:lvl w:ilvl="0">
      <w:lvlJc w:val="left"/>
      <w:lvlText w:val="\ldblquote"/>
      <w:numFmt w:val="bullet"/>
      <w:start w:val="1"/>
    </w:lvl>
  </w:abstractNum>
  <w:abstractNum w:abstractNumId="79">
    <w:nsid w:val="2E8A6394"/>
    <w:multiLevelType w:val="hybridMultilevel"/>
    <w:lvl w:ilvl="0">
      <w:lvlJc w:val="left"/>
      <w:lvlText w:val="(%1)"/>
      <w:numFmt w:val="lowerRoman"/>
      <w:start w:val="2"/>
    </w:lvl>
  </w:abstractNum>
  <w:abstractNum w:abstractNumId="80">
    <w:nsid w:val="24E60401"/>
    <w:multiLevelType w:val="hybridMultilevel"/>
    <w:lvl w:ilvl="0">
      <w:lvlJc w:val="left"/>
      <w:lvlText w:val="(%1)"/>
      <w:numFmt w:val="upperLetter"/>
      <w:start w:val="6"/>
    </w:lvl>
  </w:abstractNum>
  <w:abstractNum w:abstractNumId="81">
    <w:nsid w:val="2A6AD9BE"/>
    <w:multiLevelType w:val="hybridMultilevel"/>
    <w:lvl w:ilvl="0">
      <w:lvlJc w:val="left"/>
      <w:lvlText w:val="\ldblquote"/>
      <w:numFmt w:val="bullet"/>
      <w:start w:val="1"/>
    </w:lvl>
  </w:abstractNum>
  <w:abstractNum w:abstractNumId="82">
    <w:nsid w:val="BAAC1B4"/>
    <w:multiLevelType w:val="hybridMultilevel"/>
    <w:lvl w:ilvl="0">
      <w:lvlJc w:val="left"/>
      <w:lvlText w:val="\ldblquote"/>
      <w:numFmt w:val="bullet"/>
      <w:start w:val="1"/>
    </w:lvl>
  </w:abstractNum>
  <w:abstractNum w:abstractNumId="83">
    <w:nsid w:val="36B2ACBC"/>
    <w:multiLevelType w:val="hybridMultilevel"/>
    <w:lvl w:ilvl="0">
      <w:lvlJc w:val="left"/>
      <w:lvlText w:val="(%1)"/>
      <w:numFmt w:val="lowerRoman"/>
      <w:start w:val="10"/>
    </w:lvl>
  </w:abstractNum>
  <w:abstractNum w:abstractNumId="84">
    <w:nsid w:val="779D8544"/>
    <w:multiLevelType w:val="hybridMultilevel"/>
    <w:lvl w:ilvl="0">
      <w:lvlJc w:val="left"/>
      <w:lvlText w:val="\ldblquote"/>
      <w:numFmt w:val="bullet"/>
      <w:start w:val="1"/>
    </w:lvl>
  </w:abstractNum>
  <w:abstractNum w:abstractNumId="85">
    <w:nsid w:val="4AB26E78"/>
    <w:multiLevelType w:val="hybridMultilevel"/>
    <w:lvl w:ilvl="0">
      <w:lvlJc w:val="left"/>
      <w:lvlText w:val="\ldblquote"/>
      <w:numFmt w:val="bullet"/>
      <w:start w:val="1"/>
    </w:lvl>
  </w:abstractNum>
  <w:abstractNum w:abstractNumId="86">
    <w:nsid w:val="21FAA2FA"/>
    <w:multiLevelType w:val="hybridMultilevel"/>
    <w:lvl w:ilvl="0">
      <w:lvlJc w:val="left"/>
      <w:lvlText w:val="\ldblquote"/>
      <w:numFmt w:val="bullet"/>
      <w:start w:val="1"/>
    </w:lvl>
  </w:abstractNum>
  <w:abstractNum w:abstractNumId="87">
    <w:nsid w:val="5451CF49"/>
    <w:multiLevelType w:val="hybridMultilevel"/>
    <w:lvl w:ilvl="0">
      <w:lvlJc w:val="left"/>
      <w:lvlText w:val="\ldblquote"/>
      <w:numFmt w:val="bullet"/>
      <w:start w:val="1"/>
    </w:lvl>
  </w:abstractNum>
  <w:abstractNum w:abstractNumId="88">
    <w:nsid w:val="6181EF69"/>
    <w:multiLevelType w:val="hybridMultilevel"/>
    <w:lvl w:ilvl="0">
      <w:lvlJc w:val="left"/>
      <w:lvlText w:val="\ldblquote"/>
      <w:numFmt w:val="bullet"/>
      <w:start w:val="1"/>
    </w:lvl>
  </w:abstractNum>
  <w:abstractNum w:abstractNumId="89">
    <w:nsid w:val="3E6400E6"/>
    <w:multiLevelType w:val="hybridMultilevel"/>
    <w:lvl w:ilvl="0">
      <w:lvlJc w:val="left"/>
      <w:lvlText w:val="(%1)"/>
      <w:numFmt w:val="lowerRoman"/>
      <w:start w:val="3"/>
    </w:lvl>
  </w:abstractNum>
  <w:abstractNum w:abstractNumId="90">
    <w:nsid w:val="14217E23"/>
    <w:multiLevelType w:val="hybridMultilevel"/>
    <w:lvl w:ilvl="0">
      <w:lvlJc w:val="left"/>
      <w:lvlText w:val="(%1)"/>
      <w:numFmt w:val="lowerRoman"/>
      <w:start w:val="7"/>
    </w:lvl>
  </w:abstractNum>
  <w:abstractNum w:abstractNumId="91">
    <w:nsid w:val="710757D0"/>
    <w:multiLevelType w:val="hybridMultilevel"/>
    <w:lvl w:ilvl="0">
      <w:lvlJc w:val="left"/>
      <w:lvlText w:val="(%1)"/>
      <w:numFmt w:val="upperLetter"/>
      <w:start w:val="35"/>
    </w:lvl>
  </w:abstractNum>
  <w:abstractNum w:abstractNumId="92">
    <w:nsid w:val="5015CD1A"/>
    <w:multiLevelType w:val="hybridMultilevel"/>
    <w:lvl w:ilvl="0">
      <w:lvlJc w:val="left"/>
      <w:lvlText w:val="(%1)"/>
      <w:numFmt w:val="upperLetter"/>
      <w:start w:val="1"/>
    </w:lvl>
  </w:abstractNum>
  <w:abstractNum w:abstractNumId="93">
    <w:nsid w:val="424479DA"/>
    <w:multiLevelType w:val="hybridMultilevel"/>
    <w:lvl w:ilvl="0">
      <w:lvlJc w:val="left"/>
      <w:lvlText w:val="\ldblquote"/>
      <w:numFmt w:val="bullet"/>
      <w:start w:val="1"/>
    </w:lvl>
  </w:abstractNum>
  <w:abstractNum w:abstractNumId="94">
    <w:nsid w:val="1A9A9E69"/>
    <w:multiLevelType w:val="hybridMultilevel"/>
    <w:lvl w:ilvl="0">
      <w:lvlJc w:val="left"/>
      <w:lvlText w:val="\ldblquote"/>
      <w:numFmt w:val="bullet"/>
      <w:start w:val="1"/>
    </w:lvl>
  </w:abstractNum>
  <w:abstractNum w:abstractNumId="95">
    <w:nsid w:val="475E256A"/>
    <w:multiLevelType w:val="hybridMultilevel"/>
    <w:lvl w:ilvl="0">
      <w:lvlJc w:val="left"/>
      <w:lvlText w:val="\ldblquote"/>
      <w:numFmt w:val="bullet"/>
      <w:start w:val="1"/>
    </w:lvl>
  </w:abstractNum>
  <w:abstractNum w:abstractNumId="96">
    <w:nsid w:val="368DB37E"/>
    <w:multiLevelType w:val="hybridMultilevel"/>
    <w:lvl w:ilvl="0">
      <w:lvlJc w:val="left"/>
      <w:lvlText w:val="(%1)"/>
      <w:numFmt w:val="lowerLetter"/>
      <w:start w:val="1"/>
    </w:lvl>
  </w:abstractNum>
  <w:abstractNum w:abstractNumId="97">
    <w:nsid w:val="6A3B714C"/>
    <w:multiLevelType w:val="hybridMultilevel"/>
    <w:lvl w:ilvl="0">
      <w:lvlJc w:val="left"/>
      <w:lvlText w:val="\ldblquote"/>
      <w:numFmt w:val="bullet"/>
      <w:start w:val="1"/>
    </w:lvl>
  </w:abstractNum>
  <w:abstractNum w:abstractNumId="98">
    <w:nsid w:val="327B517E"/>
    <w:multiLevelType w:val="hybridMultilevel"/>
    <w:lvl w:ilvl="0">
      <w:lvlJc w:val="left"/>
      <w:lvlText w:val="\ldblquote"/>
      <w:numFmt w:val="bullet"/>
      <w:start w:val="1"/>
    </w:lvl>
  </w:abstractNum>
  <w:abstractNum w:abstractNumId="99">
    <w:nsid w:val="1F461B51"/>
    <w:multiLevelType w:val="hybridMultilevel"/>
    <w:lvl w:ilvl="0">
      <w:lvlJc w:val="left"/>
      <w:lvlText w:val="(%1)"/>
      <w:numFmt w:val="lowerLetter"/>
      <w:start w:val="4"/>
    </w:lvl>
    <w:lvl w:ilvl="1">
      <w:lvlJc w:val="left"/>
      <w:lvlText w:val="\ldblquote"/>
      <w:numFmt w:val="bullet"/>
      <w:start w:val="1"/>
    </w:lvl>
  </w:abstractNum>
  <w:abstractNum w:abstractNumId="100">
    <w:nsid w:val="29BACF25"/>
    <w:multiLevelType w:val="hybridMultilevel"/>
    <w:lvl w:ilvl="0">
      <w:lvlJc w:val="left"/>
      <w:lvlText w:val="(%1)"/>
      <w:numFmt w:val="lowerLetter"/>
      <w:start w:val="25"/>
    </w:lvl>
  </w:abstractNum>
  <w:abstractNum w:abstractNumId="101">
    <w:nsid w:val="5D5BABB3"/>
    <w:multiLevelType w:val="hybridMultilevel"/>
    <w:lvl w:ilvl="0">
      <w:lvlJc w:val="left"/>
      <w:lvlText w:val="\ldblquote"/>
      <w:numFmt w:val="bullet"/>
      <w:start w:val="1"/>
    </w:lvl>
  </w:abstractNum>
  <w:abstractNum w:abstractNumId="102">
    <w:nsid w:val="51BF6B48"/>
    <w:multiLevelType w:val="hybridMultilevel"/>
    <w:lvl w:ilvl="0">
      <w:lvlJc w:val="left"/>
      <w:lvlText w:val="(%1)"/>
      <w:numFmt w:val="lowerRoman"/>
      <w:start w:val="3"/>
    </w:lvl>
    <w:lvl w:ilvl="1">
      <w:lvlJc w:val="left"/>
      <w:lvlText w:val="\ldblquote"/>
      <w:numFmt w:val="bullet"/>
      <w:start w:val="1"/>
    </w:lvl>
  </w:abstractNum>
  <w:abstractNum w:abstractNumId="103">
    <w:nsid w:val="7E0F6384"/>
    <w:multiLevelType w:val="hybridMultilevel"/>
    <w:lvl w:ilvl="0">
      <w:lvlJc w:val="left"/>
      <w:lvlText w:val="\ldblquote"/>
      <w:numFmt w:val="bullet"/>
      <w:start w:val="1"/>
    </w:lvl>
  </w:abstractNum>
  <w:abstractNum w:abstractNumId="104">
    <w:nsid w:val="2B4B8B53"/>
    <w:multiLevelType w:val="hybridMultilevel"/>
    <w:lvl w:ilvl="0">
      <w:lvlJc w:val="left"/>
      <w:lvlText w:val="\ldblquote"/>
      <w:numFmt w:val="bullet"/>
      <w:start w:val="1"/>
    </w:lvl>
  </w:abstractNum>
  <w:abstractNum w:abstractNumId="105">
    <w:nsid w:val="72E3413A"/>
    <w:multiLevelType w:val="hybridMultilevel"/>
    <w:lvl w:ilvl="0">
      <w:lvlJc w:val="left"/>
      <w:lvlText w:val="\ldblquote"/>
      <w:numFmt w:val="bullet"/>
      <w:start w:val="1"/>
    </w:lvl>
  </w:abstractNum>
  <w:abstractNum w:abstractNumId="106">
    <w:nsid w:val="116AE494"/>
    <w:multiLevelType w:val="hybridMultilevel"/>
    <w:lvl w:ilvl="0">
      <w:lvlJc w:val="left"/>
      <w:lvlText w:val="\ldblquote"/>
      <w:numFmt w:val="bullet"/>
      <w:start w:val="1"/>
    </w:lvl>
  </w:abstractNum>
  <w:abstractNum w:abstractNumId="107">
    <w:nsid w:val="3494B2FB"/>
    <w:multiLevelType w:val="hybridMultilevel"/>
    <w:lvl w:ilvl="0">
      <w:lvlJc w:val="left"/>
      <w:lvlText w:val="\ldblquote"/>
      <w:numFmt w:val="bullet"/>
      <w:start w:val="1"/>
    </w:lvl>
  </w:abstractNum>
  <w:abstractNum w:abstractNumId="108">
    <w:nsid w:val="B13A31"/>
    <w:multiLevelType w:val="hybridMultilevel"/>
    <w:lvl w:ilvl="0">
      <w:lvlJc w:val="left"/>
      <w:lvlText w:val="\ldblquote"/>
      <w:numFmt w:val="bullet"/>
      <w:start w:val="1"/>
    </w:lvl>
  </w:abstractNum>
  <w:abstractNum w:abstractNumId="109">
    <w:nsid w:val="64429599"/>
    <w:multiLevelType w:val="hybridMultilevel"/>
    <w:lvl w:ilvl="0">
      <w:lvlJc w:val="left"/>
      <w:lvlText w:val="\ldblquote"/>
      <w:numFmt w:val="bullet"/>
      <w:start w:val="1"/>
    </w:lvl>
  </w:abstractNum>
  <w:abstractNum w:abstractNumId="110">
    <w:nsid w:val="631F1690"/>
    <w:multiLevelType w:val="hybridMultilevel"/>
    <w:lvl w:ilvl="0">
      <w:lvlJc w:val="left"/>
      <w:lvlText w:val="(%1)"/>
      <w:numFmt w:val="lowerLetter"/>
      <w:start w:val="3"/>
    </w:lvl>
  </w:abstractNum>
  <w:abstractNum w:abstractNumId="111">
    <w:nsid w:val="25973E32"/>
    <w:multiLevelType w:val="hybridMultilevel"/>
    <w:lvl w:ilvl="0">
      <w:lvlJc w:val="left"/>
      <w:lvlText w:val="\ldblquote"/>
      <w:numFmt w:val="bullet"/>
      <w:start w:val="1"/>
    </w:lvl>
  </w:abstractNum>
  <w:abstractNum w:abstractNumId="112">
    <w:nsid w:val="EAD6F57"/>
    <w:multiLevelType w:val="hybridMultilevel"/>
    <w:lvl w:ilvl="0">
      <w:lvlJc w:val="left"/>
      <w:lvlText w:val="\ldblquote"/>
      <w:numFmt w:val="bullet"/>
      <w:start w:val="1"/>
    </w:lvl>
  </w:abstractNum>
  <w:abstractNum w:abstractNumId="113">
    <w:nsid w:val="6EC9D844"/>
    <w:multiLevelType w:val="hybridMultilevel"/>
    <w:lvl w:ilvl="0">
      <w:lvlJc w:val="left"/>
      <w:lvlText w:val="\ldblquote"/>
      <w:numFmt w:val="bullet"/>
      <w:start w:val="1"/>
    </w:lvl>
  </w:abstractNum>
  <w:abstractNum w:abstractNumId="114">
    <w:nsid w:val="5C49EAEE"/>
    <w:multiLevelType w:val="hybridMultilevel"/>
    <w:lvl w:ilvl="0">
      <w:lvlJc w:val="left"/>
      <w:lvlText w:val="\ldblquote"/>
      <w:numFmt w:val="bullet"/>
      <w:start w:val="1"/>
    </w:lvl>
  </w:abstractNum>
  <w:abstractNum w:abstractNumId="115">
    <w:nsid w:val="64AF49B"/>
    <w:multiLevelType w:val="hybridMultilevel"/>
    <w:lvl w:ilvl="0">
      <w:lvlJc w:val="left"/>
      <w:lvlText w:val="(%1)"/>
      <w:numFmt w:val="lowerRoman"/>
      <w:start w:val="2"/>
    </w:lvl>
  </w:abstractNum>
  <w:abstractNum w:abstractNumId="116">
    <w:nsid w:val="397C46BC"/>
    <w:multiLevelType w:val="hybridMultilevel"/>
    <w:lvl w:ilvl="0">
      <w:lvlJc w:val="left"/>
      <w:lvlText w:val="\ldblquote"/>
      <w:numFmt w:val="bullet"/>
      <w:start w:val="1"/>
    </w:lvl>
  </w:abstractNum>
  <w:abstractNum w:abstractNumId="117">
    <w:nsid w:val="7E448DE9"/>
    <w:multiLevelType w:val="hybridMultilevel"/>
    <w:lvl w:ilvl="0">
      <w:lvlJc w:val="left"/>
      <w:lvlText w:val="\ldblquote"/>
      <w:numFmt w:val="bullet"/>
      <w:start w:val="1"/>
    </w:lvl>
  </w:abstractNum>
  <w:abstractNum w:abstractNumId="118">
    <w:nsid w:val="5A9CC3E5"/>
    <w:multiLevelType w:val="hybridMultilevel"/>
    <w:lvl w:ilvl="0">
      <w:lvlJc w:val="left"/>
      <w:lvlText w:val="\ldblquote"/>
      <w:numFmt w:val="bullet"/>
      <w:start w:val="1"/>
    </w:lvl>
  </w:abstractNum>
  <w:abstractNum w:abstractNumId="119">
    <w:nsid w:val="1AFE3625"/>
    <w:multiLevelType w:val="hybridMultilevel"/>
    <w:lvl w:ilvl="0">
      <w:lvlJc w:val="left"/>
      <w:lvlText w:val="\ldblquote"/>
      <w:numFmt w:val="bullet"/>
      <w:start w:val="1"/>
    </w:lvl>
  </w:abstractNum>
  <w:abstractNum w:abstractNumId="120">
    <w:nsid w:val="3CA88ECF"/>
    <w:multiLevelType w:val="hybridMultilevel"/>
    <w:lvl w:ilvl="0">
      <w:lvlJc w:val="left"/>
      <w:lvlText w:val="(%1)"/>
      <w:numFmt w:val="lowerLetter"/>
      <w:start w:val="1"/>
    </w:lvl>
  </w:abstractNum>
  <w:abstractNum w:abstractNumId="121">
    <w:nsid w:val="6EBE4208"/>
    <w:multiLevelType w:val="hybridMultilevel"/>
    <w:lvl w:ilvl="0">
      <w:lvlJc w:val="left"/>
      <w:lvlText w:val="%1"/>
      <w:numFmt w:val="lowerLetter"/>
      <w:start w:val="1"/>
    </w:lvl>
    <w:lvl w:ilvl="1">
      <w:lvlJc w:val="left"/>
      <w:lvlText w:val="(%2)"/>
      <w:numFmt w:val="lowerLetter"/>
      <w:start w:val="2"/>
    </w:lvl>
  </w:abstractNum>
  <w:abstractNum w:abstractNumId="122">
    <w:nsid w:val="C058DF5"/>
    <w:multiLevelType w:val="hybridMultilevel"/>
    <w:lvl w:ilvl="0">
      <w:lvlJc w:val="left"/>
      <w:lvlText w:val="(%1)"/>
      <w:numFmt w:val="lowerLetter"/>
      <w:start w:val="9"/>
    </w:lvl>
    <w:lvl w:ilvl="1">
      <w:lvlJc w:val="left"/>
      <w:lvlText w:val="(%2)"/>
      <w:numFmt w:val="lowerLetter"/>
      <w:start w:val="5"/>
    </w:lvl>
  </w:abstractNum>
  <w:abstractNum w:abstractNumId="123">
    <w:nsid w:val="CBE5BE9"/>
    <w:multiLevelType w:val="hybridMultilevel"/>
    <w:lvl w:ilvl="0">
      <w:lvlJc w:val="left"/>
      <w:lvlText w:val="(%1)"/>
      <w:numFmt w:val="lowerLetter"/>
      <w:start w:val="1"/>
    </w:lvl>
  </w:abstractNum>
  <w:abstractNum w:abstractNumId="124">
    <w:nsid w:val="3102BBE2"/>
    <w:multiLevelType w:val="hybridMultilevel"/>
    <w:lvl w:ilvl="0">
      <w:lvlJc w:val="left"/>
      <w:lvlText w:val="(%1)"/>
      <w:numFmt w:val="lowerLetter"/>
      <w:start w:val="3"/>
    </w:lvl>
  </w:abstractNum>
  <w:abstractNum w:abstractNumId="125">
    <w:nsid w:val="26A02C5E"/>
    <w:multiLevelType w:val="hybridMultilevel"/>
    <w:lvl w:ilvl="0">
      <w:lvlJc w:val="left"/>
      <w:lvlText w:val="(%1)"/>
      <w:numFmt w:val="lowerLetter"/>
      <w:start w:val="4"/>
    </w:lvl>
    <w:lvl w:ilvl="1">
      <w:lvlJc w:val="left"/>
      <w:lvlText w:val="(%2)"/>
      <w:numFmt w:val="lowerLetter"/>
      <w:start w:val="9"/>
    </w:lvl>
  </w:abstractNum>
  <w:abstractNum w:abstractNumId="126">
    <w:nsid w:val="541C8153"/>
    <w:multiLevelType w:val="hybridMultilevel"/>
    <w:lvl w:ilvl="0">
      <w:lvlJc w:val="left"/>
      <w:lvlText w:val="(%1)"/>
      <w:numFmt w:val="lowerRoman"/>
      <w:start w:val="1"/>
    </w:lvl>
  </w:abstractNum>
  <w:abstractNum w:abstractNumId="127">
    <w:nsid w:val="67906F60"/>
    <w:multiLevelType w:val="hybridMultilevel"/>
    <w:lvl w:ilvl="0">
      <w:lvlJc w:val="left"/>
      <w:lvlText w:val="(%1)"/>
      <w:numFmt w:val="lowerRoman"/>
      <w:start w:val="2"/>
    </w:lvl>
  </w:abstractNum>
  <w:abstractNum w:abstractNumId="128">
    <w:nsid w:val="10DB9DAA"/>
    <w:multiLevelType w:val="hybridMultilevel"/>
    <w:lvl w:ilvl="0">
      <w:lvlJc w:val="left"/>
      <w:lvlText w:val="(%1)"/>
      <w:numFmt w:val="upperLetter"/>
      <w:start w:val="1"/>
    </w:lvl>
  </w:abstractNum>
  <w:abstractNum w:abstractNumId="129">
    <w:nsid w:val="697D2D2"/>
    <w:multiLevelType w:val="hybridMultilevel"/>
    <w:lvl w:ilvl="0">
      <w:lvlJc w:val="left"/>
      <w:lvlText w:val="(%1)"/>
      <w:numFmt w:val="lowerLetter"/>
      <w:start w:val="1"/>
    </w:lvl>
  </w:abstractNum>
  <w:abstractNum w:abstractNumId="130">
    <w:nsid w:val="6D68AB2"/>
    <w:multiLevelType w:val="hybridMultilevel"/>
    <w:lvl w:ilvl="0">
      <w:lvlJc w:val="left"/>
      <w:lvlText w:val="(%1)"/>
      <w:numFmt w:val="lowerLetter"/>
      <w:start w:val="3"/>
    </w:lvl>
  </w:abstractNum>
  <w:abstractNum w:abstractNumId="131">
    <w:nsid w:val="3A966CD0"/>
    <w:multiLevelType w:val="hybridMultilevel"/>
    <w:lvl w:ilvl="0">
      <w:lvlJc w:val="left"/>
      <w:lvlText w:val="."/>
      <w:numFmt w:val="bullet"/>
      <w:start w:val="1"/>
    </w:lvl>
    <w:lvl w:ilvl="1">
      <w:lvlJc w:val="left"/>
      <w:lvlText w:val="(%2)"/>
      <w:numFmt w:val="lowerRoman"/>
      <w:start w:val="1"/>
    </w:lvl>
  </w:abstractNum>
  <w:abstractNum w:abstractNumId="132">
    <w:nsid w:val="63F37E85"/>
    <w:multiLevelType w:val="hybridMultilevel"/>
    <w:lvl w:ilvl="0">
      <w:lvlJc w:val="left"/>
      <w:lvlText w:val="(%1)"/>
      <w:numFmt w:val="lowerLetter"/>
      <w:start w:val="2"/>
    </w:lvl>
  </w:abstractNum>
  <w:abstractNum w:abstractNumId="133">
    <w:nsid w:val="5895F5FA"/>
    <w:multiLevelType w:val="hybridMultilevel"/>
    <w:lvl w:ilvl="0">
      <w:lvlJc w:val="left"/>
      <w:lvlText w:val="%1"/>
      <w:numFmt w:val="lowerLetter"/>
      <w:start w:val="1"/>
    </w:lvl>
    <w:lvl w:ilvl="1">
      <w:lvlJc w:val="left"/>
      <w:lvlText w:val="(%2)"/>
      <w:numFmt w:val="lowerLetter"/>
      <w:start w:val="2"/>
    </w:lvl>
  </w:abstractNum>
  <w:abstractNum w:abstractNumId="134">
    <w:nsid w:val="38A5D054"/>
    <w:multiLevelType w:val="hybridMultilevel"/>
    <w:lvl w:ilvl="0">
      <w:lvlJc w:val="left"/>
      <w:lvlText w:val="(%1)"/>
      <w:numFmt w:val="lowerLetter"/>
      <w:start w:val="3"/>
    </w:lvl>
    <w:lvl w:ilvl="1">
      <w:lvlJc w:val="left"/>
      <w:lvlText w:val="%2"/>
      <w:numFmt w:val="lowerLetter"/>
      <w:start w:val="1"/>
    </w:lvl>
  </w:abstractNum>
  <w:abstractNum w:abstractNumId="135">
    <w:nsid w:val="F3F09D8"/>
    <w:multiLevelType w:val="hybridMultilevel"/>
    <w:lvl w:ilvl="0">
      <w:lvlJc w:val="left"/>
      <w:lvlText w:val="(%1)"/>
      <w:numFmt w:val="lowerLetter"/>
      <w:start w:val="2"/>
    </w:lvl>
  </w:abstractNum>
  <w:abstractNum w:abstractNumId="136">
    <w:nsid w:val="4B793735"/>
    <w:multiLevelType w:val="hybridMultilevel"/>
    <w:lvl w:ilvl="0">
      <w:lvlJc w:val="left"/>
      <w:lvlText w:val="(%1)"/>
      <w:numFmt w:val="lowerLetter"/>
      <w:start w:val="4"/>
    </w:lvl>
  </w:abstractNum>
  <w:abstractNum w:abstractNumId="137">
    <w:nsid w:val="4A10B4E8"/>
    <w:multiLevelType w:val="hybridMultilevel"/>
    <w:lvl w:ilvl="0">
      <w:lvlJc w:val="left"/>
      <w:lvlText w:val="(%1)"/>
      <w:numFmt w:val="lowerLetter"/>
      <w:start w:val="1"/>
    </w:lvl>
  </w:abstractNum>
  <w:abstractNum w:abstractNumId="138">
    <w:nsid w:val="43D3BCD4"/>
    <w:multiLevelType w:val="hybridMultilevel"/>
    <w:lvl w:ilvl="0">
      <w:lvlJc w:val="left"/>
      <w:lvlText w:val="(%1)"/>
      <w:numFmt w:val="lowerLetter"/>
      <w:start w:val="3"/>
    </w:lvl>
  </w:abstractNum>
  <w:abstractNum w:abstractNumId="139">
    <w:nsid w:val="4C2A7166"/>
    <w:multiLevelType w:val="hybridMultilevel"/>
    <w:lvl w:ilvl="0">
      <w:lvlJc w:val="left"/>
      <w:lvlText w:val="%1"/>
      <w:numFmt w:val="lowerLetter"/>
      <w:start w:val="1"/>
    </w:lvl>
    <w:lvl w:ilvl="1">
      <w:lvlJc w:val="left"/>
      <w:lvlText w:val="(%2)"/>
      <w:numFmt w:val="lowerLetter"/>
      <w:start w:val="6"/>
    </w:lvl>
  </w:abstractNum>
  <w:abstractNum w:abstractNumId="140">
    <w:nsid w:val="2E534A82"/>
    <w:multiLevelType w:val="hybridMultilevel"/>
    <w:lvl w:ilvl="0">
      <w:lvlJc w:val="left"/>
      <w:lvlText w:val="(%1)"/>
      <w:numFmt w:val="lowerLetter"/>
      <w:start w:val="24"/>
    </w:lvl>
    <w:lvl w:ilvl="1">
      <w:lvlJc w:val="left"/>
      <w:lvlText w:val="%2"/>
      <w:numFmt w:val="lowerLetter"/>
      <w:start w:val="1"/>
    </w:lvl>
  </w:abstractNum>
  <w:abstractNum w:abstractNumId="141">
    <w:nsid w:val="26F2D364"/>
    <w:multiLevelType w:val="hybridMultilevel"/>
    <w:lvl w:ilvl="0">
      <w:lvlJc w:val="left"/>
      <w:lvlText w:val="(%1)"/>
      <w:numFmt w:val="upperLetter"/>
      <w:start w:val="1"/>
    </w:lvl>
  </w:abstractNum>
  <w:abstractNum w:abstractNumId="142">
    <w:nsid w:val="71C1AF98"/>
    <w:multiLevelType w:val="hybridMultilevel"/>
    <w:lvl w:ilvl="0">
      <w:lvlJc w:val="left"/>
      <w:lvlText w:val="(%1)"/>
      <w:numFmt w:val="upperLetter"/>
      <w:start w:val="4"/>
    </w:lvl>
  </w:abstractNum>
  <w:abstractNum w:abstractNumId="143">
    <w:nsid w:val="3D00B9D9"/>
    <w:multiLevelType w:val="hybridMultilevel"/>
    <w:lvl w:ilvl="0">
      <w:lvlJc w:val="left"/>
      <w:lvlText w:val="(%1)"/>
      <w:numFmt w:val="lowerRoman"/>
      <w:start w:val="4"/>
    </w:lvl>
  </w:abstractNum>
  <w:abstractNum w:abstractNumId="144">
    <w:nsid w:val="15BCABA8"/>
    <w:multiLevelType w:val="hybridMultilevel"/>
    <w:lvl w:ilvl="0">
      <w:lvlJc w:val="left"/>
      <w:lvlText w:val="(%1)"/>
      <w:numFmt w:val="lowerRoman"/>
      <w:start w:val="4"/>
    </w:lvl>
  </w:abstractNum>
  <w:abstractNum w:abstractNumId="145">
    <w:nsid w:val="4E0B9A87"/>
    <w:multiLevelType w:val="hybridMultilevel"/>
    <w:lvl w:ilvl="0">
      <w:lvlJc w:val="left"/>
      <w:lvlText w:val="(%1)"/>
      <w:numFmt w:val="upperLetter"/>
      <w:start w:val="2"/>
    </w:lvl>
  </w:abstractNum>
  <w:abstractNum w:abstractNumId="146">
    <w:nsid w:val="434BAE75"/>
    <w:multiLevelType w:val="hybridMultilevel"/>
    <w:lvl w:ilvl="0">
      <w:lvlJc w:val="left"/>
      <w:lvlText w:val="(%1)"/>
      <w:numFmt w:val="lowerRoman"/>
      <w:start w:val="2"/>
    </w:lvl>
  </w:abstractNum>
  <w:abstractNum w:abstractNumId="147">
    <w:nsid w:val="4F38F265"/>
    <w:multiLevelType w:val="hybridMultilevel"/>
    <w:lvl w:ilvl="0">
      <w:lvlJc w:val="left"/>
      <w:lvlText w:val="(%1)"/>
      <w:numFmt w:val="lowerLetter"/>
      <w:start w:val="3"/>
    </w:lvl>
    <w:lvl w:ilvl="1">
      <w:lvlJc w:val="left"/>
      <w:lvlText w:val="(%2)"/>
      <w:numFmt w:val="lowerRoman"/>
      <w:start w:val="1"/>
    </w:lvl>
  </w:abstractNum>
  <w:abstractNum w:abstractNumId="148">
    <w:nsid w:val="4C502870"/>
    <w:multiLevelType w:val="hybridMultilevel"/>
    <w:lvl w:ilvl="0">
      <w:lvlJc w:val="left"/>
      <w:lvlText w:val="(%1)"/>
      <w:numFmt w:val="lowerLetter"/>
      <w:start w:val="2"/>
    </w:lvl>
  </w:abstractNum>
  <w:abstractNum w:abstractNumId="149">
    <w:nsid w:val="1DE8725A"/>
    <w:multiLevelType w:val="hybridMultilevel"/>
    <w:lvl w:ilvl="0">
      <w:lvlJc w:val="left"/>
      <w:lvlText w:val="(%1)"/>
      <w:numFmt w:val="lowerLetter"/>
      <w:start w:val="4"/>
    </w:lvl>
  </w:abstractNum>
  <w:abstractNum w:abstractNumId="150">
    <w:nsid w:val="6A37288A"/>
    <w:multiLevelType w:val="hybridMultilevel"/>
    <w:lvl w:ilvl="0">
      <w:lvlJc w:val="left"/>
      <w:lvlText w:val="(%1)"/>
      <w:numFmt w:val="lowerRoman"/>
      <w:start w:val="2"/>
    </w:lvl>
  </w:abstractNum>
  <w:abstractNum w:abstractNumId="151">
    <w:nsid w:val="8F8B73F"/>
    <w:multiLevelType w:val="hybridMultilevel"/>
    <w:lvl w:ilvl="0">
      <w:lvlJc w:val="left"/>
      <w:lvlText w:val="(%1)"/>
      <w:numFmt w:val="upperLetter"/>
      <w:start w:val="3"/>
    </w:lvl>
  </w:abstractNum>
  <w:abstractNum w:abstractNumId="152">
    <w:nsid w:val="CA6B462"/>
    <w:multiLevelType w:val="hybridMultilevel"/>
    <w:lvl w:ilvl="0">
      <w:lvlJc w:val="left"/>
      <w:lvlText w:val="(%1)"/>
      <w:numFmt w:val="lowerLetter"/>
      <w:start w:val="2"/>
    </w:lvl>
  </w:abstractNum>
  <w:abstractNum w:abstractNumId="153">
    <w:nsid w:val="763CB680"/>
    <w:multiLevelType w:val="hybridMultilevel"/>
    <w:lvl w:ilvl="0">
      <w:lvlJc w:val="left"/>
      <w:lvlText w:val="(%1)"/>
      <w:numFmt w:val="lowerRoman"/>
      <w:start w:val="3"/>
    </w:lvl>
  </w:abstractNum>
  <w:abstractNum w:abstractNumId="154">
    <w:nsid w:val="15B71329"/>
    <w:multiLevelType w:val="hybridMultilevel"/>
    <w:lvl w:ilvl="0">
      <w:lvlJc w:val="left"/>
      <w:lvlText w:val="(%1)"/>
      <w:numFmt w:val="lowerRoman"/>
      <w:start w:val="1"/>
    </w:lvl>
  </w:abstractNum>
  <w:abstractNum w:abstractNumId="155">
    <w:nsid w:val="3DA97044"/>
    <w:multiLevelType w:val="hybridMultilevel"/>
    <w:lvl w:ilvl="0">
      <w:lvlJc w:val="left"/>
      <w:lvlText w:val="(%1)"/>
      <w:numFmt w:val="lowerRoman"/>
      <w:start w:val="3"/>
    </w:lvl>
  </w:abstractNum>
  <w:abstractNum w:abstractNumId="156">
    <w:nsid w:val="1CDCE2DE"/>
    <w:multiLevelType w:val="hybridMultilevel"/>
    <w:lvl w:ilvl="0">
      <w:lvlJc w:val="left"/>
      <w:lvlText w:val="(%1)"/>
      <w:numFmt w:val="lowerLetter"/>
      <w:start w:val="4"/>
    </w:lvl>
  </w:abstractNum>
  <w:abstractNum w:abstractNumId="157">
    <w:nsid w:val="69D3947C"/>
    <w:multiLevelType w:val="hybridMultilevel"/>
    <w:lvl w:ilvl="0">
      <w:lvlJc w:val="left"/>
      <w:lvlText w:val="(%1)"/>
      <w:numFmt w:val="lowerLetter"/>
      <w:start w:val="3"/>
    </w:lvl>
  </w:abstractNum>
  <w:abstractNum w:abstractNumId="158">
    <w:nsid w:val="2539DFA5"/>
    <w:multiLevelType w:val="hybridMultilevel"/>
    <w:lvl w:ilvl="0">
      <w:lvlJc w:val="left"/>
      <w:lvlText w:val="(%1)"/>
      <w:numFmt w:val="lowerLetter"/>
      <w:start w:val="1"/>
    </w:lvl>
  </w:abstractNum>
  <w:abstractNum w:abstractNumId="159">
    <w:nsid w:val="2DB88089"/>
    <w:multiLevelType w:val="hybridMultilevel"/>
    <w:lvl w:ilvl="0">
      <w:lvlJc w:val="left"/>
      <w:lvlText w:val="(%1)"/>
      <w:numFmt w:val="lowerLetter"/>
      <w:start w:val="5"/>
    </w:lvl>
  </w:abstractNum>
  <w:abstractNum w:abstractNumId="160">
    <w:nsid w:val="706B674E"/>
    <w:multiLevelType w:val="hybridMultilevel"/>
    <w:lvl w:ilvl="0">
      <w:lvlJc w:val="left"/>
      <w:lvlText w:val="(%1)"/>
      <w:numFmt w:val="lowerRoman"/>
      <w:start w:val="1"/>
    </w:lvl>
  </w:abstractNum>
  <w:abstractNum w:abstractNumId="161">
    <w:nsid w:val="2C106A57"/>
    <w:multiLevelType w:val="hybridMultilevel"/>
    <w:lvl w:ilvl="0">
      <w:lvlJc w:val="left"/>
      <w:lvlText w:val="%1"/>
      <w:numFmt w:val="lowerLetter"/>
      <w:start w:val="1"/>
    </w:lvl>
    <w:lvl w:ilvl="1">
      <w:lvlJc w:val="left"/>
      <w:lvlText w:val="(%2)"/>
      <w:numFmt w:val="lowerLetter"/>
      <w:start w:val="10"/>
    </w:lvl>
  </w:abstractNum>
  <w:abstractNum w:abstractNumId="162">
    <w:nsid w:val="684EED59"/>
    <w:multiLevelType w:val="hybridMultilevel"/>
    <w:lvl w:ilvl="0">
      <w:lvlJc w:val="left"/>
      <w:lvlText w:val="(%1)"/>
      <w:numFmt w:val="lowerLetter"/>
      <w:start w:val="9"/>
    </w:lvl>
    <w:lvl w:ilvl="1">
      <w:lvlJc w:val="left"/>
      <w:lvlText w:val="%2"/>
      <w:numFmt w:val="lowerLetter"/>
      <w:start w:val="1"/>
    </w:lvl>
  </w:abstractNum>
  <w:abstractNum w:abstractNumId="163">
    <w:nsid w:val="545EE5D3"/>
    <w:multiLevelType w:val="hybridMultilevel"/>
    <w:lvl w:ilvl="0">
      <w:lvlJc w:val="left"/>
      <w:lvlText w:val="(%1)"/>
      <w:numFmt w:val="upperLetter"/>
      <w:start w:val="2"/>
    </w:lvl>
  </w:abstractNum>
  <w:abstractNum w:abstractNumId="164">
    <w:nsid w:val="4A66051"/>
    <w:multiLevelType w:val="hybridMultilevel"/>
    <w:lvl w:ilvl="0">
      <w:lvlJc w:val="left"/>
      <w:lvlText w:val="(%1)"/>
      <w:numFmt w:val="lowerLetter"/>
      <w:start w:val="15"/>
    </w:lvl>
  </w:abstractNum>
  <w:abstractNum w:abstractNumId="165">
    <w:nsid w:val="20F4BDAD"/>
    <w:multiLevelType w:val="hybridMultilevel"/>
    <w:lvl w:ilvl="0">
      <w:lvlJc w:val="left"/>
      <w:lvlText w:val="("/>
      <w:numFmt w:val="bullet"/>
      <w:start w:val="1"/>
    </w:lvl>
  </w:abstractNum>
  <w:abstractNum w:abstractNumId="166">
    <w:nsid w:val="639DEFAC"/>
    <w:multiLevelType w:val="hybridMultilevel"/>
    <w:lvl w:ilvl="0">
      <w:lvlJc w:val="left"/>
      <w:lvlText w:val="(%1)"/>
      <w:numFmt w:val="lowerRoman"/>
      <w:start w:val="2"/>
    </w:lvl>
  </w:abstractNum>
  <w:abstractNum w:abstractNumId="167">
    <w:nsid w:val="501F9786"/>
    <w:multiLevelType w:val="hybridMultilevel"/>
    <w:lvl w:ilvl="0">
      <w:lvlJc w:val="left"/>
      <w:lvlText w:val="(%1)"/>
      <w:numFmt w:val="lowerLetter"/>
      <w:start w:val="1"/>
    </w:lvl>
  </w:abstractNum>
  <w:abstractNum w:abstractNumId="168">
    <w:nsid w:val="6B057295"/>
    <w:multiLevelType w:val="hybridMultilevel"/>
    <w:lvl w:ilvl="0">
      <w:lvlJc w:val="left"/>
      <w:lvlText w:val="(%1)"/>
      <w:numFmt w:val="lowerLetter"/>
      <w:start w:val="24"/>
    </w:lvl>
    <w:lvl w:ilvl="1">
      <w:lvlJc w:val="left"/>
      <w:lvlText w:val="%2"/>
      <w:numFmt w:val="lowerLetter"/>
      <w:start w:val="1"/>
    </w:lvl>
  </w:abstractNum>
  <w:abstractNum w:abstractNumId="169">
    <w:nsid w:val="2771AC80"/>
    <w:multiLevelType w:val="hybridMultilevel"/>
    <w:lvl w:ilvl="0">
      <w:lvlJc w:val="left"/>
      <w:lvlText w:val="(%1)"/>
      <w:numFmt w:val="lowerLetter"/>
      <w:start w:val="35"/>
    </w:lvl>
    <w:lvl w:ilvl="1">
      <w:lvlJc w:val="left"/>
      <w:lvlText w:val="%2"/>
      <w:numFmt w:val="lowerLetter"/>
      <w:start w:val="1"/>
    </w:lvl>
  </w:abstractNum>
  <w:abstractNum w:abstractNumId="170">
    <w:nsid w:val="1C4A08EC"/>
    <w:multiLevelType w:val="hybridMultilevel"/>
    <w:lvl w:ilvl="0">
      <w:lvlJc w:val="left"/>
      <w:lvlText w:val="(%1)"/>
      <w:numFmt w:val="lowerLetter"/>
      <w:start w:val="25"/>
    </w:lvl>
    <w:lvl w:ilvl="1">
      <w:lvlJc w:val="left"/>
      <w:lvlText w:val="(%2)"/>
      <w:numFmt w:val="lowerLetter"/>
      <w:start w:val="3"/>
    </w:lvl>
  </w:abstractNum>
  <w:abstractNum w:abstractNumId="171">
    <w:nsid w:val="1958BD17"/>
    <w:multiLevelType w:val="hybridMultilevel"/>
    <w:lvl w:ilvl="0">
      <w:lvlJc w:val="left"/>
      <w:lvlText w:val="(%1)"/>
      <w:numFmt w:val="lowerLetter"/>
      <w:start w:val="1"/>
    </w:lvl>
    <w:lvl w:ilvl="1">
      <w:lvlJc w:val="left"/>
      <w:lvlText w:val="(%2)"/>
      <w:numFmt w:val="lowerLetter"/>
      <w:start w:val="9"/>
    </w:lvl>
  </w:abstractNum>
  <w:abstractNum w:abstractNumId="172">
    <w:nsid w:val="4E647F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73">
    <w:nsid w:val="E0BB88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4">
    <w:nsid w:val="565976F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5">
    <w:nsid w:val="64212B8C"/>
    <w:multiLevelType w:val="hybridMultilevel"/>
    <w:lvl w:ilvl="0">
      <w:lvlJc w:val="left"/>
      <w:lvlText w:val="(%1)"/>
      <w:numFmt w:val="lowerLetter"/>
      <w:start w:val="3"/>
    </w:lvl>
  </w:abstractNum>
  <w:abstractNum w:abstractNumId="176">
    <w:nsid w:val="5C17530C"/>
    <w:multiLevelType w:val="hybridMultilevel"/>
    <w:lvl w:ilvl="0">
      <w:lvlJc w:val="left"/>
      <w:lvlText w:val="%1"/>
      <w:numFmt w:val="lowerLetter"/>
      <w:start w:val="1"/>
    </w:lvl>
    <w:lvl w:ilvl="1">
      <w:lvlJc w:val="left"/>
      <w:lvlText w:val="(%2)"/>
      <w:numFmt w:val="lowerLetter"/>
      <w:start w:val="1"/>
    </w:lvl>
  </w:abstractNum>
  <w:abstractNum w:abstractNumId="177">
    <w:nsid w:val="19A52566"/>
    <w:multiLevelType w:val="hybridMultilevel"/>
    <w:lvl w:ilvl="0">
      <w:lvlJc w:val="left"/>
      <w:lvlText w:val="(%1)"/>
      <w:numFmt w:val="lowerLetter"/>
      <w:start w:val="1"/>
    </w:lvl>
    <w:lvl w:ilvl="1">
      <w:lvlJc w:val="left"/>
      <w:lvlText w:val="%2"/>
      <w:numFmt w:val="lowerLetter"/>
      <w:start w:val="1"/>
    </w:lvl>
  </w:abstractNum>
  <w:abstractNum w:abstractNumId="178">
    <w:nsid w:val="335A1DF1"/>
    <w:multiLevelType w:val="hybridMultilevel"/>
    <w:lvl w:ilvl="0">
      <w:lvlJc w:val="left"/>
      <w:lvlText w:val="(%1)"/>
      <w:numFmt w:val="lowerLetter"/>
      <w:start w:val="3"/>
    </w:lvl>
    <w:lvl w:ilvl="1">
      <w:lvlJc w:val="left"/>
      <w:lvlText w:val="(%2)"/>
      <w:numFmt w:val="lowerRoman"/>
      <w:start w:val="2"/>
    </w:lvl>
  </w:abstractNum>
  <w:abstractNum w:abstractNumId="179">
    <w:nsid w:val="28677B7C"/>
    <w:multiLevelType w:val="hybridMultilevel"/>
    <w:lvl w:ilvl="0">
      <w:lvlJc w:val="left"/>
      <w:lvlText w:val="(%1)"/>
      <w:numFmt w:val="lowerLetter"/>
      <w:start w:val="1"/>
    </w:lvl>
  </w:abstractNum>
  <w:abstractNum w:abstractNumId="180">
    <w:nsid w:val="378D97C0"/>
    <w:multiLevelType w:val="hybridMultilevel"/>
    <w:lvl w:ilvl="0">
      <w:lvlJc w:val="left"/>
      <w:lvlText w:val="(%1)"/>
      <w:numFmt w:val="lowerLetter"/>
      <w:start w:val="1"/>
    </w:lvl>
    <w:lvl w:ilvl="1">
      <w:lvlJc w:val="left"/>
      <w:lvlText w:val="(%2)"/>
      <w:numFmt w:val="lowerRoman"/>
      <w:start w:val="1"/>
    </w:lvl>
  </w:abstractNum>
  <w:abstractNum w:abstractNumId="181">
    <w:nsid w:val="1D91467C"/>
    <w:multiLevelType w:val="hybridMultilevel"/>
    <w:lvl w:ilvl="0">
      <w:lvlJc w:val="left"/>
      <w:lvlText w:val="(%1)"/>
      <w:numFmt w:val="lowerRoman"/>
      <w:start w:val="6"/>
    </w:lvl>
  </w:abstractNum>
  <w:abstractNum w:abstractNumId="182">
    <w:nsid w:val="316032BB"/>
    <w:multiLevelType w:val="hybridMultilevel"/>
    <w:lvl w:ilvl="0">
      <w:lvlJc w:val="left"/>
      <w:lvlText w:val="%1"/>
      <w:numFmt w:val="lowerRoman"/>
      <w:start w:val="1"/>
    </w:lvl>
    <w:lvl w:ilvl="1">
      <w:lvlJc w:val="left"/>
      <w:lvlText w:val="(%2)"/>
      <w:numFmt w:val="lowerLetter"/>
      <w:start w:val="1"/>
    </w:lvl>
  </w:abstractNum>
  <w:abstractNum w:abstractNumId="183">
    <w:nsid w:val="44344C22"/>
    <w:multiLevelType w:val="hybridMultilevel"/>
    <w:lvl w:ilvl="0">
      <w:lvlJc w:val="left"/>
      <w:lvlText w:val="(%1)"/>
      <w:numFmt w:val="lowerRoman"/>
      <w:start w:val="1"/>
    </w:lvl>
    <w:lvl w:ilvl="1">
      <w:lvlJc w:val="left"/>
      <w:lvlText w:val="(%2)"/>
      <w:numFmt w:val="lowerLetter"/>
      <w:start w:val="3"/>
    </w:lvl>
  </w:abstractNum>
  <w:abstractNum w:abstractNumId="184">
    <w:nsid w:val="13CDFCFC"/>
    <w:multiLevelType w:val="hybridMultilevel"/>
    <w:lvl w:ilvl="0">
      <w:lvlJc w:val="left"/>
      <w:lvlText w:val="(%1)"/>
      <w:numFmt w:val="lowerLetter"/>
      <w:start w:val="1"/>
    </w:lvl>
  </w:abstractNum>
  <w:abstractNum w:abstractNumId="185">
    <w:nsid w:val="471745E4"/>
    <w:multiLevelType w:val="hybridMultilevel"/>
    <w:lvl w:ilvl="0">
      <w:lvlJc w:val="left"/>
      <w:lvlText w:val="(%1)"/>
      <w:numFmt w:val="lowerLetter"/>
      <w:start w:val="5"/>
    </w:lvl>
  </w:abstractNum>
  <w:abstractNum w:abstractNumId="186">
    <w:nsid w:val="1DDBC66"/>
    <w:multiLevelType w:val="hybridMultilevel"/>
    <w:lvl w:ilvl="0">
      <w:lvlJc w:val="left"/>
      <w:lvlText w:val="(%1)"/>
      <w:numFmt w:val="lowerLetter"/>
      <w:start w:val="13"/>
    </w:lvl>
  </w:abstractNum>
  <w:abstractNum w:abstractNumId="187">
    <w:nsid w:val="30AADFDA"/>
    <w:multiLevelType w:val="hybridMultilevel"/>
    <w:lvl w:ilvl="0">
      <w:lvlJc w:val="left"/>
      <w:lvlText w:val="(%1)"/>
      <w:numFmt w:val="lowerLetter"/>
      <w:start w:val="16"/>
    </w:lvl>
  </w:abstractNum>
  <w:abstractNum w:abstractNumId="188">
    <w:nsid w:val="30EADA61"/>
    <w:multiLevelType w:val="hybridMultilevel"/>
    <w:lvl w:ilvl="0">
      <w:lvlJc w:val="left"/>
      <w:lvlText w:val="(%1)"/>
      <w:numFmt w:val="lowerLetter"/>
      <w:start w:val="20"/>
    </w:lvl>
  </w:abstractNum>
  <w:abstractNum w:abstractNumId="189">
    <w:nsid w:val="27179C0B"/>
    <w:multiLevelType w:val="hybridMultilevel"/>
    <w:lvl w:ilvl="0">
      <w:lvlJc w:val="left"/>
      <w:lvlText w:val="%1"/>
      <w:numFmt w:val="upperLetter"/>
      <w:start w:val="1"/>
    </w:lvl>
    <w:lvl w:ilvl="1">
      <w:lvlJc w:val="left"/>
      <w:lvlText w:val="(%2)"/>
      <w:numFmt w:val="lowerLetter"/>
      <w:start w:val="22"/>
    </w:lvl>
  </w:abstractNum>
  <w:abstractNum w:abstractNumId="190">
    <w:nsid w:val="5E636063"/>
    <w:multiLevelType w:val="hybridMultilevel"/>
    <w:lvl w:ilvl="0">
      <w:lvlJc w:val="left"/>
      <w:lvlText w:val="(%1)"/>
      <w:numFmt w:val="upperLetter"/>
      <w:start w:val="1"/>
    </w:lvl>
    <w:lvl w:ilvl="1">
      <w:lvlJc w:val="left"/>
      <w:lvlText w:val="(%2)"/>
      <w:numFmt w:val="lowerLetter"/>
      <w:start w:val="23"/>
    </w:lvl>
  </w:abstractNum>
  <w:abstractNum w:abstractNumId="191">
    <w:nsid w:val="215641AF"/>
    <w:multiLevelType w:val="hybridMultilevel"/>
    <w:lvl w:ilvl="0">
      <w:lvlJc w:val="left"/>
      <w:lvlText w:val="(%1)"/>
      <w:numFmt w:val="lowerLetter"/>
      <w:start w:val="27"/>
    </w:lvl>
  </w:abstractNum>
  <w:abstractNum w:abstractNumId="192">
    <w:nsid w:val="53280662"/>
    <w:multiLevelType w:val="hybridMultilevel"/>
    <w:lvl w:ilvl="0">
      <w:lvlJc w:val="left"/>
      <w:lvlText w:val="(%1)"/>
      <w:numFmt w:val="lowerLetter"/>
      <w:start w:val="29"/>
    </w:lvl>
  </w:abstractNum>
  <w:abstractNum w:abstractNumId="193">
    <w:nsid w:val="46B24DBC"/>
    <w:multiLevelType w:val="hybridMultilevel"/>
    <w:lvl w:ilvl="0">
      <w:lvlJc w:val="left"/>
      <w:lvlText w:val="(%1)"/>
      <w:numFmt w:val="lowerLetter"/>
      <w:start w:val="30"/>
    </w:lvl>
  </w:abstractNum>
  <w:abstractNum w:abstractNumId="194">
    <w:nsid w:val="75B52783"/>
    <w:multiLevelType w:val="hybridMultilevel"/>
    <w:lvl w:ilvl="0">
      <w:lvlJc w:val="left"/>
      <w:lvlText w:val="%1"/>
      <w:numFmt w:val="lowerLetter"/>
      <w:start w:val="1"/>
    </w:lvl>
    <w:lvl w:ilvl="1">
      <w:lvlJc w:val="left"/>
      <w:lvlText w:val="(%2)"/>
      <w:numFmt w:val="lowerLetter"/>
      <w:start w:val="1"/>
    </w:lvl>
  </w:abstractNum>
  <w:abstractNum w:abstractNumId="195">
    <w:nsid w:val="57CE66B4"/>
    <w:multiLevelType w:val="hybridMultilevel"/>
    <w:lvl w:ilvl="0">
      <w:lvlJc w:val="left"/>
      <w:lvlText w:val="(%1)"/>
      <w:numFmt w:val="lowerLetter"/>
      <w:start w:val="61"/>
    </w:lvl>
    <w:lvl w:ilvl="1">
      <w:lvlJc w:val="left"/>
      <w:lvlText w:val="(%2)"/>
      <w:numFmt w:val="lowerLetter"/>
      <w:start w:val="2"/>
    </w:lvl>
  </w:abstractNum>
  <w:abstractNum w:abstractNumId="196">
    <w:nsid w:val="67A70B69"/>
    <w:multiLevelType w:val="hybridMultilevel"/>
    <w:lvl w:ilvl="0">
      <w:lvlJc w:val="left"/>
      <w:lvlText w:val="%1"/>
      <w:numFmt w:val="lowerLetter"/>
      <w:start w:val="1"/>
    </w:lvl>
    <w:lvl w:ilvl="1">
      <w:lvlJc w:val="left"/>
      <w:lvlText w:val="(%2)"/>
      <w:numFmt w:val="lowerLetter"/>
      <w:start w:val="5"/>
    </w:lvl>
  </w:abstractNum>
  <w:abstractNum w:abstractNumId="197">
    <w:nsid w:val="5953172F"/>
    <w:multiLevelType w:val="hybridMultilevel"/>
    <w:lvl w:ilvl="0">
      <w:lvlJc w:val="left"/>
      <w:lvlText w:val="(%1)"/>
      <w:numFmt w:val="lowerLetter"/>
      <w:start w:val="9"/>
    </w:lvl>
    <w:lvl w:ilvl="1">
      <w:lvlJc w:val="left"/>
      <w:lvlText w:val="(%2)"/>
      <w:numFmt w:val="lowerLetter"/>
      <w:start w:val="5"/>
    </w:lvl>
  </w:abstractNum>
  <w:abstractNum w:abstractNumId="198">
    <w:nsid w:val="27EDFE3A"/>
    <w:multiLevelType w:val="hybridMultilevel"/>
    <w:lvl w:ilvl="0">
      <w:lvlJc w:val="left"/>
      <w:lvlText w:val="%1"/>
      <w:numFmt w:val="lowerLetter"/>
      <w:start w:val="1"/>
    </w:lvl>
    <w:lvl w:ilvl="1">
      <w:lvlJc w:val="left"/>
      <w:lvlText w:val="(%2)"/>
      <w:numFmt w:val="lowerLetter"/>
      <w:start w:val="7"/>
    </w:lvl>
  </w:abstractNum>
  <w:abstractNum w:abstractNumId="199">
    <w:nsid w:val="52AC7DFF"/>
    <w:multiLevelType w:val="hybridMultilevel"/>
    <w:lvl w:ilvl="0">
      <w:lvlJc w:val="left"/>
      <w:lvlText w:val="(%1)"/>
      <w:numFmt w:val="lowerLetter"/>
      <w:start w:val="22"/>
    </w:lvl>
    <w:lvl w:ilvl="1">
      <w:lvlJc w:val="left"/>
      <w:lvlText w:val="%2"/>
      <w:numFmt w:val="lowerLetter"/>
      <w:start w:val="1"/>
    </w:lvl>
  </w:abstractNum>
  <w:abstractNum w:abstractNumId="200">
    <w:nsid w:val="C4C3AF"/>
    <w:multiLevelType w:val="hybridMultilevel"/>
    <w:lvl w:ilvl="0">
      <w:lvlJc w:val="left"/>
      <w:lvlText w:val="(%1)"/>
      <w:numFmt w:val="lowerLetter"/>
      <w:start w:val="9"/>
    </w:lvl>
  </w:abstractNum>
  <w:abstractNum w:abstractNumId="201">
    <w:nsid w:val="44380727"/>
    <w:multiLevelType w:val="hybridMultilevel"/>
    <w:lvl w:ilvl="0">
      <w:lvlJc w:val="left"/>
      <w:lvlText w:val="(%1)"/>
      <w:numFmt w:val="lowerLetter"/>
      <w:start w:val="12"/>
    </w:lvl>
  </w:abstractNum>
  <w:abstractNum w:abstractNumId="202">
    <w:nsid w:val="6C053B16"/>
    <w:multiLevelType w:val="hybridMultilevel"/>
    <w:lvl w:ilvl="0">
      <w:lvlJc w:val="left"/>
      <w:lvlText w:val="(%1)"/>
      <w:numFmt w:val="lowerLetter"/>
      <w:start w:val="16"/>
    </w:lvl>
  </w:abstractNum>
  <w:abstractNum w:abstractNumId="203">
    <w:nsid w:val="4F294393"/>
    <w:multiLevelType w:val="hybridMultilevel"/>
    <w:lvl w:ilvl="0">
      <w:lvlJc w:val="left"/>
      <w:lvlText w:val="(%1)"/>
      <w:numFmt w:val="lowerLetter"/>
      <w:start w:val="24"/>
    </w:lvl>
  </w:abstractNum>
  <w:abstractNum w:abstractNumId="204">
    <w:nsid w:val="5243BFAC"/>
    <w:multiLevelType w:val="hybridMultilevel"/>
    <w:lvl w:ilvl="0">
      <w:lvlJc w:val="left"/>
      <w:lvlText w:val="."/>
      <w:numFmt w:val="bullet"/>
      <w:start w:val="1"/>
    </w:lvl>
  </w:abstractNum>
  <w:abstractNum w:abstractNumId="205">
    <w:nsid w:val="425EB207"/>
    <w:multiLevelType w:val="hybridMultilevel"/>
    <w:lvl w:ilvl="0">
      <w:lvlJc w:val="left"/>
      <w:lvlText w:val="%1"/>
      <w:numFmt w:val="lowerLetter"/>
      <w:start w:val="1"/>
    </w:lvl>
    <w:lvl w:ilvl="1">
      <w:lvlJc w:val="left"/>
      <w:lvlText w:val="(%2)"/>
      <w:numFmt w:val="lowerLetter"/>
      <w:start w:val="2"/>
    </w:lvl>
  </w:abstractNum>
  <w:abstractNum w:abstractNumId="206">
    <w:nsid w:val="334A6F1F"/>
    <w:multiLevelType w:val="hybridMultilevel"/>
    <w:lvl w:ilvl="0">
      <w:lvlJc w:val="left"/>
      <w:lvlText w:val="(%1)"/>
      <w:numFmt w:val="lowerLetter"/>
      <w:start w:val="35"/>
    </w:lvl>
    <w:lvl w:ilvl="1">
      <w:lvlJc w:val="left"/>
      <w:lvlText w:val="(%2)"/>
      <w:numFmt w:val="lowerLetter"/>
      <w:start w:val="3"/>
    </w:lvl>
  </w:abstractNum>
  <w:abstractNum w:abstractNumId="207">
    <w:nsid w:val="2E5B12B8"/>
    <w:multiLevelType w:val="hybridMultilevel"/>
    <w:lvl w:ilvl="0">
      <w:lvlJc w:val="left"/>
      <w:lvlText w:val="%1"/>
      <w:numFmt w:val="lowerLetter"/>
      <w:start w:val="1"/>
    </w:lvl>
    <w:lvl w:ilvl="1">
      <w:lvlJc w:val="left"/>
      <w:lvlText w:val="(%2)"/>
      <w:numFmt w:val="lowerLetter"/>
      <w:start w:val="8"/>
    </w:lvl>
  </w:abstractNum>
  <w:abstractNum w:abstractNumId="208">
    <w:nsid w:val="5C03D76D"/>
    <w:multiLevelType w:val="hybridMultilevel"/>
    <w:lvl w:ilvl="0">
      <w:lvlJc w:val="left"/>
      <w:lvlText w:val="(%1)"/>
      <w:numFmt w:val="lowerLetter"/>
      <w:start w:val="25"/>
    </w:lvl>
    <w:lvl w:ilvl="1">
      <w:lvlJc w:val="left"/>
      <w:lvlText w:val="(%2)"/>
      <w:numFmt w:val="lowerLetter"/>
      <w:start w:val="16"/>
    </w:lvl>
  </w:abstractNum>
  <w:abstractNum w:abstractNumId="209">
    <w:nsid w:val="66A48D11"/>
    <w:multiLevelType w:val="hybridMultilevel"/>
    <w:lvl w:ilvl="0">
      <w:lvlJc w:val="left"/>
      <w:lvlText w:val="(%1)"/>
      <w:numFmt w:val="lowerLetter"/>
      <w:start w:val="17"/>
    </w:lvl>
  </w:abstractNum>
  <w:abstractNum w:abstractNumId="210">
    <w:nsid w:val="56C28E34"/>
    <w:multiLevelType w:val="hybridMultilevel"/>
    <w:lvl w:ilvl="0">
      <w:lvlJc w:val="left"/>
      <w:lvlText w:val="(%1)"/>
      <w:numFmt w:val="lowerLetter"/>
      <w:start w:val="27"/>
    </w:lvl>
  </w:abstractNum>
  <w:abstractNum w:abstractNumId="211">
    <w:nsid w:val="13916F2D"/>
    <w:multiLevelType w:val="hybridMultilevel"/>
    <w:lvl w:ilvl="0">
      <w:lvlJc w:val="left"/>
      <w:lvlText w:val="(%1)"/>
      <w:numFmt w:val="lowerLetter"/>
      <w:start w:val="1"/>
    </w:lvl>
  </w:abstractNum>
  <w:abstractNum w:abstractNumId="212">
    <w:nsid w:val="435D38D"/>
    <w:multiLevelType w:val="hybridMultilevel"/>
    <w:lvl w:ilvl="0">
      <w:lvlJc w:val="left"/>
      <w:lvlText w:val="(%1)"/>
      <w:numFmt w:val="lowerLetter"/>
      <w:start w:val="5"/>
    </w:lvl>
  </w:abstractNum>
  <w:abstractNum w:abstractNumId="213">
    <w:nsid w:val="822C0EF"/>
    <w:multiLevelType w:val="hybridMultilevel"/>
    <w:lvl w:ilvl="0">
      <w:lvlJc w:val="left"/>
      <w:lvlText w:val="(%1)"/>
      <w:numFmt w:val="lowerLetter"/>
      <w:start w:val="1"/>
    </w:lvl>
  </w:abstractNum>
  <w:abstractNum w:abstractNumId="214">
    <w:nsid w:val="57C5BB4F"/>
    <w:multiLevelType w:val="hybridMultilevel"/>
    <w:lvl w:ilvl="0">
      <w:lvlJc w:val="left"/>
      <w:lvlText w:val="(%1)"/>
      <w:numFmt w:val="lowerLetter"/>
      <w:start w:val="1"/>
    </w:lvl>
  </w:abstractNum>
  <w:abstractNum w:abstractNumId="215">
    <w:nsid w:val="1803D089"/>
    <w:multiLevelType w:val="hybridMultilevel"/>
    <w:lvl w:ilvl="0">
      <w:lvlJc w:val="left"/>
      <w:lvlText w:val="(%1)"/>
      <w:numFmt w:val="lowerLetter"/>
      <w:start w:val="3"/>
    </w:lvl>
  </w:abstractNum>
  <w:abstractNum w:abstractNumId="216">
    <w:nsid w:val="4F3A06D4"/>
    <w:multiLevelType w:val="hybridMultilevel"/>
    <w:lvl w:ilvl="0">
      <w:lvlJc w:val="left"/>
      <w:lvlText w:val="(%1)"/>
      <w:numFmt w:val="lowerLetter"/>
      <w:start w:val="4"/>
    </w:lvl>
  </w:abstractNum>
  <w:abstractNum w:abstractNumId="217">
    <w:nsid w:val="59A377B6"/>
    <w:multiLevelType w:val="hybridMultilevel"/>
    <w:lvl w:ilvl="0">
      <w:lvlJc w:val="left"/>
      <w:lvlText w:val="(%1)"/>
      <w:numFmt w:val="lowerLetter"/>
      <w:start w:val="8"/>
    </w:lvl>
  </w:abstractNum>
  <w:abstractNum w:abstractNumId="218">
    <w:nsid w:val="48AEB063"/>
    <w:multiLevelType w:val="hybridMultilevel"/>
    <w:lvl w:ilvl="0">
      <w:lvlJc w:val="left"/>
      <w:lvlText w:val="(%1)"/>
      <w:numFmt w:val="lowerLetter"/>
      <w:start w:val="5"/>
    </w:lvl>
  </w:abstractNum>
  <w:abstractNum w:abstractNumId="219">
    <w:nsid w:val="24E135"/>
    <w:multiLevelType w:val="hybridMultilevel"/>
    <w:lvl w:ilvl="0">
      <w:lvlJc w:val="left"/>
      <w:lvlText w:val="%1"/>
      <w:numFmt w:val="lowerRoman"/>
      <w:start w:val="1"/>
    </w:lvl>
    <w:lvl w:ilvl="1">
      <w:lvlJc w:val="left"/>
      <w:lvlText w:val="(%2)"/>
      <w:numFmt w:val="decimal"/>
      <w:start w:val="1"/>
    </w:lvl>
  </w:abstractNum>
  <w:abstractNum w:abstractNumId="220">
    <w:nsid w:val="BB13C1"/>
    <w:multiLevelType w:val="hybridMultilevel"/>
    <w:lvl w:ilvl="0">
      <w:lvlJc w:val="left"/>
      <w:lvlText w:val="(%1)"/>
      <w:numFmt w:val="lowerRoman"/>
      <w:start w:val="5"/>
    </w:lvl>
    <w:lvl w:ilvl="1">
      <w:lvlJc w:val="left"/>
      <w:lvlText w:val="%2"/>
      <w:numFmt w:val="decimal"/>
      <w:start w:val="1"/>
    </w:lvl>
  </w:abstractNum>
  <w:abstractNum w:abstractNumId="221">
    <w:nsid w:val="271210C7"/>
    <w:multiLevelType w:val="hybridMultilevel"/>
    <w:lvl w:ilvl="0">
      <w:lvlJc w:val="left"/>
      <w:lvlText w:val="(%1)"/>
      <w:numFmt w:val="lowerLetter"/>
      <w:start w:val="6"/>
    </w:lvl>
  </w:abstractNum>
  <w:abstractNum w:abstractNumId="222">
    <w:nsid w:val="217B22E4"/>
    <w:multiLevelType w:val="hybridMultilevel"/>
    <w:lvl w:ilvl="0">
      <w:lvlJc w:val="left"/>
      <w:lvlText w:val="(%1)"/>
      <w:numFmt w:val="lowerLetter"/>
      <w:start w:val="14"/>
    </w:lvl>
  </w:abstractNum>
  <w:abstractNum w:abstractNumId="223">
    <w:nsid w:val="53E31A24"/>
    <w:multiLevelType w:val="hybridMultilevel"/>
    <w:lvl w:ilvl="0">
      <w:lvlJc w:val="left"/>
      <w:lvlText w:val="%1"/>
      <w:numFmt w:val="lowerLetter"/>
      <w:start w:val="1"/>
    </w:lvl>
    <w:lvl w:ilvl="1">
      <w:lvlJc w:val="left"/>
      <w:lvlText w:val="(%2)"/>
      <w:numFmt w:val="lowerLetter"/>
      <w:start w:val="7"/>
    </w:lvl>
  </w:abstractNum>
  <w:abstractNum w:abstractNumId="224">
    <w:nsid w:val="6DC45E83"/>
    <w:multiLevelType w:val="hybridMultilevel"/>
    <w:lvl w:ilvl="0">
      <w:lvlJc w:val="left"/>
      <w:lvlText w:val="(%1)"/>
      <w:numFmt w:val="lowerLetter"/>
      <w:start w:val="35"/>
    </w:lvl>
    <w:lvl w:ilvl="1">
      <w:lvlJc w:val="left"/>
      <w:lvlText w:val="(%2)"/>
      <w:numFmt w:val="lowerLetter"/>
      <w:start w:val="10"/>
    </w:lvl>
  </w:abstractNum>
  <w:abstractNum w:abstractNumId="225">
    <w:nsid w:val="17304A67"/>
    <w:multiLevelType w:val="hybridMultilevel"/>
    <w:lvl w:ilvl="0">
      <w:lvlJc w:val="left"/>
      <w:lvlText w:val="(%1)"/>
      <w:numFmt w:val="lowerLetter"/>
      <w:start w:val="17"/>
    </w:lvl>
  </w:abstractNum>
  <w:abstractNum w:abstractNumId="226">
    <w:nsid w:val="2BB180D8"/>
    <w:multiLevelType w:val="hybridMultilevel"/>
    <w:lvl w:ilvl="0">
      <w:lvlJc w:val="left"/>
      <w:lvlText w:val="(%1)"/>
      <w:numFmt w:val="lowerLetter"/>
      <w:start w:val="1"/>
    </w:lvl>
  </w:abstractNum>
  <w:abstractNum w:abstractNumId="227">
    <w:nsid w:val="556B69ED"/>
    <w:multiLevelType w:val="hybridMultilevel"/>
    <w:lvl w:ilvl="0">
      <w:lvlJc w:val="left"/>
      <w:lvlText w:val="(%1)"/>
      <w:numFmt w:val="lowerLetter"/>
      <w:start w:val="5"/>
    </w:lvl>
  </w:abstractNum>
  <w:abstractNum w:abstractNumId="228">
    <w:nsid w:val="70836196"/>
    <w:multiLevelType w:val="hybridMultilevel"/>
    <w:lvl w:ilvl="0">
      <w:lvlJc w:val="left"/>
      <w:lvlText w:val="(%1)"/>
      <w:numFmt w:val="lowerLetter"/>
      <w:start w:val="1"/>
    </w:lvl>
  </w:abstractNum>
  <w:abstractNum w:abstractNumId="229">
    <w:nsid w:val="539F7F12"/>
    <w:multiLevelType w:val="hybridMultilevel"/>
    <w:lvl w:ilvl="0">
      <w:lvlJc w:val="left"/>
      <w:lvlText w:val="(%1)"/>
      <w:numFmt w:val="lowerLetter"/>
      <w:start w:val="3"/>
    </w:lvl>
  </w:abstractNum>
  <w:abstractNum w:abstractNumId="230">
    <w:nsid w:val="2817E7EC"/>
    <w:multiLevelType w:val="hybridMultilevel"/>
    <w:lvl w:ilvl="0">
      <w:lvlJc w:val="left"/>
      <w:lvlText w:val="(%1)"/>
      <w:numFmt w:val="lowerRoman"/>
      <w:start w:val="3"/>
    </w:lvl>
  </w:abstractNum>
  <w:abstractNum w:abstractNumId="231">
    <w:nsid w:val="71482545"/>
    <w:multiLevelType w:val="hybridMultilevel"/>
    <w:lvl w:ilvl="0">
      <w:lvlJc w:val="left"/>
      <w:lvlText w:val="(%1)"/>
      <w:numFmt w:val="lowerRoman"/>
      <w:start w:val="2"/>
    </w:lvl>
  </w:abstractNum>
  <w:abstractNum w:abstractNumId="232">
    <w:nsid w:val="17D78639"/>
    <w:multiLevelType w:val="hybridMultilevel"/>
    <w:lvl w:ilvl="0">
      <w:lvlJc w:val="left"/>
      <w:lvlText w:val="(%1)"/>
      <w:numFmt w:val="upperLetter"/>
      <w:start w:val="2"/>
    </w:lvl>
  </w:abstractNum>
  <w:abstractNum w:abstractNumId="233">
    <w:nsid w:val="141D2302"/>
    <w:multiLevelType w:val="hybridMultilevel"/>
    <w:lvl w:ilvl="0">
      <w:lvlJc w:val="left"/>
      <w:lvlText w:val="(%1)"/>
      <w:numFmt w:val="decimal"/>
      <w:start w:val="60"/>
    </w:lvl>
  </w:abstractNum>
  <w:abstractNum w:abstractNumId="234">
    <w:nsid w:val="407168D8"/>
    <w:multiLevelType w:val="hybridMultilevel"/>
    <w:lvl w:ilvl="0">
      <w:lvlJc w:val="left"/>
      <w:lvlText w:val="(%1)"/>
      <w:numFmt w:val="lowerRoman"/>
      <w:start w:val="1"/>
    </w:lvl>
  </w:abstractNum>
  <w:abstractNum w:abstractNumId="235">
    <w:nsid w:val="6A1B45E5"/>
    <w:multiLevelType w:val="hybridMultilevel"/>
    <w:lvl w:ilvl="0">
      <w:lvlJc w:val="left"/>
      <w:lvlText w:val="%1"/>
      <w:numFmt w:val="lowerRoman"/>
      <w:start w:val="1"/>
    </w:lvl>
    <w:lvl w:ilvl="1">
      <w:lvlJc w:val="left"/>
      <w:lvlText w:val="(%2)"/>
      <w:numFmt w:val="lowerRoman"/>
      <w:start w:val="4"/>
    </w:lvl>
  </w:abstractNum>
  <w:abstractNum w:abstractNumId="236">
    <w:nsid w:val="567BD50A"/>
    <w:multiLevelType w:val="hybridMultilevel"/>
    <w:lvl w:ilvl="0">
      <w:lvlJc w:val="left"/>
      <w:lvlText w:val="(%1)"/>
      <w:numFmt w:val="lowerRoman"/>
      <w:start w:val="1"/>
    </w:lvl>
    <w:lvl w:ilvl="1">
      <w:lvlJc w:val="left"/>
      <w:lvlText w:val="(%2)"/>
      <w:numFmt w:val="lowerRoman"/>
      <w:start w:val="5"/>
    </w:lvl>
  </w:abstractNum>
  <w:abstractNum w:abstractNumId="237">
    <w:nsid w:val="73BBD7F8"/>
    <w:multiLevelType w:val="hybridMultilevel"/>
    <w:lvl w:ilvl="0">
      <w:lvlJc w:val="left"/>
      <w:lvlText w:val="%1"/>
      <w:numFmt w:val="decimal"/>
      <w:start w:val="1"/>
    </w:lvl>
    <w:lvl w:ilvl="1">
      <w:lvlJc w:val="left"/>
      <w:lvlText w:val="(%2)"/>
      <w:numFmt w:val="lowerRoman"/>
      <w:start w:val="9"/>
    </w:lvl>
  </w:abstractNum>
  <w:abstractNum w:abstractNumId="238">
    <w:nsid w:val="1876589D"/>
    <w:multiLevelType w:val="hybridMultilevel"/>
    <w:lvl w:ilvl="0">
      <w:lvlJc w:val="left"/>
      <w:lvlText w:val="(%1)"/>
      <w:numFmt w:val="decimal"/>
      <w:start w:val="3"/>
    </w:lvl>
    <w:lvl w:ilvl="1">
      <w:lvlJc w:val="left"/>
      <w:lvlText w:val="%2"/>
      <w:numFmt w:val="lowerRoman"/>
      <w:start w:val="1"/>
    </w:lvl>
  </w:abstractNum>
  <w:abstractNum w:abstractNumId="239">
    <w:nsid w:val="327FAC77"/>
    <w:multiLevelType w:val="hybridMultilevel"/>
    <w:lvl w:ilvl="0">
      <w:lvlJc w:val="left"/>
      <w:lvlText w:val="%1"/>
      <w:numFmt w:val="upperLetter"/>
      <w:start w:val="1"/>
    </w:lvl>
    <w:lvl w:ilvl="1">
      <w:lvlJc w:val="left"/>
      <w:lvlText w:val="(%2)"/>
      <w:numFmt w:val="lowerRoman"/>
      <w:start w:val="12"/>
    </w:lvl>
  </w:abstractNum>
  <w:abstractNum w:abstractNumId="240">
    <w:nsid w:val="5A606509"/>
    <w:multiLevelType w:val="hybridMultilevel"/>
    <w:lvl w:ilvl="0">
      <w:lvlJc w:val="left"/>
      <w:lvlText w:val="(%1)"/>
      <w:numFmt w:val="upperLetter"/>
      <w:start w:val="4"/>
    </w:lvl>
    <w:lvl w:ilvl="1">
      <w:lvlJc w:val="left"/>
      <w:lvlText w:val="(%2)"/>
      <w:numFmt w:val="lowerRoman"/>
      <w:start w:val="14"/>
    </w:lvl>
  </w:abstractNum>
  <w:abstractNum w:abstractNumId="241">
    <w:nsid w:val="6F38E6D1"/>
    <w:multiLevelType w:val="hybridMultilevel"/>
    <w:lvl w:ilvl="0">
      <w:lvlJc w:val="left"/>
      <w:lvlText w:val="(%1)"/>
      <w:numFmt w:val="lowerRoman"/>
      <w:start w:val="15"/>
    </w:lvl>
  </w:abstractNum>
  <w:abstractNum w:abstractNumId="242">
    <w:nsid w:val="46111BA5"/>
    <w:multiLevelType w:val="hybridMultilevel"/>
    <w:lvl w:ilvl="0">
      <w:lvlJc w:val="left"/>
      <w:lvlText w:val="(%1)"/>
      <w:numFmt w:val="lowerRoman"/>
      <w:start w:val="20"/>
    </w:lvl>
  </w:abstractNum>
  <w:abstractNum w:abstractNumId="243">
    <w:nsid w:val="5E963896"/>
    <w:multiLevelType w:val="hybridMultilevel"/>
    <w:lvl w:ilvl="0">
      <w:lvlJc w:val="left"/>
      <w:lvlText w:val="(%1)"/>
      <w:numFmt w:val="lowerRoman"/>
      <w:start w:val="24"/>
    </w:lvl>
  </w:abstractNum>
  <w:abstractNum w:abstractNumId="244">
    <w:nsid w:val="775BA7C1"/>
    <w:multiLevelType w:val="hybridMultilevel"/>
    <w:lvl w:ilvl="0">
      <w:lvlJc w:val="left"/>
      <w:lvlText w:val="(%1)"/>
      <w:numFmt w:val="lowerRoman"/>
      <w:start w:val="26"/>
    </w:lvl>
  </w:abstractNum>
  <w:abstractNum w:abstractNumId="245">
    <w:nsid w:val="1DD6D6F4"/>
    <w:multiLevelType w:val="hybridMultilevel"/>
    <w:lvl w:ilvl="0">
      <w:lvlJc w:val="left"/>
      <w:lvlText w:val="."/>
      <w:numFmt w:val="bullet"/>
      <w:start w:val="1"/>
    </w:lvl>
  </w:abstractNum>
  <w:abstractNum w:abstractNumId="246">
    <w:nsid w:val="769A091F"/>
    <w:multiLevelType w:val="hybridMultilevel"/>
    <w:lvl w:ilvl="0">
      <w:lvlJc w:val="left"/>
      <w:lvlText w:val="(%1)"/>
      <w:numFmt w:val="lowerRoman"/>
      <w:start w:val="3"/>
    </w:lvl>
  </w:abstractNum>
  <w:abstractNum w:abstractNumId="247">
    <w:nsid w:val="4695AE95"/>
    <w:multiLevelType w:val="hybridMultilevel"/>
    <w:lvl w:ilvl="0">
      <w:lvlJc w:val="left"/>
      <w:lvlText w:val="(%1)"/>
      <w:numFmt w:val="lowerLetter"/>
      <w:start w:val="1"/>
    </w:lvl>
  </w:abstractNum>
  <w:abstractNum w:abstractNumId="248">
    <w:nsid w:val="777A4EAA"/>
    <w:multiLevelType w:val="hybridMultilevel"/>
    <w:lvl w:ilvl="0">
      <w:lvlJc w:val="left"/>
      <w:lvlText w:val="(%1)"/>
      <w:numFmt w:val="lowerLetter"/>
      <w:start w:val="2"/>
    </w:lvl>
  </w:abstractNum>
  <w:abstractNum w:abstractNumId="249">
    <w:nsid w:val="3F48B982"/>
    <w:multiLevelType w:val="hybridMultilevel"/>
    <w:lvl w:ilvl="0">
      <w:lvlJc w:val="left"/>
      <w:lvlText w:val="(%1)"/>
      <w:numFmt w:val="lowerRoman"/>
      <w:start w:val="3"/>
    </w:lvl>
  </w:abstractNum>
  <w:abstractNum w:abstractNumId="250">
    <w:nsid w:val="46BA8FCA"/>
    <w:multiLevelType w:val="hybridMultilevel"/>
    <w:lvl w:ilvl="0">
      <w:lvlJc w:val="left"/>
      <w:lvlText w:val="(%1)"/>
      <w:numFmt w:val="lowerRoman"/>
      <w:start w:val="10"/>
    </w:lvl>
  </w:abstractNum>
  <w:abstractNum w:abstractNumId="251">
    <w:nsid w:val="7835626C"/>
    <w:multiLevelType w:val="hybridMultilevel"/>
    <w:lvl w:ilvl="0">
      <w:lvlJc w:val="left"/>
      <w:lvlText w:val="(%1)"/>
      <w:numFmt w:val="lowerRoman"/>
      <w:start w:val="3"/>
    </w:lvl>
  </w:abstractNum>
  <w:abstractNum w:abstractNumId="252">
    <w:nsid w:val="665ACA49"/>
    <w:multiLevelType w:val="hybridMultilevel"/>
    <w:lvl w:ilvl="0">
      <w:lvlJc w:val="left"/>
      <w:lvlText w:val="(%1)"/>
      <w:numFmt w:val="lowerLetter"/>
      <w:start w:val="11"/>
    </w:lvl>
    <w:lvl w:ilvl="1">
      <w:lvlJc w:val="left"/>
      <w:lvlText w:val="(%2)"/>
      <w:numFmt w:val="lowerLetter"/>
      <w:start w:val="9"/>
    </w:lvl>
  </w:abstractNum>
  <w:abstractNum w:abstractNumId="253">
    <w:nsid w:val="6835B2AE"/>
    <w:multiLevelType w:val="hybridMultilevel"/>
    <w:lvl w:ilvl="0">
      <w:lvlJc w:val="left"/>
      <w:lvlText w:val="(%1)"/>
      <w:numFmt w:val="lowerRoman"/>
      <w:start w:val="2"/>
    </w:lvl>
  </w:abstractNum>
  <w:abstractNum w:abstractNumId="254">
    <w:nsid w:val="4C187C90"/>
    <w:multiLevelType w:val="hybridMultilevel"/>
    <w:lvl w:ilvl="0">
      <w:lvlJc w:val="left"/>
      <w:lvlText w:val="(%1)"/>
      <w:numFmt w:val="lowerRoman"/>
      <w:start w:val="2"/>
    </w:lvl>
  </w:abstractNum>
  <w:abstractNum w:abstractNumId="255">
    <w:nsid w:val="541F28CD"/>
    <w:multiLevelType w:val="hybridMultilevel"/>
    <w:lvl w:ilvl="0">
      <w:lvlJc w:val="left"/>
      <w:lvlText w:val="."/>
      <w:numFmt w:val="bullet"/>
      <w:start w:val="1"/>
    </w:lvl>
  </w:abstractNum>
  <w:abstractNum w:abstractNumId="256">
    <w:nsid w:val="7F65FD16"/>
    <w:multiLevelType w:val="hybridMultilevel"/>
    <w:lvl w:ilvl="0">
      <w:lvlJc w:val="left"/>
      <w:lvlText w:val="%1"/>
      <w:numFmt w:val="lowerLetter"/>
      <w:start w:val="1"/>
    </w:lvl>
    <w:lvl w:ilvl="1">
      <w:lvlJc w:val="left"/>
      <w:lvlText w:val="(%2)"/>
      <w:numFmt w:val="lowerLetter"/>
      <w:start w:val="35"/>
    </w:lvl>
  </w:abstractNum>
  <w:abstractNum w:abstractNumId="257">
    <w:nsid w:val="77C9FD68"/>
    <w:multiLevelType w:val="hybridMultilevel"/>
    <w:lvl w:ilvl="0">
      <w:lvlJc w:val="left"/>
      <w:lvlText w:val="(%1)"/>
      <w:numFmt w:val="lowerLetter"/>
      <w:start w:val="3"/>
    </w:lvl>
    <w:lvl w:ilvl="1">
      <w:lvlJc w:val="left"/>
      <w:lvlText w:val="%2"/>
      <w:numFmt w:val="lowerLetter"/>
      <w:start w:val="1"/>
    </w:lvl>
  </w:abstractNum>
  <w:abstractNum w:abstractNumId="258">
    <w:nsid w:val="298A92BA"/>
    <w:multiLevelType w:val="hybridMultilevel"/>
    <w:lvl w:ilvl="0">
      <w:lvlJc w:val="left"/>
      <w:lvlText w:val="(%1)"/>
      <w:numFmt w:val="lowerLetter"/>
      <w:start w:val="1"/>
    </w:lvl>
  </w:abstractNum>
  <w:abstractNum w:abstractNumId="259">
    <w:nsid w:val="6FE95EAC"/>
    <w:multiLevelType w:val="hybridMultilevel"/>
    <w:lvl w:ilvl="0">
      <w:lvlJc w:val="left"/>
      <w:lvlText w:val="."/>
      <w:numFmt w:val="bullet"/>
      <w:start w:val="1"/>
    </w:lvl>
  </w:abstractNum>
  <w:abstractNum w:abstractNumId="260">
    <w:nsid w:val="4B697C7A"/>
    <w:multiLevelType w:val="hybridMultilevel"/>
    <w:lvl w:ilvl="0">
      <w:lvlJc w:val="left"/>
      <w:lvlText w:val="(%1)"/>
      <w:numFmt w:val="lowerRoman"/>
      <w:start w:val="3"/>
    </w:lvl>
  </w:abstractNum>
  <w:abstractNum w:abstractNumId="261">
    <w:nsid w:val="51A27AA6"/>
    <w:multiLevelType w:val="hybridMultilevel"/>
    <w:lvl w:ilvl="0">
      <w:lvlJc w:val="left"/>
      <w:lvlText w:val="(%1)"/>
      <w:numFmt w:val="lowerLetter"/>
      <w:start w:val="2"/>
    </w:lvl>
  </w:abstractNum>
  <w:abstractNum w:abstractNumId="262">
    <w:nsid w:val="613183F2"/>
    <w:multiLevelType w:val="hybridMultilevel"/>
    <w:lvl w:ilvl="0">
      <w:lvlJc w:val="left"/>
      <w:lvlText w:val="(%1)"/>
      <w:numFmt w:val="lowerLetter"/>
      <w:start w:val="1"/>
    </w:lvl>
    <w:lvl w:ilvl="1">
      <w:lvlJc w:val="left"/>
      <w:lvlText w:val="(%2)"/>
      <w:numFmt w:val="lowerRoman"/>
      <w:start w:val="1"/>
    </w:lvl>
  </w:abstractNum>
  <w:abstractNum w:abstractNumId="263">
    <w:nsid w:val="634102B4"/>
    <w:multiLevelType w:val="hybridMultilevel"/>
    <w:lvl w:ilvl="0">
      <w:lvlJc w:val="left"/>
      <w:lvlText w:val="\ldblquote"/>
      <w:numFmt w:val="bullet"/>
      <w:start w:val="1"/>
    </w:lvl>
  </w:abstractNum>
  <w:abstractNum w:abstractNumId="264">
    <w:nsid w:val="65BF9D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2023-09-21T16:33:44Z</dcterms:created>
  <dcterms:modified xsi:type="dcterms:W3CDTF">2023-09-21T16:33:44Z</dcterms:modified>
</cp:coreProperties>
</file>