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20" w:lineRule="exact"/>
        <w:rPr>
          <w:sz w:val="24"/>
          <w:szCs w:val="24"/>
          <w:color w:val="auto"/>
        </w:rPr>
      </w:pPr>
    </w:p>
    <w:p>
      <w:pPr>
        <w:jc w:val="center"/>
        <w:spacing w:after="0"/>
        <w:rPr>
          <w:sz w:val="20"/>
          <w:szCs w:val="20"/>
          <w:color w:val="auto"/>
        </w:rPr>
      </w:pPr>
      <w:r>
        <w:rPr>
          <w:rFonts w:ascii="Arial" w:cs="Arial" w:eastAsia="Arial" w:hAnsi="Arial"/>
          <w:sz w:val="30"/>
          <w:szCs w:val="30"/>
          <w:b w:val="1"/>
          <w:bCs w:val="1"/>
          <w:color w:val="auto"/>
        </w:rPr>
        <w:t>UNITED STATES</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30"/>
          <w:szCs w:val="30"/>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2749550</wp:posOffset>
            </wp:positionH>
            <wp:positionV relativeFrom="paragraph">
              <wp:posOffset>80010</wp:posOffset>
            </wp:positionV>
            <wp:extent cx="17659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65935" cy="8255"/>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0"/>
          <w:szCs w:val="30"/>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2749550</wp:posOffset>
            </wp:positionH>
            <wp:positionV relativeFrom="paragraph">
              <wp:posOffset>100965</wp:posOffset>
            </wp:positionV>
            <wp:extent cx="17659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65935" cy="8255"/>
                    </a:xfrm>
                    <a:prstGeom prst="rect">
                      <a:avLst/>
                    </a:prstGeom>
                    <a:noFill/>
                  </pic:spPr>
                </pic:pic>
              </a:graphicData>
            </a:graphic>
          </wp:anchor>
        </w:drawing>
      </w:r>
    </w:p>
    <w:p>
      <w:pPr>
        <w:spacing w:after="0" w:line="396" w:lineRule="exact"/>
        <w:rPr>
          <w:sz w:val="24"/>
          <w:szCs w:val="24"/>
          <w:color w:val="auto"/>
        </w:rPr>
      </w:pPr>
    </w:p>
    <w:p>
      <w:pPr>
        <w:ind w:left="380" w:hanging="354"/>
        <w:spacing w:after="0"/>
        <w:tabs>
          <w:tab w:leader="none" w:pos="380" w:val="left"/>
        </w:tabs>
        <w:numPr>
          <w:ilvl w:val="0"/>
          <w:numId w:val="1"/>
        </w:numPr>
        <w:rPr>
          <w:rFonts w:ascii="MS PGothic" w:cs="MS PGothic" w:eastAsia="MS PGothic" w:hAnsi="MS PGothic"/>
          <w:sz w:val="20"/>
          <w:szCs w:val="20"/>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76" w:lineRule="exact"/>
        <w:rPr>
          <w:rFonts w:ascii="MS PGothic" w:cs="MS PGothic" w:eastAsia="MS PGothic" w:hAnsi="MS PGothic"/>
          <w:sz w:val="20"/>
          <w:szCs w:val="20"/>
          <w:color w:val="auto"/>
        </w:rPr>
      </w:pPr>
    </w:p>
    <w:p>
      <w:pPr>
        <w:ind w:left="4020"/>
        <w:spacing w:after="0"/>
        <w:rPr>
          <w:rFonts w:ascii="MS PGothic" w:cs="MS PGothic" w:eastAsia="MS PGothic" w:hAnsi="MS PGothic"/>
          <w:sz w:val="20"/>
          <w:szCs w:val="20"/>
          <w:color w:val="auto"/>
        </w:rPr>
      </w:pPr>
      <w:r>
        <w:rPr>
          <w:rFonts w:ascii="Arial" w:cs="Arial" w:eastAsia="Arial" w:hAnsi="Arial"/>
          <w:sz w:val="17"/>
          <w:szCs w:val="17"/>
          <w:b w:val="1"/>
          <w:bCs w:val="1"/>
          <w:color w:val="auto"/>
        </w:rPr>
        <w:t>For the quarterly period ended March 31, 2017</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OR</w:t>
      </w:r>
    </w:p>
    <w:p>
      <w:pPr>
        <w:spacing w:after="0" w:line="153" w:lineRule="exact"/>
        <w:rPr>
          <w:sz w:val="24"/>
          <w:szCs w:val="24"/>
          <w:color w:val="auto"/>
        </w:rPr>
      </w:pPr>
    </w:p>
    <w:p>
      <w:pPr>
        <w:ind w:left="380" w:hanging="354"/>
        <w:spacing w:after="0"/>
        <w:tabs>
          <w:tab w:leader="none" w:pos="380" w:val="left"/>
        </w:tabs>
        <w:numPr>
          <w:ilvl w:val="0"/>
          <w:numId w:val="2"/>
        </w:numPr>
        <w:rPr>
          <w:rFonts w:ascii="Arial" w:cs="Arial" w:eastAsia="Arial" w:hAnsi="Arial"/>
          <w:sz w:val="20"/>
          <w:szCs w:val="20"/>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76" w:lineRule="exact"/>
        <w:rPr>
          <w:sz w:val="24"/>
          <w:szCs w:val="24"/>
          <w:color w:val="auto"/>
        </w:rPr>
      </w:pPr>
    </w:p>
    <w:p>
      <w:pPr>
        <w:ind w:left="3700"/>
        <w:spacing w:after="0"/>
        <w:tabs>
          <w:tab w:leader="none" w:pos="6720" w:val="left"/>
        </w:tabs>
        <w:rPr>
          <w:sz w:val="20"/>
          <w:szCs w:val="20"/>
          <w:color w:val="auto"/>
        </w:rPr>
      </w:pPr>
      <w:r>
        <w:rPr>
          <w:rFonts w:ascii="Arial" w:cs="Arial" w:eastAsia="Arial" w:hAnsi="Arial"/>
          <w:sz w:val="17"/>
          <w:szCs w:val="17"/>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56"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Commission file number: 0-12255</w:t>
      </w:r>
    </w:p>
    <w:p>
      <w:pPr>
        <w:spacing w:after="0" w:line="200" w:lineRule="exact"/>
        <w:rPr>
          <w:sz w:val="24"/>
          <w:szCs w:val="24"/>
          <w:color w:val="auto"/>
        </w:rPr>
      </w:pPr>
    </w:p>
    <w:p>
      <w:pPr>
        <w:spacing w:after="0" w:line="240" w:lineRule="exact"/>
        <w:rPr>
          <w:sz w:val="24"/>
          <w:szCs w:val="24"/>
          <w:color w:val="auto"/>
        </w:rPr>
      </w:pPr>
    </w:p>
    <w:p>
      <w:pPr>
        <w:jc w:val="center"/>
        <w:spacing w:after="0"/>
        <w:rPr>
          <w:sz w:val="20"/>
          <w:szCs w:val="20"/>
          <w:color w:val="auto"/>
        </w:rPr>
      </w:pPr>
      <w:r>
        <w:rPr>
          <w:rFonts w:ascii="Arial" w:cs="Arial" w:eastAsia="Arial" w:hAnsi="Arial"/>
          <w:sz w:val="39"/>
          <w:szCs w:val="39"/>
          <w:b w:val="1"/>
          <w:bCs w:val="1"/>
          <w:color w:val="auto"/>
        </w:rPr>
        <w:t>YRC Worldwide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2749550</wp:posOffset>
            </wp:positionH>
            <wp:positionV relativeFrom="paragraph">
              <wp:posOffset>-269875</wp:posOffset>
            </wp:positionV>
            <wp:extent cx="17659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65935" cy="8255"/>
                    </a:xfrm>
                    <a:prstGeom prst="rect">
                      <a:avLst/>
                    </a:prstGeom>
                    <a:noFill/>
                  </pic:spPr>
                </pic:pic>
              </a:graphicData>
            </a:graphic>
          </wp:anchor>
        </w:drawing>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2749550</wp:posOffset>
            </wp:positionH>
            <wp:positionV relativeFrom="paragraph">
              <wp:posOffset>90170</wp:posOffset>
            </wp:positionV>
            <wp:extent cx="17659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65935" cy="8255"/>
                    </a:xfrm>
                    <a:prstGeom prst="rect">
                      <a:avLst/>
                    </a:prstGeom>
                    <a:noFill/>
                  </pic:spPr>
                </pic:pic>
              </a:graphicData>
            </a:graphic>
          </wp:anchor>
        </w:drawing>
      </w:r>
    </w:p>
    <w:p>
      <w:pPr>
        <w:spacing w:after="0" w:line="200" w:lineRule="exact"/>
        <w:rPr>
          <w:sz w:val="24"/>
          <w:szCs w:val="24"/>
          <w:color w:val="auto"/>
        </w:rPr>
      </w:pPr>
    </w:p>
    <w:p>
      <w:pPr>
        <w:spacing w:after="0" w:line="383" w:lineRule="exact"/>
        <w:rPr>
          <w:sz w:val="24"/>
          <w:szCs w:val="24"/>
          <w:color w:val="auto"/>
        </w:rPr>
      </w:pPr>
    </w:p>
    <w:tbl>
      <w:tblPr>
        <w:tblLayout w:type="fixed"/>
        <w:tblInd w:w="1260" w:type="dxa"/>
        <w:tblCellMar>
          <w:top w:w="0" w:type="dxa"/>
          <w:left w:w="0" w:type="dxa"/>
          <w:bottom w:w="0" w:type="dxa"/>
          <w:right w:w="0" w:type="dxa"/>
        </w:tblCellMar>
      </w:tblPr>
      <w:tr>
        <w:trPr>
          <w:trHeight w:val="217"/>
        </w:trPr>
        <w:tc>
          <w:tcPr>
            <w:tcW w:w="6360" w:type="dxa"/>
            <w:vAlign w:val="bottom"/>
          </w:tcPr>
          <w:p>
            <w:pPr>
              <w:jc w:val="center"/>
              <w:ind w:right="3205"/>
              <w:spacing w:after="0"/>
              <w:rPr>
                <w:sz w:val="20"/>
                <w:szCs w:val="20"/>
                <w:color w:val="auto"/>
              </w:rPr>
            </w:pPr>
            <w:r>
              <w:rPr>
                <w:rFonts w:ascii="Arial" w:cs="Arial" w:eastAsia="Arial" w:hAnsi="Arial"/>
                <w:sz w:val="17"/>
                <w:szCs w:val="17"/>
                <w:b w:val="1"/>
                <w:bCs w:val="1"/>
                <w:color w:val="auto"/>
                <w:w w:val="91"/>
              </w:rPr>
              <w:t>Delaware</w:t>
            </w:r>
          </w:p>
        </w:tc>
        <w:tc>
          <w:tcPr>
            <w:tcW w:w="1460" w:type="dxa"/>
            <w:vAlign w:val="bottom"/>
          </w:tcPr>
          <w:p>
            <w:pPr>
              <w:jc w:val="right"/>
              <w:ind w:right="46"/>
              <w:spacing w:after="0"/>
              <w:rPr>
                <w:sz w:val="20"/>
                <w:szCs w:val="20"/>
                <w:color w:val="auto"/>
              </w:rPr>
            </w:pPr>
            <w:r>
              <w:rPr>
                <w:rFonts w:ascii="Arial" w:cs="Arial" w:eastAsia="Arial" w:hAnsi="Arial"/>
                <w:sz w:val="17"/>
                <w:szCs w:val="17"/>
                <w:b w:val="1"/>
                <w:bCs w:val="1"/>
                <w:color w:val="auto"/>
              </w:rPr>
              <w:t>48-0948788</w:t>
            </w:r>
          </w:p>
        </w:tc>
      </w:tr>
      <w:tr>
        <w:trPr>
          <w:trHeight w:val="169"/>
        </w:trPr>
        <w:tc>
          <w:tcPr>
            <w:tcW w:w="6360" w:type="dxa"/>
            <w:vAlign w:val="bottom"/>
          </w:tcPr>
          <w:p>
            <w:pPr>
              <w:jc w:val="center"/>
              <w:ind w:right="3205"/>
              <w:spacing w:after="0"/>
              <w:rPr>
                <w:sz w:val="20"/>
                <w:szCs w:val="20"/>
                <w:color w:val="auto"/>
              </w:rPr>
            </w:pPr>
            <w:r>
              <w:rPr>
                <w:rFonts w:ascii="Arial" w:cs="Arial" w:eastAsia="Arial" w:hAnsi="Arial"/>
                <w:sz w:val="13"/>
                <w:szCs w:val="13"/>
                <w:b w:val="1"/>
                <w:bCs w:val="1"/>
                <w:color w:val="auto"/>
                <w:w w:val="94"/>
              </w:rPr>
              <w:t>(State or other jurisdiction of</w:t>
            </w:r>
          </w:p>
        </w:tc>
        <w:tc>
          <w:tcPr>
            <w:tcW w:w="1460" w:type="dxa"/>
            <w:vAlign w:val="bottom"/>
          </w:tcPr>
          <w:p>
            <w:pPr>
              <w:jc w:val="center"/>
              <w:ind w:left="326"/>
              <w:spacing w:after="0"/>
              <w:rPr>
                <w:sz w:val="20"/>
                <w:szCs w:val="20"/>
                <w:color w:val="auto"/>
              </w:rPr>
            </w:pPr>
            <w:r>
              <w:rPr>
                <w:rFonts w:ascii="Arial" w:cs="Arial" w:eastAsia="Arial" w:hAnsi="Arial"/>
                <w:sz w:val="13"/>
                <w:szCs w:val="13"/>
                <w:b w:val="1"/>
                <w:bCs w:val="1"/>
                <w:color w:val="auto"/>
                <w:w w:val="98"/>
              </w:rPr>
              <w:t>(I.R.S. Employer</w:t>
            </w:r>
          </w:p>
        </w:tc>
      </w:tr>
      <w:tr>
        <w:trPr>
          <w:trHeight w:val="174"/>
        </w:trPr>
        <w:tc>
          <w:tcPr>
            <w:tcW w:w="6360" w:type="dxa"/>
            <w:vAlign w:val="bottom"/>
          </w:tcPr>
          <w:p>
            <w:pPr>
              <w:jc w:val="center"/>
              <w:ind w:right="3225"/>
              <w:spacing w:after="0"/>
              <w:rPr>
                <w:sz w:val="20"/>
                <w:szCs w:val="20"/>
                <w:color w:val="auto"/>
              </w:rPr>
            </w:pPr>
            <w:r>
              <w:rPr>
                <w:rFonts w:ascii="Arial" w:cs="Arial" w:eastAsia="Arial" w:hAnsi="Arial"/>
                <w:sz w:val="13"/>
                <w:szCs w:val="13"/>
                <w:b w:val="1"/>
                <w:bCs w:val="1"/>
                <w:color w:val="auto"/>
                <w:w w:val="93"/>
              </w:rPr>
              <w:t>incorporation or organization)</w:t>
            </w:r>
          </w:p>
        </w:tc>
        <w:tc>
          <w:tcPr>
            <w:tcW w:w="1460" w:type="dxa"/>
            <w:vAlign w:val="bottom"/>
          </w:tcPr>
          <w:p>
            <w:pPr>
              <w:jc w:val="center"/>
              <w:ind w:left="326"/>
              <w:spacing w:after="0"/>
              <w:rPr>
                <w:sz w:val="20"/>
                <w:szCs w:val="20"/>
                <w:color w:val="auto"/>
              </w:rPr>
            </w:pPr>
            <w:r>
              <w:rPr>
                <w:rFonts w:ascii="Arial" w:cs="Arial" w:eastAsia="Arial" w:hAnsi="Arial"/>
                <w:sz w:val="13"/>
                <w:szCs w:val="13"/>
                <w:b w:val="1"/>
                <w:bCs w:val="1"/>
                <w:color w:val="auto"/>
                <w:w w:val="96"/>
              </w:rPr>
              <w:t>Identification No.)</w:t>
            </w:r>
          </w:p>
        </w:tc>
      </w:tr>
      <w:tr>
        <w:trPr>
          <w:trHeight w:val="350"/>
        </w:trPr>
        <w:tc>
          <w:tcPr>
            <w:tcW w:w="6360" w:type="dxa"/>
            <w:vAlign w:val="bottom"/>
          </w:tcPr>
          <w:p>
            <w:pPr>
              <w:jc w:val="center"/>
              <w:ind w:right="3205"/>
              <w:spacing w:after="0"/>
              <w:rPr>
                <w:sz w:val="20"/>
                <w:szCs w:val="20"/>
                <w:color w:val="auto"/>
              </w:rPr>
            </w:pPr>
            <w:r>
              <w:rPr>
                <w:rFonts w:ascii="Arial" w:cs="Arial" w:eastAsia="Arial" w:hAnsi="Arial"/>
                <w:sz w:val="17"/>
                <w:szCs w:val="17"/>
                <w:b w:val="1"/>
                <w:bCs w:val="1"/>
                <w:color w:val="auto"/>
                <w:w w:val="89"/>
              </w:rPr>
              <w:t>10990 Roe Avenue, Overland Park, Kansas</w:t>
            </w:r>
          </w:p>
        </w:tc>
        <w:tc>
          <w:tcPr>
            <w:tcW w:w="1460" w:type="dxa"/>
            <w:vAlign w:val="bottom"/>
          </w:tcPr>
          <w:p>
            <w:pPr>
              <w:jc w:val="right"/>
              <w:ind w:right="246"/>
              <w:spacing w:after="0"/>
              <w:rPr>
                <w:sz w:val="20"/>
                <w:szCs w:val="20"/>
                <w:color w:val="auto"/>
              </w:rPr>
            </w:pPr>
            <w:r>
              <w:rPr>
                <w:rFonts w:ascii="Arial" w:cs="Arial" w:eastAsia="Arial" w:hAnsi="Arial"/>
                <w:sz w:val="17"/>
                <w:szCs w:val="17"/>
                <w:b w:val="1"/>
                <w:bCs w:val="1"/>
                <w:color w:val="auto"/>
              </w:rPr>
              <w:t>66211</w:t>
            </w:r>
          </w:p>
        </w:tc>
      </w:tr>
      <w:tr>
        <w:trPr>
          <w:trHeight w:val="204"/>
        </w:trPr>
        <w:tc>
          <w:tcPr>
            <w:tcW w:w="6360" w:type="dxa"/>
            <w:vAlign w:val="bottom"/>
          </w:tcPr>
          <w:p>
            <w:pPr>
              <w:jc w:val="center"/>
              <w:ind w:right="3225"/>
              <w:spacing w:after="0"/>
              <w:rPr>
                <w:sz w:val="20"/>
                <w:szCs w:val="20"/>
                <w:color w:val="auto"/>
              </w:rPr>
            </w:pPr>
            <w:r>
              <w:rPr>
                <w:rFonts w:ascii="Arial" w:cs="Arial" w:eastAsia="Arial" w:hAnsi="Arial"/>
                <w:sz w:val="13"/>
                <w:szCs w:val="13"/>
                <w:b w:val="1"/>
                <w:bCs w:val="1"/>
                <w:color w:val="auto"/>
                <w:w w:val="91"/>
              </w:rPr>
              <w:t>(Address of principal executive offices)</w:t>
            </w:r>
          </w:p>
        </w:tc>
        <w:tc>
          <w:tcPr>
            <w:tcW w:w="1460" w:type="dxa"/>
            <w:vAlign w:val="bottom"/>
          </w:tcPr>
          <w:p>
            <w:pPr>
              <w:jc w:val="center"/>
              <w:ind w:left="326"/>
              <w:spacing w:after="0"/>
              <w:rPr>
                <w:sz w:val="20"/>
                <w:szCs w:val="20"/>
                <w:color w:val="auto"/>
              </w:rPr>
            </w:pPr>
            <w:r>
              <w:rPr>
                <w:rFonts w:ascii="Arial" w:cs="Arial" w:eastAsia="Arial" w:hAnsi="Arial"/>
                <w:sz w:val="13"/>
                <w:szCs w:val="13"/>
                <w:b w:val="1"/>
                <w:bCs w:val="1"/>
                <w:color w:val="auto"/>
                <w:w w:val="96"/>
              </w:rPr>
              <w:t>(Zip Code)</w:t>
            </w:r>
          </w:p>
        </w:tc>
      </w:tr>
      <w:tr>
        <w:trPr>
          <w:trHeight w:val="325"/>
        </w:trPr>
        <w:tc>
          <w:tcPr>
            <w:tcW w:w="6360" w:type="dxa"/>
            <w:vAlign w:val="bottom"/>
          </w:tcPr>
          <w:p>
            <w:pPr>
              <w:jc w:val="center"/>
              <w:ind w:left="2485"/>
              <w:spacing w:after="0"/>
              <w:rPr>
                <w:sz w:val="20"/>
                <w:szCs w:val="20"/>
                <w:color w:val="auto"/>
              </w:rPr>
            </w:pPr>
            <w:r>
              <w:rPr>
                <w:rFonts w:ascii="Arial" w:cs="Arial" w:eastAsia="Arial" w:hAnsi="Arial"/>
                <w:sz w:val="17"/>
                <w:szCs w:val="17"/>
                <w:b w:val="1"/>
                <w:bCs w:val="1"/>
                <w:color w:val="auto"/>
                <w:w w:val="89"/>
              </w:rPr>
              <w:t>(913) 696-6100</w:t>
            </w:r>
          </w:p>
        </w:tc>
        <w:tc>
          <w:tcPr>
            <w:tcW w:w="1460" w:type="dxa"/>
            <w:vAlign w:val="bottom"/>
          </w:tcPr>
          <w:p>
            <w:pPr>
              <w:spacing w:after="0"/>
              <w:rPr>
                <w:sz w:val="24"/>
                <w:szCs w:val="24"/>
                <w:color w:val="auto"/>
              </w:rPr>
            </w:pPr>
          </w:p>
        </w:tc>
      </w:tr>
      <w:tr>
        <w:trPr>
          <w:trHeight w:val="179"/>
        </w:trPr>
        <w:tc>
          <w:tcPr>
            <w:tcW w:w="6360" w:type="dxa"/>
            <w:vAlign w:val="bottom"/>
          </w:tcPr>
          <w:p>
            <w:pPr>
              <w:jc w:val="center"/>
              <w:ind w:left="2465"/>
              <w:spacing w:after="0"/>
              <w:rPr>
                <w:sz w:val="20"/>
                <w:szCs w:val="20"/>
                <w:color w:val="auto"/>
              </w:rPr>
            </w:pPr>
            <w:r>
              <w:rPr>
                <w:rFonts w:ascii="Arial" w:cs="Arial" w:eastAsia="Arial" w:hAnsi="Arial"/>
                <w:sz w:val="13"/>
                <w:szCs w:val="13"/>
                <w:b w:val="1"/>
                <w:bCs w:val="1"/>
                <w:color w:val="auto"/>
                <w:w w:val="91"/>
              </w:rPr>
              <w:t>(Registrant’s telephone number, including area code)</w:t>
            </w:r>
          </w:p>
        </w:tc>
        <w:tc>
          <w:tcPr>
            <w:tcW w:w="1460" w:type="dxa"/>
            <w:vAlign w:val="bottom"/>
          </w:tcPr>
          <w:p>
            <w:pPr>
              <w:spacing w:after="0"/>
              <w:rPr>
                <w:sz w:val="15"/>
                <w:szCs w:val="15"/>
                <w:color w:val="auto"/>
              </w:rPr>
            </w:pPr>
          </w:p>
        </w:tc>
      </w:tr>
      <w:tr>
        <w:trPr>
          <w:trHeight w:val="224"/>
        </w:trPr>
        <w:tc>
          <w:tcPr>
            <w:tcW w:w="6360" w:type="dxa"/>
            <w:vAlign w:val="bottom"/>
          </w:tcPr>
          <w:p>
            <w:pPr>
              <w:jc w:val="center"/>
              <w:ind w:left="2465"/>
              <w:spacing w:after="0"/>
              <w:rPr>
                <w:sz w:val="20"/>
                <w:szCs w:val="20"/>
                <w:color w:val="auto"/>
              </w:rPr>
            </w:pPr>
            <w:r>
              <w:rPr>
                <w:rFonts w:ascii="Arial" w:cs="Arial" w:eastAsia="Arial" w:hAnsi="Arial"/>
                <w:sz w:val="17"/>
                <w:szCs w:val="17"/>
                <w:b w:val="1"/>
                <w:bCs w:val="1"/>
                <w:color w:val="auto"/>
                <w:w w:val="89"/>
              </w:rPr>
              <w:t>None</w:t>
            </w:r>
          </w:p>
        </w:tc>
        <w:tc>
          <w:tcPr>
            <w:tcW w:w="1460" w:type="dxa"/>
            <w:vAlign w:val="bottom"/>
          </w:tcPr>
          <w:p>
            <w:pPr>
              <w:spacing w:after="0"/>
              <w:rPr>
                <w:sz w:val="19"/>
                <w:szCs w:val="19"/>
                <w:color w:val="auto"/>
              </w:rPr>
            </w:pPr>
          </w:p>
        </w:tc>
      </w:tr>
    </w:tbl>
    <w:p>
      <w:pPr>
        <w:spacing w:after="0" w:line="5"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2749550</wp:posOffset>
            </wp:positionH>
            <wp:positionV relativeFrom="paragraph">
              <wp:posOffset>293370</wp:posOffset>
            </wp:positionV>
            <wp:extent cx="17659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65935" cy="8255"/>
                    </a:xfrm>
                    <a:prstGeom prst="rect">
                      <a:avLst/>
                    </a:prstGeom>
                    <a:noFill/>
                  </pic:spPr>
                </pic:pic>
              </a:graphicData>
            </a:graphic>
          </wp:anchor>
        </w:drawing>
      </w:r>
    </w:p>
    <w:p>
      <w:pPr>
        <w:spacing w:after="0" w:line="200" w:lineRule="exact"/>
        <w:rPr>
          <w:sz w:val="24"/>
          <w:szCs w:val="24"/>
          <w:color w:val="auto"/>
        </w:rPr>
      </w:pPr>
    </w:p>
    <w:p>
      <w:pPr>
        <w:spacing w:after="0" w:line="293" w:lineRule="exact"/>
        <w:rPr>
          <w:sz w:val="24"/>
          <w:szCs w:val="24"/>
          <w:color w:val="auto"/>
        </w:rPr>
      </w:pPr>
    </w:p>
    <w:p>
      <w:pPr>
        <w:jc w:val="both"/>
        <w:spacing w:after="0" w:line="211"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o</w:t>
      </w:r>
    </w:p>
    <w:p>
      <w:pPr>
        <w:spacing w:after="0" w:line="72" w:lineRule="exact"/>
        <w:rPr>
          <w:sz w:val="24"/>
          <w:szCs w:val="24"/>
          <w:color w:val="auto"/>
        </w:rPr>
      </w:pPr>
    </w:p>
    <w:p>
      <w:pPr>
        <w:jc w:val="both"/>
        <w:spacing w:after="0" w:line="211" w:lineRule="exact"/>
        <w:rPr>
          <w:sz w:val="20"/>
          <w:szCs w:val="20"/>
          <w:color w:val="auto"/>
        </w:rPr>
      </w:pPr>
      <w:r>
        <w:rPr>
          <w:rFonts w:ascii="Arial" w:cs="Arial" w:eastAsia="Arial" w:hAnsi="Arial"/>
          <w:sz w:val="17"/>
          <w:szCs w:val="17"/>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o</w:t>
      </w:r>
    </w:p>
    <w:p>
      <w:pPr>
        <w:spacing w:after="0" w:line="72" w:lineRule="exact"/>
        <w:rPr>
          <w:sz w:val="24"/>
          <w:szCs w:val="24"/>
          <w:color w:val="auto"/>
        </w:rPr>
      </w:pPr>
    </w:p>
    <w:p>
      <w:pPr>
        <w:jc w:val="both"/>
        <w:spacing w:after="0" w:line="25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2" w:lineRule="exact"/>
        <w:rPr>
          <w:sz w:val="24"/>
          <w:szCs w:val="24"/>
          <w:color w:val="auto"/>
        </w:rPr>
      </w:pPr>
    </w:p>
    <w:tbl>
      <w:tblPr>
        <w:tblLayout w:type="fixed"/>
        <w:tblInd w:w="20" w:type="dxa"/>
        <w:tblCellMar>
          <w:top w:w="0" w:type="dxa"/>
          <w:left w:w="0" w:type="dxa"/>
          <w:bottom w:w="0" w:type="dxa"/>
          <w:right w:w="0" w:type="dxa"/>
        </w:tblCellMar>
      </w:tblPr>
      <w:tr>
        <w:trPr>
          <w:trHeight w:val="264"/>
        </w:trPr>
        <w:tc>
          <w:tcPr>
            <w:tcW w:w="2360" w:type="dxa"/>
            <w:vAlign w:val="bottom"/>
            <w:vMerge w:val="restart"/>
          </w:tcPr>
          <w:p>
            <w:pPr>
              <w:spacing w:after="0"/>
              <w:rPr>
                <w:sz w:val="20"/>
                <w:szCs w:val="20"/>
                <w:color w:val="auto"/>
              </w:rPr>
            </w:pPr>
            <w:r>
              <w:rPr>
                <w:rFonts w:ascii="Arial" w:cs="Arial" w:eastAsia="Arial" w:hAnsi="Arial"/>
                <w:sz w:val="17"/>
                <w:szCs w:val="17"/>
                <w:color w:val="auto"/>
              </w:rPr>
              <w:t>Large accelerated filer</w:t>
            </w:r>
          </w:p>
        </w:tc>
        <w:tc>
          <w:tcPr>
            <w:tcW w:w="4840" w:type="dxa"/>
            <w:vAlign w:val="bottom"/>
          </w:tcPr>
          <w:p>
            <w:pPr>
              <w:ind w:left="860"/>
              <w:spacing w:after="0"/>
              <w:rPr>
                <w:sz w:val="20"/>
                <w:szCs w:val="20"/>
                <w:color w:val="auto"/>
              </w:rPr>
            </w:pPr>
            <w:r>
              <w:rPr>
                <w:rFonts w:ascii="Arial" w:cs="Arial" w:eastAsia="Arial" w:hAnsi="Arial"/>
                <w:sz w:val="17"/>
                <w:szCs w:val="17"/>
                <w:color w:val="auto"/>
              </w:rPr>
              <w:t>o</w:t>
            </w:r>
          </w:p>
        </w:tc>
        <w:tc>
          <w:tcPr>
            <w:tcW w:w="3220" w:type="dxa"/>
            <w:vAlign w:val="bottom"/>
            <w:vMerge w:val="restart"/>
          </w:tcPr>
          <w:p>
            <w:pPr>
              <w:ind w:left="700"/>
              <w:spacing w:after="0"/>
              <w:rPr>
                <w:sz w:val="20"/>
                <w:szCs w:val="20"/>
                <w:color w:val="auto"/>
              </w:rPr>
            </w:pPr>
            <w:r>
              <w:rPr>
                <w:rFonts w:ascii="Arial" w:cs="Arial" w:eastAsia="Arial" w:hAnsi="Arial"/>
                <w:sz w:val="17"/>
                <w:szCs w:val="17"/>
                <w:color w:val="auto"/>
              </w:rPr>
              <w:t>Accelerated filer</w:t>
            </w:r>
          </w:p>
        </w:tc>
        <w:tc>
          <w:tcPr>
            <w:tcW w:w="820" w:type="dxa"/>
            <w:vAlign w:val="bottom"/>
          </w:tcPr>
          <w:p>
            <w:pPr>
              <w:ind w:left="680"/>
              <w:spacing w:after="0" w:line="171" w:lineRule="exact"/>
              <w:rPr>
                <w:sz w:val="20"/>
                <w:szCs w:val="20"/>
                <w:color w:val="auto"/>
              </w:rPr>
            </w:pPr>
            <w:r>
              <w:rPr>
                <w:rFonts w:ascii="MS PGothic" w:cs="MS PGothic" w:eastAsia="MS PGothic" w:hAnsi="MS PGothic"/>
                <w:sz w:val="17"/>
                <w:szCs w:val="17"/>
                <w:color w:val="auto"/>
                <w:w w:val="70"/>
              </w:rPr>
              <w:t>☒</w:t>
            </w:r>
          </w:p>
        </w:tc>
        <w:tc>
          <w:tcPr>
            <w:tcW w:w="0" w:type="dxa"/>
            <w:vAlign w:val="bottom"/>
          </w:tcPr>
          <w:p>
            <w:pPr>
              <w:spacing w:after="0"/>
              <w:rPr>
                <w:sz w:val="1"/>
                <w:szCs w:val="1"/>
                <w:color w:val="auto"/>
              </w:rPr>
            </w:pPr>
          </w:p>
        </w:tc>
      </w:tr>
      <w:tr>
        <w:trPr>
          <w:trHeight w:val="83"/>
        </w:trPr>
        <w:tc>
          <w:tcPr>
            <w:tcW w:w="2360" w:type="dxa"/>
            <w:vAlign w:val="bottom"/>
            <w:vMerge w:val="continue"/>
          </w:tcPr>
          <w:p>
            <w:pPr>
              <w:spacing w:after="0"/>
              <w:rPr>
                <w:sz w:val="7"/>
                <w:szCs w:val="7"/>
                <w:color w:val="auto"/>
              </w:rPr>
            </w:pPr>
          </w:p>
        </w:tc>
        <w:tc>
          <w:tcPr>
            <w:tcW w:w="4840" w:type="dxa"/>
            <w:vAlign w:val="bottom"/>
          </w:tcPr>
          <w:p>
            <w:pPr>
              <w:spacing w:after="0"/>
              <w:rPr>
                <w:sz w:val="7"/>
                <w:szCs w:val="7"/>
                <w:color w:val="auto"/>
              </w:rPr>
            </w:pPr>
          </w:p>
        </w:tc>
        <w:tc>
          <w:tcPr>
            <w:tcW w:w="32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66"/>
        </w:trPr>
        <w:tc>
          <w:tcPr>
            <w:tcW w:w="2360" w:type="dxa"/>
            <w:vAlign w:val="bottom"/>
          </w:tcPr>
          <w:p>
            <w:pPr>
              <w:spacing w:after="0"/>
              <w:rPr>
                <w:sz w:val="20"/>
                <w:szCs w:val="20"/>
                <w:color w:val="auto"/>
              </w:rPr>
            </w:pPr>
            <w:r>
              <w:rPr>
                <w:rFonts w:ascii="Arial" w:cs="Arial" w:eastAsia="Arial" w:hAnsi="Arial"/>
                <w:sz w:val="17"/>
                <w:szCs w:val="17"/>
                <w:color w:val="auto"/>
              </w:rPr>
              <w:t>Non-accelerated filer</w:t>
            </w:r>
          </w:p>
        </w:tc>
        <w:tc>
          <w:tcPr>
            <w:tcW w:w="4840" w:type="dxa"/>
            <w:vAlign w:val="bottom"/>
          </w:tcPr>
          <w:p>
            <w:pPr>
              <w:ind w:left="860"/>
              <w:spacing w:after="0"/>
              <w:rPr>
                <w:sz w:val="20"/>
                <w:szCs w:val="20"/>
                <w:color w:val="auto"/>
              </w:rPr>
            </w:pPr>
            <w:r>
              <w:rPr>
                <w:rFonts w:ascii="Arial" w:cs="Arial" w:eastAsia="Arial" w:hAnsi="Arial"/>
                <w:sz w:val="17"/>
                <w:szCs w:val="17"/>
                <w:color w:val="auto"/>
              </w:rPr>
              <w:t>o (Do not check if a smaller reporting company)</w:t>
            </w:r>
          </w:p>
        </w:tc>
        <w:tc>
          <w:tcPr>
            <w:tcW w:w="3220" w:type="dxa"/>
            <w:vAlign w:val="bottom"/>
          </w:tcPr>
          <w:p>
            <w:pPr>
              <w:ind w:left="700"/>
              <w:spacing w:after="0"/>
              <w:rPr>
                <w:sz w:val="20"/>
                <w:szCs w:val="20"/>
                <w:color w:val="auto"/>
              </w:rPr>
            </w:pPr>
            <w:r>
              <w:rPr>
                <w:rFonts w:ascii="Arial" w:cs="Arial" w:eastAsia="Arial" w:hAnsi="Arial"/>
                <w:sz w:val="17"/>
                <w:szCs w:val="17"/>
                <w:color w:val="auto"/>
              </w:rPr>
              <w:t>Smaller reporting company</w:t>
            </w:r>
          </w:p>
        </w:tc>
        <w:tc>
          <w:tcPr>
            <w:tcW w:w="820" w:type="dxa"/>
            <w:vAlign w:val="bottom"/>
          </w:tcPr>
          <w:p>
            <w:pPr>
              <w:ind w:left="680"/>
              <w:spacing w:after="0"/>
              <w:rPr>
                <w:sz w:val="20"/>
                <w:szCs w:val="20"/>
                <w:color w:val="auto"/>
              </w:rPr>
            </w:pPr>
            <w:r>
              <w:rPr>
                <w:rFonts w:ascii="Arial" w:cs="Arial" w:eastAsia="Arial" w:hAnsi="Arial"/>
                <w:sz w:val="17"/>
                <w:szCs w:val="17"/>
                <w:color w:val="auto"/>
              </w:rPr>
              <w:t>o</w:t>
            </w:r>
          </w:p>
        </w:tc>
        <w:tc>
          <w:tcPr>
            <w:tcW w:w="0" w:type="dxa"/>
            <w:vAlign w:val="bottom"/>
          </w:tcPr>
          <w:p>
            <w:pPr>
              <w:spacing w:after="0"/>
              <w:rPr>
                <w:sz w:val="1"/>
                <w:szCs w:val="1"/>
                <w:color w:val="auto"/>
              </w:rPr>
            </w:pPr>
          </w:p>
        </w:tc>
      </w:tr>
      <w:tr>
        <w:trPr>
          <w:trHeight w:val="365"/>
        </w:trPr>
        <w:tc>
          <w:tcPr>
            <w:tcW w:w="236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3220" w:type="dxa"/>
            <w:vAlign w:val="bottom"/>
          </w:tcPr>
          <w:p>
            <w:pPr>
              <w:ind w:left="700"/>
              <w:spacing w:after="0"/>
              <w:rPr>
                <w:sz w:val="20"/>
                <w:szCs w:val="20"/>
                <w:color w:val="auto"/>
              </w:rPr>
            </w:pPr>
            <w:r>
              <w:rPr>
                <w:rFonts w:ascii="Arial" w:cs="Arial" w:eastAsia="Arial" w:hAnsi="Arial"/>
                <w:sz w:val="17"/>
                <w:szCs w:val="17"/>
                <w:color w:val="auto"/>
              </w:rPr>
              <w:t>Emerging growth company</w:t>
            </w:r>
          </w:p>
        </w:tc>
        <w:tc>
          <w:tcPr>
            <w:tcW w:w="820" w:type="dxa"/>
            <w:vAlign w:val="bottom"/>
          </w:tcPr>
          <w:p>
            <w:pPr>
              <w:ind w:left="680"/>
              <w:spacing w:after="0"/>
              <w:rPr>
                <w:sz w:val="20"/>
                <w:szCs w:val="20"/>
                <w:color w:val="auto"/>
              </w:rPr>
            </w:pPr>
            <w:r>
              <w:rPr>
                <w:rFonts w:ascii="Arial" w:cs="Arial" w:eastAsia="Arial" w:hAnsi="Arial"/>
                <w:sz w:val="17"/>
                <w:szCs w:val="17"/>
                <w:color w:val="auto"/>
              </w:rPr>
              <w:t>o</w:t>
            </w:r>
          </w:p>
        </w:tc>
        <w:tc>
          <w:tcPr>
            <w:tcW w:w="0" w:type="dxa"/>
            <w:vAlign w:val="bottom"/>
          </w:tcPr>
          <w:p>
            <w:pPr>
              <w:spacing w:after="0"/>
              <w:rPr>
                <w:sz w:val="1"/>
                <w:szCs w:val="1"/>
                <w:color w:val="auto"/>
              </w:rPr>
            </w:pPr>
          </w:p>
        </w:tc>
      </w:tr>
    </w:tbl>
    <w:p>
      <w:pPr>
        <w:spacing w:after="0" w:line="63" w:lineRule="exact"/>
        <w:rPr>
          <w:sz w:val="24"/>
          <w:szCs w:val="24"/>
          <w:color w:val="auto"/>
        </w:rPr>
      </w:pPr>
    </w:p>
    <w:p>
      <w:pPr>
        <w:spacing w:after="0" w:line="269" w:lineRule="auto"/>
        <w:rPr>
          <w:sz w:val="20"/>
          <w:szCs w:val="20"/>
          <w:color w:val="auto"/>
        </w:rPr>
      </w:pPr>
      <w:r>
        <w:rPr>
          <w:rFonts w:ascii="Arial" w:cs="Arial" w:eastAsia="Arial" w:hAnsi="Arial"/>
          <w:sz w:val="17"/>
          <w:szCs w:val="17"/>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5"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p>
    <w:p>
      <w:pPr>
        <w:spacing w:after="0" w:line="30" w:lineRule="exact"/>
        <w:rPr>
          <w:sz w:val="24"/>
          <w:szCs w:val="24"/>
          <w:color w:val="auto"/>
        </w:rPr>
      </w:pPr>
    </w:p>
    <w:p>
      <w:pPr>
        <w:spacing w:after="0" w:line="196" w:lineRule="exact"/>
        <w:tabs>
          <w:tab w:leader="none" w:pos="560" w:val="left"/>
        </w:tabs>
        <w:rPr>
          <w:sz w:val="20"/>
          <w:szCs w:val="20"/>
          <w:color w:val="auto"/>
        </w:rPr>
      </w:pPr>
      <w:r>
        <w:rPr>
          <w:rFonts w:ascii="Arial" w:cs="Arial" w:eastAsia="Arial" w:hAnsi="Arial"/>
          <w:sz w:val="17"/>
          <w:szCs w:val="17"/>
          <w:color w:val="auto"/>
        </w:rPr>
        <w:t>Yes o</w:t>
        <w:tab/>
        <w:t xml:space="preserve">No </w:t>
      </w:r>
      <w:r>
        <w:rPr>
          <w:rFonts w:ascii="MS PGothic" w:cs="MS PGothic" w:eastAsia="MS PGothic" w:hAnsi="MS PGothic"/>
          <w:sz w:val="17"/>
          <w:szCs w:val="17"/>
          <w:color w:val="auto"/>
        </w:rPr>
        <w:t>☒</w:t>
      </w:r>
    </w:p>
    <w:p>
      <w:pPr>
        <w:spacing w:after="0" w:line="82" w:lineRule="exact"/>
        <w:rPr>
          <w:sz w:val="24"/>
          <w:szCs w:val="24"/>
          <w:color w:val="auto"/>
        </w:rPr>
      </w:pPr>
    </w:p>
    <w:p>
      <w:pPr>
        <w:spacing w:after="0"/>
        <w:rPr>
          <w:sz w:val="20"/>
          <w:szCs w:val="20"/>
          <w:color w:val="auto"/>
        </w:rPr>
      </w:pPr>
      <w:r>
        <w:rPr>
          <w:rFonts w:ascii="Arial" w:cs="Arial" w:eastAsia="Arial" w:hAnsi="Arial"/>
          <w:sz w:val="17"/>
          <w:szCs w:val="17"/>
          <w:color w:val="auto"/>
        </w:rPr>
        <w:t>Indicate the number of shares outstanding of each of the issuer’s classes of common stock, as of the latest practicable date.</w:t>
      </w:r>
    </w:p>
    <w:p>
      <w:pPr>
        <w:spacing w:after="0" w:line="214" w:lineRule="exact"/>
        <w:rPr>
          <w:sz w:val="24"/>
          <w:szCs w:val="24"/>
          <w:color w:val="auto"/>
        </w:rPr>
      </w:pPr>
    </w:p>
    <w:p>
      <w:pPr>
        <w:ind w:left="2640"/>
        <w:spacing w:after="0"/>
        <w:tabs>
          <w:tab w:leader="none" w:pos="7720" w:val="left"/>
        </w:tabs>
        <w:rPr>
          <w:sz w:val="20"/>
          <w:szCs w:val="20"/>
          <w:color w:val="auto"/>
        </w:rPr>
      </w:pPr>
      <w:r>
        <w:rPr>
          <w:rFonts w:ascii="Arial" w:cs="Arial" w:eastAsia="Arial" w:hAnsi="Arial"/>
          <w:sz w:val="13"/>
          <w:szCs w:val="13"/>
          <w:u w:val="single" w:color="auto"/>
          <w:color w:val="auto"/>
        </w:rPr>
        <w:t>Class</w:t>
      </w:r>
      <w:r>
        <w:rPr>
          <w:sz w:val="20"/>
          <w:szCs w:val="20"/>
          <w:color w:val="auto"/>
        </w:rPr>
        <w:tab/>
      </w:r>
      <w:r>
        <w:rPr>
          <w:rFonts w:ascii="Arial" w:cs="Arial" w:eastAsia="Arial" w:hAnsi="Arial"/>
          <w:sz w:val="13"/>
          <w:szCs w:val="13"/>
          <w:u w:val="single" w:color="auto"/>
          <w:color w:val="auto"/>
        </w:rPr>
        <w:t>Outstanding at April 28, 2017</w:t>
      </w:r>
    </w:p>
    <w:p>
      <w:pPr>
        <w:sectPr>
          <w:pgSz w:w="11900" w:h="16838" w:orient="portrait"/>
          <w:cols w:equalWidth="0" w:num="1">
            <w:col w:w="11420"/>
          </w:cols>
          <w:pgMar w:left="240" w:top="222" w:right="239" w:bottom="1440" w:gutter="0" w:footer="0" w:header="0"/>
        </w:sectPr>
      </w:pPr>
    </w:p>
    <w:p>
      <w:pPr>
        <w:spacing w:after="0" w:line="45" w:lineRule="exact"/>
        <w:rPr>
          <w:sz w:val="24"/>
          <w:szCs w:val="24"/>
          <w:color w:val="auto"/>
        </w:rPr>
      </w:pPr>
    </w:p>
    <w:p>
      <w:pPr>
        <w:ind w:left="1380"/>
        <w:spacing w:after="0"/>
        <w:tabs>
          <w:tab w:leader="none" w:pos="7920" w:val="left"/>
        </w:tabs>
        <w:rPr>
          <w:sz w:val="20"/>
          <w:szCs w:val="20"/>
          <w:color w:val="auto"/>
        </w:rPr>
      </w:pPr>
      <w:r>
        <w:rPr>
          <w:rFonts w:ascii="Arial" w:cs="Arial" w:eastAsia="Arial" w:hAnsi="Arial"/>
          <w:sz w:val="17"/>
          <w:szCs w:val="17"/>
          <w:color w:val="auto"/>
        </w:rPr>
        <w:t>Common Stock, $0.01 par value per share</w:t>
      </w:r>
      <w:r>
        <w:rPr>
          <w:sz w:val="20"/>
          <w:szCs w:val="20"/>
          <w:color w:val="auto"/>
        </w:rPr>
        <w:tab/>
      </w:r>
      <w:r>
        <w:rPr>
          <w:rFonts w:ascii="Arial" w:cs="Arial" w:eastAsia="Arial" w:hAnsi="Arial"/>
          <w:sz w:val="14"/>
          <w:szCs w:val="14"/>
          <w:color w:val="auto"/>
        </w:rPr>
        <w:t>33,530,642 shares</w:t>
      </w:r>
    </w:p>
    <w:p>
      <w:pPr>
        <w:sectPr>
          <w:pgSz w:w="11900" w:h="16838" w:orient="portrait"/>
          <w:cols w:equalWidth="0" w:num="1">
            <w:col w:w="11420"/>
          </w:cols>
          <w:pgMar w:left="240" w:top="222" w:right="239" w:bottom="1440" w:gutter="0" w:footer="0" w:header="0"/>
          <w:type w:val="continuous"/>
        </w:sectPr>
      </w:pPr>
    </w:p>
    <w:bookmarkStart w:id="1" w:name="page2"/>
    <w:bookmarkEnd w:id="1"/>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INDEX</w:t>
      </w:r>
    </w:p>
    <w:p>
      <w:pPr>
        <w:spacing w:after="0" w:line="390" w:lineRule="exact"/>
        <w:rPr>
          <w:sz w:val="20"/>
          <w:szCs w:val="20"/>
          <w:color w:val="auto"/>
        </w:rPr>
      </w:pPr>
    </w:p>
    <w:tbl>
      <w:tblPr>
        <w:tblLayout w:type="fixed"/>
        <w:tblInd w:w="20" w:type="dxa"/>
        <w:tblCellMar>
          <w:top w:w="0" w:type="dxa"/>
          <w:left w:w="0" w:type="dxa"/>
          <w:bottom w:w="0" w:type="dxa"/>
          <w:right w:w="0" w:type="dxa"/>
        </w:tblCellMar>
      </w:tblPr>
      <w:tr>
        <w:trPr>
          <w:trHeight w:val="174"/>
        </w:trPr>
        <w:tc>
          <w:tcPr>
            <w:tcW w:w="480" w:type="dxa"/>
            <w:vAlign w:val="bottom"/>
          </w:tcPr>
          <w:p>
            <w:pPr>
              <w:spacing w:after="0"/>
              <w:rPr>
                <w:sz w:val="20"/>
                <w:szCs w:val="20"/>
                <w:color w:val="auto"/>
              </w:rPr>
            </w:pPr>
            <w:r>
              <w:rPr>
                <w:rFonts w:ascii="Arial" w:cs="Arial" w:eastAsia="Arial" w:hAnsi="Arial"/>
                <w:sz w:val="13"/>
                <w:szCs w:val="13"/>
                <w:color w:val="auto"/>
              </w:rPr>
              <w:t>Item</w:t>
            </w: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56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3"/>
                <w:szCs w:val="13"/>
                <w:color w:val="auto"/>
              </w:rPr>
              <w:t>Page</w:t>
            </w:r>
          </w:p>
        </w:tc>
      </w:tr>
      <w:tr>
        <w:trPr>
          <w:trHeight w:val="176"/>
        </w:trPr>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580" w:type="dxa"/>
            <w:vAlign w:val="bottom"/>
            <w:gridSpan w:val="10"/>
          </w:tcPr>
          <w:p>
            <w:pPr>
              <w:jc w:val="center"/>
              <w:ind w:right="3820"/>
              <w:spacing w:after="0" w:line="176" w:lineRule="exact"/>
              <w:rPr>
                <w:rFonts w:ascii="Arial" w:cs="Arial" w:eastAsia="Arial" w:hAnsi="Arial"/>
                <w:sz w:val="17"/>
                <w:szCs w:val="17"/>
                <w:color w:val="0000FF"/>
                <w:w w:val="96"/>
              </w:rPr>
            </w:pPr>
            <w:hyperlink w:anchor="page3">
              <w:r>
                <w:rPr>
                  <w:rFonts w:ascii="Arial" w:cs="Arial" w:eastAsia="Arial" w:hAnsi="Arial"/>
                  <w:sz w:val="17"/>
                  <w:szCs w:val="17"/>
                  <w:color w:val="0000FF"/>
                  <w:w w:val="96"/>
                </w:rPr>
                <w:t>PART I – FINANCIAL INFORMATION</w:t>
              </w:r>
            </w:hyperlink>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44"/>
        </w:trPr>
        <w:tc>
          <w:tcPr>
            <w:tcW w:w="480" w:type="dxa"/>
            <w:vAlign w:val="bottom"/>
          </w:tcPr>
          <w:p>
            <w:pPr>
              <w:spacing w:after="0"/>
              <w:rPr>
                <w:sz w:val="20"/>
                <w:szCs w:val="20"/>
                <w:color w:val="auto"/>
              </w:rPr>
            </w:pPr>
            <w:r>
              <w:rPr>
                <w:rFonts w:ascii="Arial" w:cs="Arial" w:eastAsia="Arial" w:hAnsi="Arial"/>
                <w:sz w:val="17"/>
                <w:szCs w:val="17"/>
                <w:color w:val="auto"/>
              </w:rPr>
              <w:t>1</w:t>
            </w:r>
          </w:p>
        </w:tc>
        <w:tc>
          <w:tcPr>
            <w:tcW w:w="1400" w:type="dxa"/>
            <w:vAlign w:val="bottom"/>
            <w:gridSpan w:val="6"/>
          </w:tcPr>
          <w:p>
            <w:pPr>
              <w:spacing w:after="0"/>
              <w:rPr>
                <w:rFonts w:ascii="Arial" w:cs="Arial" w:eastAsia="Arial" w:hAnsi="Arial"/>
                <w:sz w:val="17"/>
                <w:szCs w:val="17"/>
                <w:color w:val="0000FF"/>
                <w:w w:val="86"/>
              </w:rPr>
            </w:pPr>
            <w:hyperlink w:anchor="page3">
              <w:r>
                <w:rPr>
                  <w:rFonts w:ascii="Arial" w:cs="Arial" w:eastAsia="Arial" w:hAnsi="Arial"/>
                  <w:sz w:val="17"/>
                  <w:szCs w:val="17"/>
                  <w:color w:val="0000FF"/>
                  <w:w w:val="86"/>
                </w:rPr>
                <w:t>Financial Statements</w:t>
              </w:r>
            </w:hyperlink>
          </w:p>
        </w:tc>
        <w:tc>
          <w:tcPr>
            <w:tcW w:w="2380" w:type="dxa"/>
            <w:vAlign w:val="bottom"/>
            <w:gridSpan w:val="3"/>
          </w:tcPr>
          <w:p>
            <w:pPr>
              <w:spacing w:after="0"/>
              <w:rPr>
                <w:sz w:val="21"/>
                <w:szCs w:val="21"/>
                <w:color w:val="auto"/>
              </w:rPr>
            </w:pPr>
          </w:p>
        </w:tc>
        <w:tc>
          <w:tcPr>
            <w:tcW w:w="2760" w:type="dxa"/>
            <w:vAlign w:val="bottom"/>
            <w:tcBorders>
              <w:top w:val="single" w:sz="8" w:color="0000FF"/>
            </w:tcBorders>
            <w:gridSpan w:val="8"/>
          </w:tcPr>
          <w:p>
            <w:pPr>
              <w:spacing w:after="0"/>
              <w:rPr>
                <w:sz w:val="21"/>
                <w:szCs w:val="21"/>
                <w:color w:val="auto"/>
              </w:rPr>
            </w:pPr>
          </w:p>
        </w:tc>
        <w:tc>
          <w:tcPr>
            <w:tcW w:w="3820" w:type="dxa"/>
            <w:vAlign w:val="bottom"/>
            <w:gridSpan w:val="2"/>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7"/>
                <w:szCs w:val="17"/>
                <w:color w:val="0000FF"/>
              </w:rPr>
            </w:pPr>
            <w:hyperlink w:anchor="page3">
              <w:r>
                <w:rPr>
                  <w:rFonts w:ascii="Arial" w:cs="Arial" w:eastAsia="Arial" w:hAnsi="Arial"/>
                  <w:sz w:val="17"/>
                  <w:szCs w:val="17"/>
                  <w:color w:val="0000FF"/>
                </w:rPr>
                <w:t>3</w:t>
              </w:r>
            </w:hyperlink>
          </w:p>
        </w:tc>
      </w:tr>
      <w:tr>
        <w:trPr>
          <w:trHeight w:val="20"/>
        </w:trPr>
        <w:tc>
          <w:tcPr>
            <w:tcW w:w="48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2"/>
        </w:trPr>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0" w:type="dxa"/>
            <w:vAlign w:val="bottom"/>
            <w:gridSpan w:val="11"/>
          </w:tcPr>
          <w:p>
            <w:pPr>
              <w:spacing w:after="0"/>
              <w:rPr>
                <w:rFonts w:ascii="Arial" w:cs="Arial" w:eastAsia="Arial" w:hAnsi="Arial"/>
                <w:sz w:val="17"/>
                <w:szCs w:val="17"/>
                <w:color w:val="0000EE"/>
                <w:w w:val="87"/>
              </w:rPr>
            </w:pPr>
            <w:hyperlink w:anchor="page3">
              <w:r>
                <w:rPr>
                  <w:rFonts w:ascii="Arial" w:cs="Arial" w:eastAsia="Arial" w:hAnsi="Arial"/>
                  <w:sz w:val="17"/>
                  <w:szCs w:val="17"/>
                  <w:color w:val="0000EE"/>
                  <w:w w:val="87"/>
                </w:rPr>
                <w:t>Consolidated Balance Sheets - March 31, 2017 and December 31, 2016</w:t>
              </w:r>
            </w:hyperlink>
          </w:p>
        </w:tc>
        <w:tc>
          <w:tcPr>
            <w:tcW w:w="5340" w:type="dxa"/>
            <w:vAlign w:val="bottom"/>
            <w:gridSpan w:val="7"/>
          </w:tcPr>
          <w:p>
            <w:pPr>
              <w:spacing w:after="0"/>
              <w:rPr>
                <w:sz w:val="20"/>
                <w:szCs w:val="20"/>
                <w:color w:val="auto"/>
              </w:rPr>
            </w:pPr>
          </w:p>
        </w:tc>
        <w:tc>
          <w:tcPr>
            <w:tcW w:w="560" w:type="dxa"/>
            <w:vAlign w:val="bottom"/>
            <w:gridSpan w:val="4"/>
          </w:tcPr>
          <w:p>
            <w:pPr>
              <w:jc w:val="right"/>
              <w:ind w:right="20"/>
              <w:spacing w:after="0"/>
              <w:rPr>
                <w:rFonts w:ascii="Arial" w:cs="Arial" w:eastAsia="Arial" w:hAnsi="Arial"/>
                <w:sz w:val="17"/>
                <w:szCs w:val="17"/>
                <w:color w:val="0000FF"/>
              </w:rPr>
            </w:pPr>
            <w:hyperlink w:anchor="page3">
              <w:r>
                <w:rPr>
                  <w:rFonts w:ascii="Arial" w:cs="Arial" w:eastAsia="Arial" w:hAnsi="Arial"/>
                  <w:sz w:val="17"/>
                  <w:szCs w:val="17"/>
                  <w:color w:val="0000FF"/>
                </w:rPr>
                <w:t>3</w:t>
              </w:r>
            </w:hyperlink>
          </w:p>
        </w:tc>
      </w:tr>
      <w:tr>
        <w:trPr>
          <w:trHeight w:val="20"/>
        </w:trPr>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2"/>
        </w:trPr>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140" w:type="dxa"/>
            <w:vAlign w:val="bottom"/>
            <w:gridSpan w:val="18"/>
          </w:tcPr>
          <w:p>
            <w:pPr>
              <w:spacing w:after="0"/>
              <w:rPr>
                <w:rFonts w:ascii="Arial" w:cs="Arial" w:eastAsia="Arial" w:hAnsi="Arial"/>
                <w:sz w:val="17"/>
                <w:szCs w:val="17"/>
                <w:color w:val="0000EE"/>
              </w:rPr>
            </w:pPr>
            <w:hyperlink w:anchor="page4">
              <w:r>
                <w:rPr>
                  <w:rFonts w:ascii="Arial" w:cs="Arial" w:eastAsia="Arial" w:hAnsi="Arial"/>
                  <w:sz w:val="17"/>
                  <w:szCs w:val="17"/>
                  <w:color w:val="0000EE"/>
                </w:rPr>
                <w:t>Statements of Consolidated Comprehensive Loss - Three Months Ended March 31, 2017 and 2016</w:t>
              </w:r>
            </w:hyperlink>
          </w:p>
        </w:tc>
        <w:tc>
          <w:tcPr>
            <w:tcW w:w="560" w:type="dxa"/>
            <w:vAlign w:val="bottom"/>
            <w:gridSpan w:val="4"/>
          </w:tcPr>
          <w:p>
            <w:pPr>
              <w:jc w:val="right"/>
              <w:ind w:right="20"/>
              <w:spacing w:after="0"/>
              <w:rPr>
                <w:rFonts w:ascii="Arial" w:cs="Arial" w:eastAsia="Arial" w:hAnsi="Arial"/>
                <w:sz w:val="17"/>
                <w:szCs w:val="17"/>
                <w:color w:val="0000FF"/>
              </w:rPr>
            </w:pPr>
            <w:hyperlink w:anchor="page4">
              <w:r>
                <w:rPr>
                  <w:rFonts w:ascii="Arial" w:cs="Arial" w:eastAsia="Arial" w:hAnsi="Arial"/>
                  <w:sz w:val="17"/>
                  <w:szCs w:val="17"/>
                  <w:color w:val="0000FF"/>
                </w:rPr>
                <w:t>4</w:t>
              </w:r>
            </w:hyperlink>
          </w:p>
        </w:tc>
      </w:tr>
      <w:tr>
        <w:trPr>
          <w:trHeight w:val="20"/>
        </w:trPr>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9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2"/>
        </w:trPr>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960" w:type="dxa"/>
            <w:vAlign w:val="bottom"/>
            <w:gridSpan w:val="14"/>
          </w:tcPr>
          <w:p>
            <w:pPr>
              <w:spacing w:after="0"/>
              <w:rPr>
                <w:rFonts w:ascii="Arial" w:cs="Arial" w:eastAsia="Arial" w:hAnsi="Arial"/>
                <w:sz w:val="17"/>
                <w:szCs w:val="17"/>
                <w:color w:val="0000EE"/>
                <w:w w:val="88"/>
              </w:rPr>
            </w:pPr>
            <w:hyperlink w:anchor="page4">
              <w:r>
                <w:rPr>
                  <w:rFonts w:ascii="Arial" w:cs="Arial" w:eastAsia="Arial" w:hAnsi="Arial"/>
                  <w:sz w:val="17"/>
                  <w:szCs w:val="17"/>
                  <w:color w:val="0000EE"/>
                  <w:w w:val="88"/>
                </w:rPr>
                <w:t>Statements of Consolidated Cash Flows -Three Months Ended March 31, 2017 and 2016</w:t>
              </w:r>
            </w:hyperlink>
          </w:p>
        </w:tc>
        <w:tc>
          <w:tcPr>
            <w:tcW w:w="660" w:type="dxa"/>
            <w:vAlign w:val="bottom"/>
            <w:gridSpan w:val="3"/>
          </w:tcPr>
          <w:p>
            <w:pPr>
              <w:spacing w:after="0"/>
              <w:rPr>
                <w:sz w:val="20"/>
                <w:szCs w:val="20"/>
                <w:color w:val="auto"/>
              </w:rPr>
            </w:pPr>
          </w:p>
        </w:tc>
        <w:tc>
          <w:tcPr>
            <w:tcW w:w="3520" w:type="dxa"/>
            <w:vAlign w:val="bottom"/>
          </w:tcPr>
          <w:p>
            <w:pPr>
              <w:spacing w:after="0"/>
              <w:rPr>
                <w:sz w:val="20"/>
                <w:szCs w:val="20"/>
                <w:color w:val="auto"/>
              </w:rPr>
            </w:pPr>
          </w:p>
        </w:tc>
        <w:tc>
          <w:tcPr>
            <w:tcW w:w="560" w:type="dxa"/>
            <w:vAlign w:val="bottom"/>
            <w:gridSpan w:val="4"/>
          </w:tcPr>
          <w:p>
            <w:pPr>
              <w:jc w:val="right"/>
              <w:ind w:right="20"/>
              <w:spacing w:after="0"/>
              <w:rPr>
                <w:rFonts w:ascii="Arial" w:cs="Arial" w:eastAsia="Arial" w:hAnsi="Arial"/>
                <w:sz w:val="17"/>
                <w:szCs w:val="17"/>
                <w:color w:val="0000FF"/>
              </w:rPr>
            </w:pPr>
            <w:hyperlink w:anchor="page5">
              <w:r>
                <w:rPr>
                  <w:rFonts w:ascii="Arial" w:cs="Arial" w:eastAsia="Arial" w:hAnsi="Arial"/>
                  <w:sz w:val="17"/>
                  <w:szCs w:val="17"/>
                  <w:color w:val="0000FF"/>
                </w:rPr>
                <w:t>5</w:t>
              </w:r>
            </w:hyperlink>
          </w:p>
        </w:tc>
      </w:tr>
      <w:tr>
        <w:trPr>
          <w:trHeight w:val="20"/>
        </w:trPr>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9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96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2"/>
        </w:trPr>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960" w:type="dxa"/>
            <w:vAlign w:val="bottom"/>
            <w:gridSpan w:val="14"/>
          </w:tcPr>
          <w:p>
            <w:pPr>
              <w:spacing w:after="0"/>
              <w:rPr>
                <w:rFonts w:ascii="Arial" w:cs="Arial" w:eastAsia="Arial" w:hAnsi="Arial"/>
                <w:sz w:val="17"/>
                <w:szCs w:val="17"/>
                <w:color w:val="0000EE"/>
                <w:w w:val="90"/>
              </w:rPr>
            </w:pPr>
            <w:hyperlink w:anchor="page4">
              <w:r>
                <w:rPr>
                  <w:rFonts w:ascii="Arial" w:cs="Arial" w:eastAsia="Arial" w:hAnsi="Arial"/>
                  <w:sz w:val="17"/>
                  <w:szCs w:val="17"/>
                  <w:color w:val="0000EE"/>
                  <w:w w:val="90"/>
                </w:rPr>
                <w:t>Statement of Consolidated Shareholders’ Deficit - Three Months Ended March 31, 2017</w:t>
              </w:r>
            </w:hyperlink>
          </w:p>
        </w:tc>
        <w:tc>
          <w:tcPr>
            <w:tcW w:w="4180" w:type="dxa"/>
            <w:vAlign w:val="bottom"/>
            <w:gridSpan w:val="4"/>
          </w:tcPr>
          <w:p>
            <w:pPr>
              <w:spacing w:after="0"/>
              <w:rPr>
                <w:sz w:val="20"/>
                <w:szCs w:val="20"/>
                <w:color w:val="auto"/>
              </w:rPr>
            </w:pPr>
          </w:p>
        </w:tc>
        <w:tc>
          <w:tcPr>
            <w:tcW w:w="560" w:type="dxa"/>
            <w:vAlign w:val="bottom"/>
            <w:gridSpan w:val="4"/>
          </w:tcPr>
          <w:p>
            <w:pPr>
              <w:jc w:val="right"/>
              <w:ind w:right="20"/>
              <w:spacing w:after="0"/>
              <w:rPr>
                <w:rFonts w:ascii="Arial" w:cs="Arial" w:eastAsia="Arial" w:hAnsi="Arial"/>
                <w:sz w:val="17"/>
                <w:szCs w:val="17"/>
                <w:color w:val="0000FF"/>
              </w:rPr>
            </w:pPr>
            <w:hyperlink w:anchor="page6">
              <w:r>
                <w:rPr>
                  <w:rFonts w:ascii="Arial" w:cs="Arial" w:eastAsia="Arial" w:hAnsi="Arial"/>
                  <w:sz w:val="17"/>
                  <w:szCs w:val="17"/>
                  <w:color w:val="0000FF"/>
                </w:rPr>
                <w:t>6</w:t>
              </w:r>
            </w:hyperlink>
          </w:p>
        </w:tc>
      </w:tr>
      <w:tr>
        <w:trPr>
          <w:trHeight w:val="20"/>
        </w:trPr>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9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96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2"/>
        </w:trPr>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40" w:type="dxa"/>
            <w:vAlign w:val="bottom"/>
            <w:gridSpan w:val="7"/>
          </w:tcPr>
          <w:p>
            <w:pPr>
              <w:spacing w:after="0"/>
              <w:rPr>
                <w:rFonts w:ascii="Arial" w:cs="Arial" w:eastAsia="Arial" w:hAnsi="Arial"/>
                <w:sz w:val="17"/>
                <w:szCs w:val="17"/>
                <w:color w:val="0000FF"/>
                <w:w w:val="88"/>
              </w:rPr>
            </w:pPr>
            <w:hyperlink w:anchor="page7">
              <w:r>
                <w:rPr>
                  <w:rFonts w:ascii="Arial" w:cs="Arial" w:eastAsia="Arial" w:hAnsi="Arial"/>
                  <w:sz w:val="17"/>
                  <w:szCs w:val="17"/>
                  <w:color w:val="0000FF"/>
                  <w:w w:val="88"/>
                </w:rPr>
                <w:t>Notes to Consolidated Financial Statements</w:t>
              </w:r>
            </w:hyperlink>
          </w:p>
        </w:tc>
        <w:tc>
          <w:tcPr>
            <w:tcW w:w="2980" w:type="dxa"/>
            <w:vAlign w:val="bottom"/>
            <w:gridSpan w:val="6"/>
          </w:tcPr>
          <w:p>
            <w:pPr>
              <w:spacing w:after="0"/>
              <w:rPr>
                <w:sz w:val="20"/>
                <w:szCs w:val="20"/>
                <w:color w:val="auto"/>
              </w:rPr>
            </w:pPr>
          </w:p>
        </w:tc>
        <w:tc>
          <w:tcPr>
            <w:tcW w:w="4220" w:type="dxa"/>
            <w:vAlign w:val="bottom"/>
            <w:gridSpan w:val="5"/>
          </w:tcPr>
          <w:p>
            <w:pPr>
              <w:spacing w:after="0"/>
              <w:rPr>
                <w:sz w:val="20"/>
                <w:szCs w:val="20"/>
                <w:color w:val="auto"/>
              </w:rPr>
            </w:pPr>
          </w:p>
        </w:tc>
        <w:tc>
          <w:tcPr>
            <w:tcW w:w="560" w:type="dxa"/>
            <w:vAlign w:val="bottom"/>
            <w:gridSpan w:val="4"/>
          </w:tcPr>
          <w:p>
            <w:pPr>
              <w:jc w:val="right"/>
              <w:ind w:right="20"/>
              <w:spacing w:after="0"/>
              <w:rPr>
                <w:rFonts w:ascii="Arial" w:cs="Arial" w:eastAsia="Arial" w:hAnsi="Arial"/>
                <w:sz w:val="17"/>
                <w:szCs w:val="17"/>
                <w:color w:val="0000FF"/>
              </w:rPr>
            </w:pPr>
            <w:hyperlink w:anchor="page7">
              <w:r>
                <w:rPr>
                  <w:rFonts w:ascii="Arial" w:cs="Arial" w:eastAsia="Arial" w:hAnsi="Arial"/>
                  <w:sz w:val="17"/>
                  <w:szCs w:val="17"/>
                  <w:color w:val="0000FF"/>
                </w:rPr>
                <w:t>7</w:t>
              </w:r>
            </w:hyperlink>
          </w:p>
        </w:tc>
      </w:tr>
      <w:tr>
        <w:trPr>
          <w:trHeight w:val="20"/>
        </w:trPr>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396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2"/>
        </w:trPr>
        <w:tc>
          <w:tcPr>
            <w:tcW w:w="480" w:type="dxa"/>
            <w:vAlign w:val="bottom"/>
          </w:tcPr>
          <w:p>
            <w:pPr>
              <w:spacing w:after="0"/>
              <w:rPr>
                <w:sz w:val="20"/>
                <w:szCs w:val="20"/>
                <w:color w:val="auto"/>
              </w:rPr>
            </w:pPr>
            <w:r>
              <w:rPr>
                <w:rFonts w:ascii="Arial" w:cs="Arial" w:eastAsia="Arial" w:hAnsi="Arial"/>
                <w:sz w:val="17"/>
                <w:szCs w:val="17"/>
                <w:color w:val="auto"/>
              </w:rPr>
              <w:t>2</w:t>
            </w:r>
          </w:p>
        </w:tc>
        <w:tc>
          <w:tcPr>
            <w:tcW w:w="6020" w:type="dxa"/>
            <w:vAlign w:val="bottom"/>
            <w:gridSpan w:val="13"/>
          </w:tcPr>
          <w:p>
            <w:pPr>
              <w:spacing w:after="0"/>
              <w:rPr>
                <w:rFonts w:ascii="Arial" w:cs="Arial" w:eastAsia="Arial" w:hAnsi="Arial"/>
                <w:sz w:val="17"/>
                <w:szCs w:val="17"/>
                <w:color w:val="0000FF"/>
                <w:w w:val="89"/>
              </w:rPr>
            </w:pPr>
            <w:hyperlink w:anchor="page13">
              <w:r>
                <w:rPr>
                  <w:rFonts w:ascii="Arial" w:cs="Arial" w:eastAsia="Arial" w:hAnsi="Arial"/>
                  <w:sz w:val="17"/>
                  <w:szCs w:val="17"/>
                  <w:color w:val="0000FF"/>
                  <w:w w:val="89"/>
                </w:rPr>
                <w:t>Management’s Discussion and Analysis of Financial Condition and Results of Operations</w:t>
              </w:r>
            </w:hyperlink>
          </w:p>
        </w:tc>
        <w:tc>
          <w:tcPr>
            <w:tcW w:w="4340" w:type="dxa"/>
            <w:vAlign w:val="bottom"/>
            <w:gridSpan w:val="6"/>
          </w:tcPr>
          <w:p>
            <w:pPr>
              <w:spacing w:after="0"/>
              <w:rPr>
                <w:sz w:val="20"/>
                <w:szCs w:val="20"/>
                <w:color w:val="auto"/>
              </w:rPr>
            </w:pPr>
          </w:p>
        </w:tc>
        <w:tc>
          <w:tcPr>
            <w:tcW w:w="560" w:type="dxa"/>
            <w:vAlign w:val="bottom"/>
            <w:gridSpan w:val="4"/>
          </w:tcPr>
          <w:p>
            <w:pPr>
              <w:jc w:val="right"/>
              <w:ind w:right="20"/>
              <w:spacing w:after="0"/>
              <w:rPr>
                <w:rFonts w:ascii="Arial" w:cs="Arial" w:eastAsia="Arial" w:hAnsi="Arial"/>
                <w:sz w:val="17"/>
                <w:szCs w:val="17"/>
                <w:color w:val="0000FF"/>
              </w:rPr>
            </w:pPr>
            <w:hyperlink w:anchor="page13">
              <w:r>
                <w:rPr>
                  <w:rFonts w:ascii="Arial" w:cs="Arial" w:eastAsia="Arial" w:hAnsi="Arial"/>
                  <w:sz w:val="17"/>
                  <w:szCs w:val="17"/>
                  <w:color w:val="0000FF"/>
                </w:rPr>
                <w:t>13</w:t>
              </w:r>
            </w:hyperlink>
          </w:p>
        </w:tc>
      </w:tr>
      <w:tr>
        <w:trPr>
          <w:trHeight w:val="20"/>
        </w:trPr>
        <w:tc>
          <w:tcPr>
            <w:tcW w:w="48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28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960" w:type="dxa"/>
            <w:vAlign w:val="bottom"/>
            <w:gridSpan w:val="2"/>
            <w:shd w:val="clear" w:color="auto" w:fill="0000FF"/>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396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2"/>
        </w:trPr>
        <w:tc>
          <w:tcPr>
            <w:tcW w:w="480" w:type="dxa"/>
            <w:vAlign w:val="bottom"/>
          </w:tcPr>
          <w:p>
            <w:pPr>
              <w:spacing w:after="0"/>
              <w:rPr>
                <w:sz w:val="20"/>
                <w:szCs w:val="20"/>
                <w:color w:val="auto"/>
              </w:rPr>
            </w:pPr>
            <w:r>
              <w:rPr>
                <w:rFonts w:ascii="Arial" w:cs="Arial" w:eastAsia="Arial" w:hAnsi="Arial"/>
                <w:sz w:val="17"/>
                <w:szCs w:val="17"/>
                <w:color w:val="auto"/>
              </w:rPr>
              <w:t>3</w:t>
            </w:r>
          </w:p>
        </w:tc>
        <w:tc>
          <w:tcPr>
            <w:tcW w:w="6020" w:type="dxa"/>
            <w:vAlign w:val="bottom"/>
            <w:gridSpan w:val="13"/>
          </w:tcPr>
          <w:p>
            <w:pPr>
              <w:spacing w:after="0"/>
              <w:rPr>
                <w:rFonts w:ascii="Arial" w:cs="Arial" w:eastAsia="Arial" w:hAnsi="Arial"/>
                <w:sz w:val="17"/>
                <w:szCs w:val="17"/>
                <w:color w:val="0000FF"/>
              </w:rPr>
            </w:pPr>
            <w:hyperlink w:anchor="page25">
              <w:r>
                <w:rPr>
                  <w:rFonts w:ascii="Arial" w:cs="Arial" w:eastAsia="Arial" w:hAnsi="Arial"/>
                  <w:sz w:val="17"/>
                  <w:szCs w:val="17"/>
                  <w:color w:val="0000FF"/>
                </w:rPr>
                <w:t>Quantitative and Qualitative Disclosures About Market Risk</w:t>
              </w:r>
            </w:hyperlink>
          </w:p>
        </w:tc>
        <w:tc>
          <w:tcPr>
            <w:tcW w:w="380" w:type="dxa"/>
            <w:vAlign w:val="bottom"/>
            <w:gridSpan w:val="3"/>
          </w:tcPr>
          <w:p>
            <w:pPr>
              <w:spacing w:after="0"/>
              <w:rPr>
                <w:sz w:val="20"/>
                <w:szCs w:val="20"/>
                <w:color w:val="auto"/>
              </w:rPr>
            </w:pPr>
          </w:p>
        </w:tc>
        <w:tc>
          <w:tcPr>
            <w:tcW w:w="3960" w:type="dxa"/>
            <w:vAlign w:val="bottom"/>
            <w:gridSpan w:val="3"/>
          </w:tcPr>
          <w:p>
            <w:pPr>
              <w:spacing w:after="0"/>
              <w:rPr>
                <w:sz w:val="20"/>
                <w:szCs w:val="20"/>
                <w:color w:val="auto"/>
              </w:rPr>
            </w:pPr>
          </w:p>
        </w:tc>
        <w:tc>
          <w:tcPr>
            <w:tcW w:w="560" w:type="dxa"/>
            <w:vAlign w:val="bottom"/>
            <w:gridSpan w:val="4"/>
          </w:tcPr>
          <w:p>
            <w:pPr>
              <w:jc w:val="right"/>
              <w:ind w:right="20"/>
              <w:spacing w:after="0"/>
              <w:rPr>
                <w:rFonts w:ascii="Arial" w:cs="Arial" w:eastAsia="Arial" w:hAnsi="Arial"/>
                <w:sz w:val="17"/>
                <w:szCs w:val="17"/>
                <w:color w:val="0000FF"/>
              </w:rPr>
            </w:pPr>
            <w:hyperlink w:anchor="page25">
              <w:r>
                <w:rPr>
                  <w:rFonts w:ascii="Arial" w:cs="Arial" w:eastAsia="Arial" w:hAnsi="Arial"/>
                  <w:sz w:val="17"/>
                  <w:szCs w:val="17"/>
                  <w:color w:val="0000FF"/>
                </w:rPr>
                <w:t>25</w:t>
              </w:r>
            </w:hyperlink>
          </w:p>
        </w:tc>
      </w:tr>
      <w:tr>
        <w:trPr>
          <w:trHeight w:val="20"/>
        </w:trPr>
        <w:tc>
          <w:tcPr>
            <w:tcW w:w="48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280" w:type="dxa"/>
            <w:vAlign w:val="bottom"/>
            <w:gridSpan w:val="3"/>
            <w:shd w:val="clear" w:color="auto" w:fill="0000FF"/>
          </w:tcPr>
          <w:p>
            <w:pPr>
              <w:spacing w:after="0" w:line="20" w:lineRule="exact"/>
              <w:rPr>
                <w:sz w:val="1"/>
                <w:szCs w:val="1"/>
                <w:color w:val="auto"/>
              </w:rPr>
            </w:pPr>
          </w:p>
        </w:tc>
        <w:tc>
          <w:tcPr>
            <w:tcW w:w="2480" w:type="dxa"/>
            <w:vAlign w:val="bottom"/>
            <w:gridSpan w:val="6"/>
            <w:shd w:val="clear" w:color="auto" w:fill="0000FF"/>
          </w:tcPr>
          <w:p>
            <w:pPr>
              <w:spacing w:after="0" w:line="20" w:lineRule="exact"/>
              <w:rPr>
                <w:sz w:val="1"/>
                <w:szCs w:val="1"/>
                <w:color w:val="auto"/>
              </w:rPr>
            </w:pPr>
          </w:p>
        </w:tc>
        <w:tc>
          <w:tcPr>
            <w:tcW w:w="396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2"/>
        </w:trPr>
        <w:tc>
          <w:tcPr>
            <w:tcW w:w="480" w:type="dxa"/>
            <w:vAlign w:val="bottom"/>
          </w:tcPr>
          <w:p>
            <w:pPr>
              <w:spacing w:after="0"/>
              <w:rPr>
                <w:sz w:val="20"/>
                <w:szCs w:val="20"/>
                <w:color w:val="auto"/>
              </w:rPr>
            </w:pPr>
            <w:r>
              <w:rPr>
                <w:rFonts w:ascii="Arial" w:cs="Arial" w:eastAsia="Arial" w:hAnsi="Arial"/>
                <w:sz w:val="17"/>
                <w:szCs w:val="17"/>
                <w:color w:val="auto"/>
              </w:rPr>
              <w:t>4</w:t>
            </w:r>
          </w:p>
        </w:tc>
        <w:tc>
          <w:tcPr>
            <w:tcW w:w="6400" w:type="dxa"/>
            <w:vAlign w:val="bottom"/>
            <w:gridSpan w:val="16"/>
          </w:tcPr>
          <w:p>
            <w:pPr>
              <w:spacing w:after="0"/>
              <w:rPr>
                <w:rFonts w:ascii="Arial" w:cs="Arial" w:eastAsia="Arial" w:hAnsi="Arial"/>
                <w:sz w:val="17"/>
                <w:szCs w:val="17"/>
                <w:color w:val="0000FF"/>
              </w:rPr>
            </w:pPr>
            <w:hyperlink w:anchor="page25">
              <w:r>
                <w:rPr>
                  <w:rFonts w:ascii="Arial" w:cs="Arial" w:eastAsia="Arial" w:hAnsi="Arial"/>
                  <w:sz w:val="17"/>
                  <w:szCs w:val="17"/>
                  <w:color w:val="0000FF"/>
                </w:rPr>
                <w:t>Controls and Procedures</w:t>
              </w:r>
            </w:hyperlink>
          </w:p>
        </w:tc>
        <w:tc>
          <w:tcPr>
            <w:tcW w:w="3960" w:type="dxa"/>
            <w:vAlign w:val="bottom"/>
            <w:gridSpan w:val="3"/>
          </w:tcPr>
          <w:p>
            <w:pPr>
              <w:spacing w:after="0"/>
              <w:rPr>
                <w:sz w:val="20"/>
                <w:szCs w:val="20"/>
                <w:color w:val="auto"/>
              </w:rPr>
            </w:pPr>
          </w:p>
        </w:tc>
        <w:tc>
          <w:tcPr>
            <w:tcW w:w="560" w:type="dxa"/>
            <w:vAlign w:val="bottom"/>
            <w:gridSpan w:val="4"/>
          </w:tcPr>
          <w:p>
            <w:pPr>
              <w:jc w:val="right"/>
              <w:ind w:right="20"/>
              <w:spacing w:after="0"/>
              <w:rPr>
                <w:rFonts w:ascii="Arial" w:cs="Arial" w:eastAsia="Arial" w:hAnsi="Arial"/>
                <w:sz w:val="17"/>
                <w:szCs w:val="17"/>
                <w:color w:val="0000FF"/>
              </w:rPr>
            </w:pPr>
            <w:hyperlink w:anchor="page25">
              <w:r>
                <w:rPr>
                  <w:rFonts w:ascii="Arial" w:cs="Arial" w:eastAsia="Arial" w:hAnsi="Arial"/>
                  <w:sz w:val="17"/>
                  <w:szCs w:val="17"/>
                  <w:color w:val="0000FF"/>
                </w:rPr>
                <w:t>25</w:t>
              </w:r>
            </w:hyperlink>
          </w:p>
        </w:tc>
      </w:tr>
      <w:tr>
        <w:trPr>
          <w:trHeight w:val="232"/>
        </w:trPr>
        <w:tc>
          <w:tcPr>
            <w:tcW w:w="480" w:type="dxa"/>
            <w:vAlign w:val="bottom"/>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34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400" w:type="dxa"/>
            <w:vAlign w:val="bottom"/>
            <w:tcBorders>
              <w:top w:val="single" w:sz="8" w:color="0000FF"/>
            </w:tcBorders>
          </w:tcPr>
          <w:p>
            <w:pPr>
              <w:spacing w:after="0"/>
              <w:rPr>
                <w:sz w:val="20"/>
                <w:szCs w:val="20"/>
                <w:color w:val="auto"/>
              </w:rPr>
            </w:pPr>
          </w:p>
        </w:tc>
        <w:tc>
          <w:tcPr>
            <w:tcW w:w="160" w:type="dxa"/>
            <w:vAlign w:val="bottom"/>
            <w:tcBorders>
              <w:top w:val="single" w:sz="8" w:color="0000FF"/>
            </w:tcBorders>
          </w:tcPr>
          <w:p>
            <w:pPr>
              <w:spacing w:after="0"/>
              <w:rPr>
                <w:sz w:val="20"/>
                <w:szCs w:val="20"/>
                <w:color w:val="auto"/>
              </w:rPr>
            </w:pPr>
          </w:p>
        </w:tc>
        <w:tc>
          <w:tcPr>
            <w:tcW w:w="240" w:type="dxa"/>
            <w:vAlign w:val="bottom"/>
            <w:tcBorders>
              <w:top w:val="single" w:sz="8" w:color="0000FF"/>
            </w:tcBorders>
          </w:tcPr>
          <w:p>
            <w:pPr>
              <w:spacing w:after="0"/>
              <w:rPr>
                <w:sz w:val="20"/>
                <w:szCs w:val="20"/>
                <w:color w:val="auto"/>
              </w:rPr>
            </w:pPr>
          </w:p>
        </w:tc>
        <w:tc>
          <w:tcPr>
            <w:tcW w:w="15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40" w:type="dxa"/>
            <w:vAlign w:val="bottom"/>
            <w:gridSpan w:val="9"/>
          </w:tcPr>
          <w:p>
            <w:pPr>
              <w:jc w:val="center"/>
              <w:ind w:right="3960"/>
              <w:spacing w:after="0"/>
              <w:rPr>
                <w:rFonts w:ascii="Arial" w:cs="Arial" w:eastAsia="Arial" w:hAnsi="Arial"/>
                <w:sz w:val="17"/>
                <w:szCs w:val="17"/>
                <w:color w:val="0000FF"/>
                <w:w w:val="94"/>
              </w:rPr>
            </w:pPr>
            <w:hyperlink w:anchor="page26">
              <w:r>
                <w:rPr>
                  <w:rFonts w:ascii="Arial" w:cs="Arial" w:eastAsia="Arial" w:hAnsi="Arial"/>
                  <w:sz w:val="17"/>
                  <w:szCs w:val="17"/>
                  <w:color w:val="0000FF"/>
                  <w:w w:val="94"/>
                </w:rPr>
                <w:t>PART II – OTHER INFORMATION</w:t>
              </w:r>
            </w:hyperlink>
          </w:p>
        </w:tc>
        <w:tc>
          <w:tcPr>
            <w:tcW w:w="380" w:type="dxa"/>
            <w:vAlign w:val="bottom"/>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r>
      <w:tr>
        <w:trPr>
          <w:trHeight w:val="232"/>
        </w:trPr>
        <w:tc>
          <w:tcPr>
            <w:tcW w:w="480" w:type="dxa"/>
            <w:vAlign w:val="bottom"/>
          </w:tcPr>
          <w:p>
            <w:pPr>
              <w:spacing w:after="0"/>
              <w:rPr>
                <w:sz w:val="20"/>
                <w:szCs w:val="20"/>
                <w:color w:val="auto"/>
              </w:rPr>
            </w:pPr>
            <w:r>
              <w:rPr>
                <w:rFonts w:ascii="Arial" w:cs="Arial" w:eastAsia="Arial" w:hAnsi="Arial"/>
                <w:sz w:val="17"/>
                <w:szCs w:val="17"/>
                <w:color w:val="auto"/>
              </w:rPr>
              <w:t>1</w:t>
            </w:r>
          </w:p>
        </w:tc>
        <w:tc>
          <w:tcPr>
            <w:tcW w:w="1240" w:type="dxa"/>
            <w:vAlign w:val="bottom"/>
            <w:gridSpan w:val="5"/>
          </w:tcPr>
          <w:p>
            <w:pPr>
              <w:spacing w:after="0"/>
              <w:rPr>
                <w:rFonts w:ascii="Arial" w:cs="Arial" w:eastAsia="Arial" w:hAnsi="Arial"/>
                <w:sz w:val="17"/>
                <w:szCs w:val="17"/>
                <w:color w:val="0000FF"/>
                <w:w w:val="86"/>
              </w:rPr>
            </w:pPr>
            <w:hyperlink w:anchor="page26">
              <w:r>
                <w:rPr>
                  <w:rFonts w:ascii="Arial" w:cs="Arial" w:eastAsia="Arial" w:hAnsi="Arial"/>
                  <w:sz w:val="17"/>
                  <w:szCs w:val="17"/>
                  <w:color w:val="0000FF"/>
                  <w:w w:val="86"/>
                </w:rPr>
                <w:t>Legal Proceedings</w:t>
              </w:r>
            </w:hyperlink>
          </w:p>
        </w:tc>
        <w:tc>
          <w:tcPr>
            <w:tcW w:w="2680" w:type="dxa"/>
            <w:vAlign w:val="bottom"/>
            <w:gridSpan w:val="5"/>
          </w:tcPr>
          <w:p>
            <w:pPr>
              <w:spacing w:after="0"/>
              <w:rPr>
                <w:sz w:val="20"/>
                <w:szCs w:val="20"/>
                <w:color w:val="auto"/>
              </w:rPr>
            </w:pPr>
          </w:p>
        </w:tc>
        <w:tc>
          <w:tcPr>
            <w:tcW w:w="2480" w:type="dxa"/>
            <w:vAlign w:val="bottom"/>
            <w:tcBorders>
              <w:top w:val="single" w:sz="8" w:color="0000FF"/>
            </w:tcBorders>
            <w:gridSpan w:val="6"/>
          </w:tcPr>
          <w:p>
            <w:pPr>
              <w:spacing w:after="0"/>
              <w:rPr>
                <w:sz w:val="20"/>
                <w:szCs w:val="20"/>
                <w:color w:val="auto"/>
              </w:rPr>
            </w:pPr>
          </w:p>
        </w:tc>
        <w:tc>
          <w:tcPr>
            <w:tcW w:w="3960" w:type="dxa"/>
            <w:vAlign w:val="bottom"/>
            <w:gridSpan w:val="3"/>
          </w:tcPr>
          <w:p>
            <w:pPr>
              <w:spacing w:after="0"/>
              <w:rPr>
                <w:sz w:val="20"/>
                <w:szCs w:val="20"/>
                <w:color w:val="auto"/>
              </w:rPr>
            </w:pPr>
          </w:p>
        </w:tc>
        <w:tc>
          <w:tcPr>
            <w:tcW w:w="560" w:type="dxa"/>
            <w:vAlign w:val="bottom"/>
            <w:gridSpan w:val="4"/>
          </w:tcPr>
          <w:p>
            <w:pPr>
              <w:jc w:val="right"/>
              <w:ind w:right="20"/>
              <w:spacing w:after="0"/>
              <w:rPr>
                <w:rFonts w:ascii="Arial" w:cs="Arial" w:eastAsia="Arial" w:hAnsi="Arial"/>
                <w:sz w:val="17"/>
                <w:szCs w:val="17"/>
                <w:color w:val="0000FF"/>
              </w:rPr>
            </w:pPr>
            <w:hyperlink w:anchor="page26">
              <w:r>
                <w:rPr>
                  <w:rFonts w:ascii="Arial" w:cs="Arial" w:eastAsia="Arial" w:hAnsi="Arial"/>
                  <w:sz w:val="17"/>
                  <w:szCs w:val="17"/>
                  <w:color w:val="0000FF"/>
                </w:rPr>
                <w:t>26</w:t>
              </w:r>
            </w:hyperlink>
          </w:p>
        </w:tc>
      </w:tr>
      <w:tr>
        <w:trPr>
          <w:trHeight w:val="20"/>
        </w:trPr>
        <w:tc>
          <w:tcPr>
            <w:tcW w:w="48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120" w:type="dxa"/>
            <w:vAlign w:val="bottom"/>
            <w:gridSpan w:val="1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2"/>
        </w:trPr>
        <w:tc>
          <w:tcPr>
            <w:tcW w:w="480" w:type="dxa"/>
            <w:vAlign w:val="bottom"/>
          </w:tcPr>
          <w:p>
            <w:pPr>
              <w:spacing w:after="0"/>
              <w:rPr>
                <w:sz w:val="20"/>
                <w:szCs w:val="20"/>
                <w:color w:val="auto"/>
              </w:rPr>
            </w:pPr>
            <w:r>
              <w:rPr>
                <w:rFonts w:ascii="Arial" w:cs="Arial" w:eastAsia="Arial" w:hAnsi="Arial"/>
                <w:sz w:val="17"/>
                <w:szCs w:val="17"/>
                <w:color w:val="auto"/>
              </w:rPr>
              <w:t>1A</w:t>
            </w:r>
          </w:p>
        </w:tc>
        <w:tc>
          <w:tcPr>
            <w:tcW w:w="840" w:type="dxa"/>
            <w:vAlign w:val="bottom"/>
            <w:gridSpan w:val="4"/>
          </w:tcPr>
          <w:p>
            <w:pPr>
              <w:spacing w:after="0"/>
              <w:rPr>
                <w:rFonts w:ascii="Arial" w:cs="Arial" w:eastAsia="Arial" w:hAnsi="Arial"/>
                <w:sz w:val="17"/>
                <w:szCs w:val="17"/>
                <w:color w:val="0000FF"/>
                <w:w w:val="86"/>
              </w:rPr>
            </w:pPr>
            <w:hyperlink w:anchor="page26">
              <w:r>
                <w:rPr>
                  <w:rFonts w:ascii="Arial" w:cs="Arial" w:eastAsia="Arial" w:hAnsi="Arial"/>
                  <w:sz w:val="17"/>
                  <w:szCs w:val="17"/>
                  <w:color w:val="0000FF"/>
                  <w:w w:val="86"/>
                </w:rPr>
                <w:t>Risk Factors</w:t>
              </w:r>
            </w:hyperlink>
          </w:p>
        </w:tc>
        <w:tc>
          <w:tcPr>
            <w:tcW w:w="400" w:type="dxa"/>
            <w:vAlign w:val="bottom"/>
          </w:tcPr>
          <w:p>
            <w:pPr>
              <w:spacing w:after="0"/>
              <w:rPr>
                <w:sz w:val="20"/>
                <w:szCs w:val="20"/>
                <w:color w:val="auto"/>
              </w:rPr>
            </w:pPr>
          </w:p>
        </w:tc>
        <w:tc>
          <w:tcPr>
            <w:tcW w:w="9120" w:type="dxa"/>
            <w:vAlign w:val="bottom"/>
            <w:gridSpan w:val="14"/>
          </w:tcPr>
          <w:p>
            <w:pPr>
              <w:spacing w:after="0"/>
              <w:rPr>
                <w:sz w:val="20"/>
                <w:szCs w:val="20"/>
                <w:color w:val="auto"/>
              </w:rPr>
            </w:pPr>
          </w:p>
        </w:tc>
        <w:tc>
          <w:tcPr>
            <w:tcW w:w="560" w:type="dxa"/>
            <w:vAlign w:val="bottom"/>
            <w:gridSpan w:val="4"/>
          </w:tcPr>
          <w:p>
            <w:pPr>
              <w:jc w:val="right"/>
              <w:ind w:right="20"/>
              <w:spacing w:after="0"/>
              <w:rPr>
                <w:rFonts w:ascii="Arial" w:cs="Arial" w:eastAsia="Arial" w:hAnsi="Arial"/>
                <w:sz w:val="17"/>
                <w:szCs w:val="17"/>
                <w:color w:val="0000FF"/>
              </w:rPr>
            </w:pPr>
            <w:hyperlink w:anchor="page26">
              <w:r>
                <w:rPr>
                  <w:rFonts w:ascii="Arial" w:cs="Arial" w:eastAsia="Arial" w:hAnsi="Arial"/>
                  <w:sz w:val="17"/>
                  <w:szCs w:val="17"/>
                  <w:color w:val="0000FF"/>
                </w:rPr>
                <w:t>26</w:t>
              </w:r>
            </w:hyperlink>
          </w:p>
        </w:tc>
      </w:tr>
      <w:tr>
        <w:trPr>
          <w:trHeight w:val="20"/>
        </w:trPr>
        <w:tc>
          <w:tcPr>
            <w:tcW w:w="48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520" w:type="dxa"/>
            <w:vAlign w:val="bottom"/>
            <w:gridSpan w:val="1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2"/>
        </w:trPr>
        <w:tc>
          <w:tcPr>
            <w:tcW w:w="480" w:type="dxa"/>
            <w:vAlign w:val="bottom"/>
          </w:tcPr>
          <w:p>
            <w:pPr>
              <w:spacing w:after="0"/>
              <w:rPr>
                <w:sz w:val="20"/>
                <w:szCs w:val="20"/>
                <w:color w:val="auto"/>
              </w:rPr>
            </w:pPr>
            <w:r>
              <w:rPr>
                <w:rFonts w:ascii="Arial" w:cs="Arial" w:eastAsia="Arial" w:hAnsi="Arial"/>
                <w:sz w:val="17"/>
                <w:szCs w:val="17"/>
                <w:color w:val="auto"/>
              </w:rPr>
              <w:t>6</w:t>
            </w:r>
          </w:p>
        </w:tc>
        <w:tc>
          <w:tcPr>
            <w:tcW w:w="560" w:type="dxa"/>
            <w:vAlign w:val="bottom"/>
            <w:gridSpan w:val="2"/>
          </w:tcPr>
          <w:p>
            <w:pPr>
              <w:spacing w:after="0"/>
              <w:rPr>
                <w:rFonts w:ascii="Arial" w:cs="Arial" w:eastAsia="Arial" w:hAnsi="Arial"/>
                <w:sz w:val="17"/>
                <w:szCs w:val="17"/>
                <w:color w:val="0000FF"/>
                <w:w w:val="90"/>
              </w:rPr>
            </w:pPr>
            <w:hyperlink w:anchor="page27">
              <w:r>
                <w:rPr>
                  <w:rFonts w:ascii="Arial" w:cs="Arial" w:eastAsia="Arial" w:hAnsi="Arial"/>
                  <w:sz w:val="17"/>
                  <w:szCs w:val="17"/>
                  <w:color w:val="0000FF"/>
                  <w:w w:val="90"/>
                </w:rPr>
                <w:t>Exhibits</w:t>
              </w:r>
            </w:hyperlink>
          </w:p>
        </w:tc>
        <w:tc>
          <w:tcPr>
            <w:tcW w:w="280" w:type="dxa"/>
            <w:vAlign w:val="bottom"/>
            <w:gridSpan w:val="2"/>
          </w:tcPr>
          <w:p>
            <w:pPr>
              <w:spacing w:after="0"/>
              <w:rPr>
                <w:sz w:val="20"/>
                <w:szCs w:val="20"/>
                <w:color w:val="auto"/>
              </w:rPr>
            </w:pPr>
          </w:p>
        </w:tc>
        <w:tc>
          <w:tcPr>
            <w:tcW w:w="9520" w:type="dxa"/>
            <w:vAlign w:val="bottom"/>
            <w:gridSpan w:val="15"/>
          </w:tcPr>
          <w:p>
            <w:pPr>
              <w:spacing w:after="0"/>
              <w:rPr>
                <w:sz w:val="20"/>
                <w:szCs w:val="20"/>
                <w:color w:val="auto"/>
              </w:rPr>
            </w:pPr>
          </w:p>
        </w:tc>
        <w:tc>
          <w:tcPr>
            <w:tcW w:w="560" w:type="dxa"/>
            <w:vAlign w:val="bottom"/>
            <w:gridSpan w:val="4"/>
          </w:tcPr>
          <w:p>
            <w:pPr>
              <w:jc w:val="right"/>
              <w:ind w:right="20"/>
              <w:spacing w:after="0"/>
              <w:rPr>
                <w:rFonts w:ascii="Arial" w:cs="Arial" w:eastAsia="Arial" w:hAnsi="Arial"/>
                <w:sz w:val="17"/>
                <w:szCs w:val="17"/>
                <w:color w:val="0000FF"/>
              </w:rPr>
            </w:pPr>
            <w:hyperlink w:anchor="page27">
              <w:r>
                <w:rPr>
                  <w:rFonts w:ascii="Arial" w:cs="Arial" w:eastAsia="Arial" w:hAnsi="Arial"/>
                  <w:sz w:val="17"/>
                  <w:szCs w:val="17"/>
                  <w:color w:val="0000FF"/>
                </w:rPr>
                <w:t>27</w:t>
              </w:r>
            </w:hyperlink>
          </w:p>
        </w:tc>
      </w:tr>
      <w:tr>
        <w:trPr>
          <w:trHeight w:val="20"/>
        </w:trPr>
        <w:tc>
          <w:tcPr>
            <w:tcW w:w="48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60" w:type="dxa"/>
            <w:vAlign w:val="bottom"/>
            <w:gridSpan w:val="16"/>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2"/>
        </w:trPr>
        <w:tc>
          <w:tcPr>
            <w:tcW w:w="480" w:type="dxa"/>
            <w:vAlign w:val="bottom"/>
          </w:tcPr>
          <w:p>
            <w:pPr>
              <w:spacing w:after="0"/>
              <w:rPr>
                <w:sz w:val="21"/>
                <w:szCs w:val="21"/>
                <w:color w:val="auto"/>
              </w:rPr>
            </w:pPr>
          </w:p>
        </w:tc>
        <w:tc>
          <w:tcPr>
            <w:tcW w:w="700" w:type="dxa"/>
            <w:vAlign w:val="bottom"/>
            <w:gridSpan w:val="3"/>
          </w:tcPr>
          <w:p>
            <w:pPr>
              <w:spacing w:after="0"/>
              <w:rPr>
                <w:rFonts w:ascii="Arial" w:cs="Arial" w:eastAsia="Arial" w:hAnsi="Arial"/>
                <w:sz w:val="17"/>
                <w:szCs w:val="17"/>
                <w:color w:val="0000FF"/>
                <w:w w:val="83"/>
              </w:rPr>
            </w:pPr>
            <w:hyperlink w:anchor="page28">
              <w:r>
                <w:rPr>
                  <w:rFonts w:ascii="Arial" w:cs="Arial" w:eastAsia="Arial" w:hAnsi="Arial"/>
                  <w:sz w:val="17"/>
                  <w:szCs w:val="17"/>
                  <w:color w:val="0000FF"/>
                  <w:w w:val="83"/>
                </w:rPr>
                <w:t>Signatures</w:t>
              </w:r>
            </w:hyperlink>
          </w:p>
        </w:tc>
        <w:tc>
          <w:tcPr>
            <w:tcW w:w="9660" w:type="dxa"/>
            <w:vAlign w:val="bottom"/>
            <w:gridSpan w:val="16"/>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7"/>
                <w:szCs w:val="17"/>
                <w:color w:val="0000FF"/>
              </w:rPr>
            </w:pPr>
            <w:hyperlink w:anchor="page28">
              <w:r>
                <w:rPr>
                  <w:rFonts w:ascii="Arial" w:cs="Arial" w:eastAsia="Arial" w:hAnsi="Arial"/>
                  <w:sz w:val="17"/>
                  <w:szCs w:val="17"/>
                  <w:color w:val="0000FF"/>
                </w:rPr>
                <w:t>28</w:t>
              </w:r>
            </w:hyperlink>
          </w:p>
        </w:tc>
      </w:tr>
      <w:tr>
        <w:trPr>
          <w:trHeight w:val="652"/>
        </w:trPr>
        <w:tc>
          <w:tcPr>
            <w:tcW w:w="480" w:type="dxa"/>
            <w:vAlign w:val="bottom"/>
          </w:tcPr>
          <w:p>
            <w:pPr>
              <w:spacing w:after="0"/>
              <w:rPr>
                <w:sz w:val="24"/>
                <w:szCs w:val="24"/>
                <w:color w:val="auto"/>
              </w:rPr>
            </w:pPr>
          </w:p>
        </w:tc>
        <w:tc>
          <w:tcPr>
            <w:tcW w:w="700" w:type="dxa"/>
            <w:vAlign w:val="bottom"/>
            <w:tcBorders>
              <w:top w:val="single" w:sz="8" w:color="0000FF"/>
            </w:tcBorders>
            <w:gridSpan w:val="3"/>
          </w:tcPr>
          <w:p>
            <w:pPr>
              <w:spacing w:after="0"/>
              <w:rPr>
                <w:sz w:val="24"/>
                <w:szCs w:val="24"/>
                <w:color w:val="auto"/>
              </w:rPr>
            </w:pPr>
          </w:p>
        </w:tc>
        <w:tc>
          <w:tcPr>
            <w:tcW w:w="5320" w:type="dxa"/>
            <w:vAlign w:val="bottom"/>
            <w:gridSpan w:val="10"/>
          </w:tcPr>
          <w:p>
            <w:pPr>
              <w:jc w:val="right"/>
              <w:ind w:right="760"/>
              <w:spacing w:after="0"/>
              <w:rPr>
                <w:sz w:val="20"/>
                <w:szCs w:val="20"/>
                <w:color w:val="auto"/>
              </w:rPr>
            </w:pPr>
            <w:r>
              <w:rPr>
                <w:rFonts w:ascii="Arial" w:cs="Arial" w:eastAsia="Arial" w:hAnsi="Arial"/>
                <w:sz w:val="17"/>
                <w:szCs w:val="17"/>
                <w:color w:val="auto"/>
              </w:rPr>
              <w:t>2</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 w:name="page3"/>
    <w:bookmarkEnd w:id="2"/>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PART I—FINANCIAL INFORMATION</w:t>
      </w:r>
    </w:p>
    <w:p>
      <w:pPr>
        <w:spacing w:after="0" w:line="8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 Financial Statements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CONSOLIDATED BALANCE SHEETS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YRC Worldwide Inc. and Subsidiaries</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(Amounts in millions except share and per share data)</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gridSpan w:val="2"/>
          </w:tcPr>
          <w:p>
            <w:pPr>
              <w:jc w:val="center"/>
              <w:ind w:right="420"/>
              <w:spacing w:after="0"/>
              <w:rPr>
                <w:sz w:val="20"/>
                <w:szCs w:val="20"/>
                <w:color w:val="auto"/>
              </w:rPr>
            </w:pPr>
            <w:r>
              <w:rPr>
                <w:rFonts w:ascii="Arial" w:cs="Arial" w:eastAsia="Arial" w:hAnsi="Arial"/>
                <w:sz w:val="13"/>
                <w:szCs w:val="13"/>
                <w:color w:val="auto"/>
                <w:w w:val="96"/>
              </w:rPr>
              <w:t>March 31,</w:t>
            </w:r>
          </w:p>
        </w:tc>
        <w:tc>
          <w:tcPr>
            <w:tcW w:w="220" w:type="dxa"/>
            <w:vAlign w:val="bottom"/>
          </w:tcPr>
          <w:p>
            <w:pPr>
              <w:spacing w:after="0"/>
              <w:rPr>
                <w:sz w:val="13"/>
                <w:szCs w:val="13"/>
                <w:color w:val="auto"/>
              </w:rPr>
            </w:pPr>
          </w:p>
        </w:tc>
        <w:tc>
          <w:tcPr>
            <w:tcW w:w="1240" w:type="dxa"/>
            <w:vAlign w:val="bottom"/>
          </w:tcPr>
          <w:p>
            <w:pPr>
              <w:jc w:val="right"/>
              <w:ind w:right="277"/>
              <w:spacing w:after="0"/>
              <w:rPr>
                <w:sz w:val="20"/>
                <w:szCs w:val="20"/>
                <w:color w:val="auto"/>
              </w:rPr>
            </w:pPr>
            <w:r>
              <w:rPr>
                <w:rFonts w:ascii="Arial" w:cs="Arial" w:eastAsia="Arial" w:hAnsi="Arial"/>
                <w:sz w:val="13"/>
                <w:szCs w:val="13"/>
                <w:color w:val="auto"/>
              </w:rPr>
              <w:t>December 31,</w:t>
            </w:r>
          </w:p>
        </w:tc>
        <w:tc>
          <w:tcPr>
            <w:tcW w:w="0" w:type="dxa"/>
            <w:vAlign w:val="bottom"/>
          </w:tcPr>
          <w:p>
            <w:pPr>
              <w:spacing w:after="0"/>
              <w:rPr>
                <w:sz w:val="1"/>
                <w:szCs w:val="1"/>
                <w:color w:val="auto"/>
              </w:rPr>
            </w:pPr>
          </w:p>
        </w:tc>
      </w:tr>
      <w:tr>
        <w:trPr>
          <w:trHeight w:val="177"/>
        </w:trPr>
        <w:tc>
          <w:tcPr>
            <w:tcW w:w="83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198"/>
              <w:spacing w:after="0"/>
              <w:rPr>
                <w:sz w:val="20"/>
                <w:szCs w:val="20"/>
                <w:color w:val="auto"/>
              </w:rPr>
            </w:pPr>
            <w:r>
              <w:rPr>
                <w:rFonts w:ascii="Arial" w:cs="Arial" w:eastAsia="Arial" w:hAnsi="Arial"/>
                <w:sz w:val="13"/>
                <w:szCs w:val="13"/>
                <w:color w:val="auto"/>
                <w:w w:val="89"/>
              </w:rPr>
              <w:t>2017</w:t>
            </w: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17"/>
              <w:spacing w:after="0"/>
              <w:rPr>
                <w:sz w:val="20"/>
                <w:szCs w:val="20"/>
                <w:color w:val="auto"/>
              </w:rPr>
            </w:pPr>
            <w:r>
              <w:rPr>
                <w:rFonts w:ascii="Arial" w:cs="Arial" w:eastAsia="Arial" w:hAnsi="Arial"/>
                <w:sz w:val="13"/>
                <w:szCs w:val="13"/>
                <w:color w:val="auto"/>
              </w:rPr>
              <w:t>2016</w:t>
            </w:r>
          </w:p>
        </w:tc>
        <w:tc>
          <w:tcPr>
            <w:tcW w:w="0" w:type="dxa"/>
            <w:vAlign w:val="bottom"/>
          </w:tcPr>
          <w:p>
            <w:pPr>
              <w:spacing w:after="0"/>
              <w:rPr>
                <w:sz w:val="1"/>
                <w:szCs w:val="1"/>
                <w:color w:val="auto"/>
              </w:rPr>
            </w:pPr>
          </w:p>
        </w:tc>
      </w:tr>
      <w:tr>
        <w:trPr>
          <w:trHeight w:val="232"/>
        </w:trPr>
        <w:tc>
          <w:tcPr>
            <w:tcW w:w="8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3"/>
                <w:szCs w:val="13"/>
                <w:color w:val="auto"/>
                <w:w w:val="97"/>
              </w:rPr>
              <w:t>(Unaudited)</w:t>
            </w: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8340" w:type="dxa"/>
            <w:vAlign w:val="bottom"/>
          </w:tcPr>
          <w:p>
            <w:pPr>
              <w:ind w:left="20"/>
              <w:spacing w:after="0"/>
              <w:rPr>
                <w:sz w:val="20"/>
                <w:szCs w:val="20"/>
                <w:color w:val="auto"/>
              </w:rPr>
            </w:pPr>
            <w:r>
              <w:rPr>
                <w:rFonts w:ascii="Arial" w:cs="Arial" w:eastAsia="Arial" w:hAnsi="Arial"/>
                <w:sz w:val="17"/>
                <w:szCs w:val="17"/>
                <w:color w:val="auto"/>
              </w:rPr>
              <w:t>Current Assets:</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Cash and cash equivalents</w:t>
            </w:r>
          </w:p>
        </w:tc>
        <w:tc>
          <w:tcPr>
            <w:tcW w:w="2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182.4</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136.7</w:t>
            </w:r>
          </w:p>
        </w:tc>
        <w:tc>
          <w:tcPr>
            <w:tcW w:w="0" w:type="dxa"/>
            <w:vAlign w:val="bottom"/>
          </w:tcPr>
          <w:p>
            <w:pPr>
              <w:spacing w:after="0"/>
              <w:rPr>
                <w:sz w:val="1"/>
                <w:szCs w:val="1"/>
                <w:color w:val="auto"/>
              </w:rPr>
            </w:pPr>
          </w:p>
        </w:tc>
      </w:tr>
      <w:tr>
        <w:trPr>
          <w:trHeight w:val="226"/>
        </w:trPr>
        <w:tc>
          <w:tcPr>
            <w:tcW w:w="8340" w:type="dxa"/>
            <w:vAlign w:val="bottom"/>
          </w:tcPr>
          <w:p>
            <w:pPr>
              <w:ind w:left="360"/>
              <w:spacing w:after="0"/>
              <w:rPr>
                <w:sz w:val="20"/>
                <w:szCs w:val="20"/>
                <w:color w:val="auto"/>
              </w:rPr>
            </w:pPr>
            <w:r>
              <w:rPr>
                <w:rFonts w:ascii="Arial" w:cs="Arial" w:eastAsia="Arial" w:hAnsi="Arial"/>
                <w:sz w:val="17"/>
                <w:szCs w:val="17"/>
                <w:color w:val="auto"/>
              </w:rPr>
              <w:t>Restricted amounts held in escrow</w:t>
            </w:r>
          </w:p>
        </w:tc>
        <w:tc>
          <w:tcPr>
            <w:tcW w:w="280" w:type="dxa"/>
            <w:vAlign w:val="bottom"/>
          </w:tcPr>
          <w:p>
            <w:pPr>
              <w:spacing w:after="0"/>
              <w:rPr>
                <w:sz w:val="19"/>
                <w:szCs w:val="19"/>
                <w:color w:val="auto"/>
              </w:rPr>
            </w:pPr>
          </w:p>
        </w:tc>
        <w:tc>
          <w:tcPr>
            <w:tcW w:w="1220" w:type="dxa"/>
            <w:vAlign w:val="bottom"/>
          </w:tcPr>
          <w:p>
            <w:pPr>
              <w:jc w:val="right"/>
              <w:ind w:right="38"/>
              <w:spacing w:after="0"/>
              <w:rPr>
                <w:sz w:val="20"/>
                <w:szCs w:val="20"/>
                <w:color w:val="auto"/>
              </w:rPr>
            </w:pPr>
            <w:r>
              <w:rPr>
                <w:rFonts w:ascii="Arial" w:cs="Arial" w:eastAsia="Arial" w:hAnsi="Arial"/>
                <w:sz w:val="17"/>
                <w:szCs w:val="17"/>
                <w:color w:val="auto"/>
              </w:rPr>
              <w:t>28.0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17"/>
              <w:spacing w:after="0"/>
              <w:rPr>
                <w:sz w:val="20"/>
                <w:szCs w:val="20"/>
                <w:color w:val="auto"/>
              </w:rPr>
            </w:pPr>
            <w:r>
              <w:rPr>
                <w:rFonts w:ascii="Arial" w:cs="Arial" w:eastAsia="Arial" w:hAnsi="Arial"/>
                <w:sz w:val="17"/>
                <w:szCs w:val="17"/>
                <w:color w:val="auto"/>
              </w:rPr>
              <w:t>126.7</w:t>
            </w:r>
          </w:p>
        </w:tc>
        <w:tc>
          <w:tcPr>
            <w:tcW w:w="0" w:type="dxa"/>
            <w:vAlign w:val="bottom"/>
          </w:tcPr>
          <w:p>
            <w:pPr>
              <w:spacing w:after="0"/>
              <w:rPr>
                <w:sz w:val="1"/>
                <w:szCs w:val="1"/>
                <w:color w:val="auto"/>
              </w:rPr>
            </w:pPr>
          </w:p>
        </w:tc>
      </w:tr>
      <w:tr>
        <w:trPr>
          <w:trHeight w:val="26"/>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Accounts receivable, net</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493.8</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448.7</w:t>
            </w:r>
          </w:p>
        </w:tc>
        <w:tc>
          <w:tcPr>
            <w:tcW w:w="0" w:type="dxa"/>
            <w:vAlign w:val="bottom"/>
          </w:tcPr>
          <w:p>
            <w:pPr>
              <w:spacing w:after="0"/>
              <w:rPr>
                <w:sz w:val="1"/>
                <w:szCs w:val="1"/>
                <w:color w:val="auto"/>
              </w:rPr>
            </w:pPr>
          </w:p>
        </w:tc>
      </w:tr>
      <w:tr>
        <w:trPr>
          <w:trHeight w:val="226"/>
        </w:trPr>
        <w:tc>
          <w:tcPr>
            <w:tcW w:w="8340" w:type="dxa"/>
            <w:vAlign w:val="bottom"/>
          </w:tcPr>
          <w:p>
            <w:pPr>
              <w:ind w:left="360"/>
              <w:spacing w:after="0"/>
              <w:rPr>
                <w:sz w:val="20"/>
                <w:szCs w:val="20"/>
                <w:color w:val="auto"/>
              </w:rPr>
            </w:pPr>
            <w:r>
              <w:rPr>
                <w:rFonts w:ascii="Arial" w:cs="Arial" w:eastAsia="Arial" w:hAnsi="Arial"/>
                <w:sz w:val="17"/>
                <w:szCs w:val="17"/>
                <w:color w:val="auto"/>
              </w:rPr>
              <w:t>Prepaid expenses and other</w:t>
            </w:r>
          </w:p>
        </w:tc>
        <w:tc>
          <w:tcPr>
            <w:tcW w:w="280" w:type="dxa"/>
            <w:vAlign w:val="bottom"/>
          </w:tcPr>
          <w:p>
            <w:pPr>
              <w:spacing w:after="0"/>
              <w:rPr>
                <w:sz w:val="19"/>
                <w:szCs w:val="19"/>
                <w:color w:val="auto"/>
              </w:rPr>
            </w:pPr>
          </w:p>
        </w:tc>
        <w:tc>
          <w:tcPr>
            <w:tcW w:w="1220" w:type="dxa"/>
            <w:vAlign w:val="bottom"/>
          </w:tcPr>
          <w:p>
            <w:pPr>
              <w:jc w:val="right"/>
              <w:ind w:right="38"/>
              <w:spacing w:after="0"/>
              <w:rPr>
                <w:sz w:val="20"/>
                <w:szCs w:val="20"/>
                <w:color w:val="auto"/>
              </w:rPr>
            </w:pPr>
            <w:r>
              <w:rPr>
                <w:rFonts w:ascii="Arial" w:cs="Arial" w:eastAsia="Arial" w:hAnsi="Arial"/>
                <w:sz w:val="17"/>
                <w:szCs w:val="17"/>
                <w:color w:val="auto"/>
              </w:rPr>
              <w:t>84.7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17"/>
              <w:spacing w:after="0"/>
              <w:rPr>
                <w:sz w:val="20"/>
                <w:szCs w:val="20"/>
                <w:color w:val="auto"/>
              </w:rPr>
            </w:pPr>
            <w:r>
              <w:rPr>
                <w:rFonts w:ascii="Arial" w:cs="Arial" w:eastAsia="Arial" w:hAnsi="Arial"/>
                <w:sz w:val="17"/>
                <w:szCs w:val="17"/>
                <w:color w:val="auto"/>
              </w:rPr>
              <w:t>68.7</w:t>
            </w:r>
          </w:p>
        </w:tc>
        <w:tc>
          <w:tcPr>
            <w:tcW w:w="0" w:type="dxa"/>
            <w:vAlign w:val="bottom"/>
          </w:tcPr>
          <w:p>
            <w:pPr>
              <w:spacing w:after="0"/>
              <w:rPr>
                <w:sz w:val="1"/>
                <w:szCs w:val="1"/>
                <w:color w:val="auto"/>
              </w:rPr>
            </w:pPr>
          </w:p>
        </w:tc>
      </w:tr>
      <w:tr>
        <w:trPr>
          <w:trHeight w:val="26"/>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7"/>
                <w:szCs w:val="17"/>
                <w:color w:val="auto"/>
              </w:rPr>
              <w:t>Total current assets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788.9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780.8</w:t>
            </w:r>
          </w:p>
        </w:tc>
        <w:tc>
          <w:tcPr>
            <w:tcW w:w="0" w:type="dxa"/>
            <w:vAlign w:val="bottom"/>
          </w:tcPr>
          <w:p>
            <w:pPr>
              <w:spacing w:after="0"/>
              <w:rPr>
                <w:sz w:val="1"/>
                <w:szCs w:val="1"/>
                <w:color w:val="auto"/>
              </w:rPr>
            </w:pPr>
          </w:p>
        </w:tc>
      </w:tr>
      <w:tr>
        <w:trPr>
          <w:trHeight w:val="206"/>
        </w:trPr>
        <w:tc>
          <w:tcPr>
            <w:tcW w:w="8340" w:type="dxa"/>
            <w:vAlign w:val="bottom"/>
          </w:tcPr>
          <w:p>
            <w:pPr>
              <w:ind w:left="20"/>
              <w:spacing w:after="0"/>
              <w:rPr>
                <w:sz w:val="20"/>
                <w:szCs w:val="20"/>
                <w:color w:val="auto"/>
              </w:rPr>
            </w:pPr>
            <w:r>
              <w:rPr>
                <w:rFonts w:ascii="Arial" w:cs="Arial" w:eastAsia="Arial" w:hAnsi="Arial"/>
                <w:sz w:val="17"/>
                <w:szCs w:val="17"/>
                <w:color w:val="auto"/>
              </w:rPr>
              <w:t>Property and Equipment:</w:t>
            </w:r>
          </w:p>
        </w:tc>
        <w:tc>
          <w:tcPr>
            <w:tcW w:w="2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8"/>
        </w:trPr>
        <w:tc>
          <w:tcPr>
            <w:tcW w:w="83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2"/>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Cost</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2,755.0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2,787.0</w:t>
            </w:r>
          </w:p>
        </w:tc>
        <w:tc>
          <w:tcPr>
            <w:tcW w:w="0" w:type="dxa"/>
            <w:vAlign w:val="bottom"/>
          </w:tcPr>
          <w:p>
            <w:pPr>
              <w:spacing w:after="0"/>
              <w:rPr>
                <w:sz w:val="1"/>
                <w:szCs w:val="1"/>
                <w:color w:val="auto"/>
              </w:rPr>
            </w:pPr>
          </w:p>
        </w:tc>
      </w:tr>
      <w:tr>
        <w:trPr>
          <w:trHeight w:val="226"/>
        </w:trPr>
        <w:tc>
          <w:tcPr>
            <w:tcW w:w="8340" w:type="dxa"/>
            <w:vAlign w:val="bottom"/>
          </w:tcPr>
          <w:p>
            <w:pPr>
              <w:ind w:left="360"/>
              <w:spacing w:after="0"/>
              <w:rPr>
                <w:sz w:val="20"/>
                <w:szCs w:val="20"/>
                <w:color w:val="auto"/>
              </w:rPr>
            </w:pPr>
            <w:r>
              <w:rPr>
                <w:rFonts w:ascii="Arial" w:cs="Arial" w:eastAsia="Arial" w:hAnsi="Arial"/>
                <w:sz w:val="17"/>
                <w:szCs w:val="17"/>
                <w:color w:val="auto"/>
              </w:rPr>
              <w:t>Less – accumulated depreciation</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(1,909.6)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(1,916.4)</w:t>
            </w:r>
          </w:p>
        </w:tc>
        <w:tc>
          <w:tcPr>
            <w:tcW w:w="0" w:type="dxa"/>
            <w:vAlign w:val="bottom"/>
          </w:tcPr>
          <w:p>
            <w:pPr>
              <w:spacing w:after="0"/>
              <w:rPr>
                <w:sz w:val="1"/>
                <w:szCs w:val="1"/>
                <w:color w:val="auto"/>
              </w:rPr>
            </w:pPr>
          </w:p>
        </w:tc>
      </w:tr>
      <w:tr>
        <w:trPr>
          <w:trHeight w:val="26"/>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7"/>
                <w:szCs w:val="17"/>
                <w:color w:val="auto"/>
              </w:rPr>
              <w:t>Net property and equipment</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845.4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870.6</w:t>
            </w:r>
          </w:p>
        </w:tc>
        <w:tc>
          <w:tcPr>
            <w:tcW w:w="0" w:type="dxa"/>
            <w:vAlign w:val="bottom"/>
          </w:tcPr>
          <w:p>
            <w:pPr>
              <w:spacing w:after="0"/>
              <w:rPr>
                <w:sz w:val="1"/>
                <w:szCs w:val="1"/>
                <w:color w:val="auto"/>
              </w:rPr>
            </w:pPr>
          </w:p>
        </w:tc>
      </w:tr>
      <w:tr>
        <w:trPr>
          <w:trHeight w:val="219"/>
        </w:trPr>
        <w:tc>
          <w:tcPr>
            <w:tcW w:w="8340" w:type="dxa"/>
            <w:vAlign w:val="bottom"/>
          </w:tcPr>
          <w:p>
            <w:pPr>
              <w:ind w:left="20"/>
              <w:spacing w:after="0"/>
              <w:rPr>
                <w:sz w:val="20"/>
                <w:szCs w:val="20"/>
                <w:color w:val="auto"/>
              </w:rPr>
            </w:pPr>
            <w:r>
              <w:rPr>
                <w:rFonts w:ascii="Arial" w:cs="Arial" w:eastAsia="Arial" w:hAnsi="Arial"/>
                <w:sz w:val="17"/>
                <w:szCs w:val="17"/>
                <w:color w:val="auto"/>
              </w:rPr>
              <w:t>Intangibles, net</w:t>
            </w:r>
          </w:p>
        </w:tc>
        <w:tc>
          <w:tcPr>
            <w:tcW w:w="2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38"/>
              <w:spacing w:after="0"/>
              <w:rPr>
                <w:sz w:val="20"/>
                <w:szCs w:val="20"/>
                <w:color w:val="auto"/>
              </w:rPr>
            </w:pPr>
            <w:r>
              <w:rPr>
                <w:rFonts w:ascii="Arial" w:cs="Arial" w:eastAsia="Arial" w:hAnsi="Arial"/>
                <w:sz w:val="17"/>
                <w:szCs w:val="17"/>
                <w:color w:val="auto"/>
              </w:rPr>
              <w:t>27.2</w:t>
            </w: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auto"/>
              </w:rPr>
              <w:t>27.2</w:t>
            </w:r>
          </w:p>
        </w:tc>
        <w:tc>
          <w:tcPr>
            <w:tcW w:w="0" w:type="dxa"/>
            <w:vAlign w:val="bottom"/>
          </w:tcPr>
          <w:p>
            <w:pPr>
              <w:spacing w:after="0"/>
              <w:rPr>
                <w:sz w:val="1"/>
                <w:szCs w:val="1"/>
                <w:color w:val="auto"/>
              </w:rPr>
            </w:pPr>
          </w:p>
        </w:tc>
      </w:tr>
      <w:tr>
        <w:trPr>
          <w:trHeight w:val="26"/>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Restricted amounts held in escrow</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16.0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12.3</w:t>
            </w:r>
          </w:p>
        </w:tc>
        <w:tc>
          <w:tcPr>
            <w:tcW w:w="0" w:type="dxa"/>
            <w:vAlign w:val="bottom"/>
          </w:tcPr>
          <w:p>
            <w:pPr>
              <w:spacing w:after="0"/>
              <w:rPr>
                <w:sz w:val="1"/>
                <w:szCs w:val="1"/>
                <w:color w:val="auto"/>
              </w:rPr>
            </w:pPr>
          </w:p>
        </w:tc>
      </w:tr>
      <w:tr>
        <w:trPr>
          <w:trHeight w:val="226"/>
        </w:trPr>
        <w:tc>
          <w:tcPr>
            <w:tcW w:w="8340" w:type="dxa"/>
            <w:vAlign w:val="bottom"/>
          </w:tcPr>
          <w:p>
            <w:pPr>
              <w:ind w:left="20"/>
              <w:spacing w:after="0"/>
              <w:rPr>
                <w:sz w:val="20"/>
                <w:szCs w:val="20"/>
                <w:color w:val="auto"/>
              </w:rPr>
            </w:pPr>
            <w:r>
              <w:rPr>
                <w:rFonts w:ascii="Arial" w:cs="Arial" w:eastAsia="Arial" w:hAnsi="Arial"/>
                <w:sz w:val="17"/>
                <w:szCs w:val="17"/>
                <w:color w:val="auto"/>
              </w:rPr>
              <w:t>Deferred income taxes, net</w:t>
            </w:r>
          </w:p>
        </w:tc>
        <w:tc>
          <w:tcPr>
            <w:tcW w:w="280" w:type="dxa"/>
            <w:vAlign w:val="bottom"/>
          </w:tcPr>
          <w:p>
            <w:pPr>
              <w:spacing w:after="0"/>
              <w:rPr>
                <w:sz w:val="19"/>
                <w:szCs w:val="19"/>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240" w:type="dxa"/>
            <w:vAlign w:val="bottom"/>
          </w:tcPr>
          <w:p>
            <w:pPr>
              <w:jc w:val="right"/>
              <w:ind w:right="17"/>
              <w:spacing w:after="0"/>
              <w:rPr>
                <w:sz w:val="20"/>
                <w:szCs w:val="20"/>
                <w:color w:val="auto"/>
              </w:rPr>
            </w:pPr>
            <w:r>
              <w:rPr>
                <w:rFonts w:ascii="Arial" w:cs="Arial" w:eastAsia="Arial" w:hAnsi="Arial"/>
                <w:sz w:val="17"/>
                <w:szCs w:val="17"/>
                <w:color w:val="auto"/>
              </w:rPr>
              <w:t>24.9</w:t>
            </w:r>
          </w:p>
        </w:tc>
        <w:tc>
          <w:tcPr>
            <w:tcW w:w="0" w:type="dxa"/>
            <w:vAlign w:val="bottom"/>
          </w:tcPr>
          <w:p>
            <w:pPr>
              <w:spacing w:after="0"/>
              <w:rPr>
                <w:sz w:val="1"/>
                <w:szCs w:val="1"/>
                <w:color w:val="auto"/>
              </w:rPr>
            </w:pPr>
          </w:p>
        </w:tc>
      </w:tr>
      <w:tr>
        <w:trPr>
          <w:trHeight w:val="26"/>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2"/>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 assets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50.4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54.2</w:t>
            </w:r>
          </w:p>
        </w:tc>
        <w:tc>
          <w:tcPr>
            <w:tcW w:w="0" w:type="dxa"/>
            <w:vAlign w:val="bottom"/>
          </w:tcPr>
          <w:p>
            <w:pPr>
              <w:spacing w:after="0"/>
              <w:rPr>
                <w:sz w:val="1"/>
                <w:szCs w:val="1"/>
                <w:color w:val="auto"/>
              </w:rPr>
            </w:pPr>
          </w:p>
        </w:tc>
      </w:tr>
      <w:tr>
        <w:trPr>
          <w:trHeight w:val="219"/>
        </w:trPr>
        <w:tc>
          <w:tcPr>
            <w:tcW w:w="8340" w:type="dxa"/>
            <w:vAlign w:val="bottom"/>
          </w:tcPr>
          <w:p>
            <w:pPr>
              <w:ind w:left="660"/>
              <w:spacing w:after="0"/>
              <w:rPr>
                <w:sz w:val="20"/>
                <w:szCs w:val="20"/>
                <w:color w:val="auto"/>
              </w:rPr>
            </w:pPr>
            <w:r>
              <w:rPr>
                <w:rFonts w:ascii="Arial" w:cs="Arial" w:eastAsia="Arial" w:hAnsi="Arial"/>
                <w:sz w:val="17"/>
                <w:szCs w:val="17"/>
                <w:b w:val="1"/>
                <w:bCs w:val="1"/>
                <w:color w:val="auto"/>
              </w:rPr>
              <w:t>Total Assets</w:t>
            </w:r>
          </w:p>
        </w:tc>
        <w:tc>
          <w:tcPr>
            <w:tcW w:w="280" w:type="dxa"/>
            <w:vAlign w:val="bottom"/>
            <w:tcBorders>
              <w:top w:val="single" w:sz="8" w:color="auto"/>
            </w:tcBorders>
          </w:tcPr>
          <w:p>
            <w:pPr>
              <w:jc w:val="right"/>
              <w:ind w:right="76"/>
              <w:spacing w:after="0"/>
              <w:rPr>
                <w:sz w:val="20"/>
                <w:szCs w:val="20"/>
                <w:color w:val="auto"/>
              </w:rPr>
            </w:pPr>
            <w:r>
              <w:rPr>
                <w:rFonts w:ascii="Arial" w:cs="Arial" w:eastAsia="Arial" w:hAnsi="Arial"/>
                <w:sz w:val="17"/>
                <w:szCs w:val="17"/>
                <w:color w:val="auto"/>
              </w:rPr>
              <w:t>$</w:t>
            </w:r>
          </w:p>
        </w:tc>
        <w:tc>
          <w:tcPr>
            <w:tcW w:w="1220" w:type="dxa"/>
            <w:vAlign w:val="bottom"/>
            <w:tcBorders>
              <w:top w:val="single" w:sz="8" w:color="auto"/>
            </w:tcBorders>
          </w:tcPr>
          <w:p>
            <w:pPr>
              <w:jc w:val="right"/>
              <w:ind w:right="38"/>
              <w:spacing w:after="0"/>
              <w:rPr>
                <w:sz w:val="20"/>
                <w:szCs w:val="20"/>
                <w:color w:val="auto"/>
              </w:rPr>
            </w:pPr>
            <w:r>
              <w:rPr>
                <w:rFonts w:ascii="Arial" w:cs="Arial" w:eastAsia="Arial" w:hAnsi="Arial"/>
                <w:sz w:val="17"/>
                <w:szCs w:val="17"/>
                <w:color w:val="auto"/>
              </w:rPr>
              <w:t>1,727.9</w:t>
            </w:r>
          </w:p>
        </w:tc>
        <w:tc>
          <w:tcPr>
            <w:tcW w:w="120" w:type="dxa"/>
            <w:vAlign w:val="bottom"/>
          </w:tcPr>
          <w:p>
            <w:pPr>
              <w:spacing w:after="0"/>
              <w:rPr>
                <w:sz w:val="19"/>
                <w:szCs w:val="19"/>
                <w:color w:val="auto"/>
              </w:rPr>
            </w:pPr>
          </w:p>
        </w:tc>
        <w:tc>
          <w:tcPr>
            <w:tcW w:w="220" w:type="dxa"/>
            <w:vAlign w:val="bottom"/>
            <w:tcBorders>
              <w:top w:val="single" w:sz="8" w:color="auto"/>
            </w:tcBorders>
          </w:tcPr>
          <w:p>
            <w:pPr>
              <w:jc w:val="right"/>
              <w:ind w:right="36"/>
              <w:spacing w:after="0"/>
              <w:rPr>
                <w:sz w:val="20"/>
                <w:szCs w:val="20"/>
                <w:color w:val="auto"/>
              </w:rPr>
            </w:pPr>
            <w:r>
              <w:rPr>
                <w:rFonts w:ascii="Arial" w:cs="Arial" w:eastAsia="Arial" w:hAnsi="Arial"/>
                <w:sz w:val="17"/>
                <w:szCs w:val="17"/>
                <w:color w:val="auto"/>
                <w:w w:val="84"/>
              </w:rPr>
              <w:t>$</w:t>
            </w:r>
          </w:p>
        </w:tc>
        <w:tc>
          <w:tcPr>
            <w:tcW w:w="124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auto"/>
              </w:rPr>
              <w:t>1,770.0</w:t>
            </w:r>
          </w:p>
        </w:tc>
        <w:tc>
          <w:tcPr>
            <w:tcW w:w="0" w:type="dxa"/>
            <w:vAlign w:val="bottom"/>
          </w:tcPr>
          <w:p>
            <w:pPr>
              <w:spacing w:after="0"/>
              <w:rPr>
                <w:sz w:val="1"/>
                <w:szCs w:val="1"/>
                <w:color w:val="auto"/>
              </w:rPr>
            </w:pPr>
          </w:p>
        </w:tc>
      </w:tr>
      <w:tr>
        <w:trPr>
          <w:trHeight w:val="66"/>
        </w:trPr>
        <w:tc>
          <w:tcPr>
            <w:tcW w:w="834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8340" w:type="dxa"/>
            <w:vAlign w:val="bottom"/>
            <w:tcBorders>
              <w:bottom w:val="single" w:sz="8" w:color="CCEEFF"/>
            </w:tcBorders>
            <w:shd w:val="clear" w:color="auto" w:fill="CCEEFF"/>
          </w:tcPr>
          <w:p>
            <w:pPr>
              <w:ind w:left="20"/>
              <w:spacing w:after="0" w:line="179" w:lineRule="exact"/>
              <w:rPr>
                <w:sz w:val="20"/>
                <w:szCs w:val="20"/>
                <w:color w:val="auto"/>
              </w:rPr>
            </w:pPr>
            <w:r>
              <w:rPr>
                <w:rFonts w:ascii="Arial" w:cs="Arial" w:eastAsia="Arial" w:hAnsi="Arial"/>
                <w:sz w:val="17"/>
                <w:szCs w:val="17"/>
                <w:b w:val="1"/>
                <w:bCs w:val="1"/>
                <w:color w:val="auto"/>
              </w:rPr>
              <w:t>Liabilities and Shareholders’ Deficit</w:t>
            </w:r>
          </w:p>
        </w:tc>
        <w:tc>
          <w:tcPr>
            <w:tcW w:w="28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8340" w:type="dxa"/>
            <w:vAlign w:val="bottom"/>
          </w:tcPr>
          <w:p>
            <w:pPr>
              <w:ind w:left="20"/>
              <w:spacing w:after="0"/>
              <w:rPr>
                <w:sz w:val="20"/>
                <w:szCs w:val="20"/>
                <w:color w:val="auto"/>
              </w:rPr>
            </w:pPr>
            <w:r>
              <w:rPr>
                <w:rFonts w:ascii="Arial" w:cs="Arial" w:eastAsia="Arial" w:hAnsi="Arial"/>
                <w:sz w:val="17"/>
                <w:szCs w:val="17"/>
                <w:color w:val="auto"/>
              </w:rPr>
              <w:t>Current Liabilities:</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Accounts payable</w:t>
            </w:r>
          </w:p>
        </w:tc>
        <w:tc>
          <w:tcPr>
            <w:tcW w:w="2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156.7</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160.6</w:t>
            </w:r>
          </w:p>
        </w:tc>
        <w:tc>
          <w:tcPr>
            <w:tcW w:w="0" w:type="dxa"/>
            <w:vAlign w:val="bottom"/>
          </w:tcPr>
          <w:p>
            <w:pPr>
              <w:spacing w:after="0"/>
              <w:rPr>
                <w:sz w:val="1"/>
                <w:szCs w:val="1"/>
                <w:color w:val="auto"/>
              </w:rPr>
            </w:pPr>
          </w:p>
        </w:tc>
      </w:tr>
      <w:tr>
        <w:trPr>
          <w:trHeight w:val="226"/>
        </w:trPr>
        <w:tc>
          <w:tcPr>
            <w:tcW w:w="8340" w:type="dxa"/>
            <w:vAlign w:val="bottom"/>
          </w:tcPr>
          <w:p>
            <w:pPr>
              <w:ind w:left="360"/>
              <w:spacing w:after="0"/>
              <w:rPr>
                <w:sz w:val="20"/>
                <w:szCs w:val="20"/>
                <w:color w:val="auto"/>
              </w:rPr>
            </w:pPr>
            <w:r>
              <w:rPr>
                <w:rFonts w:ascii="Arial" w:cs="Arial" w:eastAsia="Arial" w:hAnsi="Arial"/>
                <w:sz w:val="17"/>
                <w:szCs w:val="17"/>
                <w:color w:val="auto"/>
              </w:rPr>
              <w:t>Wages, vacations and employee benefits</w:t>
            </w:r>
          </w:p>
        </w:tc>
        <w:tc>
          <w:tcPr>
            <w:tcW w:w="280" w:type="dxa"/>
            <w:vAlign w:val="bottom"/>
          </w:tcPr>
          <w:p>
            <w:pPr>
              <w:spacing w:after="0"/>
              <w:rPr>
                <w:sz w:val="19"/>
                <w:szCs w:val="19"/>
                <w:color w:val="auto"/>
              </w:rPr>
            </w:pPr>
          </w:p>
        </w:tc>
        <w:tc>
          <w:tcPr>
            <w:tcW w:w="1220" w:type="dxa"/>
            <w:vAlign w:val="bottom"/>
          </w:tcPr>
          <w:p>
            <w:pPr>
              <w:jc w:val="right"/>
              <w:ind w:right="38"/>
              <w:spacing w:after="0"/>
              <w:rPr>
                <w:sz w:val="20"/>
                <w:szCs w:val="20"/>
                <w:color w:val="auto"/>
              </w:rPr>
            </w:pPr>
            <w:r>
              <w:rPr>
                <w:rFonts w:ascii="Arial" w:cs="Arial" w:eastAsia="Arial" w:hAnsi="Arial"/>
                <w:sz w:val="17"/>
                <w:szCs w:val="17"/>
                <w:color w:val="auto"/>
              </w:rPr>
              <w:t>205.7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17"/>
              <w:spacing w:after="0"/>
              <w:rPr>
                <w:sz w:val="20"/>
                <w:szCs w:val="20"/>
                <w:color w:val="auto"/>
              </w:rPr>
            </w:pPr>
            <w:r>
              <w:rPr>
                <w:rFonts w:ascii="Arial" w:cs="Arial" w:eastAsia="Arial" w:hAnsi="Arial"/>
                <w:sz w:val="17"/>
                <w:szCs w:val="17"/>
                <w:color w:val="auto"/>
              </w:rPr>
              <w:t>191.0</w:t>
            </w:r>
          </w:p>
        </w:tc>
        <w:tc>
          <w:tcPr>
            <w:tcW w:w="0" w:type="dxa"/>
            <w:vAlign w:val="bottom"/>
          </w:tcPr>
          <w:p>
            <w:pPr>
              <w:spacing w:after="0"/>
              <w:rPr>
                <w:sz w:val="1"/>
                <w:szCs w:val="1"/>
                <w:color w:val="auto"/>
              </w:rPr>
            </w:pPr>
          </w:p>
        </w:tc>
      </w:tr>
      <w:tr>
        <w:trPr>
          <w:trHeight w:val="26"/>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Deferred income taxes, net</w:t>
            </w:r>
          </w:p>
        </w:tc>
        <w:tc>
          <w:tcPr>
            <w:tcW w:w="2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24.9</w:t>
            </w:r>
          </w:p>
        </w:tc>
        <w:tc>
          <w:tcPr>
            <w:tcW w:w="0" w:type="dxa"/>
            <w:vAlign w:val="bottom"/>
          </w:tcPr>
          <w:p>
            <w:pPr>
              <w:spacing w:after="0"/>
              <w:rPr>
                <w:sz w:val="1"/>
                <w:szCs w:val="1"/>
                <w:color w:val="auto"/>
              </w:rPr>
            </w:pPr>
          </w:p>
        </w:tc>
      </w:tr>
      <w:tr>
        <w:trPr>
          <w:trHeight w:val="226"/>
        </w:trPr>
        <w:tc>
          <w:tcPr>
            <w:tcW w:w="8340" w:type="dxa"/>
            <w:vAlign w:val="bottom"/>
          </w:tcPr>
          <w:p>
            <w:pPr>
              <w:ind w:left="360"/>
              <w:spacing w:after="0"/>
              <w:rPr>
                <w:sz w:val="20"/>
                <w:szCs w:val="20"/>
                <w:color w:val="auto"/>
              </w:rPr>
            </w:pPr>
            <w:r>
              <w:rPr>
                <w:rFonts w:ascii="Arial" w:cs="Arial" w:eastAsia="Arial" w:hAnsi="Arial"/>
                <w:sz w:val="17"/>
                <w:szCs w:val="17"/>
                <w:color w:val="auto"/>
              </w:rPr>
              <w:t>Claims and insurance accruals</w:t>
            </w:r>
          </w:p>
        </w:tc>
        <w:tc>
          <w:tcPr>
            <w:tcW w:w="280" w:type="dxa"/>
            <w:vAlign w:val="bottom"/>
          </w:tcPr>
          <w:p>
            <w:pPr>
              <w:spacing w:after="0"/>
              <w:rPr>
                <w:sz w:val="19"/>
                <w:szCs w:val="19"/>
                <w:color w:val="auto"/>
              </w:rPr>
            </w:pPr>
          </w:p>
        </w:tc>
        <w:tc>
          <w:tcPr>
            <w:tcW w:w="1220" w:type="dxa"/>
            <w:vAlign w:val="bottom"/>
          </w:tcPr>
          <w:p>
            <w:pPr>
              <w:jc w:val="right"/>
              <w:ind w:right="38"/>
              <w:spacing w:after="0"/>
              <w:rPr>
                <w:sz w:val="20"/>
                <w:szCs w:val="20"/>
                <w:color w:val="auto"/>
              </w:rPr>
            </w:pPr>
            <w:r>
              <w:rPr>
                <w:rFonts w:ascii="Arial" w:cs="Arial" w:eastAsia="Arial" w:hAnsi="Arial"/>
                <w:sz w:val="17"/>
                <w:szCs w:val="17"/>
                <w:color w:val="auto"/>
              </w:rPr>
              <w:t>115.2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17"/>
              <w:spacing w:after="0"/>
              <w:rPr>
                <w:sz w:val="20"/>
                <w:szCs w:val="20"/>
                <w:color w:val="auto"/>
              </w:rPr>
            </w:pPr>
            <w:r>
              <w:rPr>
                <w:rFonts w:ascii="Arial" w:cs="Arial" w:eastAsia="Arial" w:hAnsi="Arial"/>
                <w:sz w:val="17"/>
                <w:szCs w:val="17"/>
                <w:color w:val="auto"/>
              </w:rPr>
              <w:t>114.9</w:t>
            </w:r>
          </w:p>
        </w:tc>
        <w:tc>
          <w:tcPr>
            <w:tcW w:w="0" w:type="dxa"/>
            <w:vAlign w:val="bottom"/>
          </w:tcPr>
          <w:p>
            <w:pPr>
              <w:spacing w:after="0"/>
              <w:rPr>
                <w:sz w:val="1"/>
                <w:szCs w:val="1"/>
                <w:color w:val="auto"/>
              </w:rPr>
            </w:pPr>
          </w:p>
        </w:tc>
      </w:tr>
      <w:tr>
        <w:trPr>
          <w:trHeight w:val="26"/>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Other accrued taxes</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28.8</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27.6</w:t>
            </w:r>
          </w:p>
        </w:tc>
        <w:tc>
          <w:tcPr>
            <w:tcW w:w="0" w:type="dxa"/>
            <w:vAlign w:val="bottom"/>
          </w:tcPr>
          <w:p>
            <w:pPr>
              <w:spacing w:after="0"/>
              <w:rPr>
                <w:sz w:val="1"/>
                <w:szCs w:val="1"/>
                <w:color w:val="auto"/>
              </w:rPr>
            </w:pPr>
          </w:p>
        </w:tc>
      </w:tr>
      <w:tr>
        <w:trPr>
          <w:trHeight w:val="226"/>
        </w:trPr>
        <w:tc>
          <w:tcPr>
            <w:tcW w:w="8340" w:type="dxa"/>
            <w:vAlign w:val="bottom"/>
          </w:tcPr>
          <w:p>
            <w:pPr>
              <w:ind w:left="360"/>
              <w:spacing w:after="0"/>
              <w:rPr>
                <w:sz w:val="20"/>
                <w:szCs w:val="20"/>
                <w:color w:val="auto"/>
              </w:rPr>
            </w:pPr>
            <w:r>
              <w:rPr>
                <w:rFonts w:ascii="Arial" w:cs="Arial" w:eastAsia="Arial" w:hAnsi="Arial"/>
                <w:sz w:val="17"/>
                <w:szCs w:val="17"/>
                <w:color w:val="auto"/>
              </w:rPr>
              <w:t>Other current and accrued liabilities</w:t>
            </w:r>
          </w:p>
        </w:tc>
        <w:tc>
          <w:tcPr>
            <w:tcW w:w="280" w:type="dxa"/>
            <w:vAlign w:val="bottom"/>
          </w:tcPr>
          <w:p>
            <w:pPr>
              <w:spacing w:after="0"/>
              <w:rPr>
                <w:sz w:val="19"/>
                <w:szCs w:val="19"/>
                <w:color w:val="auto"/>
              </w:rPr>
            </w:pPr>
          </w:p>
        </w:tc>
        <w:tc>
          <w:tcPr>
            <w:tcW w:w="1220" w:type="dxa"/>
            <w:vAlign w:val="bottom"/>
          </w:tcPr>
          <w:p>
            <w:pPr>
              <w:jc w:val="right"/>
              <w:ind w:right="38"/>
              <w:spacing w:after="0"/>
              <w:rPr>
                <w:sz w:val="20"/>
                <w:szCs w:val="20"/>
                <w:color w:val="auto"/>
              </w:rPr>
            </w:pPr>
            <w:r>
              <w:rPr>
                <w:rFonts w:ascii="Arial" w:cs="Arial" w:eastAsia="Arial" w:hAnsi="Arial"/>
                <w:sz w:val="17"/>
                <w:szCs w:val="17"/>
                <w:color w:val="auto"/>
              </w:rPr>
              <w:t>21.5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17"/>
              <w:spacing w:after="0"/>
              <w:rPr>
                <w:sz w:val="20"/>
                <w:szCs w:val="20"/>
                <w:color w:val="auto"/>
              </w:rPr>
            </w:pPr>
            <w:r>
              <w:rPr>
                <w:rFonts w:ascii="Arial" w:cs="Arial" w:eastAsia="Arial" w:hAnsi="Arial"/>
                <w:sz w:val="17"/>
                <w:szCs w:val="17"/>
                <w:color w:val="auto"/>
              </w:rPr>
              <w:t>26.1</w:t>
            </w:r>
          </w:p>
        </w:tc>
        <w:tc>
          <w:tcPr>
            <w:tcW w:w="0" w:type="dxa"/>
            <w:vAlign w:val="bottom"/>
          </w:tcPr>
          <w:p>
            <w:pPr>
              <w:spacing w:after="0"/>
              <w:rPr>
                <w:sz w:val="1"/>
                <w:szCs w:val="1"/>
                <w:color w:val="auto"/>
              </w:rPr>
            </w:pPr>
          </w:p>
        </w:tc>
      </w:tr>
      <w:tr>
        <w:trPr>
          <w:trHeight w:val="26"/>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2"/>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Current maturities of long-term debt</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17.3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16.8</w:t>
            </w:r>
          </w:p>
        </w:tc>
        <w:tc>
          <w:tcPr>
            <w:tcW w:w="0" w:type="dxa"/>
            <w:vAlign w:val="bottom"/>
          </w:tcPr>
          <w:p>
            <w:pPr>
              <w:spacing w:after="0"/>
              <w:rPr>
                <w:sz w:val="1"/>
                <w:szCs w:val="1"/>
                <w:color w:val="auto"/>
              </w:rPr>
            </w:pPr>
          </w:p>
        </w:tc>
      </w:tr>
      <w:tr>
        <w:trPr>
          <w:trHeight w:val="219"/>
        </w:trPr>
        <w:tc>
          <w:tcPr>
            <w:tcW w:w="8340" w:type="dxa"/>
            <w:vAlign w:val="bottom"/>
          </w:tcPr>
          <w:p>
            <w:pPr>
              <w:ind w:left="660"/>
              <w:spacing w:after="0"/>
              <w:rPr>
                <w:sz w:val="20"/>
                <w:szCs w:val="20"/>
                <w:color w:val="auto"/>
              </w:rPr>
            </w:pPr>
            <w:r>
              <w:rPr>
                <w:rFonts w:ascii="Arial" w:cs="Arial" w:eastAsia="Arial" w:hAnsi="Arial"/>
                <w:sz w:val="17"/>
                <w:szCs w:val="17"/>
                <w:color w:val="auto"/>
              </w:rPr>
              <w:t>Total current liabilities</w:t>
            </w:r>
          </w:p>
        </w:tc>
        <w:tc>
          <w:tcPr>
            <w:tcW w:w="2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38"/>
              <w:spacing w:after="0"/>
              <w:rPr>
                <w:sz w:val="20"/>
                <w:szCs w:val="20"/>
                <w:color w:val="auto"/>
              </w:rPr>
            </w:pPr>
            <w:r>
              <w:rPr>
                <w:rFonts w:ascii="Arial" w:cs="Arial" w:eastAsia="Arial" w:hAnsi="Arial"/>
                <w:sz w:val="17"/>
                <w:szCs w:val="17"/>
                <w:color w:val="auto"/>
              </w:rPr>
              <w:t>545.2</w:t>
            </w: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auto"/>
              </w:rPr>
              <w:t>561.9</w:t>
            </w:r>
          </w:p>
        </w:tc>
        <w:tc>
          <w:tcPr>
            <w:tcW w:w="0" w:type="dxa"/>
            <w:vAlign w:val="bottom"/>
          </w:tcPr>
          <w:p>
            <w:pPr>
              <w:spacing w:after="0"/>
              <w:rPr>
                <w:sz w:val="1"/>
                <w:szCs w:val="1"/>
                <w:color w:val="auto"/>
              </w:rPr>
            </w:pPr>
          </w:p>
        </w:tc>
      </w:tr>
      <w:tr>
        <w:trPr>
          <w:trHeight w:val="26"/>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 Liabilities:</w:t>
            </w:r>
          </w:p>
        </w:tc>
        <w:tc>
          <w:tcPr>
            <w:tcW w:w="2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340" w:type="dxa"/>
            <w:vAlign w:val="bottom"/>
          </w:tcPr>
          <w:p>
            <w:pPr>
              <w:ind w:left="360"/>
              <w:spacing w:after="0"/>
              <w:rPr>
                <w:sz w:val="20"/>
                <w:szCs w:val="20"/>
                <w:color w:val="auto"/>
              </w:rPr>
            </w:pPr>
            <w:r>
              <w:rPr>
                <w:rFonts w:ascii="Arial" w:cs="Arial" w:eastAsia="Arial" w:hAnsi="Arial"/>
                <w:sz w:val="17"/>
                <w:szCs w:val="17"/>
                <w:color w:val="auto"/>
              </w:rPr>
              <w:t>Long-term debt, less current portion</w:t>
            </w:r>
          </w:p>
        </w:tc>
        <w:tc>
          <w:tcPr>
            <w:tcW w:w="280" w:type="dxa"/>
            <w:vAlign w:val="bottom"/>
          </w:tcPr>
          <w:p>
            <w:pPr>
              <w:spacing w:after="0"/>
              <w:rPr>
                <w:sz w:val="19"/>
                <w:szCs w:val="19"/>
                <w:color w:val="auto"/>
              </w:rPr>
            </w:pPr>
          </w:p>
        </w:tc>
        <w:tc>
          <w:tcPr>
            <w:tcW w:w="1220" w:type="dxa"/>
            <w:vAlign w:val="bottom"/>
          </w:tcPr>
          <w:p>
            <w:pPr>
              <w:jc w:val="right"/>
              <w:ind w:right="38"/>
              <w:spacing w:after="0"/>
              <w:rPr>
                <w:sz w:val="20"/>
                <w:szCs w:val="20"/>
                <w:color w:val="auto"/>
              </w:rPr>
            </w:pPr>
            <w:r>
              <w:rPr>
                <w:rFonts w:ascii="Arial" w:cs="Arial" w:eastAsia="Arial" w:hAnsi="Arial"/>
                <w:sz w:val="17"/>
                <w:szCs w:val="17"/>
                <w:color w:val="auto"/>
              </w:rPr>
              <w:t>972.9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17"/>
              <w:spacing w:after="0"/>
              <w:rPr>
                <w:sz w:val="20"/>
                <w:szCs w:val="20"/>
                <w:color w:val="auto"/>
              </w:rPr>
            </w:pPr>
            <w:r>
              <w:rPr>
                <w:rFonts w:ascii="Arial" w:cs="Arial" w:eastAsia="Arial" w:hAnsi="Arial"/>
                <w:sz w:val="17"/>
                <w:szCs w:val="17"/>
                <w:color w:val="auto"/>
              </w:rPr>
              <w:t>980.3</w:t>
            </w:r>
          </w:p>
        </w:tc>
        <w:tc>
          <w:tcPr>
            <w:tcW w:w="0" w:type="dxa"/>
            <w:vAlign w:val="bottom"/>
          </w:tcPr>
          <w:p>
            <w:pPr>
              <w:spacing w:after="0"/>
              <w:rPr>
                <w:sz w:val="1"/>
                <w:szCs w:val="1"/>
                <w:color w:val="auto"/>
              </w:rPr>
            </w:pPr>
          </w:p>
        </w:tc>
      </w:tr>
      <w:tr>
        <w:trPr>
          <w:trHeight w:val="26"/>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Deferred income taxes, net</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3.1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3.6</w:t>
            </w:r>
          </w:p>
        </w:tc>
        <w:tc>
          <w:tcPr>
            <w:tcW w:w="0" w:type="dxa"/>
            <w:vAlign w:val="bottom"/>
          </w:tcPr>
          <w:p>
            <w:pPr>
              <w:spacing w:after="0"/>
              <w:rPr>
                <w:sz w:val="1"/>
                <w:szCs w:val="1"/>
                <w:color w:val="auto"/>
              </w:rPr>
            </w:pPr>
          </w:p>
        </w:tc>
      </w:tr>
      <w:tr>
        <w:trPr>
          <w:trHeight w:val="226"/>
        </w:trPr>
        <w:tc>
          <w:tcPr>
            <w:tcW w:w="8340" w:type="dxa"/>
            <w:vAlign w:val="bottom"/>
          </w:tcPr>
          <w:p>
            <w:pPr>
              <w:ind w:left="360"/>
              <w:spacing w:after="0"/>
              <w:rPr>
                <w:sz w:val="20"/>
                <w:szCs w:val="20"/>
                <w:color w:val="auto"/>
              </w:rPr>
            </w:pPr>
            <w:r>
              <w:rPr>
                <w:rFonts w:ascii="Arial" w:cs="Arial" w:eastAsia="Arial" w:hAnsi="Arial"/>
                <w:sz w:val="17"/>
                <w:szCs w:val="17"/>
                <w:color w:val="auto"/>
              </w:rPr>
              <w:t>Pension and postretirement</w:t>
            </w:r>
          </w:p>
        </w:tc>
        <w:tc>
          <w:tcPr>
            <w:tcW w:w="280" w:type="dxa"/>
            <w:vAlign w:val="bottom"/>
          </w:tcPr>
          <w:p>
            <w:pPr>
              <w:spacing w:after="0"/>
              <w:rPr>
                <w:sz w:val="19"/>
                <w:szCs w:val="19"/>
                <w:color w:val="auto"/>
              </w:rPr>
            </w:pPr>
          </w:p>
        </w:tc>
        <w:tc>
          <w:tcPr>
            <w:tcW w:w="1220" w:type="dxa"/>
            <w:vAlign w:val="bottom"/>
          </w:tcPr>
          <w:p>
            <w:pPr>
              <w:jc w:val="right"/>
              <w:ind w:right="38"/>
              <w:spacing w:after="0"/>
              <w:rPr>
                <w:sz w:val="20"/>
                <w:szCs w:val="20"/>
                <w:color w:val="auto"/>
              </w:rPr>
            </w:pPr>
            <w:r>
              <w:rPr>
                <w:rFonts w:ascii="Arial" w:cs="Arial" w:eastAsia="Arial" w:hAnsi="Arial"/>
                <w:sz w:val="17"/>
                <w:szCs w:val="17"/>
                <w:color w:val="auto"/>
              </w:rPr>
              <w:t>357.4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17"/>
              <w:spacing w:after="0"/>
              <w:rPr>
                <w:sz w:val="20"/>
                <w:szCs w:val="20"/>
                <w:color w:val="auto"/>
              </w:rPr>
            </w:pPr>
            <w:r>
              <w:rPr>
                <w:rFonts w:ascii="Arial" w:cs="Arial" w:eastAsia="Arial" w:hAnsi="Arial"/>
                <w:sz w:val="17"/>
                <w:szCs w:val="17"/>
                <w:color w:val="auto"/>
              </w:rPr>
              <w:t>358.2</w:t>
            </w:r>
          </w:p>
        </w:tc>
        <w:tc>
          <w:tcPr>
            <w:tcW w:w="0" w:type="dxa"/>
            <w:vAlign w:val="bottom"/>
          </w:tcPr>
          <w:p>
            <w:pPr>
              <w:spacing w:after="0"/>
              <w:rPr>
                <w:sz w:val="1"/>
                <w:szCs w:val="1"/>
                <w:color w:val="auto"/>
              </w:rPr>
            </w:pPr>
          </w:p>
        </w:tc>
      </w:tr>
      <w:tr>
        <w:trPr>
          <w:trHeight w:val="26"/>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Claims and other liabilities</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287.3</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282.2</w:t>
            </w:r>
          </w:p>
        </w:tc>
        <w:tc>
          <w:tcPr>
            <w:tcW w:w="0" w:type="dxa"/>
            <w:vAlign w:val="bottom"/>
          </w:tcPr>
          <w:p>
            <w:pPr>
              <w:spacing w:after="0"/>
              <w:rPr>
                <w:sz w:val="1"/>
                <w:szCs w:val="1"/>
                <w:color w:val="auto"/>
              </w:rPr>
            </w:pPr>
          </w:p>
        </w:tc>
      </w:tr>
      <w:tr>
        <w:trPr>
          <w:trHeight w:val="226"/>
        </w:trPr>
        <w:tc>
          <w:tcPr>
            <w:tcW w:w="8340" w:type="dxa"/>
            <w:vAlign w:val="bottom"/>
          </w:tcPr>
          <w:p>
            <w:pPr>
              <w:ind w:left="360"/>
              <w:spacing w:after="0"/>
              <w:rPr>
                <w:sz w:val="20"/>
                <w:szCs w:val="20"/>
                <w:color w:val="auto"/>
              </w:rPr>
            </w:pPr>
            <w:r>
              <w:rPr>
                <w:rFonts w:ascii="Arial" w:cs="Arial" w:eastAsia="Arial" w:hAnsi="Arial"/>
                <w:sz w:val="17"/>
                <w:szCs w:val="17"/>
                <w:color w:val="auto"/>
              </w:rPr>
              <w:t>Commitments and contingencies</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Shareholders’ Deficit:</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8340" w:type="dxa"/>
            <w:vAlign w:val="bottom"/>
          </w:tcPr>
          <w:p>
            <w:pPr>
              <w:ind w:left="360"/>
              <w:spacing w:after="0"/>
              <w:rPr>
                <w:sz w:val="20"/>
                <w:szCs w:val="20"/>
                <w:color w:val="auto"/>
              </w:rPr>
            </w:pPr>
            <w:r>
              <w:rPr>
                <w:rFonts w:ascii="Arial" w:cs="Arial" w:eastAsia="Arial" w:hAnsi="Arial"/>
                <w:sz w:val="17"/>
                <w:szCs w:val="17"/>
                <w:color w:val="auto"/>
              </w:rPr>
              <w:t>Preferred stock, $1 par value per share</w:t>
            </w:r>
          </w:p>
        </w:tc>
        <w:tc>
          <w:tcPr>
            <w:tcW w:w="280" w:type="dxa"/>
            <w:vAlign w:val="bottom"/>
          </w:tcPr>
          <w:p>
            <w:pPr>
              <w:spacing w:after="0"/>
              <w:rPr>
                <w:sz w:val="19"/>
                <w:szCs w:val="19"/>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24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Common stock, $0.01 par value per share</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0.3</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0.3</w:t>
            </w:r>
          </w:p>
        </w:tc>
        <w:tc>
          <w:tcPr>
            <w:tcW w:w="0" w:type="dxa"/>
            <w:vAlign w:val="bottom"/>
          </w:tcPr>
          <w:p>
            <w:pPr>
              <w:spacing w:after="0"/>
              <w:rPr>
                <w:sz w:val="1"/>
                <w:szCs w:val="1"/>
                <w:color w:val="auto"/>
              </w:rPr>
            </w:pPr>
          </w:p>
        </w:tc>
      </w:tr>
      <w:tr>
        <w:trPr>
          <w:trHeight w:val="226"/>
        </w:trPr>
        <w:tc>
          <w:tcPr>
            <w:tcW w:w="8340" w:type="dxa"/>
            <w:vAlign w:val="bottom"/>
          </w:tcPr>
          <w:p>
            <w:pPr>
              <w:ind w:left="360"/>
              <w:spacing w:after="0"/>
              <w:rPr>
                <w:sz w:val="20"/>
                <w:szCs w:val="20"/>
                <w:color w:val="auto"/>
              </w:rPr>
            </w:pPr>
            <w:r>
              <w:rPr>
                <w:rFonts w:ascii="Arial" w:cs="Arial" w:eastAsia="Arial" w:hAnsi="Arial"/>
                <w:sz w:val="17"/>
                <w:szCs w:val="17"/>
                <w:color w:val="auto"/>
              </w:rPr>
              <w:t>Capital surplus</w:t>
            </w:r>
          </w:p>
        </w:tc>
        <w:tc>
          <w:tcPr>
            <w:tcW w:w="280" w:type="dxa"/>
            <w:vAlign w:val="bottom"/>
          </w:tcPr>
          <w:p>
            <w:pPr>
              <w:spacing w:after="0"/>
              <w:rPr>
                <w:sz w:val="19"/>
                <w:szCs w:val="19"/>
                <w:color w:val="auto"/>
              </w:rPr>
            </w:pPr>
          </w:p>
        </w:tc>
        <w:tc>
          <w:tcPr>
            <w:tcW w:w="1220" w:type="dxa"/>
            <w:vAlign w:val="bottom"/>
          </w:tcPr>
          <w:p>
            <w:pPr>
              <w:jc w:val="right"/>
              <w:ind w:right="38"/>
              <w:spacing w:after="0"/>
              <w:rPr>
                <w:sz w:val="20"/>
                <w:szCs w:val="20"/>
                <w:color w:val="auto"/>
              </w:rPr>
            </w:pPr>
            <w:r>
              <w:rPr>
                <w:rFonts w:ascii="Arial" w:cs="Arial" w:eastAsia="Arial" w:hAnsi="Arial"/>
                <w:sz w:val="17"/>
                <w:szCs w:val="17"/>
                <w:color w:val="auto"/>
              </w:rPr>
              <w:t>2,318.3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17"/>
              <w:spacing w:after="0"/>
              <w:rPr>
                <w:sz w:val="20"/>
                <w:szCs w:val="20"/>
                <w:color w:val="auto"/>
              </w:rPr>
            </w:pPr>
            <w:r>
              <w:rPr>
                <w:rFonts w:ascii="Arial" w:cs="Arial" w:eastAsia="Arial" w:hAnsi="Arial"/>
                <w:sz w:val="17"/>
                <w:szCs w:val="17"/>
                <w:color w:val="auto"/>
              </w:rPr>
              <w:t>2,319.2</w:t>
            </w:r>
          </w:p>
        </w:tc>
        <w:tc>
          <w:tcPr>
            <w:tcW w:w="0" w:type="dxa"/>
            <w:vAlign w:val="bottom"/>
          </w:tcPr>
          <w:p>
            <w:pPr>
              <w:spacing w:after="0"/>
              <w:rPr>
                <w:sz w:val="1"/>
                <w:szCs w:val="1"/>
                <w:color w:val="auto"/>
              </w:rPr>
            </w:pPr>
          </w:p>
        </w:tc>
      </w:tr>
      <w:tr>
        <w:trPr>
          <w:trHeight w:val="26"/>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Accumulated deficit</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(2,243.1)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(2,217.8)</w:t>
            </w:r>
          </w:p>
        </w:tc>
        <w:tc>
          <w:tcPr>
            <w:tcW w:w="0" w:type="dxa"/>
            <w:vAlign w:val="bottom"/>
          </w:tcPr>
          <w:p>
            <w:pPr>
              <w:spacing w:after="0"/>
              <w:rPr>
                <w:sz w:val="1"/>
                <w:szCs w:val="1"/>
                <w:color w:val="auto"/>
              </w:rPr>
            </w:pPr>
          </w:p>
        </w:tc>
      </w:tr>
      <w:tr>
        <w:trPr>
          <w:trHeight w:val="226"/>
        </w:trPr>
        <w:tc>
          <w:tcPr>
            <w:tcW w:w="8340" w:type="dxa"/>
            <w:vAlign w:val="bottom"/>
          </w:tcPr>
          <w:p>
            <w:pPr>
              <w:ind w:left="360"/>
              <w:spacing w:after="0"/>
              <w:rPr>
                <w:sz w:val="20"/>
                <w:szCs w:val="20"/>
                <w:color w:val="auto"/>
              </w:rPr>
            </w:pPr>
            <w:r>
              <w:rPr>
                <w:rFonts w:ascii="Arial" w:cs="Arial" w:eastAsia="Arial" w:hAnsi="Arial"/>
                <w:sz w:val="17"/>
                <w:szCs w:val="17"/>
                <w:color w:val="auto"/>
              </w:rPr>
              <w:t>Accumulated other comprehensive loss</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(420.8)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(425.2)</w:t>
            </w:r>
          </w:p>
        </w:tc>
        <w:tc>
          <w:tcPr>
            <w:tcW w:w="0" w:type="dxa"/>
            <w:vAlign w:val="bottom"/>
          </w:tcPr>
          <w:p>
            <w:pPr>
              <w:spacing w:after="0"/>
              <w:rPr>
                <w:sz w:val="1"/>
                <w:szCs w:val="1"/>
                <w:color w:val="auto"/>
              </w:rPr>
            </w:pPr>
          </w:p>
        </w:tc>
      </w:tr>
      <w:tr>
        <w:trPr>
          <w:trHeight w:val="26"/>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2"/>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Treasury stock, at cost (410 shares)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(92.7)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(92.7)</w:t>
            </w:r>
          </w:p>
        </w:tc>
        <w:tc>
          <w:tcPr>
            <w:tcW w:w="0" w:type="dxa"/>
            <w:vAlign w:val="bottom"/>
          </w:tcPr>
          <w:p>
            <w:pPr>
              <w:spacing w:after="0"/>
              <w:rPr>
                <w:sz w:val="1"/>
                <w:szCs w:val="1"/>
                <w:color w:val="auto"/>
              </w:rPr>
            </w:pPr>
          </w:p>
        </w:tc>
      </w:tr>
      <w:tr>
        <w:trPr>
          <w:trHeight w:val="219"/>
        </w:trPr>
        <w:tc>
          <w:tcPr>
            <w:tcW w:w="8340" w:type="dxa"/>
            <w:vAlign w:val="bottom"/>
          </w:tcPr>
          <w:p>
            <w:pPr>
              <w:ind w:left="660"/>
              <w:spacing w:after="0"/>
              <w:rPr>
                <w:sz w:val="20"/>
                <w:szCs w:val="20"/>
                <w:color w:val="auto"/>
              </w:rPr>
            </w:pPr>
            <w:r>
              <w:rPr>
                <w:rFonts w:ascii="Arial" w:cs="Arial" w:eastAsia="Arial" w:hAnsi="Arial"/>
                <w:sz w:val="17"/>
                <w:szCs w:val="17"/>
                <w:color w:val="auto"/>
              </w:rPr>
              <w:t>Total shareholders’ deficit</w:t>
            </w:r>
          </w:p>
        </w:tc>
        <w:tc>
          <w:tcPr>
            <w:tcW w:w="2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(438.0)</w:t>
            </w: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(416.2)</w:t>
            </w:r>
          </w:p>
        </w:tc>
        <w:tc>
          <w:tcPr>
            <w:tcW w:w="0" w:type="dxa"/>
            <w:vAlign w:val="bottom"/>
          </w:tcPr>
          <w:p>
            <w:pPr>
              <w:spacing w:after="0"/>
              <w:rPr>
                <w:sz w:val="1"/>
                <w:szCs w:val="1"/>
                <w:color w:val="auto"/>
              </w:rPr>
            </w:pPr>
          </w:p>
        </w:tc>
      </w:tr>
      <w:tr>
        <w:trPr>
          <w:trHeight w:val="26"/>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9"/>
        </w:trPr>
        <w:tc>
          <w:tcPr>
            <w:tcW w:w="83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7"/>
                <w:szCs w:val="17"/>
                <w:b w:val="1"/>
                <w:bCs w:val="1"/>
                <w:color w:val="auto"/>
              </w:rPr>
              <w:t>Total Liabilities and Shareholders’ Deficit</w:t>
            </w:r>
          </w:p>
        </w:tc>
        <w:tc>
          <w:tcPr>
            <w:tcW w:w="2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1,727.9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1,770.0</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3540"/>
              <w:spacing w:after="0"/>
              <w:rPr>
                <w:sz w:val="20"/>
                <w:szCs w:val="20"/>
                <w:color w:val="auto"/>
              </w:rPr>
            </w:pPr>
            <w:r>
              <w:rPr>
                <w:rFonts w:ascii="Arial" w:cs="Arial" w:eastAsia="Arial" w:hAnsi="Arial"/>
                <w:sz w:val="17"/>
                <w:szCs w:val="17"/>
                <w:color w:val="auto"/>
                <w:w w:val="96"/>
              </w:rPr>
              <w:t>The accompanying notes are an integral part of these statements.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83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20"/>
          </w:cols>
          <w:pgMar w:left="240" w:top="121" w:right="239" w:bottom="1440" w:gutter="0" w:footer="0" w:header="0"/>
          <w:type w:val="continuous"/>
        </w:sectPr>
      </w:pPr>
    </w:p>
    <w:bookmarkStart w:id="3" w:name="page4"/>
    <w:bookmarkEnd w:id="3"/>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STATEMENTS OF CONSOLIDATED COMPREHENSIVE LOSS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YRC Worldwide Inc. and Subsidiaries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For the Three Months Ended March 31</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(Amounts in millions except per share data, shares in thousands)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834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3"/>
          </w:tcPr>
          <w:p>
            <w:pPr>
              <w:jc w:val="right"/>
              <w:ind w:right="56"/>
              <w:spacing w:after="0"/>
              <w:rPr>
                <w:sz w:val="20"/>
                <w:szCs w:val="20"/>
                <w:color w:val="auto"/>
              </w:rPr>
            </w:pPr>
            <w:r>
              <w:rPr>
                <w:rFonts w:ascii="Arial" w:cs="Arial" w:eastAsia="Arial" w:hAnsi="Arial"/>
                <w:sz w:val="13"/>
                <w:szCs w:val="13"/>
                <w:color w:val="auto"/>
              </w:rPr>
              <w:t>Three Months</w:t>
            </w:r>
          </w:p>
        </w:tc>
        <w:tc>
          <w:tcPr>
            <w:tcW w:w="1000" w:type="dxa"/>
            <w:vAlign w:val="bottom"/>
            <w:tcBorders>
              <w:bottom w:val="single" w:sz="8" w:color="auto"/>
            </w:tcBorders>
          </w:tcPr>
          <w:p>
            <w:pPr>
              <w:spacing w:after="0"/>
              <w:rPr>
                <w:sz w:val="15"/>
                <w:szCs w:val="15"/>
                <w:color w:val="auto"/>
              </w:rPr>
            </w:pPr>
          </w:p>
        </w:tc>
      </w:tr>
      <w:tr>
        <w:trPr>
          <w:trHeight w:val="244"/>
        </w:trPr>
        <w:tc>
          <w:tcPr>
            <w:tcW w:w="8340" w:type="dxa"/>
            <w:vAlign w:val="bottom"/>
            <w:tcBorders>
              <w:bottom w:val="single" w:sz="8" w:color="BFE4FF"/>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2017</w:t>
            </w:r>
          </w:p>
        </w:tc>
        <w:tc>
          <w:tcPr>
            <w:tcW w:w="620" w:type="dxa"/>
            <w:vAlign w:val="bottom"/>
            <w:tcBorders>
              <w:bottom w:val="single" w:sz="8" w:color="auto"/>
            </w:tcBorders>
          </w:tcPr>
          <w:p>
            <w:pPr>
              <w:spacing w:after="0"/>
              <w:rPr>
                <w:sz w:val="21"/>
                <w:szCs w:val="21"/>
                <w:color w:val="auto"/>
              </w:rPr>
            </w:pPr>
          </w:p>
        </w:tc>
        <w:tc>
          <w:tcPr>
            <w:tcW w:w="120" w:type="dxa"/>
            <w:vAlign w:val="bottom"/>
            <w:tcBorders>
              <w:bottom w:val="single" w:sz="8" w:color="BFE4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517"/>
              <w:spacing w:after="0"/>
              <w:rPr>
                <w:sz w:val="20"/>
                <w:szCs w:val="20"/>
                <w:color w:val="auto"/>
              </w:rPr>
            </w:pPr>
            <w:r>
              <w:rPr>
                <w:rFonts w:ascii="Arial" w:cs="Arial" w:eastAsia="Arial" w:hAnsi="Arial"/>
                <w:sz w:val="13"/>
                <w:szCs w:val="13"/>
                <w:color w:val="auto"/>
              </w:rPr>
              <w:t>2016</w:t>
            </w:r>
          </w:p>
        </w:tc>
      </w:tr>
      <w:tr>
        <w:trPr>
          <w:trHeight w:val="249"/>
        </w:trPr>
        <w:tc>
          <w:tcPr>
            <w:tcW w:w="834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7"/>
                <w:szCs w:val="17"/>
                <w:b w:val="1"/>
                <w:bCs w:val="1"/>
                <w:color w:val="auto"/>
              </w:rPr>
              <w:t>Operating Revenue</w:t>
            </w:r>
          </w:p>
        </w:tc>
        <w:tc>
          <w:tcPr>
            <w:tcW w:w="880" w:type="dxa"/>
            <w:vAlign w:val="bottom"/>
            <w:tcBorders>
              <w:bottom w:val="single" w:sz="8" w:color="BFE4FF"/>
            </w:tcBorders>
            <w:shd w:val="clear" w:color="auto" w:fill="BFE4FF"/>
          </w:tcPr>
          <w:p>
            <w:pPr>
              <w:jc w:val="right"/>
              <w:ind w:right="679"/>
              <w:spacing w:after="0"/>
              <w:rPr>
                <w:sz w:val="20"/>
                <w:szCs w:val="20"/>
                <w:color w:val="auto"/>
              </w:rPr>
            </w:pPr>
            <w:r>
              <w:rPr>
                <w:rFonts w:ascii="Arial" w:cs="Arial" w:eastAsia="Arial" w:hAnsi="Arial"/>
                <w:sz w:val="17"/>
                <w:szCs w:val="17"/>
                <w:color w:val="auto"/>
              </w:rPr>
              <w:t>$</w:t>
            </w:r>
          </w:p>
        </w:tc>
        <w:tc>
          <w:tcPr>
            <w:tcW w:w="620" w:type="dxa"/>
            <w:vAlign w:val="bottom"/>
            <w:tcBorders>
              <w:bottom w:val="single" w:sz="8" w:color="BFE4FF"/>
            </w:tcBorders>
            <w:shd w:val="clear" w:color="auto" w:fill="BFE4FF"/>
          </w:tcPr>
          <w:p>
            <w:pPr>
              <w:jc w:val="right"/>
              <w:ind w:right="37"/>
              <w:spacing w:after="0"/>
              <w:rPr>
                <w:sz w:val="20"/>
                <w:szCs w:val="20"/>
                <w:color w:val="auto"/>
              </w:rPr>
            </w:pPr>
            <w:r>
              <w:rPr>
                <w:rFonts w:ascii="Arial" w:cs="Arial" w:eastAsia="Arial" w:hAnsi="Arial"/>
                <w:sz w:val="17"/>
                <w:szCs w:val="17"/>
                <w:color w:val="auto"/>
                <w:w w:val="84"/>
              </w:rPr>
              <w:t>1,170.6</w:t>
            </w:r>
          </w:p>
        </w:tc>
        <w:tc>
          <w:tcPr>
            <w:tcW w:w="120" w:type="dxa"/>
            <w:vAlign w:val="bottom"/>
            <w:tcBorders>
              <w:bottom w:val="single" w:sz="8" w:color="BFE4FF"/>
            </w:tcBorders>
            <w:shd w:val="clear" w:color="auto" w:fill="BFE4FF"/>
          </w:tcPr>
          <w:p>
            <w:pPr>
              <w:spacing w:after="0"/>
              <w:rPr>
                <w:sz w:val="21"/>
                <w:szCs w:val="21"/>
                <w:color w:val="auto"/>
              </w:rPr>
            </w:pPr>
          </w:p>
        </w:tc>
        <w:tc>
          <w:tcPr>
            <w:tcW w:w="460" w:type="dxa"/>
            <w:vAlign w:val="bottom"/>
            <w:tcBorders>
              <w:bottom w:val="single" w:sz="8" w:color="BFE4FF"/>
            </w:tcBorders>
            <w:shd w:val="clear" w:color="auto" w:fill="BFE4FF"/>
          </w:tcPr>
          <w:p>
            <w:pPr>
              <w:jc w:val="right"/>
              <w:ind w:right="276"/>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BFE4FF"/>
            </w:tcBorders>
            <w:shd w:val="clear" w:color="auto" w:fill="BFE4FF"/>
          </w:tcPr>
          <w:p>
            <w:pPr>
              <w:jc w:val="right"/>
              <w:ind w:right="17"/>
              <w:spacing w:after="0"/>
              <w:rPr>
                <w:sz w:val="20"/>
                <w:szCs w:val="20"/>
                <w:color w:val="auto"/>
              </w:rPr>
            </w:pPr>
            <w:r>
              <w:rPr>
                <w:rFonts w:ascii="Arial" w:cs="Arial" w:eastAsia="Arial" w:hAnsi="Arial"/>
                <w:sz w:val="17"/>
                <w:szCs w:val="17"/>
                <w:color w:val="auto"/>
              </w:rPr>
              <w:t>1,120.3</w:t>
            </w:r>
          </w:p>
        </w:tc>
      </w:tr>
      <w:tr>
        <w:trPr>
          <w:trHeight w:val="206"/>
        </w:trPr>
        <w:tc>
          <w:tcPr>
            <w:tcW w:w="8340" w:type="dxa"/>
            <w:vAlign w:val="bottom"/>
          </w:tcPr>
          <w:p>
            <w:pPr>
              <w:ind w:left="20"/>
              <w:spacing w:after="0"/>
              <w:rPr>
                <w:sz w:val="20"/>
                <w:szCs w:val="20"/>
                <w:color w:val="auto"/>
              </w:rPr>
            </w:pPr>
            <w:r>
              <w:rPr>
                <w:rFonts w:ascii="Arial" w:cs="Arial" w:eastAsia="Arial" w:hAnsi="Arial"/>
                <w:sz w:val="17"/>
                <w:szCs w:val="17"/>
                <w:b w:val="1"/>
                <w:bCs w:val="1"/>
                <w:color w:val="auto"/>
              </w:rPr>
              <w:t>Operating Expenses:</w:t>
            </w:r>
          </w:p>
        </w:tc>
        <w:tc>
          <w:tcPr>
            <w:tcW w:w="88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r>
      <w:tr>
        <w:trPr>
          <w:trHeight w:val="38"/>
        </w:trPr>
        <w:tc>
          <w:tcPr>
            <w:tcW w:w="8340" w:type="dxa"/>
            <w:vAlign w:val="bottom"/>
          </w:tcPr>
          <w:p>
            <w:pPr>
              <w:spacing w:after="0"/>
              <w:rPr>
                <w:sz w:val="3"/>
                <w:szCs w:val="3"/>
                <w:color w:val="auto"/>
              </w:rPr>
            </w:pPr>
          </w:p>
        </w:tc>
        <w:tc>
          <w:tcPr>
            <w:tcW w:w="8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32"/>
        </w:trPr>
        <w:tc>
          <w:tcPr>
            <w:tcW w:w="8340" w:type="dxa"/>
            <w:vAlign w:val="bottom"/>
            <w:tcBorders>
              <w:bottom w:val="single" w:sz="8" w:color="BFE4FF"/>
            </w:tcBorders>
            <w:shd w:val="clear" w:color="auto" w:fill="BFE4FF"/>
          </w:tcPr>
          <w:p>
            <w:pPr>
              <w:ind w:left="360"/>
              <w:spacing w:after="0"/>
              <w:rPr>
                <w:sz w:val="20"/>
                <w:szCs w:val="20"/>
                <w:color w:val="auto"/>
              </w:rPr>
            </w:pPr>
            <w:r>
              <w:rPr>
                <w:rFonts w:ascii="Arial" w:cs="Arial" w:eastAsia="Arial" w:hAnsi="Arial"/>
                <w:sz w:val="17"/>
                <w:szCs w:val="17"/>
                <w:color w:val="auto"/>
              </w:rPr>
              <w:t>Salaries, wages and employee benefits</w:t>
            </w:r>
          </w:p>
        </w:tc>
        <w:tc>
          <w:tcPr>
            <w:tcW w:w="880" w:type="dxa"/>
            <w:vAlign w:val="bottom"/>
            <w:tcBorders>
              <w:bottom w:val="single" w:sz="8" w:color="BFE4FF"/>
            </w:tcBorders>
            <w:shd w:val="clear" w:color="auto" w:fill="BFE4FF"/>
          </w:tcPr>
          <w:p>
            <w:pPr>
              <w:spacing w:after="0"/>
              <w:rPr>
                <w:sz w:val="20"/>
                <w:szCs w:val="20"/>
                <w:color w:val="auto"/>
              </w:rPr>
            </w:pPr>
          </w:p>
        </w:tc>
        <w:tc>
          <w:tcPr>
            <w:tcW w:w="620" w:type="dxa"/>
            <w:vAlign w:val="bottom"/>
            <w:tcBorders>
              <w:bottom w:val="single" w:sz="8" w:color="BFE4FF"/>
            </w:tcBorders>
            <w:shd w:val="clear" w:color="auto" w:fill="BFE4FF"/>
          </w:tcPr>
          <w:p>
            <w:pPr>
              <w:jc w:val="right"/>
              <w:ind w:right="37"/>
              <w:spacing w:after="0"/>
              <w:rPr>
                <w:sz w:val="20"/>
                <w:szCs w:val="20"/>
                <w:color w:val="auto"/>
              </w:rPr>
            </w:pPr>
            <w:r>
              <w:rPr>
                <w:rFonts w:ascii="Arial" w:cs="Arial" w:eastAsia="Arial" w:hAnsi="Arial"/>
                <w:sz w:val="17"/>
                <w:szCs w:val="17"/>
                <w:color w:val="auto"/>
              </w:rPr>
              <w:t>721.7</w:t>
            </w:r>
          </w:p>
        </w:tc>
        <w:tc>
          <w:tcPr>
            <w:tcW w:w="120" w:type="dxa"/>
            <w:vAlign w:val="bottom"/>
            <w:tcBorders>
              <w:bottom w:val="single" w:sz="8" w:color="BFE4FF"/>
            </w:tcBorders>
            <w:shd w:val="clear" w:color="auto" w:fill="BFE4FF"/>
          </w:tcPr>
          <w:p>
            <w:pPr>
              <w:spacing w:after="0"/>
              <w:rPr>
                <w:sz w:val="20"/>
                <w:szCs w:val="20"/>
                <w:color w:val="auto"/>
              </w:rPr>
            </w:pPr>
          </w:p>
        </w:tc>
        <w:tc>
          <w:tcPr>
            <w:tcW w:w="460" w:type="dxa"/>
            <w:vAlign w:val="bottom"/>
            <w:tcBorders>
              <w:bottom w:val="single" w:sz="8" w:color="BFE4FF"/>
            </w:tcBorders>
            <w:shd w:val="clear" w:color="auto" w:fill="BFE4FF"/>
          </w:tcPr>
          <w:p>
            <w:pPr>
              <w:spacing w:after="0"/>
              <w:rPr>
                <w:sz w:val="20"/>
                <w:szCs w:val="20"/>
                <w:color w:val="auto"/>
              </w:rPr>
            </w:pPr>
          </w:p>
        </w:tc>
        <w:tc>
          <w:tcPr>
            <w:tcW w:w="1000" w:type="dxa"/>
            <w:vAlign w:val="bottom"/>
            <w:tcBorders>
              <w:bottom w:val="single" w:sz="8" w:color="BFE4FF"/>
            </w:tcBorders>
            <w:shd w:val="clear" w:color="auto" w:fill="BFE4FF"/>
          </w:tcPr>
          <w:p>
            <w:pPr>
              <w:jc w:val="right"/>
              <w:ind w:right="17"/>
              <w:spacing w:after="0"/>
              <w:rPr>
                <w:sz w:val="20"/>
                <w:szCs w:val="20"/>
                <w:color w:val="auto"/>
              </w:rPr>
            </w:pPr>
            <w:r>
              <w:rPr>
                <w:rFonts w:ascii="Arial" w:cs="Arial" w:eastAsia="Arial" w:hAnsi="Arial"/>
                <w:sz w:val="17"/>
                <w:szCs w:val="17"/>
                <w:color w:val="auto"/>
              </w:rPr>
              <w:t>698.1</w:t>
            </w:r>
          </w:p>
        </w:tc>
      </w:tr>
      <w:tr>
        <w:trPr>
          <w:trHeight w:val="226"/>
        </w:trPr>
        <w:tc>
          <w:tcPr>
            <w:tcW w:w="8340" w:type="dxa"/>
            <w:vAlign w:val="bottom"/>
          </w:tcPr>
          <w:p>
            <w:pPr>
              <w:ind w:left="360"/>
              <w:spacing w:after="0"/>
              <w:rPr>
                <w:sz w:val="20"/>
                <w:szCs w:val="20"/>
                <w:color w:val="auto"/>
              </w:rPr>
            </w:pPr>
            <w:r>
              <w:rPr>
                <w:rFonts w:ascii="Arial" w:cs="Arial" w:eastAsia="Arial" w:hAnsi="Arial"/>
                <w:sz w:val="17"/>
                <w:szCs w:val="17"/>
                <w:color w:val="auto"/>
              </w:rPr>
              <w:t>Operating expenses and supplies</w:t>
            </w:r>
          </w:p>
        </w:tc>
        <w:tc>
          <w:tcPr>
            <w:tcW w:w="880" w:type="dxa"/>
            <w:vAlign w:val="bottom"/>
          </w:tcPr>
          <w:p>
            <w:pPr>
              <w:spacing w:after="0"/>
              <w:rPr>
                <w:sz w:val="19"/>
                <w:szCs w:val="19"/>
                <w:color w:val="auto"/>
              </w:rPr>
            </w:pPr>
          </w:p>
        </w:tc>
        <w:tc>
          <w:tcPr>
            <w:tcW w:w="620" w:type="dxa"/>
            <w:vAlign w:val="bottom"/>
          </w:tcPr>
          <w:p>
            <w:pPr>
              <w:jc w:val="right"/>
              <w:ind w:right="37"/>
              <w:spacing w:after="0"/>
              <w:rPr>
                <w:sz w:val="20"/>
                <w:szCs w:val="20"/>
                <w:color w:val="auto"/>
              </w:rPr>
            </w:pPr>
            <w:r>
              <w:rPr>
                <w:rFonts w:ascii="Arial" w:cs="Arial" w:eastAsia="Arial" w:hAnsi="Arial"/>
                <w:sz w:val="17"/>
                <w:szCs w:val="17"/>
                <w:color w:val="auto"/>
              </w:rPr>
              <w:t>216.3</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ind w:right="17"/>
              <w:spacing w:after="0"/>
              <w:rPr>
                <w:sz w:val="20"/>
                <w:szCs w:val="20"/>
                <w:color w:val="auto"/>
              </w:rPr>
            </w:pPr>
            <w:r>
              <w:rPr>
                <w:rFonts w:ascii="Arial" w:cs="Arial" w:eastAsia="Arial" w:hAnsi="Arial"/>
                <w:sz w:val="17"/>
                <w:szCs w:val="17"/>
                <w:color w:val="auto"/>
              </w:rPr>
              <w:t>190.2</w:t>
            </w:r>
          </w:p>
        </w:tc>
      </w:tr>
      <w:tr>
        <w:trPr>
          <w:trHeight w:val="26"/>
        </w:trPr>
        <w:tc>
          <w:tcPr>
            <w:tcW w:w="8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2"/>
        </w:trPr>
        <w:tc>
          <w:tcPr>
            <w:tcW w:w="8340" w:type="dxa"/>
            <w:vAlign w:val="bottom"/>
            <w:tcBorders>
              <w:bottom w:val="single" w:sz="8" w:color="BFE4FF"/>
            </w:tcBorders>
            <w:shd w:val="clear" w:color="auto" w:fill="BFE4FF"/>
          </w:tcPr>
          <w:p>
            <w:pPr>
              <w:ind w:left="360"/>
              <w:spacing w:after="0"/>
              <w:rPr>
                <w:sz w:val="20"/>
                <w:szCs w:val="20"/>
                <w:color w:val="auto"/>
              </w:rPr>
            </w:pPr>
            <w:r>
              <w:rPr>
                <w:rFonts w:ascii="Arial" w:cs="Arial" w:eastAsia="Arial" w:hAnsi="Arial"/>
                <w:sz w:val="17"/>
                <w:szCs w:val="17"/>
                <w:color w:val="auto"/>
              </w:rPr>
              <w:t>Purchased transportation</w:t>
            </w:r>
          </w:p>
        </w:tc>
        <w:tc>
          <w:tcPr>
            <w:tcW w:w="880" w:type="dxa"/>
            <w:vAlign w:val="bottom"/>
            <w:tcBorders>
              <w:bottom w:val="single" w:sz="8" w:color="BFE4FF"/>
            </w:tcBorders>
            <w:shd w:val="clear" w:color="auto" w:fill="BFE4FF"/>
          </w:tcPr>
          <w:p>
            <w:pPr>
              <w:spacing w:after="0"/>
              <w:rPr>
                <w:sz w:val="20"/>
                <w:szCs w:val="20"/>
                <w:color w:val="auto"/>
              </w:rPr>
            </w:pPr>
          </w:p>
        </w:tc>
        <w:tc>
          <w:tcPr>
            <w:tcW w:w="620" w:type="dxa"/>
            <w:vAlign w:val="bottom"/>
            <w:tcBorders>
              <w:bottom w:val="single" w:sz="8" w:color="BFE4FF"/>
            </w:tcBorders>
            <w:shd w:val="clear" w:color="auto" w:fill="BFE4FF"/>
          </w:tcPr>
          <w:p>
            <w:pPr>
              <w:jc w:val="right"/>
              <w:ind w:right="37"/>
              <w:spacing w:after="0"/>
              <w:rPr>
                <w:sz w:val="20"/>
                <w:szCs w:val="20"/>
                <w:color w:val="auto"/>
              </w:rPr>
            </w:pPr>
            <w:r>
              <w:rPr>
                <w:rFonts w:ascii="Arial" w:cs="Arial" w:eastAsia="Arial" w:hAnsi="Arial"/>
                <w:sz w:val="17"/>
                <w:szCs w:val="17"/>
                <w:color w:val="auto"/>
              </w:rPr>
              <w:t>134.5</w:t>
            </w:r>
          </w:p>
        </w:tc>
        <w:tc>
          <w:tcPr>
            <w:tcW w:w="120" w:type="dxa"/>
            <w:vAlign w:val="bottom"/>
            <w:tcBorders>
              <w:bottom w:val="single" w:sz="8" w:color="BFE4FF"/>
            </w:tcBorders>
            <w:shd w:val="clear" w:color="auto" w:fill="BFE4FF"/>
          </w:tcPr>
          <w:p>
            <w:pPr>
              <w:spacing w:after="0"/>
              <w:rPr>
                <w:sz w:val="20"/>
                <w:szCs w:val="20"/>
                <w:color w:val="auto"/>
              </w:rPr>
            </w:pPr>
          </w:p>
        </w:tc>
        <w:tc>
          <w:tcPr>
            <w:tcW w:w="460" w:type="dxa"/>
            <w:vAlign w:val="bottom"/>
            <w:tcBorders>
              <w:bottom w:val="single" w:sz="8" w:color="BFE4FF"/>
            </w:tcBorders>
            <w:shd w:val="clear" w:color="auto" w:fill="BFE4FF"/>
          </w:tcPr>
          <w:p>
            <w:pPr>
              <w:spacing w:after="0"/>
              <w:rPr>
                <w:sz w:val="20"/>
                <w:szCs w:val="20"/>
                <w:color w:val="auto"/>
              </w:rPr>
            </w:pPr>
          </w:p>
        </w:tc>
        <w:tc>
          <w:tcPr>
            <w:tcW w:w="1000" w:type="dxa"/>
            <w:vAlign w:val="bottom"/>
            <w:tcBorders>
              <w:bottom w:val="single" w:sz="8" w:color="BFE4FF"/>
            </w:tcBorders>
            <w:shd w:val="clear" w:color="auto" w:fill="BFE4FF"/>
          </w:tcPr>
          <w:p>
            <w:pPr>
              <w:jc w:val="right"/>
              <w:ind w:right="17"/>
              <w:spacing w:after="0"/>
              <w:rPr>
                <w:sz w:val="20"/>
                <w:szCs w:val="20"/>
                <w:color w:val="auto"/>
              </w:rPr>
            </w:pPr>
            <w:r>
              <w:rPr>
                <w:rFonts w:ascii="Arial" w:cs="Arial" w:eastAsia="Arial" w:hAnsi="Arial"/>
                <w:sz w:val="17"/>
                <w:szCs w:val="17"/>
                <w:color w:val="auto"/>
              </w:rPr>
              <w:t>115.5</w:t>
            </w:r>
          </w:p>
        </w:tc>
      </w:tr>
      <w:tr>
        <w:trPr>
          <w:trHeight w:val="226"/>
        </w:trPr>
        <w:tc>
          <w:tcPr>
            <w:tcW w:w="8340" w:type="dxa"/>
            <w:vAlign w:val="bottom"/>
          </w:tcPr>
          <w:p>
            <w:pPr>
              <w:ind w:left="360"/>
              <w:spacing w:after="0"/>
              <w:rPr>
                <w:sz w:val="20"/>
                <w:szCs w:val="20"/>
                <w:color w:val="auto"/>
              </w:rPr>
            </w:pPr>
            <w:r>
              <w:rPr>
                <w:rFonts w:ascii="Arial" w:cs="Arial" w:eastAsia="Arial" w:hAnsi="Arial"/>
                <w:sz w:val="17"/>
                <w:szCs w:val="17"/>
                <w:color w:val="auto"/>
              </w:rPr>
              <w:t>Depreciation and amortization</w:t>
            </w:r>
          </w:p>
        </w:tc>
        <w:tc>
          <w:tcPr>
            <w:tcW w:w="880" w:type="dxa"/>
            <w:vAlign w:val="bottom"/>
          </w:tcPr>
          <w:p>
            <w:pPr>
              <w:spacing w:after="0"/>
              <w:rPr>
                <w:sz w:val="19"/>
                <w:szCs w:val="19"/>
                <w:color w:val="auto"/>
              </w:rPr>
            </w:pPr>
          </w:p>
        </w:tc>
        <w:tc>
          <w:tcPr>
            <w:tcW w:w="620" w:type="dxa"/>
            <w:vAlign w:val="bottom"/>
          </w:tcPr>
          <w:p>
            <w:pPr>
              <w:jc w:val="right"/>
              <w:ind w:right="37"/>
              <w:spacing w:after="0"/>
              <w:rPr>
                <w:sz w:val="20"/>
                <w:szCs w:val="20"/>
                <w:color w:val="auto"/>
              </w:rPr>
            </w:pPr>
            <w:r>
              <w:rPr>
                <w:rFonts w:ascii="Arial" w:cs="Arial" w:eastAsia="Arial" w:hAnsi="Arial"/>
                <w:sz w:val="17"/>
                <w:szCs w:val="17"/>
                <w:color w:val="auto"/>
              </w:rPr>
              <w:t>37.1</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ind w:right="17"/>
              <w:spacing w:after="0"/>
              <w:rPr>
                <w:sz w:val="20"/>
                <w:szCs w:val="20"/>
                <w:color w:val="auto"/>
              </w:rPr>
            </w:pPr>
            <w:r>
              <w:rPr>
                <w:rFonts w:ascii="Arial" w:cs="Arial" w:eastAsia="Arial" w:hAnsi="Arial"/>
                <w:sz w:val="17"/>
                <w:szCs w:val="17"/>
                <w:color w:val="auto"/>
              </w:rPr>
              <w:t>40.7</w:t>
            </w:r>
          </w:p>
        </w:tc>
      </w:tr>
      <w:tr>
        <w:trPr>
          <w:trHeight w:val="26"/>
        </w:trPr>
        <w:tc>
          <w:tcPr>
            <w:tcW w:w="8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2"/>
        </w:trPr>
        <w:tc>
          <w:tcPr>
            <w:tcW w:w="8340" w:type="dxa"/>
            <w:vAlign w:val="bottom"/>
            <w:tcBorders>
              <w:bottom w:val="single" w:sz="8" w:color="BFE4FF"/>
            </w:tcBorders>
            <w:shd w:val="clear" w:color="auto" w:fill="BFE4FF"/>
          </w:tcPr>
          <w:p>
            <w:pPr>
              <w:ind w:left="360"/>
              <w:spacing w:after="0"/>
              <w:rPr>
                <w:sz w:val="20"/>
                <w:szCs w:val="20"/>
                <w:color w:val="auto"/>
              </w:rPr>
            </w:pPr>
            <w:r>
              <w:rPr>
                <w:rFonts w:ascii="Arial" w:cs="Arial" w:eastAsia="Arial" w:hAnsi="Arial"/>
                <w:sz w:val="17"/>
                <w:szCs w:val="17"/>
                <w:color w:val="auto"/>
              </w:rPr>
              <w:t>Other operating expenses</w:t>
            </w:r>
          </w:p>
        </w:tc>
        <w:tc>
          <w:tcPr>
            <w:tcW w:w="880" w:type="dxa"/>
            <w:vAlign w:val="bottom"/>
            <w:tcBorders>
              <w:bottom w:val="single" w:sz="8" w:color="BFE4FF"/>
            </w:tcBorders>
            <w:shd w:val="clear" w:color="auto" w:fill="BFE4FF"/>
          </w:tcPr>
          <w:p>
            <w:pPr>
              <w:spacing w:after="0"/>
              <w:rPr>
                <w:sz w:val="20"/>
                <w:szCs w:val="20"/>
                <w:color w:val="auto"/>
              </w:rPr>
            </w:pPr>
          </w:p>
        </w:tc>
        <w:tc>
          <w:tcPr>
            <w:tcW w:w="620" w:type="dxa"/>
            <w:vAlign w:val="bottom"/>
            <w:tcBorders>
              <w:bottom w:val="single" w:sz="8" w:color="BFE4FF"/>
            </w:tcBorders>
            <w:shd w:val="clear" w:color="auto" w:fill="BFE4FF"/>
          </w:tcPr>
          <w:p>
            <w:pPr>
              <w:jc w:val="right"/>
              <w:ind w:right="37"/>
              <w:spacing w:after="0"/>
              <w:rPr>
                <w:sz w:val="20"/>
                <w:szCs w:val="20"/>
                <w:color w:val="auto"/>
              </w:rPr>
            </w:pPr>
            <w:r>
              <w:rPr>
                <w:rFonts w:ascii="Arial" w:cs="Arial" w:eastAsia="Arial" w:hAnsi="Arial"/>
                <w:sz w:val="17"/>
                <w:szCs w:val="17"/>
                <w:color w:val="auto"/>
              </w:rPr>
              <w:t>61.3</w:t>
            </w:r>
          </w:p>
        </w:tc>
        <w:tc>
          <w:tcPr>
            <w:tcW w:w="120" w:type="dxa"/>
            <w:vAlign w:val="bottom"/>
            <w:tcBorders>
              <w:bottom w:val="single" w:sz="8" w:color="BFE4FF"/>
            </w:tcBorders>
            <w:shd w:val="clear" w:color="auto" w:fill="BFE4FF"/>
          </w:tcPr>
          <w:p>
            <w:pPr>
              <w:spacing w:after="0"/>
              <w:rPr>
                <w:sz w:val="20"/>
                <w:szCs w:val="20"/>
                <w:color w:val="auto"/>
              </w:rPr>
            </w:pPr>
          </w:p>
        </w:tc>
        <w:tc>
          <w:tcPr>
            <w:tcW w:w="460" w:type="dxa"/>
            <w:vAlign w:val="bottom"/>
            <w:tcBorders>
              <w:bottom w:val="single" w:sz="8" w:color="BFE4FF"/>
            </w:tcBorders>
            <w:shd w:val="clear" w:color="auto" w:fill="BFE4FF"/>
          </w:tcPr>
          <w:p>
            <w:pPr>
              <w:spacing w:after="0"/>
              <w:rPr>
                <w:sz w:val="20"/>
                <w:szCs w:val="20"/>
                <w:color w:val="auto"/>
              </w:rPr>
            </w:pPr>
          </w:p>
        </w:tc>
        <w:tc>
          <w:tcPr>
            <w:tcW w:w="1000" w:type="dxa"/>
            <w:vAlign w:val="bottom"/>
            <w:tcBorders>
              <w:bottom w:val="single" w:sz="8" w:color="BFE4FF"/>
            </w:tcBorders>
            <w:shd w:val="clear" w:color="auto" w:fill="BFE4FF"/>
          </w:tcPr>
          <w:p>
            <w:pPr>
              <w:jc w:val="right"/>
              <w:ind w:right="17"/>
              <w:spacing w:after="0"/>
              <w:rPr>
                <w:sz w:val="20"/>
                <w:szCs w:val="20"/>
                <w:color w:val="auto"/>
              </w:rPr>
            </w:pPr>
            <w:r>
              <w:rPr>
                <w:rFonts w:ascii="Arial" w:cs="Arial" w:eastAsia="Arial" w:hAnsi="Arial"/>
                <w:sz w:val="17"/>
                <w:szCs w:val="17"/>
                <w:color w:val="auto"/>
              </w:rPr>
              <w:t>62.7</w:t>
            </w:r>
          </w:p>
        </w:tc>
      </w:tr>
      <w:tr>
        <w:trPr>
          <w:trHeight w:val="226"/>
        </w:trPr>
        <w:tc>
          <w:tcPr>
            <w:tcW w:w="8340" w:type="dxa"/>
            <w:vAlign w:val="bottom"/>
          </w:tcPr>
          <w:p>
            <w:pPr>
              <w:ind w:left="360"/>
              <w:spacing w:after="0"/>
              <w:rPr>
                <w:sz w:val="20"/>
                <w:szCs w:val="20"/>
                <w:color w:val="auto"/>
              </w:rPr>
            </w:pPr>
            <w:r>
              <w:rPr>
                <w:rFonts w:ascii="Arial" w:cs="Arial" w:eastAsia="Arial" w:hAnsi="Arial"/>
                <w:sz w:val="17"/>
                <w:szCs w:val="17"/>
                <w:color w:val="auto"/>
              </w:rPr>
              <w:t>(Gains) losses on property disposals, net</w:t>
            </w:r>
          </w:p>
        </w:tc>
        <w:tc>
          <w:tcPr>
            <w:tcW w:w="880" w:type="dxa"/>
            <w:vAlign w:val="bottom"/>
          </w:tcPr>
          <w:p>
            <w:pPr>
              <w:spacing w:after="0"/>
              <w:rPr>
                <w:sz w:val="19"/>
                <w:szCs w:val="19"/>
                <w:color w:val="auto"/>
              </w:rPr>
            </w:pPr>
          </w:p>
        </w:tc>
        <w:tc>
          <w:tcPr>
            <w:tcW w:w="620" w:type="dxa"/>
            <w:vAlign w:val="bottom"/>
          </w:tcPr>
          <w:p>
            <w:pPr>
              <w:jc w:val="right"/>
              <w:ind w:right="37"/>
              <w:spacing w:after="0"/>
              <w:rPr>
                <w:sz w:val="20"/>
                <w:szCs w:val="20"/>
                <w:color w:val="auto"/>
              </w:rPr>
            </w:pPr>
            <w:r>
              <w:rPr>
                <w:rFonts w:ascii="Arial" w:cs="Arial" w:eastAsia="Arial" w:hAnsi="Arial"/>
                <w:sz w:val="17"/>
                <w:szCs w:val="17"/>
                <w:color w:val="auto"/>
              </w:rPr>
              <w:t>2.7</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(0.3)</w:t>
            </w:r>
          </w:p>
        </w:tc>
      </w:tr>
      <w:tr>
        <w:trPr>
          <w:trHeight w:val="26"/>
        </w:trPr>
        <w:tc>
          <w:tcPr>
            <w:tcW w:w="8340" w:type="dxa"/>
            <w:vAlign w:val="bottom"/>
            <w:tcBorders>
              <w:bottom w:val="single" w:sz="8" w:color="BFE4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BFE4FF"/>
            </w:tcBorders>
            <w:shd w:val="clear" w:color="auto" w:fill="BFE4FF"/>
          </w:tcPr>
          <w:p>
            <w:pPr>
              <w:ind w:left="660"/>
              <w:spacing w:after="0"/>
              <w:rPr>
                <w:sz w:val="20"/>
                <w:szCs w:val="20"/>
                <w:color w:val="auto"/>
              </w:rPr>
            </w:pPr>
            <w:r>
              <w:rPr>
                <w:rFonts w:ascii="Arial" w:cs="Arial" w:eastAsia="Arial" w:hAnsi="Arial"/>
                <w:sz w:val="17"/>
                <w:szCs w:val="17"/>
                <w:color w:val="auto"/>
              </w:rPr>
              <w:t>Total operating expenses</w:t>
            </w:r>
          </w:p>
        </w:tc>
        <w:tc>
          <w:tcPr>
            <w:tcW w:w="880" w:type="dxa"/>
            <w:vAlign w:val="bottom"/>
            <w:tcBorders>
              <w:bottom w:val="single" w:sz="8" w:color="BFE4FF"/>
            </w:tcBorders>
            <w:shd w:val="clear" w:color="auto" w:fill="BFE4FF"/>
          </w:tcPr>
          <w:p>
            <w:pPr>
              <w:spacing w:after="0"/>
              <w:rPr>
                <w:sz w:val="21"/>
                <w:szCs w:val="21"/>
                <w:color w:val="auto"/>
              </w:rPr>
            </w:pPr>
          </w:p>
        </w:tc>
        <w:tc>
          <w:tcPr>
            <w:tcW w:w="620" w:type="dxa"/>
            <w:vAlign w:val="bottom"/>
            <w:tcBorders>
              <w:bottom w:val="single" w:sz="8" w:color="BFE4FF"/>
            </w:tcBorders>
            <w:shd w:val="clear" w:color="auto" w:fill="BFE4FF"/>
          </w:tcPr>
          <w:p>
            <w:pPr>
              <w:jc w:val="right"/>
              <w:ind w:right="37"/>
              <w:spacing w:after="0"/>
              <w:rPr>
                <w:sz w:val="20"/>
                <w:szCs w:val="20"/>
                <w:color w:val="auto"/>
              </w:rPr>
            </w:pPr>
            <w:r>
              <w:rPr>
                <w:rFonts w:ascii="Arial" w:cs="Arial" w:eastAsia="Arial" w:hAnsi="Arial"/>
                <w:sz w:val="17"/>
                <w:szCs w:val="17"/>
                <w:color w:val="auto"/>
                <w:w w:val="84"/>
              </w:rPr>
              <w:t>1,173.6</w:t>
            </w:r>
          </w:p>
        </w:tc>
        <w:tc>
          <w:tcPr>
            <w:tcW w:w="120" w:type="dxa"/>
            <w:vAlign w:val="bottom"/>
            <w:tcBorders>
              <w:bottom w:val="single" w:sz="8" w:color="BFE4FF"/>
            </w:tcBorders>
            <w:shd w:val="clear" w:color="auto" w:fill="BFE4FF"/>
          </w:tcPr>
          <w:p>
            <w:pPr>
              <w:spacing w:after="0"/>
              <w:rPr>
                <w:sz w:val="21"/>
                <w:szCs w:val="21"/>
                <w:color w:val="auto"/>
              </w:rPr>
            </w:pPr>
          </w:p>
        </w:tc>
        <w:tc>
          <w:tcPr>
            <w:tcW w:w="46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ind w:right="17"/>
              <w:spacing w:after="0"/>
              <w:rPr>
                <w:sz w:val="20"/>
                <w:szCs w:val="20"/>
                <w:color w:val="auto"/>
              </w:rPr>
            </w:pPr>
            <w:r>
              <w:rPr>
                <w:rFonts w:ascii="Arial" w:cs="Arial" w:eastAsia="Arial" w:hAnsi="Arial"/>
                <w:sz w:val="17"/>
                <w:szCs w:val="17"/>
                <w:color w:val="auto"/>
              </w:rPr>
              <w:t>1,106.9</w:t>
            </w:r>
          </w:p>
        </w:tc>
      </w:tr>
      <w:tr>
        <w:trPr>
          <w:trHeight w:val="219"/>
        </w:trPr>
        <w:tc>
          <w:tcPr>
            <w:tcW w:w="8340" w:type="dxa"/>
            <w:vAlign w:val="bottom"/>
          </w:tcPr>
          <w:p>
            <w:pPr>
              <w:ind w:left="1060"/>
              <w:spacing w:after="0"/>
              <w:rPr>
                <w:sz w:val="20"/>
                <w:szCs w:val="20"/>
                <w:color w:val="auto"/>
              </w:rPr>
            </w:pPr>
            <w:r>
              <w:rPr>
                <w:rFonts w:ascii="Arial" w:cs="Arial" w:eastAsia="Arial" w:hAnsi="Arial"/>
                <w:sz w:val="17"/>
                <w:szCs w:val="17"/>
                <w:b w:val="1"/>
                <w:bCs w:val="1"/>
                <w:color w:val="auto"/>
              </w:rPr>
              <w:t>Operating Income (Loss)</w:t>
            </w:r>
          </w:p>
        </w:tc>
        <w:tc>
          <w:tcPr>
            <w:tcW w:w="8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(3.0)</w:t>
            </w:r>
          </w:p>
        </w:tc>
        <w:tc>
          <w:tcPr>
            <w:tcW w:w="12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auto"/>
              </w:rPr>
              <w:t>13.4</w:t>
            </w:r>
          </w:p>
        </w:tc>
      </w:tr>
      <w:tr>
        <w:trPr>
          <w:trHeight w:val="26"/>
        </w:trPr>
        <w:tc>
          <w:tcPr>
            <w:tcW w:w="8340" w:type="dxa"/>
            <w:vAlign w:val="bottom"/>
            <w:tcBorders>
              <w:bottom w:val="single" w:sz="8" w:color="BFE4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24"/>
        </w:trPr>
        <w:tc>
          <w:tcPr>
            <w:tcW w:w="834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7"/>
                <w:szCs w:val="17"/>
                <w:b w:val="1"/>
                <w:bCs w:val="1"/>
                <w:color w:val="auto"/>
              </w:rPr>
              <w:t>Nonoperating Expenses:</w:t>
            </w:r>
          </w:p>
        </w:tc>
        <w:tc>
          <w:tcPr>
            <w:tcW w:w="880" w:type="dxa"/>
            <w:vAlign w:val="bottom"/>
            <w:tcBorders>
              <w:bottom w:val="single" w:sz="8" w:color="BFE4FF"/>
            </w:tcBorders>
            <w:shd w:val="clear" w:color="auto" w:fill="BFE4FF"/>
          </w:tcPr>
          <w:p>
            <w:pPr>
              <w:spacing w:after="0"/>
              <w:rPr>
                <w:sz w:val="19"/>
                <w:szCs w:val="19"/>
                <w:color w:val="auto"/>
              </w:rPr>
            </w:pPr>
          </w:p>
        </w:tc>
        <w:tc>
          <w:tcPr>
            <w:tcW w:w="620" w:type="dxa"/>
            <w:vAlign w:val="bottom"/>
            <w:tcBorders>
              <w:bottom w:val="single" w:sz="8" w:color="BFE4FF"/>
            </w:tcBorders>
            <w:shd w:val="clear" w:color="auto" w:fill="BFE4FF"/>
          </w:tcPr>
          <w:p>
            <w:pPr>
              <w:spacing w:after="0"/>
              <w:rPr>
                <w:sz w:val="19"/>
                <w:szCs w:val="19"/>
                <w:color w:val="auto"/>
              </w:rPr>
            </w:pPr>
          </w:p>
        </w:tc>
        <w:tc>
          <w:tcPr>
            <w:tcW w:w="120" w:type="dxa"/>
            <w:vAlign w:val="bottom"/>
            <w:tcBorders>
              <w:bottom w:val="single" w:sz="8" w:color="BFE4FF"/>
            </w:tcBorders>
            <w:shd w:val="clear" w:color="auto" w:fill="BFE4FF"/>
          </w:tcPr>
          <w:p>
            <w:pPr>
              <w:spacing w:after="0"/>
              <w:rPr>
                <w:sz w:val="19"/>
                <w:szCs w:val="19"/>
                <w:color w:val="auto"/>
              </w:rPr>
            </w:pPr>
          </w:p>
        </w:tc>
        <w:tc>
          <w:tcPr>
            <w:tcW w:w="460" w:type="dxa"/>
            <w:vAlign w:val="bottom"/>
            <w:tcBorders>
              <w:bottom w:val="single" w:sz="8" w:color="BFE4FF"/>
            </w:tcBorders>
            <w:shd w:val="clear" w:color="auto" w:fill="BFE4FF"/>
          </w:tcPr>
          <w:p>
            <w:pPr>
              <w:spacing w:after="0"/>
              <w:rPr>
                <w:sz w:val="19"/>
                <w:szCs w:val="19"/>
                <w:color w:val="auto"/>
              </w:rPr>
            </w:pPr>
          </w:p>
        </w:tc>
        <w:tc>
          <w:tcPr>
            <w:tcW w:w="1000" w:type="dxa"/>
            <w:vAlign w:val="bottom"/>
            <w:tcBorders>
              <w:bottom w:val="single" w:sz="8" w:color="BFE4FF"/>
            </w:tcBorders>
            <w:shd w:val="clear" w:color="auto" w:fill="BFE4FF"/>
          </w:tcPr>
          <w:p>
            <w:pPr>
              <w:spacing w:after="0"/>
              <w:rPr>
                <w:sz w:val="19"/>
                <w:szCs w:val="19"/>
                <w:color w:val="auto"/>
              </w:rPr>
            </w:pPr>
          </w:p>
        </w:tc>
      </w:tr>
      <w:tr>
        <w:trPr>
          <w:trHeight w:val="226"/>
        </w:trPr>
        <w:tc>
          <w:tcPr>
            <w:tcW w:w="8340" w:type="dxa"/>
            <w:vAlign w:val="bottom"/>
          </w:tcPr>
          <w:p>
            <w:pPr>
              <w:ind w:left="360"/>
              <w:spacing w:after="0"/>
              <w:rPr>
                <w:sz w:val="20"/>
                <w:szCs w:val="20"/>
                <w:color w:val="auto"/>
              </w:rPr>
            </w:pPr>
            <w:r>
              <w:rPr>
                <w:rFonts w:ascii="Arial" w:cs="Arial" w:eastAsia="Arial" w:hAnsi="Arial"/>
                <w:sz w:val="17"/>
                <w:szCs w:val="17"/>
                <w:color w:val="auto"/>
              </w:rPr>
              <w:t>Interest expense</w:t>
            </w:r>
          </w:p>
        </w:tc>
        <w:tc>
          <w:tcPr>
            <w:tcW w:w="880" w:type="dxa"/>
            <w:vAlign w:val="bottom"/>
          </w:tcPr>
          <w:p>
            <w:pPr>
              <w:spacing w:after="0"/>
              <w:rPr>
                <w:sz w:val="19"/>
                <w:szCs w:val="19"/>
                <w:color w:val="auto"/>
              </w:rPr>
            </w:pPr>
          </w:p>
        </w:tc>
        <w:tc>
          <w:tcPr>
            <w:tcW w:w="620" w:type="dxa"/>
            <w:vAlign w:val="bottom"/>
          </w:tcPr>
          <w:p>
            <w:pPr>
              <w:jc w:val="right"/>
              <w:ind w:right="37"/>
              <w:spacing w:after="0"/>
              <w:rPr>
                <w:sz w:val="20"/>
                <w:szCs w:val="20"/>
                <w:color w:val="auto"/>
              </w:rPr>
            </w:pPr>
            <w:r>
              <w:rPr>
                <w:rFonts w:ascii="Arial" w:cs="Arial" w:eastAsia="Arial" w:hAnsi="Arial"/>
                <w:sz w:val="17"/>
                <w:szCs w:val="17"/>
                <w:color w:val="auto"/>
              </w:rPr>
              <w:t>25.4</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ind w:right="17"/>
              <w:spacing w:after="0"/>
              <w:rPr>
                <w:sz w:val="20"/>
                <w:szCs w:val="20"/>
                <w:color w:val="auto"/>
              </w:rPr>
            </w:pPr>
            <w:r>
              <w:rPr>
                <w:rFonts w:ascii="Arial" w:cs="Arial" w:eastAsia="Arial" w:hAnsi="Arial"/>
                <w:sz w:val="17"/>
                <w:szCs w:val="17"/>
                <w:color w:val="auto"/>
              </w:rPr>
              <w:t>26.1</w:t>
            </w:r>
          </w:p>
        </w:tc>
      </w:tr>
      <w:tr>
        <w:trPr>
          <w:trHeight w:val="26"/>
        </w:trPr>
        <w:tc>
          <w:tcPr>
            <w:tcW w:w="8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2"/>
        </w:trPr>
        <w:tc>
          <w:tcPr>
            <w:tcW w:w="8340" w:type="dxa"/>
            <w:vAlign w:val="bottom"/>
            <w:tcBorders>
              <w:bottom w:val="single" w:sz="8" w:color="BFE4FF"/>
            </w:tcBorders>
            <w:shd w:val="clear" w:color="auto" w:fill="BFE4FF"/>
          </w:tcPr>
          <w:p>
            <w:pPr>
              <w:ind w:left="360"/>
              <w:spacing w:after="0"/>
              <w:rPr>
                <w:sz w:val="20"/>
                <w:szCs w:val="20"/>
                <w:color w:val="auto"/>
              </w:rPr>
            </w:pPr>
            <w:r>
              <w:rPr>
                <w:rFonts w:ascii="Arial" w:cs="Arial" w:eastAsia="Arial" w:hAnsi="Arial"/>
                <w:sz w:val="17"/>
                <w:szCs w:val="17"/>
                <w:color w:val="auto"/>
              </w:rPr>
              <w:t>Other, net</w:t>
            </w:r>
          </w:p>
        </w:tc>
        <w:tc>
          <w:tcPr>
            <w:tcW w:w="880" w:type="dxa"/>
            <w:vAlign w:val="bottom"/>
            <w:tcBorders>
              <w:bottom w:val="single" w:sz="8" w:color="BFE4FF"/>
            </w:tcBorders>
            <w:shd w:val="clear" w:color="auto" w:fill="BFE4FF"/>
          </w:tcPr>
          <w:p>
            <w:pPr>
              <w:spacing w:after="0"/>
              <w:rPr>
                <w:sz w:val="21"/>
                <w:szCs w:val="21"/>
                <w:color w:val="auto"/>
              </w:rPr>
            </w:pPr>
          </w:p>
        </w:tc>
        <w:tc>
          <w:tcPr>
            <w:tcW w:w="620" w:type="dxa"/>
            <w:vAlign w:val="bottom"/>
            <w:tcBorders>
              <w:bottom w:val="single" w:sz="8" w:color="BFE4FF"/>
            </w:tcBorders>
            <w:shd w:val="clear" w:color="auto" w:fill="BFE4FF"/>
          </w:tcPr>
          <w:p>
            <w:pPr>
              <w:jc w:val="right"/>
              <w:ind w:right="37"/>
              <w:spacing w:after="0"/>
              <w:rPr>
                <w:sz w:val="20"/>
                <w:szCs w:val="20"/>
                <w:color w:val="auto"/>
              </w:rPr>
            </w:pPr>
            <w:r>
              <w:rPr>
                <w:rFonts w:ascii="Arial" w:cs="Arial" w:eastAsia="Arial" w:hAnsi="Arial"/>
                <w:sz w:val="17"/>
                <w:szCs w:val="17"/>
                <w:color w:val="auto"/>
              </w:rPr>
              <w:t>1.0</w:t>
            </w:r>
          </w:p>
        </w:tc>
        <w:tc>
          <w:tcPr>
            <w:tcW w:w="120" w:type="dxa"/>
            <w:vAlign w:val="bottom"/>
            <w:tcBorders>
              <w:bottom w:val="single" w:sz="8" w:color="BFE4FF"/>
            </w:tcBorders>
            <w:shd w:val="clear" w:color="auto" w:fill="BFE4FF"/>
          </w:tcPr>
          <w:p>
            <w:pPr>
              <w:spacing w:after="0"/>
              <w:rPr>
                <w:sz w:val="21"/>
                <w:szCs w:val="21"/>
                <w:color w:val="auto"/>
              </w:rPr>
            </w:pPr>
          </w:p>
        </w:tc>
        <w:tc>
          <w:tcPr>
            <w:tcW w:w="46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ind w:right="17"/>
              <w:spacing w:after="0"/>
              <w:rPr>
                <w:sz w:val="20"/>
                <w:szCs w:val="20"/>
                <w:color w:val="auto"/>
              </w:rPr>
            </w:pPr>
            <w:r>
              <w:rPr>
                <w:rFonts w:ascii="Arial" w:cs="Arial" w:eastAsia="Arial" w:hAnsi="Arial"/>
                <w:sz w:val="17"/>
                <w:szCs w:val="17"/>
                <w:color w:val="auto"/>
              </w:rPr>
              <w:t>1.1</w:t>
            </w:r>
          </w:p>
        </w:tc>
      </w:tr>
      <w:tr>
        <w:trPr>
          <w:trHeight w:val="219"/>
        </w:trPr>
        <w:tc>
          <w:tcPr>
            <w:tcW w:w="8340" w:type="dxa"/>
            <w:vAlign w:val="bottom"/>
          </w:tcPr>
          <w:p>
            <w:pPr>
              <w:ind w:left="660"/>
              <w:spacing w:after="0"/>
              <w:rPr>
                <w:sz w:val="20"/>
                <w:szCs w:val="20"/>
                <w:color w:val="auto"/>
              </w:rPr>
            </w:pPr>
            <w:r>
              <w:rPr>
                <w:rFonts w:ascii="Arial" w:cs="Arial" w:eastAsia="Arial" w:hAnsi="Arial"/>
                <w:sz w:val="17"/>
                <w:szCs w:val="17"/>
                <w:color w:val="auto"/>
              </w:rPr>
              <w:t>Nonoperating expenses, net</w:t>
            </w:r>
          </w:p>
        </w:tc>
        <w:tc>
          <w:tcPr>
            <w:tcW w:w="8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ind w:right="37"/>
              <w:spacing w:after="0"/>
              <w:rPr>
                <w:sz w:val="20"/>
                <w:szCs w:val="20"/>
                <w:color w:val="auto"/>
              </w:rPr>
            </w:pPr>
            <w:r>
              <w:rPr>
                <w:rFonts w:ascii="Arial" w:cs="Arial" w:eastAsia="Arial" w:hAnsi="Arial"/>
                <w:sz w:val="17"/>
                <w:szCs w:val="17"/>
                <w:color w:val="auto"/>
              </w:rPr>
              <w:t>26.4</w:t>
            </w:r>
          </w:p>
        </w:tc>
        <w:tc>
          <w:tcPr>
            <w:tcW w:w="12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auto"/>
              </w:rPr>
              <w:t>27.2</w:t>
            </w:r>
          </w:p>
        </w:tc>
      </w:tr>
      <w:tr>
        <w:trPr>
          <w:trHeight w:val="26"/>
        </w:trPr>
        <w:tc>
          <w:tcPr>
            <w:tcW w:w="8340" w:type="dxa"/>
            <w:vAlign w:val="bottom"/>
            <w:tcBorders>
              <w:bottom w:val="single" w:sz="8" w:color="BFE4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24"/>
        </w:trPr>
        <w:tc>
          <w:tcPr>
            <w:tcW w:w="834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7"/>
                <w:szCs w:val="17"/>
                <w:color w:val="auto"/>
              </w:rPr>
              <w:t>Loss before income taxes</w:t>
            </w:r>
          </w:p>
        </w:tc>
        <w:tc>
          <w:tcPr>
            <w:tcW w:w="880" w:type="dxa"/>
            <w:vAlign w:val="bottom"/>
            <w:tcBorders>
              <w:bottom w:val="single" w:sz="8" w:color="BFE4FF"/>
            </w:tcBorders>
            <w:shd w:val="clear" w:color="auto" w:fill="BFE4FF"/>
          </w:tcPr>
          <w:p>
            <w:pPr>
              <w:spacing w:after="0"/>
              <w:rPr>
                <w:sz w:val="19"/>
                <w:szCs w:val="19"/>
                <w:color w:val="auto"/>
              </w:rPr>
            </w:pPr>
          </w:p>
        </w:tc>
        <w:tc>
          <w:tcPr>
            <w:tcW w:w="6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7"/>
                <w:szCs w:val="17"/>
                <w:color w:val="auto"/>
              </w:rPr>
              <w:t>(29.4)</w:t>
            </w:r>
          </w:p>
        </w:tc>
        <w:tc>
          <w:tcPr>
            <w:tcW w:w="120" w:type="dxa"/>
            <w:vAlign w:val="bottom"/>
            <w:tcBorders>
              <w:bottom w:val="single" w:sz="8" w:color="BFE4FF"/>
            </w:tcBorders>
            <w:shd w:val="clear" w:color="auto" w:fill="BFE4FF"/>
          </w:tcPr>
          <w:p>
            <w:pPr>
              <w:spacing w:after="0"/>
              <w:rPr>
                <w:sz w:val="19"/>
                <w:szCs w:val="19"/>
                <w:color w:val="auto"/>
              </w:rPr>
            </w:pPr>
          </w:p>
        </w:tc>
        <w:tc>
          <w:tcPr>
            <w:tcW w:w="460" w:type="dxa"/>
            <w:vAlign w:val="bottom"/>
            <w:tcBorders>
              <w:bottom w:val="single" w:sz="8" w:color="BFE4FF"/>
            </w:tcBorders>
            <w:shd w:val="clear" w:color="auto" w:fill="BFE4FF"/>
          </w:tcPr>
          <w:p>
            <w:pPr>
              <w:spacing w:after="0"/>
              <w:rPr>
                <w:sz w:val="19"/>
                <w:szCs w:val="19"/>
                <w:color w:val="auto"/>
              </w:rPr>
            </w:pPr>
          </w:p>
        </w:tc>
        <w:tc>
          <w:tcPr>
            <w:tcW w:w="10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7"/>
                <w:szCs w:val="17"/>
                <w:color w:val="auto"/>
              </w:rPr>
              <w:t>(13.8)</w:t>
            </w:r>
          </w:p>
        </w:tc>
      </w:tr>
      <w:tr>
        <w:trPr>
          <w:trHeight w:val="226"/>
        </w:trPr>
        <w:tc>
          <w:tcPr>
            <w:tcW w:w="8340" w:type="dxa"/>
            <w:vAlign w:val="bottom"/>
          </w:tcPr>
          <w:p>
            <w:pPr>
              <w:ind w:left="20"/>
              <w:spacing w:after="0"/>
              <w:rPr>
                <w:sz w:val="20"/>
                <w:szCs w:val="20"/>
                <w:color w:val="auto"/>
              </w:rPr>
            </w:pPr>
            <w:r>
              <w:rPr>
                <w:rFonts w:ascii="Arial" w:cs="Arial" w:eastAsia="Arial" w:hAnsi="Arial"/>
                <w:sz w:val="17"/>
                <w:szCs w:val="17"/>
                <w:color w:val="auto"/>
              </w:rPr>
              <w:t>Income tax benefit</w:t>
            </w:r>
          </w:p>
        </w:tc>
        <w:tc>
          <w:tcPr>
            <w:tcW w:w="8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(4.1)</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26"/>
        </w:trPr>
        <w:tc>
          <w:tcPr>
            <w:tcW w:w="8340" w:type="dxa"/>
            <w:vAlign w:val="bottom"/>
            <w:tcBorders>
              <w:bottom w:val="single" w:sz="8" w:color="BFE4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24"/>
        </w:trPr>
        <w:tc>
          <w:tcPr>
            <w:tcW w:w="834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7"/>
                <w:szCs w:val="17"/>
                <w:color w:val="auto"/>
              </w:rPr>
              <w:t>Net loss</w:t>
            </w:r>
          </w:p>
        </w:tc>
        <w:tc>
          <w:tcPr>
            <w:tcW w:w="880" w:type="dxa"/>
            <w:vAlign w:val="bottom"/>
            <w:tcBorders>
              <w:bottom w:val="single" w:sz="8" w:color="BFE4FF"/>
            </w:tcBorders>
            <w:shd w:val="clear" w:color="auto" w:fill="BFE4FF"/>
          </w:tcPr>
          <w:p>
            <w:pPr>
              <w:spacing w:after="0"/>
              <w:rPr>
                <w:sz w:val="19"/>
                <w:szCs w:val="19"/>
                <w:color w:val="auto"/>
              </w:rPr>
            </w:pPr>
          </w:p>
        </w:tc>
        <w:tc>
          <w:tcPr>
            <w:tcW w:w="6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7"/>
                <w:szCs w:val="17"/>
                <w:color w:val="auto"/>
              </w:rPr>
              <w:t>(25.3)</w:t>
            </w:r>
          </w:p>
        </w:tc>
        <w:tc>
          <w:tcPr>
            <w:tcW w:w="120" w:type="dxa"/>
            <w:vAlign w:val="bottom"/>
            <w:tcBorders>
              <w:bottom w:val="single" w:sz="8" w:color="BFE4FF"/>
            </w:tcBorders>
            <w:shd w:val="clear" w:color="auto" w:fill="BFE4FF"/>
          </w:tcPr>
          <w:p>
            <w:pPr>
              <w:spacing w:after="0"/>
              <w:rPr>
                <w:sz w:val="19"/>
                <w:szCs w:val="19"/>
                <w:color w:val="auto"/>
              </w:rPr>
            </w:pPr>
          </w:p>
        </w:tc>
        <w:tc>
          <w:tcPr>
            <w:tcW w:w="460" w:type="dxa"/>
            <w:vAlign w:val="bottom"/>
            <w:tcBorders>
              <w:bottom w:val="single" w:sz="8" w:color="BFE4FF"/>
            </w:tcBorders>
            <w:shd w:val="clear" w:color="auto" w:fill="BFE4FF"/>
          </w:tcPr>
          <w:p>
            <w:pPr>
              <w:spacing w:after="0"/>
              <w:rPr>
                <w:sz w:val="19"/>
                <w:szCs w:val="19"/>
                <w:color w:val="auto"/>
              </w:rPr>
            </w:pPr>
          </w:p>
        </w:tc>
        <w:tc>
          <w:tcPr>
            <w:tcW w:w="10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7"/>
                <w:szCs w:val="17"/>
                <w:color w:val="auto"/>
              </w:rPr>
              <w:t>(12.0)</w:t>
            </w:r>
          </w:p>
        </w:tc>
      </w:tr>
      <w:tr>
        <w:trPr>
          <w:trHeight w:val="226"/>
        </w:trPr>
        <w:tc>
          <w:tcPr>
            <w:tcW w:w="8340" w:type="dxa"/>
            <w:vAlign w:val="bottom"/>
          </w:tcPr>
          <w:p>
            <w:pPr>
              <w:ind w:left="20"/>
              <w:spacing w:after="0"/>
              <w:rPr>
                <w:sz w:val="20"/>
                <w:szCs w:val="20"/>
                <w:color w:val="auto"/>
              </w:rPr>
            </w:pPr>
            <w:r>
              <w:rPr>
                <w:rFonts w:ascii="Arial" w:cs="Arial" w:eastAsia="Arial" w:hAnsi="Arial"/>
                <w:sz w:val="17"/>
                <w:szCs w:val="17"/>
                <w:color w:val="auto"/>
              </w:rPr>
              <w:t>Other comprehensive income (loss), net of tax</w:t>
            </w:r>
          </w:p>
        </w:tc>
        <w:tc>
          <w:tcPr>
            <w:tcW w:w="880" w:type="dxa"/>
            <w:vAlign w:val="bottom"/>
          </w:tcPr>
          <w:p>
            <w:pPr>
              <w:spacing w:after="0"/>
              <w:rPr>
                <w:sz w:val="19"/>
                <w:szCs w:val="19"/>
                <w:color w:val="auto"/>
              </w:rPr>
            </w:pPr>
          </w:p>
        </w:tc>
        <w:tc>
          <w:tcPr>
            <w:tcW w:w="620" w:type="dxa"/>
            <w:vAlign w:val="bottom"/>
          </w:tcPr>
          <w:p>
            <w:pPr>
              <w:jc w:val="right"/>
              <w:ind w:right="37"/>
              <w:spacing w:after="0"/>
              <w:rPr>
                <w:sz w:val="20"/>
                <w:szCs w:val="20"/>
                <w:color w:val="auto"/>
              </w:rPr>
            </w:pPr>
            <w:r>
              <w:rPr>
                <w:rFonts w:ascii="Arial" w:cs="Arial" w:eastAsia="Arial" w:hAnsi="Arial"/>
                <w:sz w:val="17"/>
                <w:szCs w:val="17"/>
                <w:color w:val="auto"/>
              </w:rPr>
              <w:t>4.4</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(2.6)</w:t>
            </w:r>
          </w:p>
        </w:tc>
      </w:tr>
      <w:tr>
        <w:trPr>
          <w:trHeight w:val="26"/>
        </w:trPr>
        <w:tc>
          <w:tcPr>
            <w:tcW w:w="8340" w:type="dxa"/>
            <w:vAlign w:val="bottom"/>
            <w:tcBorders>
              <w:bottom w:val="single" w:sz="8" w:color="BFE4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9"/>
        </w:trPr>
        <w:tc>
          <w:tcPr>
            <w:tcW w:w="8340" w:type="dxa"/>
            <w:vAlign w:val="bottom"/>
            <w:tcBorders>
              <w:bottom w:val="single" w:sz="8" w:color="BFE4FF"/>
            </w:tcBorders>
            <w:shd w:val="clear" w:color="auto" w:fill="BFE4FF"/>
          </w:tcPr>
          <w:p>
            <w:pPr>
              <w:ind w:left="360"/>
              <w:spacing w:after="0"/>
              <w:rPr>
                <w:sz w:val="20"/>
                <w:szCs w:val="20"/>
                <w:color w:val="auto"/>
              </w:rPr>
            </w:pPr>
            <w:r>
              <w:rPr>
                <w:rFonts w:ascii="Arial" w:cs="Arial" w:eastAsia="Arial" w:hAnsi="Arial"/>
                <w:sz w:val="17"/>
                <w:szCs w:val="17"/>
                <w:b w:val="1"/>
                <w:bCs w:val="1"/>
                <w:color w:val="auto"/>
              </w:rPr>
              <w:t>Comprehensive Loss</w:t>
            </w:r>
          </w:p>
        </w:tc>
        <w:tc>
          <w:tcPr>
            <w:tcW w:w="880" w:type="dxa"/>
            <w:vAlign w:val="bottom"/>
            <w:tcBorders>
              <w:bottom w:val="single" w:sz="8" w:color="BFE4FF"/>
            </w:tcBorders>
            <w:shd w:val="clear" w:color="auto" w:fill="BFE4FF"/>
          </w:tcPr>
          <w:p>
            <w:pPr>
              <w:jc w:val="right"/>
              <w:ind w:right="679"/>
              <w:spacing w:after="0"/>
              <w:rPr>
                <w:sz w:val="20"/>
                <w:szCs w:val="20"/>
                <w:color w:val="auto"/>
              </w:rPr>
            </w:pPr>
            <w:r>
              <w:rPr>
                <w:rFonts w:ascii="Arial" w:cs="Arial" w:eastAsia="Arial" w:hAnsi="Arial"/>
                <w:sz w:val="17"/>
                <w:szCs w:val="17"/>
                <w:color w:val="auto"/>
              </w:rPr>
              <w:t>$</w:t>
            </w:r>
          </w:p>
        </w:tc>
        <w:tc>
          <w:tcPr>
            <w:tcW w:w="6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7"/>
                <w:szCs w:val="17"/>
                <w:color w:val="auto"/>
              </w:rPr>
              <w:t>(20.9)</w:t>
            </w:r>
          </w:p>
        </w:tc>
        <w:tc>
          <w:tcPr>
            <w:tcW w:w="120" w:type="dxa"/>
            <w:vAlign w:val="bottom"/>
            <w:tcBorders>
              <w:bottom w:val="single" w:sz="8" w:color="BFE4FF"/>
            </w:tcBorders>
            <w:shd w:val="clear" w:color="auto" w:fill="BFE4FF"/>
          </w:tcPr>
          <w:p>
            <w:pPr>
              <w:spacing w:after="0"/>
              <w:rPr>
                <w:sz w:val="21"/>
                <w:szCs w:val="21"/>
                <w:color w:val="auto"/>
              </w:rPr>
            </w:pPr>
          </w:p>
        </w:tc>
        <w:tc>
          <w:tcPr>
            <w:tcW w:w="460" w:type="dxa"/>
            <w:vAlign w:val="bottom"/>
            <w:tcBorders>
              <w:bottom w:val="single" w:sz="8" w:color="BFE4FF"/>
            </w:tcBorders>
            <w:shd w:val="clear" w:color="auto" w:fill="BFE4FF"/>
          </w:tcPr>
          <w:p>
            <w:pPr>
              <w:jc w:val="right"/>
              <w:ind w:right="276"/>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7"/>
                <w:szCs w:val="17"/>
                <w:color w:val="auto"/>
              </w:rPr>
              <w:t>(14.6)</w:t>
            </w:r>
          </w:p>
        </w:tc>
      </w:tr>
      <w:tr>
        <w:trPr>
          <w:trHeight w:val="20"/>
        </w:trPr>
        <w:tc>
          <w:tcPr>
            <w:tcW w:w="8340" w:type="dxa"/>
            <w:vAlign w:val="bottom"/>
            <w:tcBorders>
              <w:top w:val="single" w:sz="8" w:color="BFE4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BFE4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280"/>
        </w:trPr>
        <w:tc>
          <w:tcPr>
            <w:tcW w:w="8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32"/>
        </w:trPr>
        <w:tc>
          <w:tcPr>
            <w:tcW w:w="834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7"/>
                <w:szCs w:val="17"/>
                <w:b w:val="1"/>
                <w:bCs w:val="1"/>
                <w:color w:val="auto"/>
              </w:rPr>
              <w:t>Average Common Shares Outstanding – Basic</w:t>
            </w:r>
          </w:p>
        </w:tc>
        <w:tc>
          <w:tcPr>
            <w:tcW w:w="880" w:type="dxa"/>
            <w:vAlign w:val="bottom"/>
            <w:tcBorders>
              <w:bottom w:val="single" w:sz="8" w:color="BFE4FF"/>
            </w:tcBorders>
            <w:shd w:val="clear" w:color="auto" w:fill="BFE4FF"/>
          </w:tcPr>
          <w:p>
            <w:pPr>
              <w:spacing w:after="0"/>
              <w:rPr>
                <w:sz w:val="20"/>
                <w:szCs w:val="20"/>
                <w:color w:val="auto"/>
              </w:rPr>
            </w:pPr>
          </w:p>
        </w:tc>
        <w:tc>
          <w:tcPr>
            <w:tcW w:w="620" w:type="dxa"/>
            <w:vAlign w:val="bottom"/>
            <w:tcBorders>
              <w:bottom w:val="single" w:sz="8" w:color="BFE4FF"/>
            </w:tcBorders>
            <w:shd w:val="clear" w:color="auto" w:fill="BFE4FF"/>
          </w:tcPr>
          <w:p>
            <w:pPr>
              <w:jc w:val="right"/>
              <w:ind w:right="37"/>
              <w:spacing w:after="0"/>
              <w:rPr>
                <w:sz w:val="20"/>
                <w:szCs w:val="20"/>
                <w:color w:val="auto"/>
              </w:rPr>
            </w:pPr>
            <w:r>
              <w:rPr>
                <w:rFonts w:ascii="Arial" w:cs="Arial" w:eastAsia="Arial" w:hAnsi="Arial"/>
                <w:sz w:val="17"/>
                <w:szCs w:val="17"/>
                <w:color w:val="auto"/>
                <w:w w:val="92"/>
              </w:rPr>
              <w:t>32,568</w:t>
            </w:r>
          </w:p>
        </w:tc>
        <w:tc>
          <w:tcPr>
            <w:tcW w:w="120" w:type="dxa"/>
            <w:vAlign w:val="bottom"/>
            <w:tcBorders>
              <w:bottom w:val="single" w:sz="8" w:color="BFE4FF"/>
            </w:tcBorders>
            <w:shd w:val="clear" w:color="auto" w:fill="BFE4FF"/>
          </w:tcPr>
          <w:p>
            <w:pPr>
              <w:spacing w:after="0"/>
              <w:rPr>
                <w:sz w:val="20"/>
                <w:szCs w:val="20"/>
                <w:color w:val="auto"/>
              </w:rPr>
            </w:pPr>
          </w:p>
        </w:tc>
        <w:tc>
          <w:tcPr>
            <w:tcW w:w="460" w:type="dxa"/>
            <w:vAlign w:val="bottom"/>
            <w:tcBorders>
              <w:bottom w:val="single" w:sz="8" w:color="BFE4FF"/>
            </w:tcBorders>
            <w:shd w:val="clear" w:color="auto" w:fill="BFE4FF"/>
          </w:tcPr>
          <w:p>
            <w:pPr>
              <w:spacing w:after="0"/>
              <w:rPr>
                <w:sz w:val="20"/>
                <w:szCs w:val="20"/>
                <w:color w:val="auto"/>
              </w:rPr>
            </w:pPr>
          </w:p>
        </w:tc>
        <w:tc>
          <w:tcPr>
            <w:tcW w:w="1000" w:type="dxa"/>
            <w:vAlign w:val="bottom"/>
            <w:tcBorders>
              <w:bottom w:val="single" w:sz="8" w:color="BFE4FF"/>
            </w:tcBorders>
            <w:shd w:val="clear" w:color="auto" w:fill="BFE4FF"/>
          </w:tcPr>
          <w:p>
            <w:pPr>
              <w:jc w:val="right"/>
              <w:ind w:right="17"/>
              <w:spacing w:after="0"/>
              <w:rPr>
                <w:sz w:val="20"/>
                <w:szCs w:val="20"/>
                <w:color w:val="auto"/>
              </w:rPr>
            </w:pPr>
            <w:r>
              <w:rPr>
                <w:rFonts w:ascii="Arial" w:cs="Arial" w:eastAsia="Arial" w:hAnsi="Arial"/>
                <w:sz w:val="17"/>
                <w:szCs w:val="17"/>
                <w:color w:val="auto"/>
              </w:rPr>
              <w:t>32,264</w:t>
            </w:r>
          </w:p>
        </w:tc>
      </w:tr>
      <w:tr>
        <w:trPr>
          <w:trHeight w:val="226"/>
        </w:trPr>
        <w:tc>
          <w:tcPr>
            <w:tcW w:w="8340" w:type="dxa"/>
            <w:vAlign w:val="bottom"/>
          </w:tcPr>
          <w:p>
            <w:pPr>
              <w:ind w:left="20"/>
              <w:spacing w:after="0"/>
              <w:rPr>
                <w:sz w:val="20"/>
                <w:szCs w:val="20"/>
                <w:color w:val="auto"/>
              </w:rPr>
            </w:pPr>
            <w:r>
              <w:rPr>
                <w:rFonts w:ascii="Arial" w:cs="Arial" w:eastAsia="Arial" w:hAnsi="Arial"/>
                <w:sz w:val="17"/>
                <w:szCs w:val="17"/>
                <w:b w:val="1"/>
                <w:bCs w:val="1"/>
                <w:color w:val="auto"/>
              </w:rPr>
              <w:t>Average Common Shares Outstanding – Diluted</w:t>
            </w:r>
          </w:p>
        </w:tc>
        <w:tc>
          <w:tcPr>
            <w:tcW w:w="880" w:type="dxa"/>
            <w:vAlign w:val="bottom"/>
          </w:tcPr>
          <w:p>
            <w:pPr>
              <w:spacing w:after="0"/>
              <w:rPr>
                <w:sz w:val="19"/>
                <w:szCs w:val="19"/>
                <w:color w:val="auto"/>
              </w:rPr>
            </w:pPr>
          </w:p>
        </w:tc>
        <w:tc>
          <w:tcPr>
            <w:tcW w:w="620" w:type="dxa"/>
            <w:vAlign w:val="bottom"/>
          </w:tcPr>
          <w:p>
            <w:pPr>
              <w:jc w:val="right"/>
              <w:ind w:right="37"/>
              <w:spacing w:after="0"/>
              <w:rPr>
                <w:sz w:val="20"/>
                <w:szCs w:val="20"/>
                <w:color w:val="auto"/>
              </w:rPr>
            </w:pPr>
            <w:r>
              <w:rPr>
                <w:rFonts w:ascii="Arial" w:cs="Arial" w:eastAsia="Arial" w:hAnsi="Arial"/>
                <w:sz w:val="17"/>
                <w:szCs w:val="17"/>
                <w:color w:val="auto"/>
                <w:w w:val="92"/>
              </w:rPr>
              <w:t>32,568</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ind w:right="17"/>
              <w:spacing w:after="0"/>
              <w:rPr>
                <w:sz w:val="20"/>
                <w:szCs w:val="20"/>
                <w:color w:val="auto"/>
              </w:rPr>
            </w:pPr>
            <w:r>
              <w:rPr>
                <w:rFonts w:ascii="Arial" w:cs="Arial" w:eastAsia="Arial" w:hAnsi="Arial"/>
                <w:sz w:val="17"/>
                <w:szCs w:val="17"/>
                <w:color w:val="auto"/>
              </w:rPr>
              <w:t>32,264</w:t>
            </w:r>
          </w:p>
        </w:tc>
      </w:tr>
      <w:tr>
        <w:trPr>
          <w:trHeight w:val="26"/>
        </w:trPr>
        <w:tc>
          <w:tcPr>
            <w:tcW w:w="8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7"/>
        </w:trPr>
        <w:tc>
          <w:tcPr>
            <w:tcW w:w="8340" w:type="dxa"/>
            <w:vAlign w:val="bottom"/>
            <w:shd w:val="clear" w:color="auto" w:fill="BFE4FF"/>
          </w:tcPr>
          <w:p>
            <w:pPr>
              <w:spacing w:after="0"/>
              <w:rPr>
                <w:sz w:val="24"/>
                <w:szCs w:val="24"/>
                <w:color w:val="auto"/>
              </w:rPr>
            </w:pPr>
          </w:p>
        </w:tc>
        <w:tc>
          <w:tcPr>
            <w:tcW w:w="880" w:type="dxa"/>
            <w:vAlign w:val="bottom"/>
            <w:shd w:val="clear" w:color="auto" w:fill="BFE4FF"/>
          </w:tcPr>
          <w:p>
            <w:pPr>
              <w:spacing w:after="0"/>
              <w:rPr>
                <w:sz w:val="24"/>
                <w:szCs w:val="24"/>
                <w:color w:val="auto"/>
              </w:rPr>
            </w:pPr>
          </w:p>
        </w:tc>
        <w:tc>
          <w:tcPr>
            <w:tcW w:w="620" w:type="dxa"/>
            <w:vAlign w:val="bottom"/>
            <w:shd w:val="clear" w:color="auto" w:fill="BFE4FF"/>
          </w:tcPr>
          <w:p>
            <w:pPr>
              <w:spacing w:after="0"/>
              <w:rPr>
                <w:sz w:val="24"/>
                <w:szCs w:val="24"/>
                <w:color w:val="auto"/>
              </w:rPr>
            </w:pPr>
          </w:p>
        </w:tc>
        <w:tc>
          <w:tcPr>
            <w:tcW w:w="120" w:type="dxa"/>
            <w:vAlign w:val="bottom"/>
            <w:shd w:val="clear" w:color="auto" w:fill="BFE4FF"/>
          </w:tcPr>
          <w:p>
            <w:pPr>
              <w:spacing w:after="0"/>
              <w:rPr>
                <w:sz w:val="24"/>
                <w:szCs w:val="24"/>
                <w:color w:val="auto"/>
              </w:rPr>
            </w:pPr>
          </w:p>
        </w:tc>
        <w:tc>
          <w:tcPr>
            <w:tcW w:w="460" w:type="dxa"/>
            <w:vAlign w:val="bottom"/>
            <w:shd w:val="clear" w:color="auto" w:fill="BFE4FF"/>
          </w:tcPr>
          <w:p>
            <w:pPr>
              <w:spacing w:after="0"/>
              <w:rPr>
                <w:sz w:val="24"/>
                <w:szCs w:val="24"/>
                <w:color w:val="auto"/>
              </w:rPr>
            </w:pPr>
          </w:p>
        </w:tc>
        <w:tc>
          <w:tcPr>
            <w:tcW w:w="1000" w:type="dxa"/>
            <w:vAlign w:val="bottom"/>
            <w:shd w:val="clear" w:color="auto" w:fill="BFE4FF"/>
          </w:tcPr>
          <w:p>
            <w:pPr>
              <w:spacing w:after="0"/>
              <w:rPr>
                <w:sz w:val="24"/>
                <w:szCs w:val="24"/>
                <w:color w:val="auto"/>
              </w:rPr>
            </w:pPr>
          </w:p>
        </w:tc>
      </w:tr>
      <w:tr>
        <w:trPr>
          <w:trHeight w:val="226"/>
        </w:trPr>
        <w:tc>
          <w:tcPr>
            <w:tcW w:w="8340" w:type="dxa"/>
            <w:vAlign w:val="bottom"/>
          </w:tcPr>
          <w:p>
            <w:pPr>
              <w:ind w:left="20"/>
              <w:spacing w:after="0"/>
              <w:rPr>
                <w:sz w:val="20"/>
                <w:szCs w:val="20"/>
                <w:color w:val="auto"/>
              </w:rPr>
            </w:pPr>
            <w:r>
              <w:rPr>
                <w:rFonts w:ascii="Arial" w:cs="Arial" w:eastAsia="Arial" w:hAnsi="Arial"/>
                <w:sz w:val="17"/>
                <w:szCs w:val="17"/>
                <w:b w:val="1"/>
                <w:bCs w:val="1"/>
                <w:color w:val="auto"/>
              </w:rPr>
              <w:t>Loss Per Share – Basic</w:t>
            </w:r>
          </w:p>
        </w:tc>
        <w:tc>
          <w:tcPr>
            <w:tcW w:w="880" w:type="dxa"/>
            <w:vAlign w:val="bottom"/>
          </w:tcPr>
          <w:p>
            <w:pPr>
              <w:jc w:val="right"/>
              <w:ind w:right="679"/>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(0.78)</w:t>
            </w:r>
          </w:p>
        </w:tc>
        <w:tc>
          <w:tcPr>
            <w:tcW w:w="120" w:type="dxa"/>
            <w:vAlign w:val="bottom"/>
          </w:tcPr>
          <w:p>
            <w:pPr>
              <w:spacing w:after="0"/>
              <w:rPr>
                <w:sz w:val="19"/>
                <w:szCs w:val="19"/>
                <w:color w:val="auto"/>
              </w:rPr>
            </w:pPr>
          </w:p>
        </w:tc>
        <w:tc>
          <w:tcPr>
            <w:tcW w:w="460" w:type="dxa"/>
            <w:vAlign w:val="bottom"/>
          </w:tcPr>
          <w:p>
            <w:pPr>
              <w:jc w:val="right"/>
              <w:ind w:right="276"/>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(0.37)</w:t>
            </w:r>
          </w:p>
        </w:tc>
      </w:tr>
      <w:tr>
        <w:trPr>
          <w:trHeight w:val="26"/>
        </w:trPr>
        <w:tc>
          <w:tcPr>
            <w:tcW w:w="8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26"/>
        </w:trPr>
        <w:tc>
          <w:tcPr>
            <w:tcW w:w="8340" w:type="dxa"/>
            <w:vAlign w:val="bottom"/>
            <w:shd w:val="clear" w:color="auto" w:fill="BFE4FF"/>
          </w:tcPr>
          <w:p>
            <w:pPr>
              <w:ind w:left="20"/>
              <w:spacing w:after="0"/>
              <w:rPr>
                <w:sz w:val="20"/>
                <w:szCs w:val="20"/>
                <w:color w:val="auto"/>
              </w:rPr>
            </w:pPr>
            <w:r>
              <w:rPr>
                <w:rFonts w:ascii="Arial" w:cs="Arial" w:eastAsia="Arial" w:hAnsi="Arial"/>
                <w:sz w:val="17"/>
                <w:szCs w:val="17"/>
                <w:b w:val="1"/>
                <w:bCs w:val="1"/>
                <w:color w:val="auto"/>
              </w:rPr>
              <w:t>Loss Per Share – Diluted</w:t>
            </w:r>
          </w:p>
        </w:tc>
        <w:tc>
          <w:tcPr>
            <w:tcW w:w="880" w:type="dxa"/>
            <w:vAlign w:val="bottom"/>
            <w:shd w:val="clear" w:color="auto" w:fill="BFE4FF"/>
          </w:tcPr>
          <w:p>
            <w:pPr>
              <w:jc w:val="right"/>
              <w:ind w:right="679"/>
              <w:spacing w:after="0"/>
              <w:rPr>
                <w:sz w:val="20"/>
                <w:szCs w:val="20"/>
                <w:color w:val="auto"/>
              </w:rPr>
            </w:pPr>
            <w:r>
              <w:rPr>
                <w:rFonts w:ascii="Arial" w:cs="Arial" w:eastAsia="Arial" w:hAnsi="Arial"/>
                <w:sz w:val="17"/>
                <w:szCs w:val="17"/>
                <w:color w:val="auto"/>
              </w:rPr>
              <w:t>$</w:t>
            </w:r>
          </w:p>
        </w:tc>
        <w:tc>
          <w:tcPr>
            <w:tcW w:w="620" w:type="dxa"/>
            <w:vAlign w:val="bottom"/>
            <w:shd w:val="clear" w:color="auto" w:fill="BFE4FF"/>
          </w:tcPr>
          <w:p>
            <w:pPr>
              <w:jc w:val="right"/>
              <w:spacing w:after="0"/>
              <w:rPr>
                <w:sz w:val="20"/>
                <w:szCs w:val="20"/>
                <w:color w:val="auto"/>
              </w:rPr>
            </w:pPr>
            <w:r>
              <w:rPr>
                <w:rFonts w:ascii="Arial" w:cs="Arial" w:eastAsia="Arial" w:hAnsi="Arial"/>
                <w:sz w:val="17"/>
                <w:szCs w:val="17"/>
                <w:color w:val="auto"/>
              </w:rPr>
              <w:t>(0.78)</w:t>
            </w:r>
          </w:p>
        </w:tc>
        <w:tc>
          <w:tcPr>
            <w:tcW w:w="120" w:type="dxa"/>
            <w:vAlign w:val="bottom"/>
            <w:shd w:val="clear" w:color="auto" w:fill="BFE4FF"/>
          </w:tcPr>
          <w:p>
            <w:pPr>
              <w:spacing w:after="0"/>
              <w:rPr>
                <w:sz w:val="19"/>
                <w:szCs w:val="19"/>
                <w:color w:val="auto"/>
              </w:rPr>
            </w:pPr>
          </w:p>
        </w:tc>
        <w:tc>
          <w:tcPr>
            <w:tcW w:w="460" w:type="dxa"/>
            <w:vAlign w:val="bottom"/>
            <w:shd w:val="clear" w:color="auto" w:fill="BFE4FF"/>
          </w:tcPr>
          <w:p>
            <w:pPr>
              <w:jc w:val="right"/>
              <w:ind w:right="276"/>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BFE4FF"/>
          </w:tcPr>
          <w:p>
            <w:pPr>
              <w:jc w:val="right"/>
              <w:spacing w:after="0"/>
              <w:rPr>
                <w:sz w:val="20"/>
                <w:szCs w:val="20"/>
                <w:color w:val="auto"/>
              </w:rPr>
            </w:pPr>
            <w:r>
              <w:rPr>
                <w:rFonts w:ascii="Arial" w:cs="Arial" w:eastAsia="Arial" w:hAnsi="Arial"/>
                <w:sz w:val="17"/>
                <w:szCs w:val="17"/>
                <w:color w:val="auto"/>
              </w:rPr>
              <w:t>(0.37)</w:t>
            </w:r>
          </w:p>
        </w:tc>
      </w:tr>
      <w:tr>
        <w:trPr>
          <w:trHeight w:val="26"/>
        </w:trPr>
        <w:tc>
          <w:tcPr>
            <w:tcW w:w="8340" w:type="dxa"/>
            <w:vAlign w:val="bottom"/>
            <w:shd w:val="clear" w:color="auto" w:fill="BFE4FF"/>
          </w:tcPr>
          <w:p>
            <w:pPr>
              <w:spacing w:after="0"/>
              <w:rPr>
                <w:sz w:val="2"/>
                <w:szCs w:val="2"/>
                <w:color w:val="auto"/>
              </w:rPr>
            </w:pPr>
          </w:p>
        </w:tc>
        <w:tc>
          <w:tcPr>
            <w:tcW w:w="880" w:type="dxa"/>
            <w:vAlign w:val="bottom"/>
            <w:shd w:val="clear" w:color="auto" w:fill="BFE4FF"/>
          </w:tcPr>
          <w:p>
            <w:pPr>
              <w:spacing w:after="0"/>
              <w:rPr>
                <w:sz w:val="2"/>
                <w:szCs w:val="2"/>
                <w:color w:val="auto"/>
              </w:rPr>
            </w:pPr>
          </w:p>
        </w:tc>
        <w:tc>
          <w:tcPr>
            <w:tcW w:w="620" w:type="dxa"/>
            <w:vAlign w:val="bottom"/>
            <w:shd w:val="clear" w:color="auto" w:fill="BFE4FF"/>
          </w:tcPr>
          <w:p>
            <w:pPr>
              <w:spacing w:after="0"/>
              <w:rPr>
                <w:sz w:val="2"/>
                <w:szCs w:val="2"/>
                <w:color w:val="auto"/>
              </w:rPr>
            </w:pPr>
          </w:p>
        </w:tc>
        <w:tc>
          <w:tcPr>
            <w:tcW w:w="120" w:type="dxa"/>
            <w:vAlign w:val="bottom"/>
            <w:shd w:val="clear" w:color="auto" w:fill="BFE4FF"/>
          </w:tcPr>
          <w:p>
            <w:pPr>
              <w:spacing w:after="0"/>
              <w:rPr>
                <w:sz w:val="2"/>
                <w:szCs w:val="2"/>
                <w:color w:val="auto"/>
              </w:rPr>
            </w:pPr>
          </w:p>
        </w:tc>
        <w:tc>
          <w:tcPr>
            <w:tcW w:w="460" w:type="dxa"/>
            <w:vAlign w:val="bottom"/>
            <w:shd w:val="clear" w:color="auto" w:fill="BFE4FF"/>
          </w:tcPr>
          <w:p>
            <w:pPr>
              <w:spacing w:after="0"/>
              <w:rPr>
                <w:sz w:val="2"/>
                <w:szCs w:val="2"/>
                <w:color w:val="auto"/>
              </w:rPr>
            </w:pPr>
          </w:p>
        </w:tc>
        <w:tc>
          <w:tcPr>
            <w:tcW w:w="1000" w:type="dxa"/>
            <w:vAlign w:val="bottom"/>
            <w:shd w:val="clear" w:color="auto" w:fill="BFE4FF"/>
          </w:tcPr>
          <w:p>
            <w:pPr>
              <w:spacing w:after="0"/>
              <w:rPr>
                <w:sz w:val="2"/>
                <w:szCs w:val="2"/>
                <w:color w:val="auto"/>
              </w:rPr>
            </w:pPr>
          </w:p>
        </w:tc>
      </w:tr>
    </w:tbl>
    <w:p>
      <w:pPr>
        <w:spacing w:after="0" w:line="1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statements.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22" w:right="239" w:bottom="1440" w:gutter="0" w:footer="0" w:header="0"/>
        </w:sectPr>
      </w:pPr>
    </w:p>
    <w:bookmarkStart w:id="4" w:name="page5"/>
    <w:bookmarkEnd w:id="4"/>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STATEMENTS OF CONSOLIDATED CASH FLOWS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YRC Worldwide Inc. and Subsidiaries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For the Three Months Ended March 31</w:t>
      </w:r>
    </w:p>
    <w:p>
      <w:pPr>
        <w:spacing w:after="0" w:line="6"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(Amounts in millions)</w:t>
      </w:r>
    </w:p>
    <w:p>
      <w:pPr>
        <w:spacing w:after="0" w:line="6" w:lineRule="exact"/>
        <w:rPr>
          <w:sz w:val="20"/>
          <w:szCs w:val="20"/>
          <w:color w:val="auto"/>
        </w:rPr>
      </w:pPr>
    </w:p>
    <w:p>
      <w:pPr>
        <w:ind w:left="5280"/>
        <w:spacing w:after="0"/>
        <w:rPr>
          <w:sz w:val="20"/>
          <w:szCs w:val="20"/>
          <w:color w:val="auto"/>
        </w:rPr>
      </w:pPr>
      <w:r>
        <w:rPr>
          <w:rFonts w:ascii="Arial" w:cs="Arial" w:eastAsia="Arial" w:hAnsi="Arial"/>
          <w:sz w:val="17"/>
          <w:szCs w:val="17"/>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834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2017</w:t>
            </w: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17"/>
              <w:spacing w:after="0"/>
              <w:rPr>
                <w:sz w:val="20"/>
                <w:szCs w:val="20"/>
                <w:color w:val="auto"/>
              </w:rPr>
            </w:pPr>
            <w:r>
              <w:rPr>
                <w:rFonts w:ascii="Arial" w:cs="Arial" w:eastAsia="Arial" w:hAnsi="Arial"/>
                <w:sz w:val="13"/>
                <w:szCs w:val="13"/>
                <w:color w:val="auto"/>
              </w:rPr>
              <w:t>2016</w:t>
            </w:r>
          </w:p>
        </w:tc>
      </w:tr>
      <w:tr>
        <w:trPr>
          <w:trHeight w:val="229"/>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Operating Activities:</w:t>
            </w:r>
          </w:p>
        </w:tc>
        <w:tc>
          <w:tcPr>
            <w:tcW w:w="94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r>
      <w:tr>
        <w:trPr>
          <w:trHeight w:val="226"/>
        </w:trPr>
        <w:tc>
          <w:tcPr>
            <w:tcW w:w="8340" w:type="dxa"/>
            <w:vAlign w:val="bottom"/>
          </w:tcPr>
          <w:p>
            <w:pPr>
              <w:ind w:left="160"/>
              <w:spacing w:after="0"/>
              <w:rPr>
                <w:sz w:val="20"/>
                <w:szCs w:val="20"/>
                <w:color w:val="auto"/>
              </w:rPr>
            </w:pPr>
            <w:r>
              <w:rPr>
                <w:rFonts w:ascii="Arial" w:cs="Arial" w:eastAsia="Arial" w:hAnsi="Arial"/>
                <w:sz w:val="17"/>
                <w:szCs w:val="17"/>
                <w:color w:val="auto"/>
              </w:rPr>
              <w:t>Net loss</w:t>
            </w:r>
          </w:p>
        </w:tc>
        <w:tc>
          <w:tcPr>
            <w:tcW w:w="940" w:type="dxa"/>
            <w:vAlign w:val="bottom"/>
          </w:tcPr>
          <w:p>
            <w:pPr>
              <w:jc w:val="right"/>
              <w:ind w:right="740"/>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(25.3)</w:t>
            </w:r>
          </w:p>
        </w:tc>
        <w:tc>
          <w:tcPr>
            <w:tcW w:w="120" w:type="dxa"/>
            <w:vAlign w:val="bottom"/>
          </w:tcPr>
          <w:p>
            <w:pPr>
              <w:spacing w:after="0"/>
              <w:rPr>
                <w:sz w:val="19"/>
                <w:szCs w:val="19"/>
                <w:color w:val="auto"/>
              </w:rPr>
            </w:pPr>
          </w:p>
        </w:tc>
        <w:tc>
          <w:tcPr>
            <w:tcW w:w="360" w:type="dxa"/>
            <w:vAlign w:val="bottom"/>
          </w:tcPr>
          <w:p>
            <w:pPr>
              <w:jc w:val="right"/>
              <w:ind w:right="176"/>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(12.0)</w:t>
            </w:r>
          </w:p>
        </w:tc>
      </w:tr>
      <w:tr>
        <w:trPr>
          <w:trHeight w:val="26"/>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2"/>
        </w:trPr>
        <w:tc>
          <w:tcPr>
            <w:tcW w:w="8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Noncash items included in net loss:</w:t>
            </w:r>
          </w:p>
        </w:tc>
        <w:tc>
          <w:tcPr>
            <w:tcW w:w="9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26"/>
        </w:trPr>
        <w:tc>
          <w:tcPr>
            <w:tcW w:w="8340" w:type="dxa"/>
            <w:vAlign w:val="bottom"/>
          </w:tcPr>
          <w:p>
            <w:pPr>
              <w:ind w:left="360"/>
              <w:spacing w:after="0"/>
              <w:rPr>
                <w:sz w:val="20"/>
                <w:szCs w:val="20"/>
                <w:color w:val="auto"/>
              </w:rPr>
            </w:pPr>
            <w:r>
              <w:rPr>
                <w:rFonts w:ascii="Arial" w:cs="Arial" w:eastAsia="Arial" w:hAnsi="Arial"/>
                <w:sz w:val="17"/>
                <w:szCs w:val="17"/>
                <w:color w:val="auto"/>
              </w:rPr>
              <w:t>Depreciation and amortization</w:t>
            </w:r>
          </w:p>
        </w:tc>
        <w:tc>
          <w:tcPr>
            <w:tcW w:w="940" w:type="dxa"/>
            <w:vAlign w:val="bottom"/>
          </w:tcPr>
          <w:p>
            <w:pPr>
              <w:spacing w:after="0"/>
              <w:rPr>
                <w:sz w:val="19"/>
                <w:szCs w:val="19"/>
                <w:color w:val="auto"/>
              </w:rPr>
            </w:pPr>
          </w:p>
        </w:tc>
        <w:tc>
          <w:tcPr>
            <w:tcW w:w="560" w:type="dxa"/>
            <w:vAlign w:val="bottom"/>
          </w:tcPr>
          <w:p>
            <w:pPr>
              <w:jc w:val="right"/>
              <w:ind w:right="36"/>
              <w:spacing w:after="0"/>
              <w:rPr>
                <w:sz w:val="20"/>
                <w:szCs w:val="20"/>
                <w:color w:val="auto"/>
              </w:rPr>
            </w:pPr>
            <w:r>
              <w:rPr>
                <w:rFonts w:ascii="Arial" w:cs="Arial" w:eastAsia="Arial" w:hAnsi="Arial"/>
                <w:sz w:val="17"/>
                <w:szCs w:val="17"/>
                <w:color w:val="auto"/>
              </w:rPr>
              <w:t>37.1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ind w:right="17"/>
              <w:spacing w:after="0"/>
              <w:rPr>
                <w:sz w:val="20"/>
                <w:szCs w:val="20"/>
                <w:color w:val="auto"/>
              </w:rPr>
            </w:pPr>
            <w:r>
              <w:rPr>
                <w:rFonts w:ascii="Arial" w:cs="Arial" w:eastAsia="Arial" w:hAnsi="Arial"/>
                <w:sz w:val="17"/>
                <w:szCs w:val="17"/>
                <w:color w:val="auto"/>
              </w:rPr>
              <w:t>40.7</w:t>
            </w:r>
          </w:p>
        </w:tc>
      </w:tr>
      <w:tr>
        <w:trPr>
          <w:trHeight w:val="26"/>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2"/>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Noncash equity-based compensation and employee benefits expense</w:t>
            </w:r>
          </w:p>
        </w:tc>
        <w:tc>
          <w:tcPr>
            <w:tcW w:w="9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5.3</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5.2</w:t>
            </w:r>
          </w:p>
        </w:tc>
      </w:tr>
      <w:tr>
        <w:trPr>
          <w:trHeight w:val="226"/>
        </w:trPr>
        <w:tc>
          <w:tcPr>
            <w:tcW w:w="8340" w:type="dxa"/>
            <w:vAlign w:val="bottom"/>
          </w:tcPr>
          <w:p>
            <w:pPr>
              <w:ind w:left="360"/>
              <w:spacing w:after="0"/>
              <w:rPr>
                <w:sz w:val="20"/>
                <w:szCs w:val="20"/>
                <w:color w:val="auto"/>
              </w:rPr>
            </w:pPr>
            <w:r>
              <w:rPr>
                <w:rFonts w:ascii="Arial" w:cs="Arial" w:eastAsia="Arial" w:hAnsi="Arial"/>
                <w:sz w:val="17"/>
                <w:szCs w:val="17"/>
                <w:color w:val="auto"/>
              </w:rPr>
              <w:t>(Gains) losses on property disposals, net</w:t>
            </w:r>
          </w:p>
        </w:tc>
        <w:tc>
          <w:tcPr>
            <w:tcW w:w="940" w:type="dxa"/>
            <w:vAlign w:val="bottom"/>
          </w:tcPr>
          <w:p>
            <w:pPr>
              <w:spacing w:after="0"/>
              <w:rPr>
                <w:sz w:val="19"/>
                <w:szCs w:val="19"/>
                <w:color w:val="auto"/>
              </w:rPr>
            </w:pPr>
          </w:p>
        </w:tc>
        <w:tc>
          <w:tcPr>
            <w:tcW w:w="560" w:type="dxa"/>
            <w:vAlign w:val="bottom"/>
          </w:tcPr>
          <w:p>
            <w:pPr>
              <w:jc w:val="right"/>
              <w:ind w:right="36"/>
              <w:spacing w:after="0"/>
              <w:rPr>
                <w:sz w:val="20"/>
                <w:szCs w:val="20"/>
                <w:color w:val="auto"/>
              </w:rPr>
            </w:pPr>
            <w:r>
              <w:rPr>
                <w:rFonts w:ascii="Arial" w:cs="Arial" w:eastAsia="Arial" w:hAnsi="Arial"/>
                <w:sz w:val="17"/>
                <w:szCs w:val="17"/>
                <w:color w:val="auto"/>
              </w:rPr>
              <w:t>2.7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(0.3)</w:t>
            </w:r>
          </w:p>
        </w:tc>
      </w:tr>
      <w:tr>
        <w:trPr>
          <w:trHeight w:val="26"/>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2"/>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Gain on disposal of equity method investment</w:t>
            </w:r>
          </w:p>
        </w:tc>
        <w:tc>
          <w:tcPr>
            <w:tcW w:w="9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3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(2.3)</w:t>
            </w:r>
          </w:p>
        </w:tc>
      </w:tr>
      <w:tr>
        <w:trPr>
          <w:trHeight w:val="226"/>
        </w:trPr>
        <w:tc>
          <w:tcPr>
            <w:tcW w:w="8340" w:type="dxa"/>
            <w:vAlign w:val="bottom"/>
          </w:tcPr>
          <w:p>
            <w:pPr>
              <w:ind w:left="360"/>
              <w:spacing w:after="0"/>
              <w:rPr>
                <w:sz w:val="20"/>
                <w:szCs w:val="20"/>
                <w:color w:val="auto"/>
              </w:rPr>
            </w:pPr>
            <w:r>
              <w:rPr>
                <w:rFonts w:ascii="Arial" w:cs="Arial" w:eastAsia="Arial" w:hAnsi="Arial"/>
                <w:sz w:val="17"/>
                <w:szCs w:val="17"/>
                <w:color w:val="auto"/>
              </w:rPr>
              <w:t>Other noncash items, net</w:t>
            </w:r>
          </w:p>
        </w:tc>
        <w:tc>
          <w:tcPr>
            <w:tcW w:w="940" w:type="dxa"/>
            <w:vAlign w:val="bottom"/>
          </w:tcPr>
          <w:p>
            <w:pPr>
              <w:spacing w:after="0"/>
              <w:rPr>
                <w:sz w:val="19"/>
                <w:szCs w:val="19"/>
                <w:color w:val="auto"/>
              </w:rPr>
            </w:pPr>
          </w:p>
        </w:tc>
        <w:tc>
          <w:tcPr>
            <w:tcW w:w="560" w:type="dxa"/>
            <w:vAlign w:val="bottom"/>
          </w:tcPr>
          <w:p>
            <w:pPr>
              <w:jc w:val="right"/>
              <w:ind w:right="36"/>
              <w:spacing w:after="0"/>
              <w:rPr>
                <w:sz w:val="20"/>
                <w:szCs w:val="20"/>
                <w:color w:val="auto"/>
              </w:rPr>
            </w:pPr>
            <w:r>
              <w:rPr>
                <w:rFonts w:ascii="Arial" w:cs="Arial" w:eastAsia="Arial" w:hAnsi="Arial"/>
                <w:sz w:val="17"/>
                <w:szCs w:val="17"/>
                <w:color w:val="auto"/>
              </w:rPr>
              <w:t>2.9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ind w:right="17"/>
              <w:spacing w:after="0"/>
              <w:rPr>
                <w:sz w:val="20"/>
                <w:szCs w:val="20"/>
                <w:color w:val="auto"/>
              </w:rPr>
            </w:pPr>
            <w:r>
              <w:rPr>
                <w:rFonts w:ascii="Arial" w:cs="Arial" w:eastAsia="Arial" w:hAnsi="Arial"/>
                <w:sz w:val="17"/>
                <w:szCs w:val="17"/>
                <w:color w:val="auto"/>
              </w:rPr>
              <w:t>4.4</w:t>
            </w:r>
          </w:p>
        </w:tc>
      </w:tr>
      <w:tr>
        <w:trPr>
          <w:trHeight w:val="26"/>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2"/>
        </w:trPr>
        <w:tc>
          <w:tcPr>
            <w:tcW w:w="8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Changes in assets and liabilities, net:</w:t>
            </w:r>
          </w:p>
        </w:tc>
        <w:tc>
          <w:tcPr>
            <w:tcW w:w="9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26"/>
        </w:trPr>
        <w:tc>
          <w:tcPr>
            <w:tcW w:w="8340" w:type="dxa"/>
            <w:vAlign w:val="bottom"/>
          </w:tcPr>
          <w:p>
            <w:pPr>
              <w:ind w:left="360"/>
              <w:spacing w:after="0"/>
              <w:rPr>
                <w:sz w:val="20"/>
                <w:szCs w:val="20"/>
                <w:color w:val="auto"/>
              </w:rPr>
            </w:pPr>
            <w:r>
              <w:rPr>
                <w:rFonts w:ascii="Arial" w:cs="Arial" w:eastAsia="Arial" w:hAnsi="Arial"/>
                <w:sz w:val="17"/>
                <w:szCs w:val="17"/>
                <w:color w:val="auto"/>
              </w:rPr>
              <w:t>Accounts receivable</w:t>
            </w:r>
          </w:p>
        </w:tc>
        <w:tc>
          <w:tcPr>
            <w:tcW w:w="9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(45.0)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(35.2)</w:t>
            </w:r>
          </w:p>
        </w:tc>
      </w:tr>
      <w:tr>
        <w:trPr>
          <w:trHeight w:val="26"/>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2"/>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Accounts payable</w:t>
            </w:r>
          </w:p>
        </w:tc>
        <w:tc>
          <w:tcPr>
            <w:tcW w:w="9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(9.2)</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(0.8)</w:t>
            </w:r>
          </w:p>
        </w:tc>
      </w:tr>
      <w:tr>
        <w:trPr>
          <w:trHeight w:val="226"/>
        </w:trPr>
        <w:tc>
          <w:tcPr>
            <w:tcW w:w="8340" w:type="dxa"/>
            <w:vAlign w:val="bottom"/>
          </w:tcPr>
          <w:p>
            <w:pPr>
              <w:ind w:left="360"/>
              <w:spacing w:after="0"/>
              <w:rPr>
                <w:sz w:val="20"/>
                <w:szCs w:val="20"/>
                <w:color w:val="auto"/>
              </w:rPr>
            </w:pPr>
            <w:r>
              <w:rPr>
                <w:rFonts w:ascii="Arial" w:cs="Arial" w:eastAsia="Arial" w:hAnsi="Arial"/>
                <w:sz w:val="17"/>
                <w:szCs w:val="17"/>
                <w:color w:val="auto"/>
              </w:rPr>
              <w:t>Other operating assets</w:t>
            </w:r>
          </w:p>
        </w:tc>
        <w:tc>
          <w:tcPr>
            <w:tcW w:w="9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(8.0)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(6.9)</w:t>
            </w:r>
          </w:p>
        </w:tc>
      </w:tr>
      <w:tr>
        <w:trPr>
          <w:trHeight w:val="26"/>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2"/>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Other operating liabilities</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13.6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(3.9)</w:t>
            </w:r>
          </w:p>
        </w:tc>
      </w:tr>
      <w:tr>
        <w:trPr>
          <w:trHeight w:val="219"/>
        </w:trPr>
        <w:tc>
          <w:tcPr>
            <w:tcW w:w="8340" w:type="dxa"/>
            <w:vAlign w:val="bottom"/>
          </w:tcPr>
          <w:p>
            <w:pPr>
              <w:ind w:left="360"/>
              <w:spacing w:after="0"/>
              <w:rPr>
                <w:sz w:val="20"/>
                <w:szCs w:val="20"/>
                <w:color w:val="auto"/>
              </w:rPr>
            </w:pPr>
            <w:r>
              <w:rPr>
                <w:rFonts w:ascii="Arial" w:cs="Arial" w:eastAsia="Arial" w:hAnsi="Arial"/>
                <w:sz w:val="17"/>
                <w:szCs w:val="17"/>
                <w:b w:val="1"/>
                <w:bCs w:val="1"/>
                <w:color w:val="auto"/>
              </w:rPr>
              <w:t>Net cash used in operating activities</w:t>
            </w:r>
          </w:p>
        </w:tc>
        <w:tc>
          <w:tcPr>
            <w:tcW w:w="9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(25.9)</w:t>
            </w: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(11.1)</w:t>
            </w:r>
          </w:p>
        </w:tc>
      </w:tr>
      <w:tr>
        <w:trPr>
          <w:trHeight w:val="26"/>
        </w:trPr>
        <w:tc>
          <w:tcPr>
            <w:tcW w:w="83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4"/>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Investing Activities:</w:t>
            </w:r>
          </w:p>
        </w:tc>
        <w:tc>
          <w:tcPr>
            <w:tcW w:w="94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r>
      <w:tr>
        <w:trPr>
          <w:trHeight w:val="226"/>
        </w:trPr>
        <w:tc>
          <w:tcPr>
            <w:tcW w:w="8340" w:type="dxa"/>
            <w:vAlign w:val="bottom"/>
          </w:tcPr>
          <w:p>
            <w:pPr>
              <w:ind w:left="160"/>
              <w:spacing w:after="0"/>
              <w:rPr>
                <w:sz w:val="20"/>
                <w:szCs w:val="20"/>
                <w:color w:val="auto"/>
              </w:rPr>
            </w:pPr>
            <w:r>
              <w:rPr>
                <w:rFonts w:ascii="Arial" w:cs="Arial" w:eastAsia="Arial" w:hAnsi="Arial"/>
                <w:sz w:val="17"/>
                <w:szCs w:val="17"/>
                <w:color w:val="auto"/>
              </w:rPr>
              <w:t>Acquisition of property and equipment</w:t>
            </w:r>
          </w:p>
        </w:tc>
        <w:tc>
          <w:tcPr>
            <w:tcW w:w="9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(16.3)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(19.8)</w:t>
            </w:r>
          </w:p>
        </w:tc>
      </w:tr>
      <w:tr>
        <w:trPr>
          <w:trHeight w:val="26"/>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2"/>
        </w:trPr>
        <w:tc>
          <w:tcPr>
            <w:tcW w:w="8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Proceeds from disposal of property and equipment</w:t>
            </w:r>
          </w:p>
        </w:tc>
        <w:tc>
          <w:tcPr>
            <w:tcW w:w="9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1.5</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4.4</w:t>
            </w:r>
          </w:p>
        </w:tc>
      </w:tr>
      <w:tr>
        <w:trPr>
          <w:trHeight w:val="226"/>
        </w:trPr>
        <w:tc>
          <w:tcPr>
            <w:tcW w:w="8340" w:type="dxa"/>
            <w:vAlign w:val="bottom"/>
          </w:tcPr>
          <w:p>
            <w:pPr>
              <w:ind w:left="160"/>
              <w:spacing w:after="0"/>
              <w:rPr>
                <w:sz w:val="20"/>
                <w:szCs w:val="20"/>
                <w:color w:val="auto"/>
              </w:rPr>
            </w:pPr>
            <w:r>
              <w:rPr>
                <w:rFonts w:ascii="Arial" w:cs="Arial" w:eastAsia="Arial" w:hAnsi="Arial"/>
                <w:sz w:val="17"/>
                <w:szCs w:val="17"/>
                <w:color w:val="auto"/>
              </w:rPr>
              <w:t>Restricted escrow receipts</w:t>
            </w:r>
          </w:p>
        </w:tc>
        <w:tc>
          <w:tcPr>
            <w:tcW w:w="940" w:type="dxa"/>
            <w:vAlign w:val="bottom"/>
          </w:tcPr>
          <w:p>
            <w:pPr>
              <w:spacing w:after="0"/>
              <w:rPr>
                <w:sz w:val="19"/>
                <w:szCs w:val="19"/>
                <w:color w:val="auto"/>
              </w:rPr>
            </w:pPr>
          </w:p>
        </w:tc>
        <w:tc>
          <w:tcPr>
            <w:tcW w:w="560" w:type="dxa"/>
            <w:vAlign w:val="bottom"/>
          </w:tcPr>
          <w:p>
            <w:pPr>
              <w:jc w:val="right"/>
              <w:ind w:right="36"/>
              <w:spacing w:after="0"/>
              <w:rPr>
                <w:sz w:val="20"/>
                <w:szCs w:val="20"/>
                <w:color w:val="auto"/>
              </w:rPr>
            </w:pPr>
            <w:r>
              <w:rPr>
                <w:rFonts w:ascii="Arial" w:cs="Arial" w:eastAsia="Arial" w:hAnsi="Arial"/>
                <w:sz w:val="17"/>
                <w:szCs w:val="17"/>
                <w:color w:val="auto"/>
              </w:rPr>
              <w:t>95.0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ind w:right="17"/>
              <w:spacing w:after="0"/>
              <w:rPr>
                <w:sz w:val="20"/>
                <w:szCs w:val="20"/>
                <w:color w:val="auto"/>
              </w:rPr>
            </w:pPr>
            <w:r>
              <w:rPr>
                <w:rFonts w:ascii="Arial" w:cs="Arial" w:eastAsia="Arial" w:hAnsi="Arial"/>
                <w:sz w:val="17"/>
                <w:szCs w:val="17"/>
                <w:color w:val="auto"/>
              </w:rPr>
              <w:t>27.2</w:t>
            </w:r>
          </w:p>
        </w:tc>
      </w:tr>
      <w:tr>
        <w:trPr>
          <w:trHeight w:val="26"/>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2"/>
        </w:trPr>
        <w:tc>
          <w:tcPr>
            <w:tcW w:w="8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Proceeds from disposal of equity method investment, net</w:t>
            </w:r>
          </w:p>
        </w:tc>
        <w:tc>
          <w:tcPr>
            <w:tcW w:w="9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14.6</w:t>
            </w:r>
          </w:p>
        </w:tc>
      </w:tr>
      <w:tr>
        <w:trPr>
          <w:trHeight w:val="219"/>
        </w:trPr>
        <w:tc>
          <w:tcPr>
            <w:tcW w:w="8340" w:type="dxa"/>
            <w:vAlign w:val="bottom"/>
          </w:tcPr>
          <w:p>
            <w:pPr>
              <w:ind w:left="360"/>
              <w:spacing w:after="0"/>
              <w:rPr>
                <w:sz w:val="20"/>
                <w:szCs w:val="20"/>
                <w:color w:val="auto"/>
              </w:rPr>
            </w:pPr>
            <w:r>
              <w:rPr>
                <w:rFonts w:ascii="Arial" w:cs="Arial" w:eastAsia="Arial" w:hAnsi="Arial"/>
                <w:sz w:val="17"/>
                <w:szCs w:val="17"/>
                <w:b w:val="1"/>
                <w:bCs w:val="1"/>
                <w:color w:val="auto"/>
              </w:rPr>
              <w:t>Net cash provided by investing activities</w:t>
            </w:r>
          </w:p>
        </w:tc>
        <w:tc>
          <w:tcPr>
            <w:tcW w:w="9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36"/>
              <w:spacing w:after="0"/>
              <w:rPr>
                <w:sz w:val="20"/>
                <w:szCs w:val="20"/>
                <w:color w:val="auto"/>
              </w:rPr>
            </w:pPr>
            <w:r>
              <w:rPr>
                <w:rFonts w:ascii="Arial" w:cs="Arial" w:eastAsia="Arial" w:hAnsi="Arial"/>
                <w:sz w:val="17"/>
                <w:szCs w:val="17"/>
                <w:color w:val="auto"/>
              </w:rPr>
              <w:t>80.2</w:t>
            </w: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auto"/>
              </w:rPr>
              <w:t>26.4</w:t>
            </w:r>
          </w:p>
        </w:tc>
      </w:tr>
      <w:tr>
        <w:trPr>
          <w:trHeight w:val="26"/>
        </w:trPr>
        <w:tc>
          <w:tcPr>
            <w:tcW w:w="83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4"/>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Financing Activities:</w:t>
            </w:r>
          </w:p>
        </w:tc>
        <w:tc>
          <w:tcPr>
            <w:tcW w:w="94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r>
      <w:tr>
        <w:trPr>
          <w:trHeight w:val="226"/>
        </w:trPr>
        <w:tc>
          <w:tcPr>
            <w:tcW w:w="8340" w:type="dxa"/>
            <w:vAlign w:val="bottom"/>
          </w:tcPr>
          <w:p>
            <w:pPr>
              <w:ind w:left="160"/>
              <w:spacing w:after="0"/>
              <w:rPr>
                <w:sz w:val="20"/>
                <w:szCs w:val="20"/>
                <w:color w:val="auto"/>
              </w:rPr>
            </w:pPr>
            <w:r>
              <w:rPr>
                <w:rFonts w:ascii="Arial" w:cs="Arial" w:eastAsia="Arial" w:hAnsi="Arial"/>
                <w:sz w:val="17"/>
                <w:szCs w:val="17"/>
                <w:color w:val="auto"/>
              </w:rPr>
              <w:t>Repayments of long-term debt</w:t>
            </w:r>
          </w:p>
        </w:tc>
        <w:tc>
          <w:tcPr>
            <w:tcW w:w="9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(5.4)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(4.2)</w:t>
            </w:r>
          </w:p>
        </w:tc>
      </w:tr>
      <w:tr>
        <w:trPr>
          <w:trHeight w:val="26"/>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2"/>
        </w:trPr>
        <w:tc>
          <w:tcPr>
            <w:tcW w:w="8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Debt issuance costs</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r>
      <w:tr>
        <w:trPr>
          <w:trHeight w:val="219"/>
        </w:trPr>
        <w:tc>
          <w:tcPr>
            <w:tcW w:w="8340" w:type="dxa"/>
            <w:vAlign w:val="bottom"/>
          </w:tcPr>
          <w:p>
            <w:pPr>
              <w:ind w:left="360"/>
              <w:spacing w:after="0"/>
              <w:rPr>
                <w:sz w:val="20"/>
                <w:szCs w:val="20"/>
                <w:color w:val="auto"/>
              </w:rPr>
            </w:pPr>
            <w:r>
              <w:rPr>
                <w:rFonts w:ascii="Arial" w:cs="Arial" w:eastAsia="Arial" w:hAnsi="Arial"/>
                <w:sz w:val="17"/>
                <w:szCs w:val="17"/>
                <w:b w:val="1"/>
                <w:bCs w:val="1"/>
                <w:color w:val="auto"/>
              </w:rPr>
              <w:t>Net cash used in financing activities</w:t>
            </w:r>
          </w:p>
        </w:tc>
        <w:tc>
          <w:tcPr>
            <w:tcW w:w="9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(8.6)</w:t>
            </w: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(4.2)</w:t>
            </w:r>
          </w:p>
        </w:tc>
      </w:tr>
      <w:tr>
        <w:trPr>
          <w:trHeight w:val="26"/>
        </w:trPr>
        <w:tc>
          <w:tcPr>
            <w:tcW w:w="83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4"/>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Net Increase In Cash and Cash Equivalents</w:t>
            </w:r>
          </w:p>
        </w:tc>
        <w:tc>
          <w:tcPr>
            <w:tcW w:w="94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45.7</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11.1</w:t>
            </w:r>
          </w:p>
        </w:tc>
      </w:tr>
      <w:tr>
        <w:trPr>
          <w:trHeight w:val="226"/>
        </w:trPr>
        <w:tc>
          <w:tcPr>
            <w:tcW w:w="8340" w:type="dxa"/>
            <w:vAlign w:val="bottom"/>
          </w:tcPr>
          <w:p>
            <w:pPr>
              <w:ind w:left="20"/>
              <w:spacing w:after="0"/>
              <w:rPr>
                <w:sz w:val="20"/>
                <w:szCs w:val="20"/>
                <w:color w:val="auto"/>
              </w:rPr>
            </w:pPr>
            <w:r>
              <w:rPr>
                <w:rFonts w:ascii="Arial" w:cs="Arial" w:eastAsia="Arial" w:hAnsi="Arial"/>
                <w:sz w:val="17"/>
                <w:szCs w:val="17"/>
                <w:b w:val="1"/>
                <w:bCs w:val="1"/>
                <w:color w:val="auto"/>
              </w:rPr>
              <w:t>Cash and Cash Equivalents, Beginning of Period</w:t>
            </w:r>
          </w:p>
        </w:tc>
        <w:tc>
          <w:tcPr>
            <w:tcW w:w="940" w:type="dxa"/>
            <w:vAlign w:val="bottom"/>
          </w:tcPr>
          <w:p>
            <w:pPr>
              <w:spacing w:after="0"/>
              <w:rPr>
                <w:sz w:val="19"/>
                <w:szCs w:val="19"/>
                <w:color w:val="auto"/>
              </w:rPr>
            </w:pPr>
          </w:p>
        </w:tc>
        <w:tc>
          <w:tcPr>
            <w:tcW w:w="560" w:type="dxa"/>
            <w:vAlign w:val="bottom"/>
          </w:tcPr>
          <w:p>
            <w:pPr>
              <w:jc w:val="right"/>
              <w:ind w:right="36"/>
              <w:spacing w:after="0"/>
              <w:rPr>
                <w:sz w:val="20"/>
                <w:szCs w:val="20"/>
                <w:color w:val="auto"/>
              </w:rPr>
            </w:pPr>
            <w:r>
              <w:rPr>
                <w:rFonts w:ascii="Arial" w:cs="Arial" w:eastAsia="Arial" w:hAnsi="Arial"/>
                <w:sz w:val="17"/>
                <w:szCs w:val="17"/>
                <w:color w:val="auto"/>
                <w:w w:val="98"/>
              </w:rPr>
              <w:t>136.7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ind w:right="17"/>
              <w:spacing w:after="0"/>
              <w:rPr>
                <w:sz w:val="20"/>
                <w:szCs w:val="20"/>
                <w:color w:val="auto"/>
              </w:rPr>
            </w:pPr>
            <w:r>
              <w:rPr>
                <w:rFonts w:ascii="Arial" w:cs="Arial" w:eastAsia="Arial" w:hAnsi="Arial"/>
                <w:sz w:val="17"/>
                <w:szCs w:val="17"/>
                <w:color w:val="auto"/>
              </w:rPr>
              <w:t>173.8</w:t>
            </w:r>
          </w:p>
        </w:tc>
      </w:tr>
      <w:tr>
        <w:trPr>
          <w:trHeight w:val="26"/>
        </w:trPr>
        <w:tc>
          <w:tcPr>
            <w:tcW w:w="83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9"/>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Cash and Cash Equivalents, End of Period</w:t>
            </w:r>
          </w:p>
        </w:tc>
        <w:tc>
          <w:tcPr>
            <w:tcW w:w="940" w:type="dxa"/>
            <w:vAlign w:val="bottom"/>
            <w:tcBorders>
              <w:bottom w:val="single" w:sz="8" w:color="CCEEFF"/>
            </w:tcBorders>
            <w:shd w:val="clear" w:color="auto" w:fill="CCEEFF"/>
          </w:tcPr>
          <w:p>
            <w:pPr>
              <w:jc w:val="right"/>
              <w:ind w:right="740"/>
              <w:spacing w:after="0"/>
              <w:rPr>
                <w:sz w:val="20"/>
                <w:szCs w:val="20"/>
                <w:color w:val="auto"/>
              </w:rPr>
            </w:pPr>
            <w:r>
              <w:rPr>
                <w:rFonts w:ascii="Arial" w:cs="Arial" w:eastAsia="Arial" w:hAnsi="Arial"/>
                <w:sz w:val="17"/>
                <w:szCs w:val="17"/>
                <w:color w:val="auto"/>
              </w:rPr>
              <w:t>$</w:t>
            </w:r>
          </w:p>
        </w:tc>
        <w:tc>
          <w:tcPr>
            <w:tcW w:w="5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w w:val="98"/>
              </w:rPr>
              <w:t>182.4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184.9</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242"/>
        </w:trPr>
        <w:tc>
          <w:tcPr>
            <w:tcW w:w="83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32"/>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Supplemental Cash Flow Information</w:t>
            </w:r>
            <w:r>
              <w:rPr>
                <w:rFonts w:ascii="Arial" w:cs="Arial" w:eastAsia="Arial" w:hAnsi="Arial"/>
                <w:sz w:val="17"/>
                <w:szCs w:val="17"/>
                <w:color w:val="auto"/>
              </w:rPr>
              <w:t>:</w:t>
            </w:r>
          </w:p>
        </w:tc>
        <w:tc>
          <w:tcPr>
            <w:tcW w:w="9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26"/>
        </w:trPr>
        <w:tc>
          <w:tcPr>
            <w:tcW w:w="8340" w:type="dxa"/>
            <w:vAlign w:val="bottom"/>
          </w:tcPr>
          <w:p>
            <w:pPr>
              <w:ind w:left="160"/>
              <w:spacing w:after="0"/>
              <w:rPr>
                <w:sz w:val="20"/>
                <w:szCs w:val="20"/>
                <w:color w:val="auto"/>
              </w:rPr>
            </w:pPr>
            <w:r>
              <w:rPr>
                <w:rFonts w:ascii="Arial" w:cs="Arial" w:eastAsia="Arial" w:hAnsi="Arial"/>
                <w:sz w:val="17"/>
                <w:szCs w:val="17"/>
                <w:color w:val="auto"/>
              </w:rPr>
              <w:t>Interest paid</w:t>
            </w:r>
          </w:p>
        </w:tc>
        <w:tc>
          <w:tcPr>
            <w:tcW w:w="940" w:type="dxa"/>
            <w:vAlign w:val="bottom"/>
          </w:tcPr>
          <w:p>
            <w:pPr>
              <w:jc w:val="right"/>
              <w:ind w:right="740"/>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(30.4)</w:t>
            </w:r>
          </w:p>
        </w:tc>
        <w:tc>
          <w:tcPr>
            <w:tcW w:w="120" w:type="dxa"/>
            <w:vAlign w:val="bottom"/>
          </w:tcPr>
          <w:p>
            <w:pPr>
              <w:spacing w:after="0"/>
              <w:rPr>
                <w:sz w:val="19"/>
                <w:szCs w:val="19"/>
                <w:color w:val="auto"/>
              </w:rPr>
            </w:pPr>
          </w:p>
        </w:tc>
        <w:tc>
          <w:tcPr>
            <w:tcW w:w="360" w:type="dxa"/>
            <w:vAlign w:val="bottom"/>
          </w:tcPr>
          <w:p>
            <w:pPr>
              <w:jc w:val="right"/>
              <w:ind w:right="176"/>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(19.8)</w:t>
            </w:r>
          </w:p>
        </w:tc>
      </w:tr>
      <w:tr>
        <w:trPr>
          <w:trHeight w:val="26"/>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6"/>
        </w:trPr>
        <w:tc>
          <w:tcPr>
            <w:tcW w:w="83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Income tax refund (payment), net</w:t>
            </w: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4.4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r>
      <w:tr>
        <w:trPr>
          <w:trHeight w:val="26"/>
        </w:trPr>
        <w:tc>
          <w:tcPr>
            <w:tcW w:w="83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1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statements.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9940" w:type="dxa"/>
            <w:vAlign w:val="bottom"/>
          </w:tcPr>
          <w:p>
            <w:pPr>
              <w:jc w:val="center"/>
              <w:ind w:left="1416"/>
              <w:spacing w:after="0"/>
              <w:rPr>
                <w:sz w:val="20"/>
                <w:szCs w:val="20"/>
                <w:color w:val="auto"/>
              </w:rPr>
            </w:pPr>
            <w:r>
              <w:rPr>
                <w:rFonts w:ascii="Arial" w:cs="Arial" w:eastAsia="Arial" w:hAnsi="Arial"/>
                <w:sz w:val="17"/>
                <w:szCs w:val="17"/>
                <w:color w:val="auto"/>
                <w:w w:val="94"/>
              </w:rPr>
              <w:t>STATEMENT OF CONSOLIDATED SHAREHOLDERS’ DEFICIT</w:t>
            </w:r>
          </w:p>
        </w:tc>
        <w:tc>
          <w:tcPr>
            <w:tcW w:w="4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1"/>
        </w:trPr>
        <w:tc>
          <w:tcPr>
            <w:tcW w:w="9940" w:type="dxa"/>
            <w:vAlign w:val="bottom"/>
          </w:tcPr>
          <w:p>
            <w:pPr>
              <w:jc w:val="center"/>
              <w:ind w:left="1396"/>
              <w:spacing w:after="0"/>
              <w:rPr>
                <w:sz w:val="20"/>
                <w:szCs w:val="20"/>
                <w:color w:val="auto"/>
              </w:rPr>
            </w:pPr>
            <w:r>
              <w:rPr>
                <w:rFonts w:ascii="Arial" w:cs="Arial" w:eastAsia="Arial" w:hAnsi="Arial"/>
                <w:sz w:val="17"/>
                <w:szCs w:val="17"/>
                <w:color w:val="auto"/>
                <w:w w:val="91"/>
              </w:rPr>
              <w:t>YRC Worldwide Inc. and Subsidiaries</w:t>
            </w:r>
          </w:p>
        </w:tc>
        <w:tc>
          <w:tcPr>
            <w:tcW w:w="4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1"/>
        </w:trPr>
        <w:tc>
          <w:tcPr>
            <w:tcW w:w="9940" w:type="dxa"/>
            <w:vAlign w:val="bottom"/>
          </w:tcPr>
          <w:p>
            <w:pPr>
              <w:jc w:val="center"/>
              <w:ind w:left="1416"/>
              <w:spacing w:after="0"/>
              <w:rPr>
                <w:sz w:val="20"/>
                <w:szCs w:val="20"/>
                <w:color w:val="auto"/>
              </w:rPr>
            </w:pPr>
            <w:r>
              <w:rPr>
                <w:rFonts w:ascii="Arial" w:cs="Arial" w:eastAsia="Arial" w:hAnsi="Arial"/>
                <w:sz w:val="17"/>
                <w:szCs w:val="17"/>
                <w:color w:val="auto"/>
                <w:w w:val="89"/>
              </w:rPr>
              <w:t>For the Three Months Ended March 31, 2017</w:t>
            </w:r>
          </w:p>
        </w:tc>
        <w:tc>
          <w:tcPr>
            <w:tcW w:w="4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1"/>
        </w:trPr>
        <w:tc>
          <w:tcPr>
            <w:tcW w:w="9940" w:type="dxa"/>
            <w:vAlign w:val="bottom"/>
          </w:tcPr>
          <w:p>
            <w:pPr>
              <w:jc w:val="center"/>
              <w:ind w:left="1396"/>
              <w:spacing w:after="0"/>
              <w:rPr>
                <w:sz w:val="20"/>
                <w:szCs w:val="20"/>
                <w:color w:val="auto"/>
              </w:rPr>
            </w:pPr>
            <w:r>
              <w:rPr>
                <w:rFonts w:ascii="Arial" w:cs="Arial" w:eastAsia="Arial" w:hAnsi="Arial"/>
                <w:sz w:val="17"/>
                <w:szCs w:val="17"/>
                <w:color w:val="auto"/>
                <w:w w:val="95"/>
              </w:rPr>
              <w:t>(Amounts in millions)</w:t>
            </w:r>
          </w:p>
        </w:tc>
        <w:tc>
          <w:tcPr>
            <w:tcW w:w="4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3"/>
        </w:trPr>
        <w:tc>
          <w:tcPr>
            <w:tcW w:w="9940" w:type="dxa"/>
            <w:vAlign w:val="bottom"/>
          </w:tcPr>
          <w:p>
            <w:pPr>
              <w:jc w:val="center"/>
              <w:ind w:left="1396"/>
              <w:spacing w:after="0"/>
              <w:rPr>
                <w:sz w:val="20"/>
                <w:szCs w:val="20"/>
                <w:color w:val="auto"/>
              </w:rPr>
            </w:pPr>
            <w:r>
              <w:rPr>
                <w:rFonts w:ascii="Arial" w:cs="Arial" w:eastAsia="Arial" w:hAnsi="Arial"/>
                <w:sz w:val="17"/>
                <w:szCs w:val="17"/>
                <w:color w:val="auto"/>
                <w:w w:val="92"/>
              </w:rPr>
              <w:t>(Unaudited)</w:t>
            </w: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302"/>
        </w:trPr>
        <w:tc>
          <w:tcPr>
            <w:tcW w:w="9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32"/>
        </w:trPr>
        <w:tc>
          <w:tcPr>
            <w:tcW w:w="9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Preferred Stock:</w:t>
            </w:r>
          </w:p>
        </w:tc>
        <w:tc>
          <w:tcPr>
            <w:tcW w:w="4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r>
      <w:tr>
        <w:trPr>
          <w:trHeight w:val="226"/>
        </w:trPr>
        <w:tc>
          <w:tcPr>
            <w:tcW w:w="9940" w:type="dxa"/>
            <w:vAlign w:val="bottom"/>
          </w:tcPr>
          <w:p>
            <w:pPr>
              <w:ind w:left="160"/>
              <w:spacing w:after="0"/>
              <w:rPr>
                <w:sz w:val="20"/>
                <w:szCs w:val="20"/>
                <w:color w:val="auto"/>
              </w:rPr>
            </w:pPr>
            <w:r>
              <w:rPr>
                <w:rFonts w:ascii="Arial" w:cs="Arial" w:eastAsia="Arial" w:hAnsi="Arial"/>
                <w:sz w:val="17"/>
                <w:szCs w:val="17"/>
                <w:color w:val="auto"/>
              </w:rPr>
              <w:t>Beginning and ending balance</w:t>
            </w:r>
          </w:p>
        </w:tc>
        <w:tc>
          <w:tcPr>
            <w:tcW w:w="460" w:type="dxa"/>
            <w:vAlign w:val="bottom"/>
          </w:tcPr>
          <w:p>
            <w:pPr>
              <w:jc w:val="right"/>
              <w:ind w:right="256"/>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16"/>
              <w:spacing w:after="0"/>
              <w:rPr>
                <w:sz w:val="20"/>
                <w:szCs w:val="20"/>
                <w:color w:val="auto"/>
              </w:rPr>
            </w:pPr>
            <w:r>
              <w:rPr>
                <w:rFonts w:ascii="Arial" w:cs="Arial" w:eastAsia="Arial" w:hAnsi="Arial"/>
                <w:sz w:val="17"/>
                <w:szCs w:val="17"/>
                <w:color w:val="auto"/>
              </w:rPr>
              <w:t>—</w:t>
            </w:r>
          </w:p>
        </w:tc>
      </w:tr>
      <w:tr>
        <w:trPr>
          <w:trHeight w:val="26"/>
        </w:trPr>
        <w:tc>
          <w:tcPr>
            <w:tcW w:w="99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4"/>
        </w:trPr>
        <w:tc>
          <w:tcPr>
            <w:tcW w:w="9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Common Stock:</w:t>
            </w:r>
          </w:p>
        </w:tc>
        <w:tc>
          <w:tcPr>
            <w:tcW w:w="4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r>
      <w:tr>
        <w:trPr>
          <w:trHeight w:val="226"/>
        </w:trPr>
        <w:tc>
          <w:tcPr>
            <w:tcW w:w="9940" w:type="dxa"/>
            <w:vAlign w:val="bottom"/>
          </w:tcPr>
          <w:p>
            <w:pPr>
              <w:ind w:left="160"/>
              <w:spacing w:after="0"/>
              <w:rPr>
                <w:sz w:val="20"/>
                <w:szCs w:val="20"/>
                <w:color w:val="auto"/>
              </w:rPr>
            </w:pPr>
            <w:r>
              <w:rPr>
                <w:rFonts w:ascii="Arial" w:cs="Arial" w:eastAsia="Arial" w:hAnsi="Arial"/>
                <w:sz w:val="17"/>
                <w:szCs w:val="17"/>
                <w:color w:val="auto"/>
              </w:rPr>
              <w:t>Beginning and ending balance</w:t>
            </w:r>
          </w:p>
        </w:tc>
        <w:tc>
          <w:tcPr>
            <w:tcW w:w="460" w:type="dxa"/>
            <w:vAlign w:val="bottom"/>
          </w:tcPr>
          <w:p>
            <w:pPr>
              <w:jc w:val="right"/>
              <w:ind w:right="256"/>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16"/>
              <w:spacing w:after="0"/>
              <w:rPr>
                <w:sz w:val="20"/>
                <w:szCs w:val="20"/>
                <w:color w:val="auto"/>
              </w:rPr>
            </w:pPr>
            <w:r>
              <w:rPr>
                <w:rFonts w:ascii="Arial" w:cs="Arial" w:eastAsia="Arial" w:hAnsi="Arial"/>
                <w:sz w:val="17"/>
                <w:szCs w:val="17"/>
                <w:color w:val="auto"/>
              </w:rPr>
              <w:t>0.3</w:t>
            </w:r>
          </w:p>
        </w:tc>
      </w:tr>
      <w:tr>
        <w:trPr>
          <w:trHeight w:val="26"/>
        </w:trPr>
        <w:tc>
          <w:tcPr>
            <w:tcW w:w="99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4"/>
        </w:trPr>
        <w:tc>
          <w:tcPr>
            <w:tcW w:w="9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Capital Surplus:</w:t>
            </w:r>
          </w:p>
        </w:tc>
        <w:tc>
          <w:tcPr>
            <w:tcW w:w="4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r>
      <w:tr>
        <w:trPr>
          <w:trHeight w:val="226"/>
        </w:trPr>
        <w:tc>
          <w:tcPr>
            <w:tcW w:w="9940" w:type="dxa"/>
            <w:vAlign w:val="bottom"/>
          </w:tcPr>
          <w:p>
            <w:pPr>
              <w:ind w:left="160"/>
              <w:spacing w:after="0"/>
              <w:rPr>
                <w:sz w:val="20"/>
                <w:szCs w:val="20"/>
                <w:color w:val="auto"/>
              </w:rPr>
            </w:pPr>
            <w:r>
              <w:rPr>
                <w:rFonts w:ascii="Arial" w:cs="Arial" w:eastAsia="Arial" w:hAnsi="Arial"/>
                <w:sz w:val="17"/>
                <w:szCs w:val="17"/>
                <w:color w:val="auto"/>
              </w:rPr>
              <w:t>Beginning balance</w:t>
            </w:r>
          </w:p>
        </w:tc>
        <w:tc>
          <w:tcPr>
            <w:tcW w:w="460" w:type="dxa"/>
            <w:vAlign w:val="bottom"/>
          </w:tcPr>
          <w:p>
            <w:pPr>
              <w:jc w:val="right"/>
              <w:ind w:right="256"/>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16"/>
              <w:spacing w:after="0"/>
              <w:rPr>
                <w:sz w:val="20"/>
                <w:szCs w:val="20"/>
                <w:color w:val="auto"/>
              </w:rPr>
            </w:pPr>
            <w:r>
              <w:rPr>
                <w:rFonts w:ascii="Arial" w:cs="Arial" w:eastAsia="Arial" w:hAnsi="Arial"/>
                <w:sz w:val="17"/>
                <w:szCs w:val="17"/>
                <w:color w:val="auto"/>
              </w:rPr>
              <w:t>2,319.2</w:t>
            </w:r>
          </w:p>
        </w:tc>
      </w:tr>
      <w:tr>
        <w:trPr>
          <w:trHeight w:val="26"/>
        </w:trPr>
        <w:tc>
          <w:tcPr>
            <w:tcW w:w="9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2"/>
        </w:trPr>
        <w:tc>
          <w:tcPr>
            <w:tcW w:w="99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Equity-based compensation</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(0.9)</w:t>
            </w:r>
          </w:p>
        </w:tc>
      </w:tr>
      <w:tr>
        <w:trPr>
          <w:trHeight w:val="219"/>
        </w:trPr>
        <w:tc>
          <w:tcPr>
            <w:tcW w:w="9940" w:type="dxa"/>
            <w:vAlign w:val="bottom"/>
          </w:tcPr>
          <w:p>
            <w:pPr>
              <w:ind w:left="160"/>
              <w:spacing w:after="0"/>
              <w:rPr>
                <w:sz w:val="20"/>
                <w:szCs w:val="20"/>
                <w:color w:val="auto"/>
              </w:rPr>
            </w:pPr>
            <w:r>
              <w:rPr>
                <w:rFonts w:ascii="Arial" w:cs="Arial" w:eastAsia="Arial" w:hAnsi="Arial"/>
                <w:sz w:val="17"/>
                <w:szCs w:val="17"/>
                <w:color w:val="auto"/>
              </w:rPr>
              <w:t>Ending balance</w:t>
            </w:r>
          </w:p>
        </w:tc>
        <w:tc>
          <w:tcPr>
            <w:tcW w:w="460" w:type="dxa"/>
            <w:vAlign w:val="bottom"/>
            <w:tcBorders>
              <w:top w:val="single" w:sz="8" w:color="auto"/>
            </w:tcBorders>
          </w:tcPr>
          <w:p>
            <w:pPr>
              <w:jc w:val="right"/>
              <w:ind w:right="256"/>
              <w:spacing w:after="0"/>
              <w:rPr>
                <w:sz w:val="20"/>
                <w:szCs w:val="20"/>
                <w:color w:val="auto"/>
              </w:rPr>
            </w:pPr>
            <w:r>
              <w:rPr>
                <w:rFonts w:ascii="Arial" w:cs="Arial" w:eastAsia="Arial" w:hAnsi="Arial"/>
                <w:sz w:val="17"/>
                <w:szCs w:val="17"/>
                <w:color w:val="auto"/>
              </w:rPr>
              <w:t>$</w:t>
            </w:r>
          </w:p>
        </w:tc>
        <w:tc>
          <w:tcPr>
            <w:tcW w:w="102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2,318.3</w:t>
            </w:r>
          </w:p>
        </w:tc>
      </w:tr>
      <w:tr>
        <w:trPr>
          <w:trHeight w:val="26"/>
        </w:trPr>
        <w:tc>
          <w:tcPr>
            <w:tcW w:w="99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4"/>
        </w:trPr>
        <w:tc>
          <w:tcPr>
            <w:tcW w:w="9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Accumulated Deficit:</w:t>
            </w:r>
          </w:p>
        </w:tc>
        <w:tc>
          <w:tcPr>
            <w:tcW w:w="4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r>
      <w:tr>
        <w:trPr>
          <w:trHeight w:val="226"/>
        </w:trPr>
        <w:tc>
          <w:tcPr>
            <w:tcW w:w="9940" w:type="dxa"/>
            <w:vAlign w:val="bottom"/>
          </w:tcPr>
          <w:p>
            <w:pPr>
              <w:ind w:left="160"/>
              <w:spacing w:after="0"/>
              <w:rPr>
                <w:sz w:val="20"/>
                <w:szCs w:val="20"/>
                <w:color w:val="auto"/>
              </w:rPr>
            </w:pPr>
            <w:r>
              <w:rPr>
                <w:rFonts w:ascii="Arial" w:cs="Arial" w:eastAsia="Arial" w:hAnsi="Arial"/>
                <w:sz w:val="17"/>
                <w:szCs w:val="17"/>
                <w:color w:val="auto"/>
              </w:rPr>
              <w:t>Beginning balance</w:t>
            </w:r>
          </w:p>
        </w:tc>
        <w:tc>
          <w:tcPr>
            <w:tcW w:w="460" w:type="dxa"/>
            <w:vAlign w:val="bottom"/>
          </w:tcPr>
          <w:p>
            <w:pPr>
              <w:jc w:val="right"/>
              <w:ind w:right="256"/>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(2,217.8)</w:t>
            </w:r>
          </w:p>
        </w:tc>
      </w:tr>
      <w:tr>
        <w:trPr>
          <w:trHeight w:val="26"/>
        </w:trPr>
        <w:tc>
          <w:tcPr>
            <w:tcW w:w="9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2"/>
        </w:trPr>
        <w:tc>
          <w:tcPr>
            <w:tcW w:w="99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Net loss</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(25.3)</w:t>
            </w:r>
          </w:p>
        </w:tc>
      </w:tr>
      <w:tr>
        <w:trPr>
          <w:trHeight w:val="219"/>
        </w:trPr>
        <w:tc>
          <w:tcPr>
            <w:tcW w:w="9940" w:type="dxa"/>
            <w:vAlign w:val="bottom"/>
          </w:tcPr>
          <w:p>
            <w:pPr>
              <w:ind w:left="160"/>
              <w:spacing w:after="0"/>
              <w:rPr>
                <w:sz w:val="20"/>
                <w:szCs w:val="20"/>
                <w:color w:val="auto"/>
              </w:rPr>
            </w:pPr>
            <w:r>
              <w:rPr>
                <w:rFonts w:ascii="Arial" w:cs="Arial" w:eastAsia="Arial" w:hAnsi="Arial"/>
                <w:sz w:val="17"/>
                <w:szCs w:val="17"/>
                <w:color w:val="auto"/>
              </w:rPr>
              <w:t>Ending balance</w:t>
            </w:r>
          </w:p>
        </w:tc>
        <w:tc>
          <w:tcPr>
            <w:tcW w:w="460" w:type="dxa"/>
            <w:vAlign w:val="bottom"/>
            <w:tcBorders>
              <w:top w:val="single" w:sz="8" w:color="auto"/>
            </w:tcBorders>
          </w:tcPr>
          <w:p>
            <w:pPr>
              <w:jc w:val="right"/>
              <w:ind w:right="256"/>
              <w:spacing w:after="0"/>
              <w:rPr>
                <w:sz w:val="20"/>
                <w:szCs w:val="20"/>
                <w:color w:val="auto"/>
              </w:rPr>
            </w:pPr>
            <w:r>
              <w:rPr>
                <w:rFonts w:ascii="Arial" w:cs="Arial" w:eastAsia="Arial" w:hAnsi="Arial"/>
                <w:sz w:val="17"/>
                <w:szCs w:val="17"/>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(2,243.1)</w:t>
            </w:r>
          </w:p>
        </w:tc>
      </w:tr>
      <w:tr>
        <w:trPr>
          <w:trHeight w:val="26"/>
        </w:trPr>
        <w:tc>
          <w:tcPr>
            <w:tcW w:w="99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4"/>
        </w:trPr>
        <w:tc>
          <w:tcPr>
            <w:tcW w:w="9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Accumulated Other Comprehensive Loss:</w:t>
            </w:r>
          </w:p>
        </w:tc>
        <w:tc>
          <w:tcPr>
            <w:tcW w:w="4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r>
      <w:tr>
        <w:trPr>
          <w:trHeight w:val="226"/>
        </w:trPr>
        <w:tc>
          <w:tcPr>
            <w:tcW w:w="9940" w:type="dxa"/>
            <w:vAlign w:val="bottom"/>
          </w:tcPr>
          <w:p>
            <w:pPr>
              <w:ind w:left="160"/>
              <w:spacing w:after="0"/>
              <w:rPr>
                <w:sz w:val="20"/>
                <w:szCs w:val="20"/>
                <w:color w:val="auto"/>
              </w:rPr>
            </w:pPr>
            <w:r>
              <w:rPr>
                <w:rFonts w:ascii="Arial" w:cs="Arial" w:eastAsia="Arial" w:hAnsi="Arial"/>
                <w:sz w:val="17"/>
                <w:szCs w:val="17"/>
                <w:color w:val="auto"/>
              </w:rPr>
              <w:t>Beginning balance</w:t>
            </w:r>
          </w:p>
        </w:tc>
        <w:tc>
          <w:tcPr>
            <w:tcW w:w="460" w:type="dxa"/>
            <w:vAlign w:val="bottom"/>
          </w:tcPr>
          <w:p>
            <w:pPr>
              <w:jc w:val="right"/>
              <w:ind w:right="256"/>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(425.2)</w:t>
            </w:r>
          </w:p>
        </w:tc>
      </w:tr>
      <w:tr>
        <w:trPr>
          <w:trHeight w:val="26"/>
        </w:trPr>
        <w:tc>
          <w:tcPr>
            <w:tcW w:w="9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2"/>
        </w:trPr>
        <w:tc>
          <w:tcPr>
            <w:tcW w:w="99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Reclassification of net pension actuarial losses to net income, net of tax</w:t>
            </w:r>
          </w:p>
        </w:tc>
        <w:tc>
          <w:tcPr>
            <w:tcW w:w="4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3.9</w:t>
            </w:r>
          </w:p>
        </w:tc>
      </w:tr>
      <w:tr>
        <w:trPr>
          <w:trHeight w:val="226"/>
        </w:trPr>
        <w:tc>
          <w:tcPr>
            <w:tcW w:w="9940" w:type="dxa"/>
            <w:vAlign w:val="bottom"/>
          </w:tcPr>
          <w:p>
            <w:pPr>
              <w:ind w:left="260"/>
              <w:spacing w:after="0"/>
              <w:rPr>
                <w:sz w:val="20"/>
                <w:szCs w:val="20"/>
                <w:color w:val="auto"/>
              </w:rPr>
            </w:pPr>
            <w:r>
              <w:rPr>
                <w:rFonts w:ascii="Arial" w:cs="Arial" w:eastAsia="Arial" w:hAnsi="Arial"/>
                <w:sz w:val="17"/>
                <w:szCs w:val="17"/>
                <w:color w:val="auto"/>
              </w:rPr>
              <w:t>Foreign currency translation adjustments</w:t>
            </w:r>
          </w:p>
        </w:tc>
        <w:tc>
          <w:tcPr>
            <w:tcW w:w="460" w:type="dxa"/>
            <w:vAlign w:val="bottom"/>
          </w:tcPr>
          <w:p>
            <w:pPr>
              <w:spacing w:after="0"/>
              <w:rPr>
                <w:sz w:val="19"/>
                <w:szCs w:val="19"/>
                <w:color w:val="auto"/>
              </w:rPr>
            </w:pPr>
          </w:p>
        </w:tc>
        <w:tc>
          <w:tcPr>
            <w:tcW w:w="1020" w:type="dxa"/>
            <w:vAlign w:val="bottom"/>
          </w:tcPr>
          <w:p>
            <w:pPr>
              <w:jc w:val="right"/>
              <w:ind w:right="16"/>
              <w:spacing w:after="0"/>
              <w:rPr>
                <w:sz w:val="20"/>
                <w:szCs w:val="20"/>
                <w:color w:val="auto"/>
              </w:rPr>
            </w:pPr>
            <w:r>
              <w:rPr>
                <w:rFonts w:ascii="Arial" w:cs="Arial" w:eastAsia="Arial" w:hAnsi="Arial"/>
                <w:sz w:val="17"/>
                <w:szCs w:val="17"/>
                <w:color w:val="auto"/>
              </w:rPr>
              <w:t>0.5</w:t>
            </w:r>
          </w:p>
        </w:tc>
      </w:tr>
      <w:tr>
        <w:trPr>
          <w:trHeight w:val="26"/>
        </w:trPr>
        <w:tc>
          <w:tcPr>
            <w:tcW w:w="99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99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Ending balance</w:t>
            </w:r>
          </w:p>
        </w:tc>
        <w:tc>
          <w:tcPr>
            <w:tcW w:w="460" w:type="dxa"/>
            <w:vAlign w:val="bottom"/>
            <w:tcBorders>
              <w:bottom w:val="single" w:sz="8" w:color="CCEEFF"/>
            </w:tcBorders>
            <w:shd w:val="clear" w:color="auto" w:fill="CCEEFF"/>
          </w:tcPr>
          <w:p>
            <w:pPr>
              <w:jc w:val="right"/>
              <w:ind w:right="256"/>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(420.8)</w:t>
            </w:r>
          </w:p>
        </w:tc>
      </w:tr>
      <w:tr>
        <w:trPr>
          <w:trHeight w:val="206"/>
        </w:trPr>
        <w:tc>
          <w:tcPr>
            <w:tcW w:w="9940" w:type="dxa"/>
            <w:vAlign w:val="bottom"/>
          </w:tcPr>
          <w:p>
            <w:pPr>
              <w:ind w:left="20"/>
              <w:spacing w:after="0"/>
              <w:rPr>
                <w:sz w:val="20"/>
                <w:szCs w:val="20"/>
                <w:color w:val="auto"/>
              </w:rPr>
            </w:pPr>
            <w:r>
              <w:rPr>
                <w:rFonts w:ascii="Arial" w:cs="Arial" w:eastAsia="Arial" w:hAnsi="Arial"/>
                <w:sz w:val="17"/>
                <w:szCs w:val="17"/>
                <w:b w:val="1"/>
                <w:bCs w:val="1"/>
                <w:color w:val="auto"/>
              </w:rPr>
              <w:t>Treasury Stock, At Cost:</w:t>
            </w:r>
          </w:p>
        </w:tc>
        <w:tc>
          <w:tcPr>
            <w:tcW w:w="4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r>
      <w:tr>
        <w:trPr>
          <w:trHeight w:val="38"/>
        </w:trPr>
        <w:tc>
          <w:tcPr>
            <w:tcW w:w="99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52"/>
        </w:trPr>
        <w:tc>
          <w:tcPr>
            <w:tcW w:w="99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Beginning and ending balance</w:t>
            </w:r>
          </w:p>
        </w:tc>
        <w:tc>
          <w:tcPr>
            <w:tcW w:w="460" w:type="dxa"/>
            <w:vAlign w:val="bottom"/>
            <w:tcBorders>
              <w:bottom w:val="single" w:sz="8" w:color="CCEEFF"/>
            </w:tcBorders>
            <w:shd w:val="clear" w:color="auto" w:fill="CCEEFF"/>
          </w:tcPr>
          <w:p>
            <w:pPr>
              <w:jc w:val="right"/>
              <w:ind w:right="256"/>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(92.7)</w:t>
            </w:r>
          </w:p>
        </w:tc>
      </w:tr>
      <w:tr>
        <w:trPr>
          <w:trHeight w:val="219"/>
        </w:trPr>
        <w:tc>
          <w:tcPr>
            <w:tcW w:w="9940" w:type="dxa"/>
            <w:vAlign w:val="bottom"/>
          </w:tcPr>
          <w:p>
            <w:pPr>
              <w:ind w:left="20"/>
              <w:spacing w:after="0"/>
              <w:rPr>
                <w:sz w:val="20"/>
                <w:szCs w:val="20"/>
                <w:color w:val="auto"/>
              </w:rPr>
            </w:pPr>
            <w:r>
              <w:rPr>
                <w:rFonts w:ascii="Arial" w:cs="Arial" w:eastAsia="Arial" w:hAnsi="Arial"/>
                <w:sz w:val="17"/>
                <w:szCs w:val="17"/>
                <w:b w:val="1"/>
                <w:bCs w:val="1"/>
                <w:color w:val="auto"/>
              </w:rPr>
              <w:t>Total Shareholders’ Deficit</w:t>
            </w:r>
          </w:p>
        </w:tc>
        <w:tc>
          <w:tcPr>
            <w:tcW w:w="460" w:type="dxa"/>
            <w:vAlign w:val="bottom"/>
            <w:tcBorders>
              <w:top w:val="single" w:sz="8" w:color="auto"/>
            </w:tcBorders>
          </w:tcPr>
          <w:p>
            <w:pPr>
              <w:jc w:val="right"/>
              <w:ind w:right="256"/>
              <w:spacing w:after="0"/>
              <w:rPr>
                <w:sz w:val="20"/>
                <w:szCs w:val="20"/>
                <w:color w:val="auto"/>
              </w:rPr>
            </w:pPr>
            <w:r>
              <w:rPr>
                <w:rFonts w:ascii="Arial" w:cs="Arial" w:eastAsia="Arial" w:hAnsi="Arial"/>
                <w:sz w:val="17"/>
                <w:szCs w:val="17"/>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(438.0)</w:t>
            </w:r>
          </w:p>
        </w:tc>
      </w:tr>
      <w:tr>
        <w:trPr>
          <w:trHeight w:val="26"/>
        </w:trPr>
        <w:tc>
          <w:tcPr>
            <w:tcW w:w="99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99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statements.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22" w:right="239" w:bottom="1440" w:gutter="0" w:footer="0" w:header="0"/>
        </w:sectPr>
      </w:pPr>
    </w:p>
    <w:bookmarkStart w:id="6" w:name="page7"/>
    <w:bookmarkEnd w:id="6"/>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NOTES TO CONSOLIDATED FINANCIAL STATEMENTS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YRC Worldwide Inc. and Subsidiaries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19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Certain of these Notes to Consolidated Financial Statements contain forward-looking statements, as described in “Management’s Discussion and Analysis of Financial Condition and Results of Operations — Cautionary Note Regarding Forward-Looking Statements.”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229"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YRC Worldwide Inc. (also referred to as “YRC Worldwide,” the “Company,” “we,” “us” or “our”) is a holding company that, through wholly owned operating subsidiaries, offers its customers a wide range of transportation services. YRC Worldwide has one of the largest, most comprehensive less-than-truckload (“LTL”) networks in North America with local, regional, national and international capabilities. Through our team of experienced service professionals, we offer expertise in LTL shipments and flexible supply chain solutions, ensuring customers can ship industrial, commercial and retail goods with confidence. Our reporting segments include the following:</w:t>
      </w:r>
    </w:p>
    <w:p>
      <w:pPr>
        <w:spacing w:after="0" w:line="182" w:lineRule="exact"/>
        <w:rPr>
          <w:sz w:val="20"/>
          <w:szCs w:val="20"/>
          <w:color w:val="auto"/>
        </w:rPr>
      </w:pPr>
    </w:p>
    <w:p>
      <w:pPr>
        <w:jc w:val="both"/>
        <w:ind w:left="600" w:hanging="297"/>
        <w:spacing w:after="0" w:line="252" w:lineRule="auto"/>
        <w:tabs>
          <w:tab w:leader="none" w:pos="600" w:val="left"/>
        </w:tabs>
        <w:numPr>
          <w:ilvl w:val="0"/>
          <w:numId w:val="3"/>
        </w:numPr>
        <w:rPr>
          <w:rFonts w:ascii="Arial" w:cs="Arial" w:eastAsia="Arial" w:hAnsi="Arial"/>
          <w:sz w:val="17"/>
          <w:szCs w:val="17"/>
          <w:color w:val="auto"/>
        </w:rPr>
      </w:pPr>
      <w:r>
        <w:rPr>
          <w:rFonts w:ascii="Arial" w:cs="Arial" w:eastAsia="Arial" w:hAnsi="Arial"/>
          <w:sz w:val="17"/>
          <w:szCs w:val="17"/>
          <w:color w:val="auto"/>
        </w:rPr>
        <w:t>YRC Freight is the reporting segment that focuses on longer haul business opportunities with national, regional and international services. YRC Freight provides for the movement of industrial, commercial and retail goods, primarily through centralized management. This reporting segment includes our LTL subsidiaries YRC Inc. (doing business as, and herein referred to as, “YRC Freight”) and Reimer Express Lines Ltd. (“YRC Reimer”). YRC Reimer is a subsidiary located in Canada that specializes in shipments into, across and out of Canada. In addition to the United States and Canada, YRC Freight also serves parts of Mexico and Puerto Rico.</w:t>
      </w:r>
    </w:p>
    <w:p>
      <w:pPr>
        <w:spacing w:after="0" w:line="181" w:lineRule="exact"/>
        <w:rPr>
          <w:rFonts w:ascii="Arial" w:cs="Arial" w:eastAsia="Arial" w:hAnsi="Arial"/>
          <w:sz w:val="17"/>
          <w:szCs w:val="17"/>
          <w:color w:val="auto"/>
        </w:rPr>
      </w:pPr>
    </w:p>
    <w:p>
      <w:pPr>
        <w:jc w:val="both"/>
        <w:ind w:left="600" w:hanging="297"/>
        <w:spacing w:after="0" w:line="254" w:lineRule="auto"/>
        <w:tabs>
          <w:tab w:leader="none" w:pos="600" w:val="left"/>
        </w:tabs>
        <w:numPr>
          <w:ilvl w:val="0"/>
          <w:numId w:val="3"/>
        </w:numPr>
        <w:rPr>
          <w:rFonts w:ascii="Arial" w:cs="Arial" w:eastAsia="Arial" w:hAnsi="Arial"/>
          <w:sz w:val="17"/>
          <w:szCs w:val="17"/>
          <w:color w:val="auto"/>
        </w:rPr>
      </w:pPr>
      <w:r>
        <w:rPr>
          <w:rFonts w:ascii="Arial" w:cs="Arial" w:eastAsia="Arial" w:hAnsi="Arial"/>
          <w:sz w:val="17"/>
          <w:szCs w:val="17"/>
          <w:color w:val="auto"/>
        </w:rPr>
        <w:t>Regional Transportation is the reporting segment for our transportation service providers focused on business opportunities in the regional and next-day delivery markets. Regional Transportation is comprised of USF Holland LLC (“Holland”), New Penn Motor Express, LLC (“New Penn”), and USF Reddaway Inc. (“Reddaway”). These companies each provide regional, next-day ground services in their respective regions through a network of facilities located across the United States, Canada, and Puerto Rico.</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color w:val="auto"/>
        </w:rPr>
        <w:t>At March 31, 2017, approximately 78% of our labor force is subject to collective bargaining agreements, which predominantly expire in March 2019.</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Principles of Consolidation</w:t>
      </w:r>
    </w:p>
    <w:p>
      <w:pPr>
        <w:spacing w:after="0" w:line="21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accompanying Consolidated Financial Statements include the accounts of YRC Worldwide and its wholly owned subsidiaries. All intercompany accounts and transactions have been eliminated in consolidation. We report on a calendar year basis. The quarters of the Regional Transportation companies (with the exception of New Penn) consist of thirteen weeks that end on a Saturday either before or after the end of March, June and September, whereas all other operating segment quarters end on the natural calendar quarter end. For ease of reference, the calendar quarter end dates are used herein.</w:t>
      </w:r>
    </w:p>
    <w:p>
      <w:pPr>
        <w:spacing w:after="0" w:line="163"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We make estimates and assumptions that affect the amounts reported in the Consolidated Financial Statements and notes. Actual results could differ from those estimates. We have prepared the Consolidated Financial Statements, without audit, pursuant to the rules and regulations of the Securities and Exchange Commission (“SEC”). In our opinion, we have made all normal recurring adjustments necessary for a fair statement of the financial position, results of operations and cash flows for the interim periods included in these financial statements. Certain information and note disclosures normally included in financial statements prepared in accordance with generally accepted accounting principles in the United States (“GAAP”) have been condensed or omitted from these statements pursuant to SEC rules and regulations. Accordingly, the accompanying Consolidated Financial Statements should be read in conjunction with the Consolidated Financial Statements included in our Annual Report on Form 10-K for the year ended December 31, 2016.</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Fair Value of Financial Instruments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fair value hierarchy of our financial assets and liabilities carried at fair value on a recurring basis as of March 31, 2017:</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5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240" w:type="dxa"/>
            <w:vAlign w:val="bottom"/>
            <w:tcBorders>
              <w:bottom w:val="single" w:sz="8" w:color="auto"/>
            </w:tcBorders>
            <w:gridSpan w:val="6"/>
          </w:tcPr>
          <w:p>
            <w:pPr>
              <w:jc w:val="center"/>
              <w:ind w:left="966"/>
              <w:spacing w:after="0"/>
              <w:rPr>
                <w:sz w:val="20"/>
                <w:szCs w:val="20"/>
                <w:color w:val="auto"/>
              </w:rPr>
            </w:pPr>
            <w:r>
              <w:rPr>
                <w:rFonts w:ascii="Arial" w:cs="Arial" w:eastAsia="Arial" w:hAnsi="Arial"/>
                <w:sz w:val="13"/>
                <w:szCs w:val="13"/>
                <w:b w:val="1"/>
                <w:bCs w:val="1"/>
                <w:color w:val="auto"/>
                <w:w w:val="95"/>
              </w:rPr>
              <w:t>Fair Value Measurement Hierarchy</w:t>
            </w:r>
          </w:p>
        </w:tc>
        <w:tc>
          <w:tcPr>
            <w:tcW w:w="12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5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vMerge w:val="restart"/>
          </w:tcPr>
          <w:p>
            <w:pPr>
              <w:jc w:val="center"/>
              <w:ind w:right="300"/>
              <w:spacing w:after="0"/>
              <w:rPr>
                <w:sz w:val="20"/>
                <w:szCs w:val="20"/>
                <w:color w:val="auto"/>
              </w:rPr>
            </w:pPr>
            <w:r>
              <w:rPr>
                <w:rFonts w:ascii="Arial" w:cs="Arial" w:eastAsia="Arial" w:hAnsi="Arial"/>
                <w:sz w:val="13"/>
                <w:szCs w:val="13"/>
                <w:b w:val="1"/>
                <w:bCs w:val="1"/>
                <w:color w:val="auto"/>
                <w:w w:val="91"/>
              </w:rPr>
              <w:t>Quoted prices</w:t>
            </w:r>
          </w:p>
        </w:tc>
        <w:tc>
          <w:tcPr>
            <w:tcW w:w="200" w:type="dxa"/>
            <w:vAlign w:val="bottom"/>
          </w:tcPr>
          <w:p>
            <w:pPr>
              <w:spacing w:after="0"/>
              <w:rPr>
                <w:sz w:val="12"/>
                <w:szCs w:val="12"/>
                <w:color w:val="auto"/>
              </w:rPr>
            </w:pPr>
          </w:p>
        </w:tc>
        <w:tc>
          <w:tcPr>
            <w:tcW w:w="1400" w:type="dxa"/>
            <w:vAlign w:val="bottom"/>
            <w:gridSpan w:val="2"/>
          </w:tcPr>
          <w:p>
            <w:pPr>
              <w:jc w:val="center"/>
              <w:ind w:right="300"/>
              <w:spacing w:after="0" w:line="141" w:lineRule="exact"/>
              <w:rPr>
                <w:sz w:val="20"/>
                <w:szCs w:val="20"/>
                <w:color w:val="auto"/>
              </w:rPr>
            </w:pPr>
            <w:r>
              <w:rPr>
                <w:rFonts w:ascii="Arial" w:cs="Arial" w:eastAsia="Arial" w:hAnsi="Arial"/>
                <w:sz w:val="13"/>
                <w:szCs w:val="13"/>
                <w:b w:val="1"/>
                <w:bCs w:val="1"/>
                <w:color w:val="auto"/>
                <w:w w:val="93"/>
              </w:rPr>
              <w:t>Significant</w:t>
            </w:r>
          </w:p>
        </w:tc>
        <w:tc>
          <w:tcPr>
            <w:tcW w:w="260" w:type="dxa"/>
            <w:vAlign w:val="bottom"/>
          </w:tcPr>
          <w:p>
            <w:pPr>
              <w:spacing w:after="0"/>
              <w:rPr>
                <w:sz w:val="12"/>
                <w:szCs w:val="12"/>
                <w:color w:val="auto"/>
              </w:rPr>
            </w:pPr>
          </w:p>
        </w:tc>
        <w:tc>
          <w:tcPr>
            <w:tcW w:w="1200" w:type="dxa"/>
            <w:vAlign w:val="bottom"/>
          </w:tcPr>
          <w:p>
            <w:pPr>
              <w:jc w:val="center"/>
              <w:ind w:right="186"/>
              <w:spacing w:after="0" w:line="141" w:lineRule="exact"/>
              <w:rPr>
                <w:sz w:val="20"/>
                <w:szCs w:val="20"/>
                <w:color w:val="auto"/>
              </w:rPr>
            </w:pPr>
            <w:r>
              <w:rPr>
                <w:rFonts w:ascii="Arial" w:cs="Arial" w:eastAsia="Arial" w:hAnsi="Arial"/>
                <w:sz w:val="13"/>
                <w:szCs w:val="13"/>
                <w:b w:val="1"/>
                <w:bCs w:val="1"/>
                <w:color w:val="auto"/>
                <w:w w:val="93"/>
              </w:rPr>
              <w:t>Significant</w:t>
            </w:r>
          </w:p>
        </w:tc>
        <w:tc>
          <w:tcPr>
            <w:tcW w:w="0" w:type="dxa"/>
            <w:vAlign w:val="bottom"/>
          </w:tcPr>
          <w:p>
            <w:pPr>
              <w:spacing w:after="0"/>
              <w:rPr>
                <w:sz w:val="1"/>
                <w:szCs w:val="1"/>
                <w:color w:val="auto"/>
              </w:rPr>
            </w:pPr>
          </w:p>
        </w:tc>
      </w:tr>
      <w:tr>
        <w:trPr>
          <w:trHeight w:val="138"/>
        </w:trPr>
        <w:tc>
          <w:tcPr>
            <w:tcW w:w="5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gridSpan w:val="2"/>
            <w:vMerge w:val="restart"/>
          </w:tcPr>
          <w:p>
            <w:pPr>
              <w:ind w:left="120"/>
              <w:spacing w:after="0"/>
              <w:rPr>
                <w:sz w:val="20"/>
                <w:szCs w:val="20"/>
                <w:color w:val="auto"/>
              </w:rPr>
            </w:pPr>
            <w:r>
              <w:rPr>
                <w:rFonts w:ascii="Arial" w:cs="Arial" w:eastAsia="Arial" w:hAnsi="Arial"/>
                <w:sz w:val="13"/>
                <w:szCs w:val="13"/>
                <w:b w:val="1"/>
                <w:bCs w:val="1"/>
                <w:color w:val="auto"/>
              </w:rPr>
              <w:t>Total Carrying</w:t>
            </w:r>
          </w:p>
        </w:tc>
        <w:tc>
          <w:tcPr>
            <w:tcW w:w="2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tcPr>
          <w:p>
            <w:pPr>
              <w:jc w:val="center"/>
              <w:ind w:right="300"/>
              <w:spacing w:after="0" w:line="139" w:lineRule="exact"/>
              <w:rPr>
                <w:sz w:val="20"/>
                <w:szCs w:val="20"/>
                <w:color w:val="auto"/>
              </w:rPr>
            </w:pPr>
            <w:r>
              <w:rPr>
                <w:rFonts w:ascii="Arial" w:cs="Arial" w:eastAsia="Arial" w:hAnsi="Arial"/>
                <w:sz w:val="13"/>
                <w:szCs w:val="13"/>
                <w:b w:val="1"/>
                <w:bCs w:val="1"/>
                <w:color w:val="auto"/>
                <w:w w:val="92"/>
              </w:rPr>
              <w:t>other</w:t>
            </w:r>
          </w:p>
        </w:tc>
        <w:tc>
          <w:tcPr>
            <w:tcW w:w="260" w:type="dxa"/>
            <w:vAlign w:val="bottom"/>
          </w:tcPr>
          <w:p>
            <w:pPr>
              <w:spacing w:after="0"/>
              <w:rPr>
                <w:sz w:val="12"/>
                <w:szCs w:val="12"/>
                <w:color w:val="auto"/>
              </w:rPr>
            </w:pPr>
          </w:p>
        </w:tc>
        <w:tc>
          <w:tcPr>
            <w:tcW w:w="1200" w:type="dxa"/>
            <w:vAlign w:val="bottom"/>
          </w:tcPr>
          <w:p>
            <w:pPr>
              <w:jc w:val="center"/>
              <w:ind w:right="186"/>
              <w:spacing w:after="0" w:line="139" w:lineRule="exact"/>
              <w:rPr>
                <w:sz w:val="20"/>
                <w:szCs w:val="20"/>
                <w:color w:val="auto"/>
              </w:rPr>
            </w:pPr>
            <w:r>
              <w:rPr>
                <w:rFonts w:ascii="Arial" w:cs="Arial" w:eastAsia="Arial" w:hAnsi="Arial"/>
                <w:sz w:val="13"/>
                <w:szCs w:val="13"/>
                <w:b w:val="1"/>
                <w:bCs w:val="1"/>
                <w:color w:val="auto"/>
                <w:w w:val="92"/>
              </w:rPr>
              <w:t>unobservable</w:t>
            </w:r>
          </w:p>
        </w:tc>
        <w:tc>
          <w:tcPr>
            <w:tcW w:w="0" w:type="dxa"/>
            <w:vAlign w:val="bottom"/>
          </w:tcPr>
          <w:p>
            <w:pPr>
              <w:spacing w:after="0"/>
              <w:rPr>
                <w:sz w:val="1"/>
                <w:szCs w:val="1"/>
                <w:color w:val="auto"/>
              </w:rPr>
            </w:pPr>
          </w:p>
        </w:tc>
      </w:tr>
      <w:tr>
        <w:trPr>
          <w:trHeight w:val="138"/>
        </w:trPr>
        <w:tc>
          <w:tcPr>
            <w:tcW w:w="514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(in millions)</w:t>
            </w:r>
          </w:p>
        </w:tc>
        <w:tc>
          <w:tcPr>
            <w:tcW w:w="22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center"/>
              <w:ind w:right="300"/>
              <w:spacing w:after="0" w:line="139" w:lineRule="exact"/>
              <w:rPr>
                <w:sz w:val="20"/>
                <w:szCs w:val="20"/>
                <w:color w:val="auto"/>
              </w:rPr>
            </w:pPr>
            <w:r>
              <w:rPr>
                <w:rFonts w:ascii="Arial" w:cs="Arial" w:eastAsia="Arial" w:hAnsi="Arial"/>
                <w:sz w:val="13"/>
                <w:szCs w:val="13"/>
                <w:b w:val="1"/>
                <w:bCs w:val="1"/>
                <w:color w:val="auto"/>
                <w:w w:val="93"/>
              </w:rPr>
              <w:t>in active market</w:t>
            </w:r>
          </w:p>
        </w:tc>
        <w:tc>
          <w:tcPr>
            <w:tcW w:w="200" w:type="dxa"/>
            <w:vAlign w:val="bottom"/>
          </w:tcPr>
          <w:p>
            <w:pPr>
              <w:spacing w:after="0"/>
              <w:rPr>
                <w:sz w:val="12"/>
                <w:szCs w:val="12"/>
                <w:color w:val="auto"/>
              </w:rPr>
            </w:pPr>
          </w:p>
        </w:tc>
        <w:tc>
          <w:tcPr>
            <w:tcW w:w="1400" w:type="dxa"/>
            <w:vAlign w:val="bottom"/>
            <w:gridSpan w:val="2"/>
          </w:tcPr>
          <w:p>
            <w:pPr>
              <w:jc w:val="center"/>
              <w:ind w:right="300"/>
              <w:spacing w:after="0" w:line="139" w:lineRule="exact"/>
              <w:rPr>
                <w:sz w:val="20"/>
                <w:szCs w:val="20"/>
                <w:color w:val="auto"/>
              </w:rPr>
            </w:pPr>
            <w:r>
              <w:rPr>
                <w:rFonts w:ascii="Arial" w:cs="Arial" w:eastAsia="Arial" w:hAnsi="Arial"/>
                <w:sz w:val="13"/>
                <w:szCs w:val="13"/>
                <w:b w:val="1"/>
                <w:bCs w:val="1"/>
                <w:color w:val="auto"/>
                <w:w w:val="90"/>
              </w:rPr>
              <w:t>observable</w:t>
            </w:r>
          </w:p>
        </w:tc>
        <w:tc>
          <w:tcPr>
            <w:tcW w:w="260" w:type="dxa"/>
            <w:vAlign w:val="bottom"/>
          </w:tcPr>
          <w:p>
            <w:pPr>
              <w:spacing w:after="0"/>
              <w:rPr>
                <w:sz w:val="12"/>
                <w:szCs w:val="12"/>
                <w:color w:val="auto"/>
              </w:rPr>
            </w:pPr>
          </w:p>
        </w:tc>
        <w:tc>
          <w:tcPr>
            <w:tcW w:w="1200" w:type="dxa"/>
            <w:vAlign w:val="bottom"/>
          </w:tcPr>
          <w:p>
            <w:pPr>
              <w:jc w:val="center"/>
              <w:ind w:right="166"/>
              <w:spacing w:after="0" w:line="139" w:lineRule="exact"/>
              <w:rPr>
                <w:sz w:val="20"/>
                <w:szCs w:val="20"/>
                <w:color w:val="auto"/>
              </w:rPr>
            </w:pPr>
            <w:r>
              <w:rPr>
                <w:rFonts w:ascii="Arial" w:cs="Arial" w:eastAsia="Arial" w:hAnsi="Arial"/>
                <w:sz w:val="13"/>
                <w:szCs w:val="13"/>
                <w:b w:val="1"/>
                <w:bCs w:val="1"/>
                <w:color w:val="auto"/>
                <w:w w:val="92"/>
              </w:rPr>
              <w:t>inputs</w:t>
            </w:r>
          </w:p>
        </w:tc>
        <w:tc>
          <w:tcPr>
            <w:tcW w:w="0" w:type="dxa"/>
            <w:vAlign w:val="bottom"/>
          </w:tcPr>
          <w:p>
            <w:pPr>
              <w:spacing w:after="0"/>
              <w:rPr>
                <w:sz w:val="1"/>
                <w:szCs w:val="1"/>
                <w:color w:val="auto"/>
              </w:rPr>
            </w:pPr>
          </w:p>
        </w:tc>
      </w:tr>
      <w:tr>
        <w:trPr>
          <w:trHeight w:val="179"/>
        </w:trPr>
        <w:tc>
          <w:tcPr>
            <w:tcW w:w="514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23"/>
              <w:spacing w:after="0"/>
              <w:rPr>
                <w:sz w:val="20"/>
                <w:szCs w:val="20"/>
                <w:color w:val="auto"/>
              </w:rPr>
            </w:pPr>
            <w:r>
              <w:rPr>
                <w:rFonts w:ascii="Arial" w:cs="Arial" w:eastAsia="Arial" w:hAnsi="Arial"/>
                <w:sz w:val="13"/>
                <w:szCs w:val="13"/>
                <w:b w:val="1"/>
                <w:bCs w:val="1"/>
                <w:color w:val="auto"/>
              </w:rPr>
              <w:t>Value</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126"/>
              <w:spacing w:after="0"/>
              <w:rPr>
                <w:sz w:val="20"/>
                <w:szCs w:val="20"/>
                <w:color w:val="auto"/>
              </w:rPr>
            </w:pPr>
            <w:r>
              <w:rPr>
                <w:rFonts w:ascii="Arial" w:cs="Arial" w:eastAsia="Arial" w:hAnsi="Arial"/>
                <w:sz w:val="13"/>
                <w:szCs w:val="13"/>
                <w:b w:val="1"/>
                <w:bCs w:val="1"/>
                <w:color w:val="auto"/>
                <w:w w:val="98"/>
              </w:rPr>
              <w:t>(Level 1)</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106"/>
              <w:spacing w:after="0"/>
              <w:rPr>
                <w:sz w:val="20"/>
                <w:szCs w:val="20"/>
                <w:color w:val="auto"/>
              </w:rPr>
            </w:pPr>
            <w:r>
              <w:rPr>
                <w:rFonts w:ascii="Arial" w:cs="Arial" w:eastAsia="Arial" w:hAnsi="Arial"/>
                <w:sz w:val="13"/>
                <w:szCs w:val="13"/>
                <w:b w:val="1"/>
                <w:bCs w:val="1"/>
                <w:color w:val="auto"/>
                <w:w w:val="94"/>
              </w:rPr>
              <w:t>inputs (Level 2)</w:t>
            </w: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186"/>
              <w:spacing w:after="0"/>
              <w:rPr>
                <w:sz w:val="20"/>
                <w:szCs w:val="20"/>
                <w:color w:val="auto"/>
              </w:rPr>
            </w:pPr>
            <w:r>
              <w:rPr>
                <w:rFonts w:ascii="Arial" w:cs="Arial" w:eastAsia="Arial" w:hAnsi="Arial"/>
                <w:sz w:val="13"/>
                <w:szCs w:val="13"/>
                <w:b w:val="1"/>
                <w:bCs w:val="1"/>
                <w:color w:val="auto"/>
                <w:w w:val="94"/>
              </w:rPr>
              <w:t>(Level 3)</w:t>
            </w:r>
          </w:p>
        </w:tc>
        <w:tc>
          <w:tcPr>
            <w:tcW w:w="0" w:type="dxa"/>
            <w:vAlign w:val="bottom"/>
          </w:tcPr>
          <w:p>
            <w:pPr>
              <w:spacing w:after="0"/>
              <w:rPr>
                <w:sz w:val="1"/>
                <w:szCs w:val="1"/>
                <w:color w:val="auto"/>
              </w:rPr>
            </w:pPr>
          </w:p>
        </w:tc>
      </w:tr>
      <w:tr>
        <w:trPr>
          <w:trHeight w:val="229"/>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Restricted amounts held in escrow-current</w:t>
            </w: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7"/>
                <w:szCs w:val="17"/>
                <w:color w:val="auto"/>
              </w:rPr>
              <w:t>28.0</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7"/>
                <w:szCs w:val="17"/>
                <w:color w:val="auto"/>
              </w:rPr>
              <w:t>28.0</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6"/>
        </w:trPr>
        <w:tc>
          <w:tcPr>
            <w:tcW w:w="5140" w:type="dxa"/>
            <w:vAlign w:val="bottom"/>
          </w:tcPr>
          <w:p>
            <w:pPr>
              <w:ind w:left="20"/>
              <w:spacing w:after="0"/>
              <w:rPr>
                <w:sz w:val="20"/>
                <w:szCs w:val="20"/>
                <w:color w:val="auto"/>
              </w:rPr>
            </w:pPr>
            <w:r>
              <w:rPr>
                <w:rFonts w:ascii="Arial" w:cs="Arial" w:eastAsia="Arial" w:hAnsi="Arial"/>
                <w:sz w:val="17"/>
                <w:szCs w:val="17"/>
                <w:color w:val="auto"/>
              </w:rPr>
              <w:t>Restricted amounts held in escrow-long term</w:t>
            </w:r>
          </w:p>
        </w:tc>
        <w:tc>
          <w:tcPr>
            <w:tcW w:w="220" w:type="dxa"/>
            <w:vAlign w:val="bottom"/>
          </w:tcPr>
          <w:p>
            <w:pPr>
              <w:spacing w:after="0"/>
              <w:rPr>
                <w:sz w:val="19"/>
                <w:szCs w:val="19"/>
                <w:color w:val="auto"/>
              </w:rPr>
            </w:pPr>
          </w:p>
        </w:tc>
        <w:tc>
          <w:tcPr>
            <w:tcW w:w="1300" w:type="dxa"/>
            <w:vAlign w:val="bottom"/>
          </w:tcPr>
          <w:p>
            <w:pPr>
              <w:jc w:val="right"/>
              <w:ind w:right="43"/>
              <w:spacing w:after="0"/>
              <w:rPr>
                <w:sz w:val="20"/>
                <w:szCs w:val="20"/>
                <w:color w:val="auto"/>
              </w:rPr>
            </w:pPr>
            <w:r>
              <w:rPr>
                <w:rFonts w:ascii="Arial" w:cs="Arial" w:eastAsia="Arial" w:hAnsi="Arial"/>
                <w:sz w:val="17"/>
                <w:szCs w:val="17"/>
                <w:color w:val="auto"/>
              </w:rPr>
              <w:t>16.0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ind w:right="46"/>
              <w:spacing w:after="0"/>
              <w:rPr>
                <w:sz w:val="20"/>
                <w:szCs w:val="20"/>
                <w:color w:val="auto"/>
              </w:rPr>
            </w:pPr>
            <w:r>
              <w:rPr>
                <w:rFonts w:ascii="Arial" w:cs="Arial" w:eastAsia="Arial" w:hAnsi="Arial"/>
                <w:sz w:val="17"/>
                <w:szCs w:val="17"/>
                <w:color w:val="auto"/>
              </w:rPr>
              <w:t>16.0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gridSpan w:val="2"/>
          </w:tcPr>
          <w:p>
            <w:pPr>
              <w:ind w:left="100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200" w:type="dxa"/>
            <w:vAlign w:val="bottom"/>
          </w:tcPr>
          <w:p>
            <w:pPr>
              <w:ind w:left="9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5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9"/>
        </w:trPr>
        <w:tc>
          <w:tcPr>
            <w:tcW w:w="51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Total assets at fair value</w:t>
            </w: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7"/>
                <w:szCs w:val="17"/>
                <w:color w:val="auto"/>
              </w:rPr>
              <w:t>44.0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7"/>
                <w:szCs w:val="17"/>
                <w:color w:val="auto"/>
              </w:rPr>
              <w:t>44.0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Restricted amounts held in escrow are invested in money market accounts and are recorded at fair value based on quoted market prices. The carrying value of cash and cash equivalents, accounts receivable and accounts payable approximate their fair value due to the short-term nature of these instruments.</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Equity Method Investment</w:t>
      </w:r>
    </w:p>
    <w:p>
      <w:pPr>
        <w:spacing w:after="0" w:line="207"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On October 23, 2015, the Company entered into a sale and purchase agreement to sell its fifty percent equity interest in its Chinese joint venture, JHJ International Transportation Co., Ltd. (“JHJ”), for a purchase price of $16.3 million, which subsequently closed on March 30, 2016. At closing, we received proceeds of $16.3 million and paid transaction fees of $1.7 million. As of March 30, 2016, the carrying value of the investment was $22.7 million with an offsetting cumulative foreign translation adjustment of $10.4 million, resulting in a net gain on the transaction of $2.3 million. The gain on the transaction is included in “Nonoperating expenses - Other, net” in the accompanying statement of consolidated comprehensive loss for the three months ended March 31, 2016.</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Reclassifications Out of Accumulated Other Comprehensive Loss</w:t>
      </w:r>
    </w:p>
    <w:p>
      <w:pPr>
        <w:spacing w:after="0" w:line="207"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For the three months ended March 31, 2017 and 2016, we reclassified the amortization of our net pension loss totaling $3.9 million and $3.4 million, respectively, net of tax, from accumulated other comprehensive loss to net loss. This reclassification is a component of net periodic pension cost and is discussed in the “Employee Benefits” footnote to the consolidated financial statements. In addition, for the three months ended March 31, 2016, we also reclassified foreign currency translation adjustments of $10.4 million related to our investment in JHJ from accumulated other comprehensive loss to net loss, as discussed in the “Equity Method Investment” section above.</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Impact of Recently Issued Accounting Standards</w:t>
      </w:r>
    </w:p>
    <w:p>
      <w:pPr>
        <w:spacing w:after="0" w:line="20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 xml:space="preserve">In April 2015, the Financial Accounting Standards Board (“FASB”) issued Accounting Standards Update (“ASU”) 2015-14,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Deferral of the Effective Date, </w:t>
      </w:r>
      <w:r>
        <w:rPr>
          <w:rFonts w:ascii="Arial" w:cs="Arial" w:eastAsia="Arial" w:hAnsi="Arial"/>
          <w:sz w:val="16"/>
          <w:szCs w:val="16"/>
          <w:color w:val="auto"/>
        </w:rPr>
        <w:t>which defers the effective date of ASU 2014-9,</w:t>
      </w:r>
      <w:r>
        <w:rPr>
          <w:rFonts w:ascii="Arial" w:cs="Arial" w:eastAsia="Arial" w:hAnsi="Arial"/>
          <w:sz w:val="16"/>
          <w:szCs w:val="16"/>
          <w:i w:val="1"/>
          <w:iCs w:val="1"/>
          <w:color w:val="auto"/>
        </w:rPr>
        <w:t xml:space="preserve"> Revenue from Contracts with Customers</w:t>
      </w:r>
      <w:r>
        <w:rPr>
          <w:rFonts w:ascii="Arial" w:cs="Arial" w:eastAsia="Arial" w:hAnsi="Arial"/>
          <w:sz w:val="16"/>
          <w:szCs w:val="16"/>
          <w:color w:val="auto"/>
        </w:rPr>
        <w:t>. The new standard introduces a five-step model to</w:t>
      </w:r>
      <w:r>
        <w:rPr>
          <w:rFonts w:ascii="Arial" w:cs="Arial" w:eastAsia="Arial" w:hAnsi="Arial"/>
          <w:sz w:val="16"/>
          <w:szCs w:val="16"/>
          <w:i w:val="1"/>
          <w:iCs w:val="1"/>
          <w:color w:val="auto"/>
        </w:rPr>
        <w:t xml:space="preserve"> </w:t>
      </w:r>
      <w:r>
        <w:rPr>
          <w:rFonts w:ascii="Arial" w:cs="Arial" w:eastAsia="Arial" w:hAnsi="Arial"/>
          <w:sz w:val="16"/>
          <w:szCs w:val="16"/>
          <w:color w:val="auto"/>
        </w:rPr>
        <w:t>determine when and how revenue is recognized. The premise of the new model is that an entity recognizes revenue to depict the transfer of promised goods or services to customers in an amount that reflects the consideration to which the entity expects to be entitled in exchange for those goods or services. The new standard will be effective for the Company for its annual reporting period beginning January 1, 2018, including interim periods within that reporting period. Early application is permitted for annual periods beginning January 1, 2017. Entities are allowed to transition to the new standard by either recasting prior periods or recognizing the cumulative effect. The Company is in the process of reviewing customer contracts, but we believe our transportation revenue recognized under the new standard will generally approximate revenue under current standards, in that we recognize transportation revenue proportionately as we perform the transportation service for our customer. The Company plans to complete its evaluation in 2017, including an assessment of the new expanded disclosure requirements and a final determination of the transition method we will use to adopt the new standard.</w:t>
      </w:r>
    </w:p>
    <w:p>
      <w:pPr>
        <w:spacing w:after="0" w:line="176"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 xml:space="preserve">In November 2015, the FASB issued ASU 2015-17, </w:t>
      </w:r>
      <w:r>
        <w:rPr>
          <w:rFonts w:ascii="Arial" w:cs="Arial" w:eastAsia="Arial" w:hAnsi="Arial"/>
          <w:sz w:val="17"/>
          <w:szCs w:val="17"/>
          <w:i w:val="1"/>
          <w:iCs w:val="1"/>
          <w:color w:val="auto"/>
        </w:rPr>
        <w:t>Balance Sheet Classification of Deferred Taxes</w:t>
      </w:r>
      <w:r>
        <w:rPr>
          <w:rFonts w:ascii="Arial" w:cs="Arial" w:eastAsia="Arial" w:hAnsi="Arial"/>
          <w:sz w:val="17"/>
          <w:szCs w:val="17"/>
          <w:color w:val="auto"/>
        </w:rPr>
        <w:t>, which requires entities with a classified balance sheet to present all deferred tax assets and liabilities as noncurrent. The ASU allows entities to choose either prospective or retrospective transition. The Company adopted the standard in the first quarter of 2017 and elected prospective application; accordingly, historical periods were not adjusted. There was no material impact on its consolidated financial statements.</w:t>
      </w:r>
    </w:p>
    <w:p>
      <w:pPr>
        <w:spacing w:after="0" w:line="179"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w:t>
      </w:r>
      <w:r>
        <w:rPr>
          <w:rFonts w:ascii="Arial" w:cs="Arial" w:eastAsia="Arial" w:hAnsi="Arial"/>
          <w:sz w:val="17"/>
          <w:szCs w:val="17"/>
          <w:color w:val="auto"/>
        </w:rPr>
        <w:t>, which requires lessees to recognize a right-to-use asset and a lease obligation for all leases. Lessees are permitted to make an accounting policy election to not recognize an asset and liability for leases with a term of twelve months or less. Lessor accounting under the new standard is substantially unchanged. Additional</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34"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qualitative and quantitative disclosures, including significant judgments made by management, will be required. The new standard will become effective for the Company for its annual reporting period beginning January 1, 2019, including interim periods within that reporting period and requires a modified retrospective transition approach. The Company is currently evaluating the impact the adoption of this standard will have on its consolidated financial statements.</w:t>
      </w:r>
    </w:p>
    <w:p>
      <w:pPr>
        <w:spacing w:after="0" w:line="159" w:lineRule="exact"/>
        <w:rPr>
          <w:sz w:val="20"/>
          <w:szCs w:val="20"/>
          <w:color w:val="auto"/>
        </w:rPr>
      </w:pPr>
    </w:p>
    <w:p>
      <w:pPr>
        <w:jc w:val="both"/>
        <w:spacing w:after="0" w:line="288" w:lineRule="auto"/>
        <w:rPr>
          <w:sz w:val="20"/>
          <w:szCs w:val="20"/>
          <w:color w:val="auto"/>
        </w:rPr>
      </w:pPr>
      <w:r>
        <w:rPr>
          <w:rFonts w:ascii="Arial" w:cs="Arial" w:eastAsia="Arial" w:hAnsi="Arial"/>
          <w:sz w:val="15"/>
          <w:szCs w:val="15"/>
          <w:color w:val="auto"/>
        </w:rPr>
        <w:t xml:space="preserve">In March 2017, the FASB issued ASU 2017-07, </w:t>
      </w:r>
      <w:r>
        <w:rPr>
          <w:rFonts w:ascii="Arial" w:cs="Arial" w:eastAsia="Arial" w:hAnsi="Arial"/>
          <w:sz w:val="15"/>
          <w:szCs w:val="15"/>
          <w:i w:val="1"/>
          <w:iCs w:val="1"/>
          <w:color w:val="auto"/>
        </w:rPr>
        <w:t>Improving the Presentation of Net Periodic Pension Cost and Net Periodic Postretirement Benefit Cos</w:t>
      </w:r>
      <w:r>
        <w:rPr>
          <w:rFonts w:ascii="Arial" w:cs="Arial" w:eastAsia="Arial" w:hAnsi="Arial"/>
          <w:sz w:val="15"/>
          <w:szCs w:val="15"/>
          <w:color w:val="auto"/>
        </w:rPr>
        <w:t>t, which requires companies to present the service cost component of net benefit cost in the same income statement line item as other employee compensation costs arising from services rendered during the period. In addition, only the service cost component will be eligible for capitalization in assets. All other components of net benefit cost are presented outside of any subtotal for operating income, if one is presented. The new standard is effective for the Company for its annual reporting period beginning January 1, 2018, including interim periods within that reporting period. Early application is permitted for the first quarter of 2017. Companies are required to present the components of net benefit cost in the income statement retrospectively, while the guidance limiting the capitalization of net periodic benefit cost in assets to the service cost component will be applied prospectively. The Company will adopt the standard in the first quarter of 2018. The Company does not currently capitalize any portion of net benefit cost. The Company is currently evaluating the impact the adoption of this standard will have on its consolidated financial statements.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Debt and Financing</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Our outstanding debt as of March 31, 2017 consisted of the following:</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72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As of March 31, 2017 (in millions)</w:t>
            </w:r>
          </w:p>
        </w:tc>
        <w:tc>
          <w:tcPr>
            <w:tcW w:w="180" w:type="dxa"/>
            <w:vAlign w:val="bottom"/>
          </w:tcPr>
          <w:p>
            <w:pPr>
              <w:spacing w:after="0"/>
              <w:rPr>
                <w:sz w:val="13"/>
                <w:szCs w:val="13"/>
                <w:color w:val="auto"/>
              </w:rPr>
            </w:pPr>
          </w:p>
        </w:tc>
        <w:tc>
          <w:tcPr>
            <w:tcW w:w="940" w:type="dxa"/>
            <w:vAlign w:val="bottom"/>
            <w:vMerge w:val="restart"/>
          </w:tcPr>
          <w:p>
            <w:pPr>
              <w:jc w:val="right"/>
              <w:ind w:right="198"/>
              <w:spacing w:after="0"/>
              <w:rPr>
                <w:sz w:val="20"/>
                <w:szCs w:val="20"/>
                <w:color w:val="auto"/>
              </w:rPr>
            </w:pPr>
            <w:r>
              <w:rPr>
                <w:rFonts w:ascii="Arial" w:cs="Arial" w:eastAsia="Arial" w:hAnsi="Arial"/>
                <w:sz w:val="13"/>
                <w:szCs w:val="13"/>
                <w:b w:val="1"/>
                <w:bCs w:val="1"/>
                <w:color w:val="auto"/>
              </w:rPr>
              <w:t>Par Value</w:t>
            </w:r>
          </w:p>
        </w:tc>
        <w:tc>
          <w:tcPr>
            <w:tcW w:w="12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vMerge w:val="restart"/>
          </w:tcPr>
          <w:p>
            <w:pPr>
              <w:jc w:val="right"/>
              <w:ind w:right="238"/>
              <w:spacing w:after="0"/>
              <w:rPr>
                <w:sz w:val="20"/>
                <w:szCs w:val="20"/>
                <w:color w:val="auto"/>
              </w:rPr>
            </w:pPr>
            <w:r>
              <w:rPr>
                <w:rFonts w:ascii="Arial" w:cs="Arial" w:eastAsia="Arial" w:hAnsi="Arial"/>
                <w:sz w:val="13"/>
                <w:szCs w:val="13"/>
                <w:b w:val="1"/>
                <w:bCs w:val="1"/>
                <w:color w:val="auto"/>
              </w:rPr>
              <w:t>Discount</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b w:val="1"/>
                <w:bCs w:val="1"/>
                <w:color w:val="auto"/>
              </w:rPr>
              <w:t>Debt Issuance</w:t>
            </w:r>
          </w:p>
        </w:tc>
        <w:tc>
          <w:tcPr>
            <w:tcW w:w="240" w:type="dxa"/>
            <w:vAlign w:val="bottom"/>
          </w:tcPr>
          <w:p>
            <w:pPr>
              <w:spacing w:after="0"/>
              <w:rPr>
                <w:sz w:val="13"/>
                <w:szCs w:val="13"/>
                <w:color w:val="auto"/>
              </w:rPr>
            </w:pPr>
          </w:p>
        </w:tc>
        <w:tc>
          <w:tcPr>
            <w:tcW w:w="880" w:type="dxa"/>
            <w:vAlign w:val="bottom"/>
          </w:tcPr>
          <w:p>
            <w:pPr>
              <w:jc w:val="right"/>
              <w:ind w:right="339"/>
              <w:spacing w:after="0"/>
              <w:rPr>
                <w:sz w:val="20"/>
                <w:szCs w:val="20"/>
                <w:color w:val="auto"/>
              </w:rPr>
            </w:pPr>
            <w:r>
              <w:rPr>
                <w:rFonts w:ascii="Arial" w:cs="Arial" w:eastAsia="Arial" w:hAnsi="Arial"/>
                <w:sz w:val="13"/>
                <w:szCs w:val="13"/>
                <w:b w:val="1"/>
                <w:bCs w:val="1"/>
                <w:color w:val="auto"/>
              </w:rPr>
              <w:t>Book</w:t>
            </w:r>
          </w:p>
        </w:tc>
        <w:tc>
          <w:tcPr>
            <w:tcW w:w="120" w:type="dxa"/>
            <w:vAlign w:val="bottom"/>
          </w:tcPr>
          <w:p>
            <w:pPr>
              <w:spacing w:after="0"/>
              <w:rPr>
                <w:sz w:val="13"/>
                <w:szCs w:val="13"/>
                <w:color w:val="auto"/>
              </w:rPr>
            </w:pPr>
          </w:p>
        </w:tc>
        <w:tc>
          <w:tcPr>
            <w:tcW w:w="1540" w:type="dxa"/>
            <w:vAlign w:val="bottom"/>
            <w:gridSpan w:val="2"/>
          </w:tcPr>
          <w:p>
            <w:pPr>
              <w:ind w:left="420"/>
              <w:spacing w:after="0"/>
              <w:rPr>
                <w:sz w:val="20"/>
                <w:szCs w:val="20"/>
                <w:color w:val="auto"/>
              </w:rPr>
            </w:pPr>
            <w:r>
              <w:rPr>
                <w:rFonts w:ascii="Arial" w:cs="Arial" w:eastAsia="Arial" w:hAnsi="Arial"/>
                <w:sz w:val="13"/>
                <w:szCs w:val="13"/>
                <w:b w:val="1"/>
                <w:bCs w:val="1"/>
                <w:color w:val="auto"/>
              </w:rPr>
              <w:t>Stated</w:t>
            </w:r>
          </w:p>
        </w:tc>
        <w:tc>
          <w:tcPr>
            <w:tcW w:w="1180" w:type="dxa"/>
            <w:vAlign w:val="bottom"/>
          </w:tcPr>
          <w:p>
            <w:pPr>
              <w:jc w:val="right"/>
              <w:ind w:right="1"/>
              <w:spacing w:after="0"/>
              <w:rPr>
                <w:sz w:val="20"/>
                <w:szCs w:val="20"/>
                <w:color w:val="auto"/>
              </w:rPr>
            </w:pPr>
            <w:r>
              <w:rPr>
                <w:rFonts w:ascii="Arial" w:cs="Arial" w:eastAsia="Arial" w:hAnsi="Arial"/>
                <w:sz w:val="13"/>
                <w:szCs w:val="13"/>
                <w:b w:val="1"/>
                <w:bCs w:val="1"/>
                <w:color w:val="auto"/>
                <w:w w:val="98"/>
              </w:rPr>
              <w:t>Average Effective</w:t>
            </w:r>
          </w:p>
        </w:tc>
        <w:tc>
          <w:tcPr>
            <w:tcW w:w="0" w:type="dxa"/>
            <w:vAlign w:val="bottom"/>
          </w:tcPr>
          <w:p>
            <w:pPr>
              <w:spacing w:after="0"/>
              <w:rPr>
                <w:sz w:val="1"/>
                <w:szCs w:val="1"/>
                <w:color w:val="auto"/>
              </w:rPr>
            </w:pPr>
          </w:p>
        </w:tc>
      </w:tr>
      <w:tr>
        <w:trPr>
          <w:trHeight w:val="179"/>
        </w:trPr>
        <w:tc>
          <w:tcPr>
            <w:tcW w:w="372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39"/>
              <w:spacing w:after="0"/>
              <w:rPr>
                <w:sz w:val="20"/>
                <w:szCs w:val="20"/>
                <w:color w:val="auto"/>
              </w:rPr>
            </w:pPr>
            <w:r>
              <w:rPr>
                <w:rFonts w:ascii="Arial" w:cs="Arial" w:eastAsia="Arial" w:hAnsi="Arial"/>
                <w:sz w:val="13"/>
                <w:szCs w:val="13"/>
                <w:b w:val="1"/>
                <w:bCs w:val="1"/>
                <w:color w:val="auto"/>
              </w:rPr>
              <w:t>Costs</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19"/>
              <w:spacing w:after="0"/>
              <w:rPr>
                <w:sz w:val="20"/>
                <w:szCs w:val="20"/>
                <w:color w:val="auto"/>
              </w:rPr>
            </w:pPr>
            <w:r>
              <w:rPr>
                <w:rFonts w:ascii="Arial" w:cs="Arial" w:eastAsia="Arial" w:hAnsi="Arial"/>
                <w:sz w:val="13"/>
                <w:szCs w:val="13"/>
                <w:b w:val="1"/>
                <w:bCs w:val="1"/>
                <w:color w:val="auto"/>
              </w:rPr>
              <w:t>Value</w:t>
            </w:r>
          </w:p>
        </w:tc>
        <w:tc>
          <w:tcPr>
            <w:tcW w:w="12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tcPr>
          <w:p>
            <w:pPr>
              <w:jc w:val="right"/>
              <w:ind w:right="165"/>
              <w:spacing w:after="0"/>
              <w:rPr>
                <w:sz w:val="20"/>
                <w:szCs w:val="20"/>
                <w:color w:val="auto"/>
              </w:rPr>
            </w:pPr>
            <w:r>
              <w:rPr>
                <w:rFonts w:ascii="Arial" w:cs="Arial" w:eastAsia="Arial" w:hAnsi="Arial"/>
                <w:sz w:val="13"/>
                <w:szCs w:val="13"/>
                <w:b w:val="1"/>
                <w:bCs w:val="1"/>
                <w:color w:val="auto"/>
              </w:rPr>
              <w:t>Interest Rate</w:t>
            </w:r>
          </w:p>
        </w:tc>
        <w:tc>
          <w:tcPr>
            <w:tcW w:w="34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tcPr>
          <w:p>
            <w:pPr>
              <w:jc w:val="right"/>
              <w:ind w:right="141"/>
              <w:spacing w:after="0"/>
              <w:rPr>
                <w:sz w:val="20"/>
                <w:szCs w:val="20"/>
                <w:color w:val="auto"/>
              </w:rPr>
            </w:pPr>
            <w:r>
              <w:rPr>
                <w:rFonts w:ascii="Arial" w:cs="Arial" w:eastAsia="Arial" w:hAnsi="Arial"/>
                <w:sz w:val="13"/>
                <w:szCs w:val="13"/>
                <w:b w:val="1"/>
                <w:bCs w:val="1"/>
                <w:color w:val="auto"/>
              </w:rPr>
              <w:t>Interest Rate</w:t>
            </w:r>
          </w:p>
        </w:tc>
        <w:tc>
          <w:tcPr>
            <w:tcW w:w="0" w:type="dxa"/>
            <w:vAlign w:val="bottom"/>
          </w:tcPr>
          <w:p>
            <w:pPr>
              <w:spacing w:after="0"/>
              <w:rPr>
                <w:sz w:val="1"/>
                <w:szCs w:val="1"/>
                <w:color w:val="auto"/>
              </w:rPr>
            </w:pPr>
          </w:p>
        </w:tc>
      </w:tr>
      <w:tr>
        <w:trPr>
          <w:trHeight w:val="249"/>
        </w:trPr>
        <w:tc>
          <w:tcPr>
            <w:tcW w:w="3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Term Loan</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636.9</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624.0</w:t>
            </w:r>
          </w:p>
        </w:tc>
        <w:tc>
          <w:tcPr>
            <w:tcW w:w="120" w:type="dxa"/>
            <w:vAlign w:val="bottom"/>
            <w:shd w:val="clear" w:color="auto" w:fill="CCEEFF"/>
          </w:tcPr>
          <w:p>
            <w:pPr>
              <w:spacing w:after="0"/>
              <w:rPr>
                <w:sz w:val="21"/>
                <w:szCs w:val="21"/>
                <w:color w:val="auto"/>
              </w:rPr>
            </w:pPr>
          </w:p>
        </w:tc>
        <w:tc>
          <w:tcPr>
            <w:tcW w:w="1540" w:type="dxa"/>
            <w:vAlign w:val="bottom"/>
            <w:gridSpan w:val="2"/>
            <w:shd w:val="clear" w:color="auto" w:fill="CCEEFF"/>
          </w:tcPr>
          <w:p>
            <w:pPr>
              <w:ind w:left="720"/>
              <w:spacing w:after="0" w:line="250" w:lineRule="exact"/>
              <w:rPr>
                <w:sz w:val="20"/>
                <w:szCs w:val="20"/>
                <w:color w:val="auto"/>
              </w:rPr>
            </w:pPr>
            <w:r>
              <w:rPr>
                <w:rFonts w:ascii="Arial" w:cs="Arial" w:eastAsia="Arial" w:hAnsi="Arial"/>
                <w:sz w:val="17"/>
                <w:szCs w:val="17"/>
                <w:color w:val="auto"/>
              </w:rPr>
              <w:t xml:space="preserve">8.50% </w:t>
            </w:r>
            <w:r>
              <w:rPr>
                <w:rFonts w:ascii="Arial" w:cs="Arial" w:eastAsia="Arial" w:hAnsi="Arial"/>
                <w:sz w:val="23"/>
                <w:szCs w:val="23"/>
                <w:color w:val="auto"/>
                <w:vertAlign w:val="superscript"/>
              </w:rPr>
              <w:t>(a)</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8.70%</w:t>
            </w:r>
          </w:p>
        </w:tc>
        <w:tc>
          <w:tcPr>
            <w:tcW w:w="0" w:type="dxa"/>
            <w:vAlign w:val="bottom"/>
          </w:tcPr>
          <w:p>
            <w:pPr>
              <w:spacing w:after="0"/>
              <w:rPr>
                <w:sz w:val="1"/>
                <w:szCs w:val="1"/>
                <w:color w:val="auto"/>
              </w:rPr>
            </w:pPr>
          </w:p>
        </w:tc>
      </w:tr>
      <w:tr>
        <w:trPr>
          <w:trHeight w:val="226"/>
        </w:trPr>
        <w:tc>
          <w:tcPr>
            <w:tcW w:w="3720" w:type="dxa"/>
            <w:vAlign w:val="bottom"/>
          </w:tcPr>
          <w:p>
            <w:pPr>
              <w:ind w:left="20"/>
              <w:spacing w:after="0"/>
              <w:rPr>
                <w:sz w:val="20"/>
                <w:szCs w:val="20"/>
                <w:color w:val="auto"/>
              </w:rPr>
            </w:pPr>
            <w:r>
              <w:rPr>
                <w:rFonts w:ascii="Arial" w:cs="Arial" w:eastAsia="Arial" w:hAnsi="Arial"/>
                <w:sz w:val="17"/>
                <w:szCs w:val="17"/>
                <w:color w:val="auto"/>
              </w:rPr>
              <w:t>ABL Facility</w:t>
            </w:r>
          </w:p>
        </w:tc>
        <w:tc>
          <w:tcPr>
            <w:tcW w:w="18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540" w:type="dxa"/>
            <w:vAlign w:val="bottom"/>
            <w:gridSpan w:val="2"/>
          </w:tcPr>
          <w:p>
            <w:pPr>
              <w:jc w:val="right"/>
              <w:ind w:right="520"/>
              <w:spacing w:after="0"/>
              <w:rPr>
                <w:sz w:val="20"/>
                <w:szCs w:val="20"/>
                <w:color w:val="auto"/>
              </w:rPr>
            </w:pPr>
            <w:r>
              <w:rPr>
                <w:rFonts w:ascii="Arial" w:cs="Arial" w:eastAsia="Arial" w:hAnsi="Arial"/>
                <w:sz w:val="17"/>
                <w:szCs w:val="17"/>
                <w:color w:val="auto"/>
              </w:rPr>
              <w:t>N/A</w:t>
            </w:r>
          </w:p>
        </w:tc>
        <w:tc>
          <w:tcPr>
            <w:tcW w:w="1180" w:type="dxa"/>
            <w:vAlign w:val="bottom"/>
          </w:tcPr>
          <w:p>
            <w:pPr>
              <w:jc w:val="right"/>
              <w:ind w:right="81"/>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6"/>
        </w:trPr>
        <w:tc>
          <w:tcPr>
            <w:tcW w:w="3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Secured Second A&amp;R CDA</w:t>
            </w: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27.2</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27.1</w:t>
            </w:r>
          </w:p>
        </w:tc>
        <w:tc>
          <w:tcPr>
            <w:tcW w:w="1320" w:type="dxa"/>
            <w:vAlign w:val="bottom"/>
            <w:tcBorders>
              <w:bottom w:val="single" w:sz="8" w:color="CCEEFF"/>
            </w:tcBorders>
            <w:gridSpan w:val="2"/>
            <w:shd w:val="clear" w:color="auto" w:fill="CCEEFF"/>
          </w:tcPr>
          <w:p>
            <w:pPr>
              <w:jc w:val="right"/>
              <w:ind w:right="105"/>
              <w:spacing w:after="0"/>
              <w:rPr>
                <w:sz w:val="20"/>
                <w:szCs w:val="20"/>
                <w:color w:val="auto"/>
              </w:rPr>
            </w:pPr>
            <w:r>
              <w:rPr>
                <w:rFonts w:ascii="Arial" w:cs="Arial" w:eastAsia="Arial" w:hAnsi="Arial"/>
                <w:sz w:val="17"/>
                <w:szCs w:val="17"/>
                <w:color w:val="auto"/>
              </w:rPr>
              <w:t>4.3-18.3%</w:t>
            </w:r>
          </w:p>
        </w:tc>
        <w:tc>
          <w:tcPr>
            <w:tcW w:w="3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7.5%</w:t>
            </w:r>
          </w:p>
        </w:tc>
        <w:tc>
          <w:tcPr>
            <w:tcW w:w="0" w:type="dxa"/>
            <w:vAlign w:val="bottom"/>
          </w:tcPr>
          <w:p>
            <w:pPr>
              <w:spacing w:after="0"/>
              <w:rPr>
                <w:sz w:val="1"/>
                <w:szCs w:val="1"/>
                <w:color w:val="auto"/>
              </w:rPr>
            </w:pPr>
          </w:p>
        </w:tc>
      </w:tr>
      <w:tr>
        <w:trPr>
          <w:trHeight w:val="226"/>
        </w:trPr>
        <w:tc>
          <w:tcPr>
            <w:tcW w:w="3720" w:type="dxa"/>
            <w:vAlign w:val="bottom"/>
          </w:tcPr>
          <w:p>
            <w:pPr>
              <w:ind w:left="20"/>
              <w:spacing w:after="0"/>
              <w:rPr>
                <w:sz w:val="20"/>
                <w:szCs w:val="20"/>
                <w:color w:val="auto"/>
              </w:rPr>
            </w:pPr>
            <w:r>
              <w:rPr>
                <w:rFonts w:ascii="Arial" w:cs="Arial" w:eastAsia="Arial" w:hAnsi="Arial"/>
                <w:sz w:val="17"/>
                <w:szCs w:val="17"/>
                <w:color w:val="auto"/>
              </w:rPr>
              <w:t>Unsecured Second A&amp;R CDA</w:t>
            </w:r>
          </w:p>
        </w:tc>
        <w:tc>
          <w:tcPr>
            <w:tcW w:w="180" w:type="dxa"/>
            <w:vAlign w:val="bottom"/>
          </w:tcPr>
          <w:p>
            <w:pPr>
              <w:spacing w:after="0"/>
              <w:rPr>
                <w:sz w:val="19"/>
                <w:szCs w:val="19"/>
                <w:color w:val="auto"/>
              </w:rPr>
            </w:pPr>
          </w:p>
        </w:tc>
        <w:tc>
          <w:tcPr>
            <w:tcW w:w="940" w:type="dxa"/>
            <w:vAlign w:val="bottom"/>
          </w:tcPr>
          <w:p>
            <w:pPr>
              <w:jc w:val="right"/>
              <w:ind w:right="18"/>
              <w:spacing w:after="0"/>
              <w:rPr>
                <w:sz w:val="20"/>
                <w:szCs w:val="20"/>
                <w:color w:val="auto"/>
              </w:rPr>
            </w:pPr>
            <w:r>
              <w:rPr>
                <w:rFonts w:ascii="Arial" w:cs="Arial" w:eastAsia="Arial" w:hAnsi="Arial"/>
                <w:sz w:val="17"/>
                <w:szCs w:val="17"/>
                <w:color w:val="auto"/>
              </w:rPr>
              <w:t>73.2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(0.4)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Arial" w:cs="Arial" w:eastAsia="Arial" w:hAnsi="Arial"/>
                <w:sz w:val="17"/>
                <w:szCs w:val="17"/>
                <w:color w:val="auto"/>
              </w:rPr>
              <w:t>72.8</w:t>
            </w:r>
          </w:p>
        </w:tc>
        <w:tc>
          <w:tcPr>
            <w:tcW w:w="1320" w:type="dxa"/>
            <w:vAlign w:val="bottom"/>
            <w:gridSpan w:val="2"/>
          </w:tcPr>
          <w:p>
            <w:pPr>
              <w:jc w:val="right"/>
              <w:ind w:right="105"/>
              <w:spacing w:after="0"/>
              <w:rPr>
                <w:sz w:val="20"/>
                <w:szCs w:val="20"/>
                <w:color w:val="auto"/>
              </w:rPr>
            </w:pPr>
            <w:r>
              <w:rPr>
                <w:rFonts w:ascii="Arial" w:cs="Arial" w:eastAsia="Arial" w:hAnsi="Arial"/>
                <w:sz w:val="17"/>
                <w:szCs w:val="17"/>
                <w:color w:val="auto"/>
              </w:rPr>
              <w:t>4.3-18.3%</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7.5%</w:t>
            </w:r>
          </w:p>
        </w:tc>
        <w:tc>
          <w:tcPr>
            <w:tcW w:w="0" w:type="dxa"/>
            <w:vAlign w:val="bottom"/>
          </w:tcPr>
          <w:p>
            <w:pPr>
              <w:spacing w:after="0"/>
              <w:rPr>
                <w:sz w:val="1"/>
                <w:szCs w:val="1"/>
                <w:color w:val="auto"/>
              </w:rPr>
            </w:pPr>
          </w:p>
        </w:tc>
      </w:tr>
      <w:tr>
        <w:trPr>
          <w:trHeight w:val="26"/>
        </w:trPr>
        <w:tc>
          <w:tcPr>
            <w:tcW w:w="3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2"/>
        </w:trPr>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Lease financing obligations</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267.5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266.3</w:t>
            </w:r>
          </w:p>
        </w:tc>
        <w:tc>
          <w:tcPr>
            <w:tcW w:w="1320" w:type="dxa"/>
            <w:vAlign w:val="bottom"/>
            <w:tcBorders>
              <w:bottom w:val="single" w:sz="8" w:color="CCEEFF"/>
            </w:tcBorders>
            <w:gridSpan w:val="2"/>
            <w:shd w:val="clear" w:color="auto" w:fill="CCEEFF"/>
          </w:tcPr>
          <w:p>
            <w:pPr>
              <w:jc w:val="right"/>
              <w:ind w:right="105"/>
              <w:spacing w:after="0"/>
              <w:rPr>
                <w:sz w:val="20"/>
                <w:szCs w:val="20"/>
                <w:color w:val="auto"/>
              </w:rPr>
            </w:pPr>
            <w:r>
              <w:rPr>
                <w:rFonts w:ascii="Arial" w:cs="Arial" w:eastAsia="Arial" w:hAnsi="Arial"/>
                <w:sz w:val="17"/>
                <w:szCs w:val="17"/>
                <w:color w:val="auto"/>
              </w:rPr>
              <w:t>9.0-18.2%</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12.0%</w:t>
            </w:r>
          </w:p>
        </w:tc>
        <w:tc>
          <w:tcPr>
            <w:tcW w:w="0" w:type="dxa"/>
            <w:vAlign w:val="bottom"/>
          </w:tcPr>
          <w:p>
            <w:pPr>
              <w:spacing w:after="0"/>
              <w:rPr>
                <w:sz w:val="1"/>
                <w:szCs w:val="1"/>
                <w:color w:val="auto"/>
              </w:rPr>
            </w:pPr>
          </w:p>
        </w:tc>
      </w:tr>
      <w:tr>
        <w:trPr>
          <w:trHeight w:val="219"/>
        </w:trPr>
        <w:tc>
          <w:tcPr>
            <w:tcW w:w="3720" w:type="dxa"/>
            <w:vAlign w:val="bottom"/>
          </w:tcPr>
          <w:p>
            <w:pPr>
              <w:ind w:left="20"/>
              <w:spacing w:after="0"/>
              <w:rPr>
                <w:sz w:val="20"/>
                <w:szCs w:val="20"/>
                <w:color w:val="auto"/>
              </w:rPr>
            </w:pPr>
            <w:r>
              <w:rPr>
                <w:rFonts w:ascii="Arial" w:cs="Arial" w:eastAsia="Arial" w:hAnsi="Arial"/>
                <w:sz w:val="17"/>
                <w:szCs w:val="17"/>
                <w:color w:val="auto"/>
              </w:rPr>
              <w:t>Total debt</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tcBorders>
          </w:tcPr>
          <w:p>
            <w:pPr>
              <w:jc w:val="right"/>
              <w:ind w:right="18"/>
              <w:spacing w:after="0"/>
              <w:rPr>
                <w:sz w:val="20"/>
                <w:szCs w:val="20"/>
                <w:color w:val="auto"/>
              </w:rPr>
            </w:pPr>
            <w:r>
              <w:rPr>
                <w:rFonts w:ascii="Arial" w:cs="Arial" w:eastAsia="Arial" w:hAnsi="Arial"/>
                <w:sz w:val="17"/>
                <w:szCs w:val="17"/>
                <w:color w:val="auto"/>
              </w:rPr>
              <w:t>1,004.8</w:t>
            </w:r>
          </w:p>
        </w:tc>
        <w:tc>
          <w:tcPr>
            <w:tcW w:w="120" w:type="dxa"/>
            <w:vAlign w:val="bottom"/>
          </w:tcPr>
          <w:p>
            <w:pPr>
              <w:spacing w:after="0"/>
              <w:rPr>
                <w:sz w:val="19"/>
                <w:szCs w:val="19"/>
                <w:color w:val="auto"/>
              </w:rPr>
            </w:pPr>
          </w:p>
        </w:tc>
        <w:tc>
          <w:tcPr>
            <w:tcW w:w="220" w:type="dxa"/>
            <w:vAlign w:val="bottom"/>
            <w:tcBorders>
              <w:top w:val="single" w:sz="8" w:color="auto"/>
            </w:tcBorders>
          </w:tcPr>
          <w:p>
            <w:pPr>
              <w:jc w:val="right"/>
              <w:ind w:right="36"/>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(2.4)</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(12.2)</w:t>
            </w:r>
          </w:p>
        </w:tc>
        <w:tc>
          <w:tcPr>
            <w:tcW w:w="1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jc w:val="right"/>
              <w:ind w:right="56"/>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7"/>
                <w:szCs w:val="17"/>
                <w:color w:val="auto"/>
              </w:rPr>
              <w:t>990.2</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37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Current maturities of Term Loan</w:t>
            </w:r>
          </w:p>
        </w:tc>
        <w:tc>
          <w:tcPr>
            <w:tcW w:w="1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(6.8)</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(6.8)</w:t>
            </w:r>
          </w:p>
        </w:tc>
        <w:tc>
          <w:tcPr>
            <w:tcW w:w="1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720" w:type="dxa"/>
            <w:vAlign w:val="bottom"/>
          </w:tcPr>
          <w:p>
            <w:pPr>
              <w:ind w:left="20"/>
              <w:spacing w:after="0"/>
              <w:rPr>
                <w:sz w:val="20"/>
                <w:szCs w:val="20"/>
                <w:color w:val="auto"/>
              </w:rPr>
            </w:pPr>
            <w:r>
              <w:rPr>
                <w:rFonts w:ascii="Arial" w:cs="Arial" w:eastAsia="Arial" w:hAnsi="Arial"/>
                <w:sz w:val="17"/>
                <w:szCs w:val="17"/>
                <w:color w:val="auto"/>
              </w:rPr>
              <w:t>Current maturities of lease financing obligations</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(10.5)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(10.5)</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37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9"/>
        </w:trPr>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Long-term debt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987.5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972.9</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 w:lineRule="exact"/>
        <w:rPr>
          <w:sz w:val="20"/>
          <w:szCs w:val="20"/>
          <w:color w:val="auto"/>
        </w:rPr>
      </w:pPr>
    </w:p>
    <w:p>
      <w:pPr>
        <w:ind w:left="120" w:hanging="119"/>
        <w:spacing w:after="0"/>
        <w:tabs>
          <w:tab w:leader="none" w:pos="120" w:val="left"/>
        </w:tabs>
        <w:numPr>
          <w:ilvl w:val="0"/>
          <w:numId w:val="4"/>
        </w:numPr>
        <w:rPr>
          <w:rFonts w:ascii="Arial" w:cs="Arial" w:eastAsia="Arial" w:hAnsi="Arial"/>
          <w:sz w:val="8"/>
          <w:szCs w:val="8"/>
          <w:color w:val="auto"/>
        </w:rPr>
      </w:pPr>
      <w:r>
        <w:rPr>
          <w:rFonts w:ascii="Arial" w:cs="Arial" w:eastAsia="Arial" w:hAnsi="Arial"/>
          <w:sz w:val="13"/>
          <w:szCs w:val="13"/>
          <w:color w:val="auto"/>
        </w:rPr>
        <w:t>Variable interest rate of 1, 3 or 6-month LIBOR, with a floor of 1.0%, plus a fixed margin of 7.50%.</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ABL Facility Availability</w:t>
      </w:r>
    </w:p>
    <w:p>
      <w:pPr>
        <w:spacing w:after="0" w:line="207"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Our principal sources of liquidity are cash and cash equivalents, available borrowings under our ABL Facility and any prospective net cash flow from operations. As of March 31, 2017, our availability under our ABL Facility was $61.9 million, which is derived by reducing the amount that may be advanced against eligible receivables plus eligible borrowing base cash by certain reserves imposed by the ABL Agent and our $359.2 million of outstanding letters of credit. Of the $61.9 million in availability, we do not expect to access more than $19.6 million (“Managed Accessibility”) based on our springing fixed charge coverage ratio (as set forth in our ABL Facility). Our cash and cash equivalents and Managed Accessibility was $202.0 million as of March 31, 2017.</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3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Credit Facility Covenants</w:t>
      </w:r>
    </w:p>
    <w:p>
      <w:pPr>
        <w:spacing w:after="0" w:line="207"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The credit agreement (the “Term Loan Agreement”) governing our term loan facility (the “Term Loan”) has certain financial covenants, as amended on January 31, 2017, that, among other things, restrict certain capital expenditures and require us to comply with a maximum total leverage ratio covenant (defined as Consolidated Total Debt divided by Consolidated Adjusted EBITDA as defined below).</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Our total maximum leverage ratio covenants are as follows:</w:t>
      </w:r>
    </w:p>
    <w:p>
      <w:pPr>
        <w:spacing w:after="0" w:line="138" w:lineRule="exact"/>
        <w:rPr>
          <w:sz w:val="20"/>
          <w:szCs w:val="20"/>
          <w:color w:val="auto"/>
        </w:rPr>
      </w:pPr>
    </w:p>
    <w:tbl>
      <w:tblPr>
        <w:tblLayout w:type="fixed"/>
        <w:tblInd w:w="1880" w:type="dxa"/>
        <w:tblCellMar>
          <w:top w:w="0" w:type="dxa"/>
          <w:left w:w="0" w:type="dxa"/>
          <w:bottom w:w="0" w:type="dxa"/>
          <w:right w:w="0" w:type="dxa"/>
        </w:tblCellMar>
      </w:tblPr>
      <w:tr>
        <w:trPr>
          <w:trHeight w:val="149"/>
        </w:trPr>
        <w:tc>
          <w:tcPr>
            <w:tcW w:w="2540" w:type="dxa"/>
            <w:vAlign w:val="bottom"/>
            <w:vMerge w:val="restart"/>
          </w:tcPr>
          <w:p>
            <w:pPr>
              <w:ind w:left="20"/>
              <w:spacing w:after="0"/>
              <w:rPr>
                <w:sz w:val="20"/>
                <w:szCs w:val="20"/>
                <w:color w:val="auto"/>
              </w:rPr>
            </w:pPr>
            <w:r>
              <w:rPr>
                <w:rFonts w:ascii="Arial" w:cs="Arial" w:eastAsia="Arial" w:hAnsi="Arial"/>
                <w:sz w:val="13"/>
                <w:szCs w:val="13"/>
                <w:b w:val="1"/>
                <w:bCs w:val="1"/>
                <w:color w:val="auto"/>
                <w:w w:val="97"/>
              </w:rPr>
              <w:t>Four Consecutive Fiscal Quarters Ending</w:t>
            </w:r>
          </w:p>
        </w:tc>
        <w:tc>
          <w:tcPr>
            <w:tcW w:w="1200" w:type="dxa"/>
            <w:vAlign w:val="bottom"/>
          </w:tcPr>
          <w:p>
            <w:pPr>
              <w:jc w:val="center"/>
              <w:spacing w:after="0"/>
              <w:rPr>
                <w:sz w:val="20"/>
                <w:szCs w:val="20"/>
                <w:color w:val="auto"/>
              </w:rPr>
            </w:pPr>
            <w:r>
              <w:rPr>
                <w:rFonts w:ascii="Arial" w:cs="Arial" w:eastAsia="Arial" w:hAnsi="Arial"/>
                <w:sz w:val="13"/>
                <w:szCs w:val="13"/>
                <w:b w:val="1"/>
                <w:bCs w:val="1"/>
                <w:color w:val="auto"/>
                <w:w w:val="97"/>
              </w:rPr>
              <w:t>Maximum Total</w:t>
            </w:r>
          </w:p>
        </w:tc>
        <w:tc>
          <w:tcPr>
            <w:tcW w:w="160" w:type="dxa"/>
            <w:vAlign w:val="bottom"/>
          </w:tcPr>
          <w:p>
            <w:pPr>
              <w:spacing w:after="0"/>
              <w:rPr>
                <w:sz w:val="13"/>
                <w:szCs w:val="13"/>
                <w:color w:val="auto"/>
              </w:rPr>
            </w:pPr>
          </w:p>
        </w:tc>
        <w:tc>
          <w:tcPr>
            <w:tcW w:w="2580" w:type="dxa"/>
            <w:vAlign w:val="bottom"/>
            <w:vMerge w:val="restart"/>
          </w:tcPr>
          <w:p>
            <w:pPr>
              <w:ind w:left="80"/>
              <w:spacing w:after="0"/>
              <w:rPr>
                <w:sz w:val="20"/>
                <w:szCs w:val="20"/>
                <w:color w:val="auto"/>
              </w:rPr>
            </w:pPr>
            <w:r>
              <w:rPr>
                <w:rFonts w:ascii="Arial" w:cs="Arial" w:eastAsia="Arial" w:hAnsi="Arial"/>
                <w:sz w:val="13"/>
                <w:szCs w:val="13"/>
                <w:b w:val="1"/>
                <w:bCs w:val="1"/>
                <w:color w:val="auto"/>
                <w:w w:val="96"/>
              </w:rPr>
              <w:t>Four Consecutive Fiscal Quarters Ending</w:t>
            </w:r>
          </w:p>
        </w:tc>
        <w:tc>
          <w:tcPr>
            <w:tcW w:w="1200" w:type="dxa"/>
            <w:vAlign w:val="bottom"/>
          </w:tcPr>
          <w:p>
            <w:pPr>
              <w:jc w:val="center"/>
              <w:spacing w:after="0"/>
              <w:rPr>
                <w:sz w:val="20"/>
                <w:szCs w:val="20"/>
                <w:color w:val="auto"/>
              </w:rPr>
            </w:pPr>
            <w:r>
              <w:rPr>
                <w:rFonts w:ascii="Arial" w:cs="Arial" w:eastAsia="Arial" w:hAnsi="Arial"/>
                <w:sz w:val="13"/>
                <w:szCs w:val="13"/>
                <w:b w:val="1"/>
                <w:bCs w:val="1"/>
                <w:color w:val="auto"/>
                <w:w w:val="97"/>
              </w:rPr>
              <w:t>Maximum Total</w:t>
            </w:r>
          </w:p>
        </w:tc>
        <w:tc>
          <w:tcPr>
            <w:tcW w:w="0" w:type="dxa"/>
            <w:vAlign w:val="bottom"/>
          </w:tcPr>
          <w:p>
            <w:pPr>
              <w:spacing w:after="0"/>
              <w:rPr>
                <w:sz w:val="1"/>
                <w:szCs w:val="1"/>
                <w:color w:val="auto"/>
              </w:rPr>
            </w:pPr>
          </w:p>
        </w:tc>
      </w:tr>
      <w:tr>
        <w:trPr>
          <w:trHeight w:val="179"/>
        </w:trPr>
        <w:tc>
          <w:tcPr>
            <w:tcW w:w="2540" w:type="dxa"/>
            <w:vAlign w:val="bottom"/>
            <w:tcBorders>
              <w:bottom w:val="single" w:sz="8" w:color="auto"/>
            </w:tcBorders>
            <w:vMerge w:val="continue"/>
          </w:tcPr>
          <w:p>
            <w:pPr>
              <w:spacing w:after="0"/>
              <w:rPr>
                <w:sz w:val="15"/>
                <w:szCs w:val="15"/>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Leverage Ratio</w:t>
            </w:r>
          </w:p>
        </w:tc>
        <w:tc>
          <w:tcPr>
            <w:tcW w:w="16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vMerge w:val="continue"/>
          </w:tcPr>
          <w:p>
            <w:pPr>
              <w:spacing w:after="0"/>
              <w:rPr>
                <w:sz w:val="15"/>
                <w:szCs w:val="15"/>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Leverage Ratio</w:t>
            </w:r>
          </w:p>
        </w:tc>
        <w:tc>
          <w:tcPr>
            <w:tcW w:w="0" w:type="dxa"/>
            <w:vAlign w:val="bottom"/>
          </w:tcPr>
          <w:p>
            <w:pPr>
              <w:spacing w:after="0"/>
              <w:rPr>
                <w:sz w:val="1"/>
                <w:szCs w:val="1"/>
                <w:color w:val="auto"/>
              </w:rPr>
            </w:pPr>
          </w:p>
        </w:tc>
      </w:tr>
      <w:tr>
        <w:trPr>
          <w:trHeight w:val="229"/>
        </w:trPr>
        <w:tc>
          <w:tcPr>
            <w:tcW w:w="2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March 31, 2017</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9"/>
              </w:rPr>
              <w:t>3.85 to 1.00</w:t>
            </w:r>
          </w:p>
        </w:tc>
        <w:tc>
          <w:tcPr>
            <w:tcW w:w="160" w:type="dxa"/>
            <w:vAlign w:val="bottom"/>
          </w:tcPr>
          <w:p>
            <w:pPr>
              <w:spacing w:after="0"/>
              <w:rPr>
                <w:sz w:val="19"/>
                <w:szCs w:val="19"/>
                <w:color w:val="auto"/>
              </w:rPr>
            </w:pPr>
          </w:p>
        </w:tc>
        <w:tc>
          <w:tcPr>
            <w:tcW w:w="2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March 31, 2018</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9"/>
              </w:rPr>
              <w:t>3.50 to 1.00</w:t>
            </w:r>
          </w:p>
        </w:tc>
        <w:tc>
          <w:tcPr>
            <w:tcW w:w="0" w:type="dxa"/>
            <w:vAlign w:val="bottom"/>
          </w:tcPr>
          <w:p>
            <w:pPr>
              <w:spacing w:after="0"/>
              <w:rPr>
                <w:sz w:val="1"/>
                <w:szCs w:val="1"/>
                <w:color w:val="auto"/>
              </w:rPr>
            </w:pPr>
          </w:p>
        </w:tc>
      </w:tr>
      <w:tr>
        <w:trPr>
          <w:trHeight w:val="226"/>
        </w:trPr>
        <w:tc>
          <w:tcPr>
            <w:tcW w:w="2540" w:type="dxa"/>
            <w:vAlign w:val="bottom"/>
          </w:tcPr>
          <w:p>
            <w:pPr>
              <w:ind w:left="20"/>
              <w:spacing w:after="0"/>
              <w:rPr>
                <w:sz w:val="20"/>
                <w:szCs w:val="20"/>
                <w:color w:val="auto"/>
              </w:rPr>
            </w:pPr>
            <w:r>
              <w:rPr>
                <w:rFonts w:ascii="Arial" w:cs="Arial" w:eastAsia="Arial" w:hAnsi="Arial"/>
                <w:sz w:val="17"/>
                <w:szCs w:val="17"/>
                <w:color w:val="auto"/>
              </w:rPr>
              <w:t>June 30, 2017</w:t>
            </w:r>
          </w:p>
        </w:tc>
        <w:tc>
          <w:tcPr>
            <w:tcW w:w="1200" w:type="dxa"/>
            <w:vAlign w:val="bottom"/>
          </w:tcPr>
          <w:p>
            <w:pPr>
              <w:jc w:val="center"/>
              <w:spacing w:after="0"/>
              <w:rPr>
                <w:sz w:val="20"/>
                <w:szCs w:val="20"/>
                <w:color w:val="auto"/>
              </w:rPr>
            </w:pPr>
            <w:r>
              <w:rPr>
                <w:rFonts w:ascii="Arial" w:cs="Arial" w:eastAsia="Arial" w:hAnsi="Arial"/>
                <w:sz w:val="17"/>
                <w:szCs w:val="17"/>
                <w:color w:val="auto"/>
                <w:w w:val="89"/>
              </w:rPr>
              <w:t>3.85 to 1.00</w:t>
            </w:r>
          </w:p>
        </w:tc>
        <w:tc>
          <w:tcPr>
            <w:tcW w:w="160" w:type="dxa"/>
            <w:vAlign w:val="bottom"/>
          </w:tcPr>
          <w:p>
            <w:pPr>
              <w:spacing w:after="0"/>
              <w:rPr>
                <w:sz w:val="19"/>
                <w:szCs w:val="19"/>
                <w:color w:val="auto"/>
              </w:rPr>
            </w:pPr>
          </w:p>
        </w:tc>
        <w:tc>
          <w:tcPr>
            <w:tcW w:w="2580" w:type="dxa"/>
            <w:vAlign w:val="bottom"/>
          </w:tcPr>
          <w:p>
            <w:pPr>
              <w:ind w:left="20"/>
              <w:spacing w:after="0"/>
              <w:rPr>
                <w:sz w:val="20"/>
                <w:szCs w:val="20"/>
                <w:color w:val="auto"/>
              </w:rPr>
            </w:pPr>
            <w:r>
              <w:rPr>
                <w:rFonts w:ascii="Arial" w:cs="Arial" w:eastAsia="Arial" w:hAnsi="Arial"/>
                <w:sz w:val="17"/>
                <w:szCs w:val="17"/>
                <w:color w:val="auto"/>
              </w:rPr>
              <w:t>June 30, 2018</w:t>
            </w:r>
          </w:p>
        </w:tc>
        <w:tc>
          <w:tcPr>
            <w:tcW w:w="1200" w:type="dxa"/>
            <w:vAlign w:val="bottom"/>
          </w:tcPr>
          <w:p>
            <w:pPr>
              <w:jc w:val="center"/>
              <w:spacing w:after="0"/>
              <w:rPr>
                <w:sz w:val="20"/>
                <w:szCs w:val="20"/>
                <w:color w:val="auto"/>
              </w:rPr>
            </w:pPr>
            <w:r>
              <w:rPr>
                <w:rFonts w:ascii="Arial" w:cs="Arial" w:eastAsia="Arial" w:hAnsi="Arial"/>
                <w:sz w:val="17"/>
                <w:szCs w:val="17"/>
                <w:color w:val="auto"/>
                <w:w w:val="89"/>
              </w:rPr>
              <w:t>3.50 to 1.00</w:t>
            </w:r>
          </w:p>
        </w:tc>
        <w:tc>
          <w:tcPr>
            <w:tcW w:w="0" w:type="dxa"/>
            <w:vAlign w:val="bottom"/>
          </w:tcPr>
          <w:p>
            <w:pPr>
              <w:spacing w:after="0"/>
              <w:rPr>
                <w:sz w:val="1"/>
                <w:szCs w:val="1"/>
                <w:color w:val="auto"/>
              </w:rPr>
            </w:pPr>
          </w:p>
        </w:tc>
      </w:tr>
      <w:tr>
        <w:trPr>
          <w:trHeight w:val="26"/>
        </w:trPr>
        <w:tc>
          <w:tcPr>
            <w:tcW w:w="25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2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September 30, 2017</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9"/>
              </w:rPr>
              <w:t>3.75 to 1.00</w:t>
            </w:r>
          </w:p>
        </w:tc>
        <w:tc>
          <w:tcPr>
            <w:tcW w:w="160" w:type="dxa"/>
            <w:vAlign w:val="bottom"/>
          </w:tcPr>
          <w:p>
            <w:pPr>
              <w:spacing w:after="0"/>
              <w:rPr>
                <w:sz w:val="20"/>
                <w:szCs w:val="20"/>
                <w:color w:val="auto"/>
              </w:rPr>
            </w:pPr>
          </w:p>
        </w:tc>
        <w:tc>
          <w:tcPr>
            <w:tcW w:w="2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September 30, 2018</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9"/>
              </w:rPr>
              <w:t>3.25 to 1.00</w:t>
            </w:r>
          </w:p>
        </w:tc>
        <w:tc>
          <w:tcPr>
            <w:tcW w:w="0" w:type="dxa"/>
            <w:vAlign w:val="bottom"/>
          </w:tcPr>
          <w:p>
            <w:pPr>
              <w:spacing w:after="0"/>
              <w:rPr>
                <w:sz w:val="1"/>
                <w:szCs w:val="1"/>
                <w:color w:val="auto"/>
              </w:rPr>
            </w:pPr>
          </w:p>
        </w:tc>
      </w:tr>
      <w:tr>
        <w:trPr>
          <w:trHeight w:val="226"/>
        </w:trPr>
        <w:tc>
          <w:tcPr>
            <w:tcW w:w="2540" w:type="dxa"/>
            <w:vAlign w:val="bottom"/>
          </w:tcPr>
          <w:p>
            <w:pPr>
              <w:ind w:left="20"/>
              <w:spacing w:after="0"/>
              <w:rPr>
                <w:sz w:val="20"/>
                <w:szCs w:val="20"/>
                <w:color w:val="auto"/>
              </w:rPr>
            </w:pPr>
            <w:r>
              <w:rPr>
                <w:rFonts w:ascii="Arial" w:cs="Arial" w:eastAsia="Arial" w:hAnsi="Arial"/>
                <w:sz w:val="17"/>
                <w:szCs w:val="17"/>
                <w:color w:val="auto"/>
              </w:rPr>
              <w:t>December 31, 2017</w:t>
            </w:r>
          </w:p>
        </w:tc>
        <w:tc>
          <w:tcPr>
            <w:tcW w:w="1200" w:type="dxa"/>
            <w:vAlign w:val="bottom"/>
          </w:tcPr>
          <w:p>
            <w:pPr>
              <w:jc w:val="center"/>
              <w:spacing w:after="0"/>
              <w:rPr>
                <w:sz w:val="20"/>
                <w:szCs w:val="20"/>
                <w:color w:val="auto"/>
              </w:rPr>
            </w:pPr>
            <w:r>
              <w:rPr>
                <w:rFonts w:ascii="Arial" w:cs="Arial" w:eastAsia="Arial" w:hAnsi="Arial"/>
                <w:sz w:val="17"/>
                <w:szCs w:val="17"/>
                <w:color w:val="auto"/>
                <w:w w:val="89"/>
              </w:rPr>
              <w:t>3.50 to 1.00</w:t>
            </w:r>
          </w:p>
        </w:tc>
        <w:tc>
          <w:tcPr>
            <w:tcW w:w="160" w:type="dxa"/>
            <w:vAlign w:val="bottom"/>
          </w:tcPr>
          <w:p>
            <w:pPr>
              <w:spacing w:after="0"/>
              <w:rPr>
                <w:sz w:val="19"/>
                <w:szCs w:val="19"/>
                <w:color w:val="auto"/>
              </w:rPr>
            </w:pPr>
          </w:p>
        </w:tc>
        <w:tc>
          <w:tcPr>
            <w:tcW w:w="2580" w:type="dxa"/>
            <w:vAlign w:val="bottom"/>
          </w:tcPr>
          <w:p>
            <w:pPr>
              <w:ind w:left="20"/>
              <w:spacing w:after="0"/>
              <w:rPr>
                <w:sz w:val="20"/>
                <w:szCs w:val="20"/>
                <w:color w:val="auto"/>
              </w:rPr>
            </w:pPr>
            <w:r>
              <w:rPr>
                <w:rFonts w:ascii="Arial" w:cs="Arial" w:eastAsia="Arial" w:hAnsi="Arial"/>
                <w:sz w:val="17"/>
                <w:szCs w:val="17"/>
                <w:color w:val="auto"/>
              </w:rPr>
              <w:t>December 31, 2018</w:t>
            </w:r>
          </w:p>
        </w:tc>
        <w:tc>
          <w:tcPr>
            <w:tcW w:w="1200" w:type="dxa"/>
            <w:vAlign w:val="bottom"/>
          </w:tcPr>
          <w:p>
            <w:pPr>
              <w:jc w:val="center"/>
              <w:spacing w:after="0"/>
              <w:rPr>
                <w:sz w:val="20"/>
                <w:szCs w:val="20"/>
                <w:color w:val="auto"/>
              </w:rPr>
            </w:pPr>
            <w:r>
              <w:rPr>
                <w:rFonts w:ascii="Arial" w:cs="Arial" w:eastAsia="Arial" w:hAnsi="Arial"/>
                <w:sz w:val="17"/>
                <w:szCs w:val="17"/>
                <w:color w:val="auto"/>
                <w:w w:val="89"/>
              </w:rPr>
              <w:t>3.25 to 1.00</w:t>
            </w:r>
          </w:p>
        </w:tc>
        <w:tc>
          <w:tcPr>
            <w:tcW w:w="0" w:type="dxa"/>
            <w:vAlign w:val="bottom"/>
          </w:tcPr>
          <w:p>
            <w:pPr>
              <w:spacing w:after="0"/>
              <w:rPr>
                <w:sz w:val="1"/>
                <w:szCs w:val="1"/>
                <w:color w:val="auto"/>
              </w:rPr>
            </w:pPr>
          </w:p>
        </w:tc>
      </w:tr>
    </w:tbl>
    <w:p>
      <w:pPr>
        <w:spacing w:after="0" w:line="214" w:lineRule="exact"/>
        <w:rPr>
          <w:sz w:val="20"/>
          <w:szCs w:val="20"/>
          <w:color w:val="auto"/>
        </w:rPr>
      </w:pPr>
    </w:p>
    <w:p>
      <w:pPr>
        <w:jc w:val="both"/>
        <w:spacing w:after="0" w:line="294" w:lineRule="auto"/>
        <w:rPr>
          <w:sz w:val="20"/>
          <w:szCs w:val="20"/>
          <w:color w:val="auto"/>
        </w:rPr>
      </w:pPr>
      <w:r>
        <w:rPr>
          <w:rFonts w:ascii="Arial" w:cs="Arial" w:eastAsia="Arial" w:hAnsi="Arial"/>
          <w:sz w:val="15"/>
          <w:szCs w:val="15"/>
          <w:color w:val="auto"/>
        </w:rPr>
        <w:t>Consolidated Adjusted EBITDA, defined in our Term Loan Agreement as “Consolidated EBITDA,” is a measure that reflects our earnings before interest, taxes, depreciation, and amortization expense, and is further adjusted for, among other things, letter of credit fees, equity-based compensation expense, net gains or losses on property disposals, restructuring professional fees, non-recurring consulting fees, expenses associated with certain lump sum payments to our union employees and the gains or losses from permitted dispositions and discontinued operations. Consolidated Total Debt, as defined in our Term Loan Agreement, is the aggregate principal amount of indebtedness outstanding. Our total leverage ratio for the four consecutive fiscal quarters ending March 31, 2017 was 3.62 to 1.00.</w:t>
      </w:r>
    </w:p>
    <w:p>
      <w:pPr>
        <w:spacing w:after="0" w:line="152"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We believe that our results of operations will be sufficient to allow us to comply with the covenants in the Term Loan Agreement, fund our operations, increase working capital as necessary to support our planned revenue growth and fund capital expenditures for at least the next twelve months. To maintain compliance with the maximum total leverage ratio over the tenor of the Term Loan and satisfy our liquidity needs, we would have to achieve operating results that reflect performance comparable to our 2016 Adjusted EBITDA. Means for improving our profitability may include streamlining our support structure, as well as ongoing successful implementation and realization of pricing, productivity and efficiency initiatives, as well as increased volume, some of which are outside of our control.</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Fair Value Measurement</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The book value and estimated fair values of our long-term debt, including current maturities and other financial instruments, are summarized as follows: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51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March 31, 2017</w:t>
            </w:r>
          </w:p>
        </w:tc>
        <w:tc>
          <w:tcPr>
            <w:tcW w:w="10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780" w:type="dxa"/>
            <w:vAlign w:val="bottom"/>
            <w:tcBorders>
              <w:bottom w:val="single" w:sz="8" w:color="auto"/>
            </w:tcBorders>
            <w:gridSpan w:val="4"/>
          </w:tcPr>
          <w:p>
            <w:pPr>
              <w:ind w:left="740"/>
              <w:spacing w:after="0"/>
              <w:rPr>
                <w:sz w:val="20"/>
                <w:szCs w:val="20"/>
                <w:color w:val="auto"/>
              </w:rPr>
            </w:pPr>
            <w:r>
              <w:rPr>
                <w:rFonts w:ascii="Arial" w:cs="Arial" w:eastAsia="Arial" w:hAnsi="Arial"/>
                <w:sz w:val="13"/>
                <w:szCs w:val="13"/>
                <w:b w:val="1"/>
                <w:bCs w:val="1"/>
                <w:color w:val="auto"/>
              </w:rPr>
              <w:t>December 31, 2016</w:t>
            </w:r>
          </w:p>
        </w:tc>
      </w:tr>
      <w:tr>
        <w:trPr>
          <w:trHeight w:val="244"/>
        </w:trPr>
        <w:tc>
          <w:tcPr>
            <w:tcW w:w="5140" w:type="dxa"/>
            <w:vAlign w:val="bottom"/>
          </w:tcPr>
          <w:p>
            <w:pPr>
              <w:ind w:left="20"/>
              <w:spacing w:after="0"/>
              <w:rPr>
                <w:sz w:val="20"/>
                <w:szCs w:val="20"/>
                <w:color w:val="auto"/>
              </w:rPr>
            </w:pPr>
            <w:r>
              <w:rPr>
                <w:rFonts w:ascii="Arial" w:cs="Arial" w:eastAsia="Arial" w:hAnsi="Arial"/>
                <w:sz w:val="13"/>
                <w:szCs w:val="13"/>
                <w:color w:val="auto"/>
              </w:rPr>
              <w:t>(in millions)</w:t>
            </w:r>
          </w:p>
        </w:tc>
        <w:tc>
          <w:tcPr>
            <w:tcW w:w="280" w:type="dxa"/>
            <w:vAlign w:val="bottom"/>
          </w:tcPr>
          <w:p>
            <w:pPr>
              <w:spacing w:after="0"/>
              <w:rPr>
                <w:sz w:val="21"/>
                <w:szCs w:val="21"/>
                <w:color w:val="auto"/>
              </w:rPr>
            </w:pPr>
          </w:p>
        </w:tc>
        <w:tc>
          <w:tcPr>
            <w:tcW w:w="1360" w:type="dxa"/>
            <w:vAlign w:val="bottom"/>
            <w:gridSpan w:val="2"/>
          </w:tcPr>
          <w:p>
            <w:pPr>
              <w:ind w:left="160"/>
              <w:spacing w:after="0"/>
              <w:rPr>
                <w:sz w:val="20"/>
                <w:szCs w:val="20"/>
                <w:color w:val="auto"/>
              </w:rPr>
            </w:pPr>
            <w:r>
              <w:rPr>
                <w:rFonts w:ascii="Arial" w:cs="Arial" w:eastAsia="Arial" w:hAnsi="Arial"/>
                <w:sz w:val="13"/>
                <w:szCs w:val="13"/>
                <w:color w:val="auto"/>
              </w:rPr>
              <w:t>Book Value</w:t>
            </w:r>
          </w:p>
        </w:tc>
        <w:tc>
          <w:tcPr>
            <w:tcW w:w="420" w:type="dxa"/>
            <w:vAlign w:val="bottom"/>
          </w:tcPr>
          <w:p>
            <w:pPr>
              <w:spacing w:after="0"/>
              <w:rPr>
                <w:sz w:val="21"/>
                <w:szCs w:val="21"/>
                <w:color w:val="auto"/>
              </w:rPr>
            </w:pPr>
          </w:p>
        </w:tc>
        <w:tc>
          <w:tcPr>
            <w:tcW w:w="1160" w:type="dxa"/>
            <w:vAlign w:val="bottom"/>
            <w:gridSpan w:val="2"/>
          </w:tcPr>
          <w:p>
            <w:pPr>
              <w:ind w:left="40"/>
              <w:spacing w:after="0"/>
              <w:rPr>
                <w:sz w:val="20"/>
                <w:szCs w:val="20"/>
                <w:color w:val="auto"/>
              </w:rPr>
            </w:pPr>
            <w:r>
              <w:rPr>
                <w:rFonts w:ascii="Arial" w:cs="Arial" w:eastAsia="Arial" w:hAnsi="Arial"/>
                <w:sz w:val="13"/>
                <w:szCs w:val="13"/>
                <w:color w:val="auto"/>
              </w:rPr>
              <w:t>Fair value</w:t>
            </w:r>
          </w:p>
        </w:tc>
        <w:tc>
          <w:tcPr>
            <w:tcW w:w="280" w:type="dxa"/>
            <w:vAlign w:val="bottom"/>
          </w:tcPr>
          <w:p>
            <w:pPr>
              <w:spacing w:after="0"/>
              <w:rPr>
                <w:sz w:val="21"/>
                <w:szCs w:val="21"/>
                <w:color w:val="auto"/>
              </w:rPr>
            </w:pPr>
          </w:p>
        </w:tc>
        <w:tc>
          <w:tcPr>
            <w:tcW w:w="1320" w:type="dxa"/>
            <w:vAlign w:val="bottom"/>
            <w:gridSpan w:val="2"/>
          </w:tcPr>
          <w:p>
            <w:pPr>
              <w:ind w:left="160"/>
              <w:spacing w:after="0"/>
              <w:rPr>
                <w:sz w:val="20"/>
                <w:szCs w:val="20"/>
                <w:color w:val="auto"/>
              </w:rPr>
            </w:pPr>
            <w:r>
              <w:rPr>
                <w:rFonts w:ascii="Arial" w:cs="Arial" w:eastAsia="Arial" w:hAnsi="Arial"/>
                <w:sz w:val="13"/>
                <w:szCs w:val="13"/>
                <w:color w:val="auto"/>
              </w:rPr>
              <w:t>Book Value</w:t>
            </w:r>
          </w:p>
        </w:tc>
        <w:tc>
          <w:tcPr>
            <w:tcW w:w="280" w:type="dxa"/>
            <w:vAlign w:val="bottom"/>
          </w:tcPr>
          <w:p>
            <w:pPr>
              <w:spacing w:after="0"/>
              <w:rPr>
                <w:sz w:val="21"/>
                <w:szCs w:val="21"/>
                <w:color w:val="auto"/>
              </w:rPr>
            </w:pPr>
          </w:p>
        </w:tc>
        <w:tc>
          <w:tcPr>
            <w:tcW w:w="1180" w:type="dxa"/>
            <w:vAlign w:val="bottom"/>
          </w:tcPr>
          <w:p>
            <w:pPr>
              <w:jc w:val="right"/>
              <w:ind w:right="379"/>
              <w:spacing w:after="0"/>
              <w:rPr>
                <w:sz w:val="20"/>
                <w:szCs w:val="20"/>
                <w:color w:val="auto"/>
              </w:rPr>
            </w:pPr>
            <w:r>
              <w:rPr>
                <w:rFonts w:ascii="Arial" w:cs="Arial" w:eastAsia="Arial" w:hAnsi="Arial"/>
                <w:sz w:val="13"/>
                <w:szCs w:val="13"/>
                <w:color w:val="auto"/>
              </w:rPr>
              <w:t>Fair value</w:t>
            </w:r>
          </w:p>
        </w:tc>
      </w:tr>
      <w:tr>
        <w:trPr>
          <w:trHeight w:val="229"/>
        </w:trPr>
        <w:tc>
          <w:tcPr>
            <w:tcW w:w="51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Term Loan</w:t>
            </w:r>
          </w:p>
        </w:tc>
        <w:tc>
          <w:tcPr>
            <w:tcW w:w="280" w:type="dxa"/>
            <w:vAlign w:val="bottom"/>
            <w:tcBorders>
              <w:top w:val="single" w:sz="8" w:color="auto"/>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w:t>
            </w:r>
          </w:p>
        </w:tc>
        <w:tc>
          <w:tcPr>
            <w:tcW w:w="1240" w:type="dxa"/>
            <w:vAlign w:val="bottom"/>
            <w:tcBorders>
              <w:top w:val="single" w:sz="8" w:color="auto"/>
              <w:bottom w:val="single" w:sz="8" w:color="CCEEFF"/>
            </w:tcBorders>
            <w:shd w:val="clear" w:color="auto" w:fill="CCEEFF"/>
          </w:tcPr>
          <w:p>
            <w:pPr>
              <w:jc w:val="right"/>
              <w:ind w:right="42"/>
              <w:spacing w:after="0"/>
              <w:rPr>
                <w:sz w:val="20"/>
                <w:szCs w:val="20"/>
                <w:color w:val="auto"/>
              </w:rPr>
            </w:pPr>
            <w:r>
              <w:rPr>
                <w:rFonts w:ascii="Arial" w:cs="Arial" w:eastAsia="Arial" w:hAnsi="Arial"/>
                <w:sz w:val="17"/>
                <w:szCs w:val="17"/>
                <w:color w:val="auto"/>
              </w:rPr>
              <w:t>624.0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CCEEFF"/>
            </w:tcBorders>
            <w:shd w:val="clear" w:color="auto" w:fill="CCEEFF"/>
          </w:tcPr>
          <w:p>
            <w:pPr>
              <w:jc w:val="right"/>
              <w:ind w:right="216"/>
              <w:spacing w:after="0"/>
              <w:rPr>
                <w:sz w:val="20"/>
                <w:szCs w:val="20"/>
                <w:color w:val="auto"/>
              </w:rPr>
            </w:pPr>
            <w:r>
              <w:rPr>
                <w:rFonts w:ascii="Arial" w:cs="Arial" w:eastAsia="Arial" w:hAnsi="Arial"/>
                <w:sz w:val="17"/>
                <w:szCs w:val="17"/>
                <w:color w:val="auto"/>
              </w:rPr>
              <w:t>$</w:t>
            </w:r>
          </w:p>
        </w:tc>
        <w:tc>
          <w:tcPr>
            <w:tcW w:w="106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632.4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w:t>
            </w:r>
          </w:p>
        </w:tc>
        <w:tc>
          <w:tcPr>
            <w:tcW w:w="1200" w:type="dxa"/>
            <w:vAlign w:val="bottom"/>
            <w:tcBorders>
              <w:top w:val="single" w:sz="8" w:color="auto"/>
              <w:bottom w:val="single" w:sz="8" w:color="CCEEFF"/>
            </w:tcBorders>
            <w:shd w:val="clear" w:color="auto" w:fill="CCEEFF"/>
          </w:tcPr>
          <w:p>
            <w:pPr>
              <w:ind w:left="720"/>
              <w:spacing w:after="0"/>
              <w:rPr>
                <w:sz w:val="20"/>
                <w:szCs w:val="20"/>
                <w:color w:val="auto"/>
              </w:rPr>
            </w:pPr>
            <w:r>
              <w:rPr>
                <w:rFonts w:ascii="Arial" w:cs="Arial" w:eastAsia="Arial" w:hAnsi="Arial"/>
                <w:sz w:val="17"/>
                <w:szCs w:val="17"/>
                <w:color w:val="auto"/>
              </w:rPr>
              <w:t>627.2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CCEEFF"/>
            </w:tcBorders>
            <w:shd w:val="clear" w:color="auto" w:fill="CCEEFF"/>
          </w:tcPr>
          <w:p>
            <w:pPr>
              <w:jc w:val="right"/>
              <w:ind w:right="96"/>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638.1</w:t>
            </w:r>
          </w:p>
        </w:tc>
      </w:tr>
      <w:tr>
        <w:trPr>
          <w:trHeight w:val="226"/>
        </w:trPr>
        <w:tc>
          <w:tcPr>
            <w:tcW w:w="5140" w:type="dxa"/>
            <w:vAlign w:val="bottom"/>
          </w:tcPr>
          <w:p>
            <w:pPr>
              <w:ind w:left="20"/>
              <w:spacing w:after="0"/>
              <w:rPr>
                <w:sz w:val="20"/>
                <w:szCs w:val="20"/>
                <w:color w:val="auto"/>
              </w:rPr>
            </w:pPr>
            <w:r>
              <w:rPr>
                <w:rFonts w:ascii="Arial" w:cs="Arial" w:eastAsia="Arial" w:hAnsi="Arial"/>
                <w:sz w:val="17"/>
                <w:szCs w:val="17"/>
                <w:color w:val="auto"/>
              </w:rPr>
              <w:t>Lease financing obligations</w:t>
            </w:r>
          </w:p>
        </w:tc>
        <w:tc>
          <w:tcPr>
            <w:tcW w:w="280" w:type="dxa"/>
            <w:vAlign w:val="bottom"/>
          </w:tcPr>
          <w:p>
            <w:pPr>
              <w:spacing w:after="0"/>
              <w:rPr>
                <w:sz w:val="19"/>
                <w:szCs w:val="19"/>
                <w:color w:val="auto"/>
              </w:rPr>
            </w:pPr>
          </w:p>
        </w:tc>
        <w:tc>
          <w:tcPr>
            <w:tcW w:w="1240" w:type="dxa"/>
            <w:vAlign w:val="bottom"/>
          </w:tcPr>
          <w:p>
            <w:pPr>
              <w:jc w:val="right"/>
              <w:ind w:right="42"/>
              <w:spacing w:after="0"/>
              <w:rPr>
                <w:sz w:val="20"/>
                <w:szCs w:val="20"/>
                <w:color w:val="auto"/>
              </w:rPr>
            </w:pPr>
            <w:r>
              <w:rPr>
                <w:rFonts w:ascii="Arial" w:cs="Arial" w:eastAsia="Arial" w:hAnsi="Arial"/>
                <w:sz w:val="17"/>
                <w:szCs w:val="17"/>
                <w:color w:val="auto"/>
              </w:rPr>
              <w:t>266.3</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jc w:val="right"/>
              <w:ind w:right="39"/>
              <w:spacing w:after="0"/>
              <w:rPr>
                <w:sz w:val="20"/>
                <w:szCs w:val="20"/>
                <w:color w:val="auto"/>
              </w:rPr>
            </w:pPr>
            <w:r>
              <w:rPr>
                <w:rFonts w:ascii="Arial" w:cs="Arial" w:eastAsia="Arial" w:hAnsi="Arial"/>
                <w:sz w:val="17"/>
                <w:szCs w:val="17"/>
                <w:color w:val="auto"/>
              </w:rPr>
              <w:t>251.5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ind w:left="720"/>
              <w:spacing w:after="0"/>
              <w:rPr>
                <w:sz w:val="20"/>
                <w:szCs w:val="20"/>
                <w:color w:val="auto"/>
              </w:rPr>
            </w:pPr>
            <w:r>
              <w:rPr>
                <w:rFonts w:ascii="Arial" w:cs="Arial" w:eastAsia="Arial" w:hAnsi="Arial"/>
                <w:sz w:val="17"/>
                <w:szCs w:val="17"/>
                <w:color w:val="auto"/>
              </w:rPr>
              <w:t>268.6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ind w:right="19"/>
              <w:spacing w:after="0"/>
              <w:rPr>
                <w:sz w:val="20"/>
                <w:szCs w:val="20"/>
                <w:color w:val="auto"/>
              </w:rPr>
            </w:pPr>
            <w:r>
              <w:rPr>
                <w:rFonts w:ascii="Arial" w:cs="Arial" w:eastAsia="Arial" w:hAnsi="Arial"/>
                <w:sz w:val="17"/>
                <w:szCs w:val="17"/>
                <w:color w:val="auto"/>
              </w:rPr>
              <w:t>259.1</w:t>
            </w:r>
          </w:p>
        </w:tc>
      </w:tr>
      <w:tr>
        <w:trPr>
          <w:trHeight w:val="26"/>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2"/>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Second A&amp;R CDA</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7"/>
                <w:szCs w:val="17"/>
                <w:color w:val="auto"/>
              </w:rPr>
              <w:t>99.9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99.7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7"/>
                <w:szCs w:val="17"/>
                <w:color w:val="auto"/>
              </w:rPr>
              <w:t>101.3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101.8</w:t>
            </w:r>
          </w:p>
        </w:tc>
      </w:tr>
      <w:tr>
        <w:trPr>
          <w:trHeight w:val="219"/>
        </w:trPr>
        <w:tc>
          <w:tcPr>
            <w:tcW w:w="5140" w:type="dxa"/>
            <w:vAlign w:val="bottom"/>
          </w:tcPr>
          <w:p>
            <w:pPr>
              <w:ind w:left="20"/>
              <w:spacing w:after="0"/>
              <w:rPr>
                <w:sz w:val="20"/>
                <w:szCs w:val="20"/>
                <w:color w:val="auto"/>
              </w:rPr>
            </w:pPr>
            <w:r>
              <w:rPr>
                <w:rFonts w:ascii="Arial" w:cs="Arial" w:eastAsia="Arial" w:hAnsi="Arial"/>
                <w:sz w:val="17"/>
                <w:szCs w:val="17"/>
                <w:color w:val="auto"/>
              </w:rPr>
              <w:t>Total debt</w:t>
            </w:r>
          </w:p>
        </w:tc>
        <w:tc>
          <w:tcPr>
            <w:tcW w:w="280" w:type="dxa"/>
            <w:vAlign w:val="bottom"/>
            <w:tcBorders>
              <w:top w:val="single" w:sz="8" w:color="auto"/>
            </w:tcBorders>
          </w:tcPr>
          <w:p>
            <w:pPr>
              <w:jc w:val="right"/>
              <w:ind w:right="76"/>
              <w:spacing w:after="0"/>
              <w:rPr>
                <w:sz w:val="20"/>
                <w:szCs w:val="20"/>
                <w:color w:val="auto"/>
              </w:rPr>
            </w:pPr>
            <w:r>
              <w:rPr>
                <w:rFonts w:ascii="Arial" w:cs="Arial" w:eastAsia="Arial" w:hAnsi="Arial"/>
                <w:sz w:val="17"/>
                <w:szCs w:val="17"/>
                <w:color w:val="auto"/>
              </w:rPr>
              <w:t>$</w:t>
            </w:r>
          </w:p>
        </w:tc>
        <w:tc>
          <w:tcPr>
            <w:tcW w:w="1240" w:type="dxa"/>
            <w:vAlign w:val="bottom"/>
            <w:tcBorders>
              <w:top w:val="single" w:sz="8" w:color="auto"/>
            </w:tcBorders>
          </w:tcPr>
          <w:p>
            <w:pPr>
              <w:jc w:val="right"/>
              <w:ind w:right="42"/>
              <w:spacing w:after="0"/>
              <w:rPr>
                <w:sz w:val="20"/>
                <w:szCs w:val="20"/>
                <w:color w:val="auto"/>
              </w:rPr>
            </w:pPr>
            <w:r>
              <w:rPr>
                <w:rFonts w:ascii="Arial" w:cs="Arial" w:eastAsia="Arial" w:hAnsi="Arial"/>
                <w:sz w:val="17"/>
                <w:szCs w:val="17"/>
                <w:color w:val="auto"/>
              </w:rPr>
              <w:t>990.2</w:t>
            </w:r>
          </w:p>
        </w:tc>
        <w:tc>
          <w:tcPr>
            <w:tcW w:w="120" w:type="dxa"/>
            <w:vAlign w:val="bottom"/>
          </w:tcPr>
          <w:p>
            <w:pPr>
              <w:spacing w:after="0"/>
              <w:rPr>
                <w:sz w:val="19"/>
                <w:szCs w:val="19"/>
                <w:color w:val="auto"/>
              </w:rPr>
            </w:pPr>
          </w:p>
        </w:tc>
        <w:tc>
          <w:tcPr>
            <w:tcW w:w="420" w:type="dxa"/>
            <w:vAlign w:val="bottom"/>
            <w:tcBorders>
              <w:top w:val="single" w:sz="8" w:color="auto"/>
            </w:tcBorders>
          </w:tcPr>
          <w:p>
            <w:pPr>
              <w:jc w:val="right"/>
              <w:ind w:right="216"/>
              <w:spacing w:after="0"/>
              <w:rPr>
                <w:sz w:val="20"/>
                <w:szCs w:val="20"/>
                <w:color w:val="auto"/>
              </w:rPr>
            </w:pPr>
            <w:r>
              <w:rPr>
                <w:rFonts w:ascii="Arial" w:cs="Arial" w:eastAsia="Arial" w:hAnsi="Arial"/>
                <w:sz w:val="17"/>
                <w:szCs w:val="17"/>
                <w:color w:val="auto"/>
              </w:rPr>
              <w:t>$</w:t>
            </w:r>
          </w:p>
        </w:tc>
        <w:tc>
          <w:tcPr>
            <w:tcW w:w="1060" w:type="dxa"/>
            <w:vAlign w:val="bottom"/>
            <w:tcBorders>
              <w:top w:val="single" w:sz="8" w:color="auto"/>
            </w:tcBorders>
          </w:tcPr>
          <w:p>
            <w:pPr>
              <w:jc w:val="right"/>
              <w:ind w:right="39"/>
              <w:spacing w:after="0"/>
              <w:rPr>
                <w:sz w:val="20"/>
                <w:szCs w:val="20"/>
                <w:color w:val="auto"/>
              </w:rPr>
            </w:pPr>
            <w:r>
              <w:rPr>
                <w:rFonts w:ascii="Arial" w:cs="Arial" w:eastAsia="Arial" w:hAnsi="Arial"/>
                <w:sz w:val="17"/>
                <w:szCs w:val="17"/>
                <w:color w:val="auto"/>
              </w:rPr>
              <w:t>983.6</w:t>
            </w:r>
          </w:p>
        </w:tc>
        <w:tc>
          <w:tcPr>
            <w:tcW w:w="100" w:type="dxa"/>
            <w:vAlign w:val="bottom"/>
          </w:tcPr>
          <w:p>
            <w:pPr>
              <w:spacing w:after="0"/>
              <w:rPr>
                <w:sz w:val="19"/>
                <w:szCs w:val="19"/>
                <w:color w:val="auto"/>
              </w:rPr>
            </w:pPr>
          </w:p>
        </w:tc>
        <w:tc>
          <w:tcPr>
            <w:tcW w:w="280" w:type="dxa"/>
            <w:vAlign w:val="bottom"/>
            <w:tcBorders>
              <w:top w:val="single" w:sz="8" w:color="auto"/>
            </w:tcBorders>
          </w:tcPr>
          <w:p>
            <w:pPr>
              <w:jc w:val="right"/>
              <w:ind w:right="76"/>
              <w:spacing w:after="0"/>
              <w:rPr>
                <w:sz w:val="20"/>
                <w:szCs w:val="20"/>
                <w:color w:val="auto"/>
              </w:rPr>
            </w:pPr>
            <w:r>
              <w:rPr>
                <w:rFonts w:ascii="Arial" w:cs="Arial" w:eastAsia="Arial" w:hAnsi="Arial"/>
                <w:sz w:val="17"/>
                <w:szCs w:val="17"/>
                <w:color w:val="auto"/>
              </w:rPr>
              <w:t>$</w:t>
            </w:r>
          </w:p>
        </w:tc>
        <w:tc>
          <w:tcPr>
            <w:tcW w:w="1200" w:type="dxa"/>
            <w:vAlign w:val="bottom"/>
            <w:tcBorders>
              <w:top w:val="single" w:sz="8" w:color="auto"/>
            </w:tcBorders>
          </w:tcPr>
          <w:p>
            <w:pPr>
              <w:ind w:left="720"/>
              <w:spacing w:after="0"/>
              <w:rPr>
                <w:sz w:val="20"/>
                <w:szCs w:val="20"/>
                <w:color w:val="auto"/>
              </w:rPr>
            </w:pPr>
            <w:r>
              <w:rPr>
                <w:rFonts w:ascii="Arial" w:cs="Arial" w:eastAsia="Arial" w:hAnsi="Arial"/>
                <w:sz w:val="17"/>
                <w:szCs w:val="17"/>
                <w:color w:val="auto"/>
              </w:rPr>
              <w:t>997.1</w:t>
            </w:r>
          </w:p>
        </w:tc>
        <w:tc>
          <w:tcPr>
            <w:tcW w:w="120" w:type="dxa"/>
            <w:vAlign w:val="bottom"/>
          </w:tcPr>
          <w:p>
            <w:pPr>
              <w:spacing w:after="0"/>
              <w:rPr>
                <w:sz w:val="19"/>
                <w:szCs w:val="19"/>
                <w:color w:val="auto"/>
              </w:rPr>
            </w:pPr>
          </w:p>
        </w:tc>
        <w:tc>
          <w:tcPr>
            <w:tcW w:w="280" w:type="dxa"/>
            <w:vAlign w:val="bottom"/>
            <w:tcBorders>
              <w:top w:val="single" w:sz="8" w:color="auto"/>
            </w:tcBorders>
          </w:tcPr>
          <w:p>
            <w:pPr>
              <w:jc w:val="right"/>
              <w:ind w:right="96"/>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7"/>
                <w:szCs w:val="17"/>
                <w:color w:val="auto"/>
              </w:rPr>
              <w:t>999.0</w:t>
            </w:r>
          </w:p>
        </w:tc>
      </w:tr>
      <w:tr>
        <w:trPr>
          <w:trHeight w:val="26"/>
        </w:trPr>
        <w:tc>
          <w:tcPr>
            <w:tcW w:w="51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5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The fair values of the Term Loan and the Secured and Unsecured Second Amended and Restated Contribution Deferral Agreement (the “Second A&amp;R CDA”) were estimated based on observable prices (level two inputs for fair value measurements). The fair value of the lease financing obligations is estimated using a publicly-traded secured loan with similar characteristics (level three input for fair value measurement).</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Leases</w:t>
      </w:r>
    </w:p>
    <w:p>
      <w:pPr>
        <w:spacing w:after="0" w:line="207"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As of March 31, 2017, our operating lease payment obligations through 2030 totaled $316.6 million and are expected to increase as we lease additional revenue equipment. Additionally, for the three months ended March 31, 2017, we entered into new operating leases for revenue equipment totaling $7.1 million in future lease payments, payable over an average lease term of five years.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420"/>
          </w:cols>
          <w:pgMar w:left="240" w:top="122" w:right="239" w:bottom="1440" w:gutter="0" w:footer="0" w:header="0"/>
        </w:sectPr>
      </w:pPr>
    </w:p>
    <w:bookmarkStart w:id="10" w:name="page11"/>
    <w:bookmarkEnd w:id="10"/>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34" w:lineRule="exact"/>
        <w:rPr>
          <w:sz w:val="20"/>
          <w:szCs w:val="20"/>
          <w:color w:val="auto"/>
        </w:rPr>
      </w:pPr>
    </w:p>
    <w:p>
      <w:pPr>
        <w:jc w:val="both"/>
        <w:spacing w:after="0" w:line="337" w:lineRule="auto"/>
        <w:rPr>
          <w:sz w:val="20"/>
          <w:szCs w:val="20"/>
          <w:color w:val="auto"/>
        </w:rPr>
      </w:pPr>
      <w:r>
        <w:rPr>
          <w:rFonts w:ascii="Arial" w:cs="Arial" w:eastAsia="Arial" w:hAnsi="Arial"/>
          <w:sz w:val="15"/>
          <w:szCs w:val="15"/>
          <w:color w:val="auto"/>
        </w:rPr>
        <w:t>Our capital expenditures for the three months ended March 31, 2017 and 2016 were $16.3 million and $19.8 million, respectively. These amounts were principally used to fund the purchase of used tractors and trailers, to refurbish engines for our revenue fleet, and for capitalized costs to improve our technology infrastructure.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Employee Benefits</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Qualified and Nonqualified Defined Benefit Pension Plans</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components of our Company-sponsored pension costs for the three months ended March 31:</w:t>
      </w:r>
    </w:p>
    <w:p>
      <w:pPr>
        <w:spacing w:after="0" w:line="388" w:lineRule="exact"/>
        <w:rPr>
          <w:sz w:val="20"/>
          <w:szCs w:val="20"/>
          <w:color w:val="auto"/>
        </w:rPr>
      </w:pPr>
    </w:p>
    <w:tbl>
      <w:tblPr>
        <w:tblLayout w:type="fixed"/>
        <w:tblInd w:w="300" w:type="dxa"/>
        <w:tblCellMar>
          <w:top w:w="0" w:type="dxa"/>
          <w:left w:w="0" w:type="dxa"/>
          <w:bottom w:w="0" w:type="dxa"/>
          <w:right w:w="0" w:type="dxa"/>
        </w:tblCellMar>
      </w:tblPr>
      <w:tr>
        <w:trPr>
          <w:trHeight w:val="179"/>
        </w:trPr>
        <w:tc>
          <w:tcPr>
            <w:tcW w:w="84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Three Months</w:t>
            </w:r>
          </w:p>
        </w:tc>
        <w:tc>
          <w:tcPr>
            <w:tcW w:w="680" w:type="dxa"/>
            <w:vAlign w:val="bottom"/>
            <w:tcBorders>
              <w:bottom w:val="single" w:sz="8" w:color="auto"/>
            </w:tcBorders>
          </w:tcPr>
          <w:p>
            <w:pPr>
              <w:spacing w:after="0"/>
              <w:rPr>
                <w:sz w:val="15"/>
                <w:szCs w:val="15"/>
                <w:color w:val="auto"/>
              </w:rPr>
            </w:pPr>
          </w:p>
        </w:tc>
      </w:tr>
      <w:tr>
        <w:trPr>
          <w:trHeight w:val="244"/>
        </w:trPr>
        <w:tc>
          <w:tcPr>
            <w:tcW w:w="84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(in millions)</w:t>
            </w:r>
          </w:p>
        </w:tc>
        <w:tc>
          <w:tcPr>
            <w:tcW w:w="2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321"/>
              <w:spacing w:after="0"/>
              <w:rPr>
                <w:sz w:val="20"/>
                <w:szCs w:val="20"/>
                <w:color w:val="auto"/>
              </w:rPr>
            </w:pPr>
            <w:r>
              <w:rPr>
                <w:rFonts w:ascii="Arial" w:cs="Arial" w:eastAsia="Arial" w:hAnsi="Arial"/>
                <w:sz w:val="13"/>
                <w:szCs w:val="13"/>
                <w:b w:val="1"/>
                <w:bCs w:val="1"/>
                <w:color w:val="auto"/>
              </w:rPr>
              <w:t>2017</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319"/>
              <w:spacing w:after="0"/>
              <w:rPr>
                <w:sz w:val="20"/>
                <w:szCs w:val="20"/>
                <w:color w:val="auto"/>
              </w:rPr>
            </w:pPr>
            <w:r>
              <w:rPr>
                <w:rFonts w:ascii="Arial" w:cs="Arial" w:eastAsia="Arial" w:hAnsi="Arial"/>
                <w:sz w:val="13"/>
                <w:szCs w:val="13"/>
                <w:b w:val="1"/>
                <w:bCs w:val="1"/>
                <w:color w:val="auto"/>
                <w:w w:val="89"/>
              </w:rPr>
              <w:t>2016</w:t>
            </w:r>
          </w:p>
        </w:tc>
      </w:tr>
      <w:tr>
        <w:trPr>
          <w:trHeight w:val="229"/>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Service cost</w:t>
            </w:r>
          </w:p>
        </w:tc>
        <w:tc>
          <w:tcPr>
            <w:tcW w:w="2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7"/>
                <w:szCs w:val="17"/>
                <w:color w:val="auto"/>
              </w:rPr>
              <w:t>1.3</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7"/>
                <w:szCs w:val="17"/>
                <w:color w:val="auto"/>
                <w:w w:val="84"/>
              </w:rPr>
              <w:t>$</w:t>
            </w: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1.6</w:t>
            </w:r>
          </w:p>
        </w:tc>
      </w:tr>
      <w:tr>
        <w:trPr>
          <w:trHeight w:val="226"/>
        </w:trPr>
        <w:tc>
          <w:tcPr>
            <w:tcW w:w="8480" w:type="dxa"/>
            <w:vAlign w:val="bottom"/>
          </w:tcPr>
          <w:p>
            <w:pPr>
              <w:ind w:left="20"/>
              <w:spacing w:after="0"/>
              <w:rPr>
                <w:sz w:val="20"/>
                <w:szCs w:val="20"/>
                <w:color w:val="auto"/>
              </w:rPr>
            </w:pPr>
            <w:r>
              <w:rPr>
                <w:rFonts w:ascii="Arial" w:cs="Arial" w:eastAsia="Arial" w:hAnsi="Arial"/>
                <w:sz w:val="17"/>
                <w:szCs w:val="17"/>
                <w:color w:val="auto"/>
              </w:rPr>
              <w:t>Interest cost</w:t>
            </w:r>
          </w:p>
        </w:tc>
        <w:tc>
          <w:tcPr>
            <w:tcW w:w="260" w:type="dxa"/>
            <w:vAlign w:val="bottom"/>
          </w:tcPr>
          <w:p>
            <w:pPr>
              <w:spacing w:after="0"/>
              <w:rPr>
                <w:sz w:val="19"/>
                <w:szCs w:val="19"/>
                <w:color w:val="auto"/>
              </w:rPr>
            </w:pPr>
          </w:p>
        </w:tc>
        <w:tc>
          <w:tcPr>
            <w:tcW w:w="820" w:type="dxa"/>
            <w:vAlign w:val="bottom"/>
          </w:tcPr>
          <w:p>
            <w:pPr>
              <w:jc w:val="right"/>
              <w:ind w:right="21"/>
              <w:spacing w:after="0"/>
              <w:rPr>
                <w:sz w:val="20"/>
                <w:szCs w:val="20"/>
                <w:color w:val="auto"/>
              </w:rPr>
            </w:pPr>
            <w:r>
              <w:rPr>
                <w:rFonts w:ascii="Arial" w:cs="Arial" w:eastAsia="Arial" w:hAnsi="Arial"/>
                <w:sz w:val="17"/>
                <w:szCs w:val="17"/>
                <w:color w:val="auto"/>
              </w:rPr>
              <w:t>12.8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jc w:val="right"/>
              <w:ind w:right="19"/>
              <w:spacing w:after="0"/>
              <w:rPr>
                <w:sz w:val="20"/>
                <w:szCs w:val="20"/>
                <w:color w:val="auto"/>
              </w:rPr>
            </w:pPr>
            <w:r>
              <w:rPr>
                <w:rFonts w:ascii="Arial" w:cs="Arial" w:eastAsia="Arial" w:hAnsi="Arial"/>
                <w:sz w:val="17"/>
                <w:szCs w:val="17"/>
                <w:color w:val="auto"/>
              </w:rPr>
              <w:t>14.0</w:t>
            </w:r>
          </w:p>
        </w:tc>
      </w:tr>
      <w:tr>
        <w:trPr>
          <w:trHeight w:val="26"/>
        </w:trPr>
        <w:tc>
          <w:tcPr>
            <w:tcW w:w="8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32"/>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Expected return on plan assets</w:t>
            </w:r>
          </w:p>
        </w:tc>
        <w:tc>
          <w:tcPr>
            <w:tcW w:w="2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(14.8)</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(14.1)</w:t>
            </w:r>
          </w:p>
        </w:tc>
      </w:tr>
      <w:tr>
        <w:trPr>
          <w:trHeight w:val="226"/>
        </w:trPr>
        <w:tc>
          <w:tcPr>
            <w:tcW w:w="8480" w:type="dxa"/>
            <w:vAlign w:val="bottom"/>
          </w:tcPr>
          <w:p>
            <w:pPr>
              <w:ind w:left="20"/>
              <w:spacing w:after="0"/>
              <w:rPr>
                <w:sz w:val="20"/>
                <w:szCs w:val="20"/>
                <w:color w:val="auto"/>
              </w:rPr>
            </w:pPr>
            <w:r>
              <w:rPr>
                <w:rFonts w:ascii="Arial" w:cs="Arial" w:eastAsia="Arial" w:hAnsi="Arial"/>
                <w:sz w:val="17"/>
                <w:szCs w:val="17"/>
                <w:color w:val="auto"/>
              </w:rPr>
              <w:t>Amortization of net pension loss</w:t>
            </w:r>
          </w:p>
        </w:tc>
        <w:tc>
          <w:tcPr>
            <w:tcW w:w="260" w:type="dxa"/>
            <w:vAlign w:val="bottom"/>
          </w:tcPr>
          <w:p>
            <w:pPr>
              <w:spacing w:after="0"/>
              <w:rPr>
                <w:sz w:val="19"/>
                <w:szCs w:val="19"/>
                <w:color w:val="auto"/>
              </w:rPr>
            </w:pPr>
          </w:p>
        </w:tc>
        <w:tc>
          <w:tcPr>
            <w:tcW w:w="820" w:type="dxa"/>
            <w:vAlign w:val="bottom"/>
          </w:tcPr>
          <w:p>
            <w:pPr>
              <w:jc w:val="right"/>
              <w:ind w:right="21"/>
              <w:spacing w:after="0"/>
              <w:rPr>
                <w:sz w:val="20"/>
                <w:szCs w:val="20"/>
                <w:color w:val="auto"/>
              </w:rPr>
            </w:pPr>
            <w:r>
              <w:rPr>
                <w:rFonts w:ascii="Arial" w:cs="Arial" w:eastAsia="Arial" w:hAnsi="Arial"/>
                <w:sz w:val="17"/>
                <w:szCs w:val="17"/>
                <w:color w:val="auto"/>
              </w:rPr>
              <w:t>3.9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jc w:val="right"/>
              <w:ind w:right="19"/>
              <w:spacing w:after="0"/>
              <w:rPr>
                <w:sz w:val="20"/>
                <w:szCs w:val="20"/>
                <w:color w:val="auto"/>
              </w:rPr>
            </w:pPr>
            <w:r>
              <w:rPr>
                <w:rFonts w:ascii="Arial" w:cs="Arial" w:eastAsia="Arial" w:hAnsi="Arial"/>
                <w:sz w:val="17"/>
                <w:szCs w:val="17"/>
                <w:color w:val="auto"/>
              </w:rPr>
              <w:t>3.4</w:t>
            </w:r>
          </w:p>
        </w:tc>
      </w:tr>
      <w:tr>
        <w:trPr>
          <w:trHeight w:val="26"/>
        </w:trPr>
        <w:tc>
          <w:tcPr>
            <w:tcW w:w="84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49"/>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periodic pension cost</w:t>
            </w:r>
          </w:p>
        </w:tc>
        <w:tc>
          <w:tcPr>
            <w:tcW w:w="2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7"/>
                <w:szCs w:val="17"/>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7"/>
                <w:szCs w:val="17"/>
                <w:color w:val="auto"/>
                <w:w w:val="84"/>
              </w:rPr>
              <w:t>$</w:t>
            </w: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4.9</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We expect to contribute $54.1 million to our Company-sponsored pension plans in 2017 of which we have contributed $0.2 million through March 31, 2017.</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Income Taxes</w:t>
      </w:r>
    </w:p>
    <w:p>
      <w:pPr>
        <w:spacing w:after="0" w:line="217" w:lineRule="exact"/>
        <w:rPr>
          <w:sz w:val="20"/>
          <w:szCs w:val="20"/>
          <w:color w:val="auto"/>
        </w:rPr>
      </w:pPr>
    </w:p>
    <w:p>
      <w:pPr>
        <w:jc w:val="both"/>
        <w:spacing w:after="0" w:line="287" w:lineRule="auto"/>
        <w:rPr>
          <w:sz w:val="20"/>
          <w:szCs w:val="20"/>
          <w:color w:val="auto"/>
        </w:rPr>
      </w:pPr>
      <w:r>
        <w:rPr>
          <w:rFonts w:ascii="Arial" w:cs="Arial" w:eastAsia="Arial" w:hAnsi="Arial"/>
          <w:sz w:val="15"/>
          <w:szCs w:val="15"/>
          <w:color w:val="auto"/>
        </w:rPr>
        <w:t>Our effective tax rate for the three months ended March 31, 2017 was 13.9%, compared to 13.0% for the three months ended March 31, 2016. The significant items impacting the 2017 rate include a provision for federal alternative minimum tax, a net state and foreign tax provision, certain permanent items, and a change in the valuation allowance established for the net deferred tax asset balance projected for December 31, 2017. The significant items impacting the 2016 rate include a provision for federal alternative minimum tax, a net state and foreign tax provision, certain permanent items, and a change in the valuation allowance established for the net deferred tax asset balance that had been projected for December 31, 2016. We recognize valuation allowances on deferred tax assets if, based on the weight of the evidence, we determine it is more likely than not such assets will not be realized. Changes in valuation allowances are included in our tax provision in the period of change. In determining whether a valuation allowance is warranted, we evaluate factors such as prior years’ earnings history, expected future earnings, loss carry-back and carry-forward periods, reversals of existing deferred tax liabilities and tax planning strategies that potentially enhance the likelihood of the realization of a deferred tax asset. At March 31, 2017 and December 31, 2016, substantially all of our net deferred tax assets were subject to a valuation allowance.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Shareholders’ Deficit</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reflects the activity in the shares of our common stock for the three months ended March 31, 2017:</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99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(shares in thousands)</w:t>
            </w:r>
          </w:p>
        </w:tc>
        <w:tc>
          <w:tcPr>
            <w:tcW w:w="1480" w:type="dxa"/>
            <w:vAlign w:val="bottom"/>
            <w:tcBorders>
              <w:bottom w:val="single" w:sz="8" w:color="auto"/>
            </w:tcBorders>
          </w:tcPr>
          <w:p>
            <w:pPr>
              <w:jc w:val="right"/>
              <w:ind w:right="520"/>
              <w:spacing w:after="0"/>
              <w:rPr>
                <w:sz w:val="20"/>
                <w:szCs w:val="20"/>
                <w:color w:val="auto"/>
              </w:rPr>
            </w:pPr>
            <w:r>
              <w:rPr>
                <w:rFonts w:ascii="Arial" w:cs="Arial" w:eastAsia="Arial" w:hAnsi="Arial"/>
                <w:sz w:val="13"/>
                <w:szCs w:val="13"/>
                <w:b w:val="1"/>
                <w:bCs w:val="1"/>
                <w:color w:val="auto"/>
              </w:rPr>
              <w:t>2017</w:t>
            </w:r>
          </w:p>
        </w:tc>
      </w:tr>
      <w:tr>
        <w:trPr>
          <w:trHeight w:val="229"/>
        </w:trPr>
        <w:tc>
          <w:tcPr>
            <w:tcW w:w="9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Beginning balance</w:t>
            </w:r>
          </w:p>
        </w:tc>
        <w:tc>
          <w:tcPr>
            <w:tcW w:w="14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32,473</w:t>
            </w:r>
          </w:p>
        </w:tc>
      </w:tr>
      <w:tr>
        <w:trPr>
          <w:trHeight w:val="226"/>
        </w:trPr>
        <w:tc>
          <w:tcPr>
            <w:tcW w:w="9940" w:type="dxa"/>
            <w:vAlign w:val="bottom"/>
          </w:tcPr>
          <w:p>
            <w:pPr>
              <w:ind w:left="20"/>
              <w:spacing w:after="0"/>
              <w:rPr>
                <w:sz w:val="20"/>
                <w:szCs w:val="20"/>
                <w:color w:val="auto"/>
              </w:rPr>
            </w:pPr>
            <w:r>
              <w:rPr>
                <w:rFonts w:ascii="Arial" w:cs="Arial" w:eastAsia="Arial" w:hAnsi="Arial"/>
                <w:sz w:val="17"/>
                <w:szCs w:val="17"/>
                <w:color w:val="auto"/>
              </w:rPr>
              <w:t>Issuance of equity awards</w:t>
            </w:r>
          </w:p>
        </w:tc>
        <w:tc>
          <w:tcPr>
            <w:tcW w:w="1480" w:type="dxa"/>
            <w:vAlign w:val="bottom"/>
          </w:tcPr>
          <w:p>
            <w:pPr>
              <w:jc w:val="right"/>
              <w:ind w:right="20"/>
              <w:spacing w:after="0"/>
              <w:rPr>
                <w:sz w:val="20"/>
                <w:szCs w:val="20"/>
                <w:color w:val="auto"/>
              </w:rPr>
            </w:pPr>
            <w:r>
              <w:rPr>
                <w:rFonts w:ascii="Arial" w:cs="Arial" w:eastAsia="Arial" w:hAnsi="Arial"/>
                <w:sz w:val="17"/>
                <w:szCs w:val="17"/>
                <w:color w:val="auto"/>
              </w:rPr>
              <w:t>239</w:t>
            </w:r>
          </w:p>
        </w:tc>
      </w:tr>
      <w:tr>
        <w:trPr>
          <w:trHeight w:val="26"/>
        </w:trPr>
        <w:tc>
          <w:tcPr>
            <w:tcW w:w="994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9"/>
        </w:trPr>
        <w:tc>
          <w:tcPr>
            <w:tcW w:w="9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Ending balance</w:t>
            </w:r>
          </w:p>
        </w:tc>
        <w:tc>
          <w:tcPr>
            <w:tcW w:w="14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32,712</w:t>
            </w:r>
          </w:p>
        </w:tc>
      </w:tr>
      <w:tr>
        <w:trPr>
          <w:trHeight w:val="20"/>
        </w:trPr>
        <w:tc>
          <w:tcPr>
            <w:tcW w:w="99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Earnings Per Share</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Given our net loss position for each of the three months ended March 31, 2017 and March 31, 2016, we do not report dilutive securities for these periods. At March 31, 2017 and 2016, our anti-dilutive unvested shares, options, and stock units are approximately 100,000 and 499,000, respectively.</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Business Segments</w:t>
      </w:r>
    </w:p>
    <w:p>
      <w:pPr>
        <w:spacing w:after="0" w:line="21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report financial and descriptive information about our reporting segments on a basis consistent with that used internally for evaluating segment performance and allocating resources to segments. We evaluate segment performance primarily on external revenue, operating income (loss), and operating ratio.</w:t>
      </w:r>
    </w:p>
    <w:p>
      <w:pPr>
        <w:spacing w:after="0" w:line="143"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We charge management fees and other corporate service fees to our reporting segments based on the benefits received or an overhead allocation basis. Corporate and other operating losses represent residual operating expenses of the holding company. Corporate identifiable assets primarily consist of cash and cash equivalents and restricted cash. Intersegment revenue primarily relates to transportation services between our segments.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operations by business segment:</w:t>
      </w:r>
    </w:p>
    <w:p>
      <w:pPr>
        <w:spacing w:after="0" w:line="314" w:lineRule="exact"/>
        <w:rPr>
          <w:sz w:val="20"/>
          <w:szCs w:val="20"/>
          <w:color w:val="auto"/>
        </w:rPr>
      </w:pPr>
    </w:p>
    <w:tbl>
      <w:tblPr>
        <w:tblLayout w:type="fixed"/>
        <w:tblInd w:w="300" w:type="dxa"/>
        <w:tblCellMar>
          <w:top w:w="0" w:type="dxa"/>
          <w:left w:w="0" w:type="dxa"/>
          <w:bottom w:w="0" w:type="dxa"/>
          <w:right w:w="0" w:type="dxa"/>
        </w:tblCellMar>
      </w:tblPr>
      <w:tr>
        <w:trPr>
          <w:trHeight w:val="149"/>
        </w:trPr>
        <w:tc>
          <w:tcPr>
            <w:tcW w:w="364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(in millions)</w:t>
            </w:r>
          </w:p>
        </w:tc>
        <w:tc>
          <w:tcPr>
            <w:tcW w:w="1280" w:type="dxa"/>
            <w:vAlign w:val="bottom"/>
          </w:tcPr>
          <w:p>
            <w:pPr>
              <w:spacing w:after="0"/>
              <w:rPr>
                <w:sz w:val="13"/>
                <w:szCs w:val="13"/>
                <w:color w:val="auto"/>
              </w:rPr>
            </w:pPr>
          </w:p>
        </w:tc>
        <w:tc>
          <w:tcPr>
            <w:tcW w:w="1240" w:type="dxa"/>
            <w:vAlign w:val="bottom"/>
            <w:gridSpan w:val="2"/>
            <w:vMerge w:val="restart"/>
          </w:tcPr>
          <w:p>
            <w:pPr>
              <w:ind w:left="100"/>
              <w:spacing w:after="0"/>
              <w:rPr>
                <w:sz w:val="20"/>
                <w:szCs w:val="20"/>
                <w:color w:val="auto"/>
              </w:rPr>
            </w:pPr>
            <w:r>
              <w:rPr>
                <w:rFonts w:ascii="Arial" w:cs="Arial" w:eastAsia="Arial" w:hAnsi="Arial"/>
                <w:sz w:val="13"/>
                <w:szCs w:val="13"/>
                <w:b w:val="1"/>
                <w:bCs w:val="1"/>
                <w:color w:val="auto"/>
              </w:rPr>
              <w:t>YRC Freight</w:t>
            </w:r>
          </w:p>
        </w:tc>
        <w:tc>
          <w:tcPr>
            <w:tcW w:w="180" w:type="dxa"/>
            <w:vAlign w:val="bottom"/>
          </w:tcPr>
          <w:p>
            <w:pPr>
              <w:spacing w:after="0"/>
              <w:rPr>
                <w:sz w:val="13"/>
                <w:szCs w:val="13"/>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0"/>
              </w:rPr>
              <w:t>Regional</w:t>
            </w:r>
          </w:p>
        </w:tc>
        <w:tc>
          <w:tcPr>
            <w:tcW w:w="220" w:type="dxa"/>
            <w:vAlign w:val="bottom"/>
          </w:tcPr>
          <w:p>
            <w:pPr>
              <w:spacing w:after="0"/>
              <w:rPr>
                <w:sz w:val="13"/>
                <w:szCs w:val="13"/>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4"/>
              </w:rPr>
              <w:t>Corporate/</w:t>
            </w:r>
          </w:p>
        </w:tc>
        <w:tc>
          <w:tcPr>
            <w:tcW w:w="220" w:type="dxa"/>
            <w:vAlign w:val="bottom"/>
          </w:tcPr>
          <w:p>
            <w:pPr>
              <w:spacing w:after="0"/>
              <w:rPr>
                <w:sz w:val="13"/>
                <w:szCs w:val="13"/>
                <w:color w:val="auto"/>
              </w:rPr>
            </w:pPr>
          </w:p>
        </w:tc>
        <w:tc>
          <w:tcPr>
            <w:tcW w:w="1140" w:type="dxa"/>
            <w:vAlign w:val="bottom"/>
            <w:vMerge w:val="restart"/>
          </w:tcPr>
          <w:p>
            <w:pPr>
              <w:jc w:val="right"/>
              <w:ind w:right="219"/>
              <w:spacing w:after="0"/>
              <w:rPr>
                <w:sz w:val="20"/>
                <w:szCs w:val="20"/>
                <w:color w:val="auto"/>
              </w:rPr>
            </w:pPr>
            <w:r>
              <w:rPr>
                <w:rFonts w:ascii="Arial" w:cs="Arial" w:eastAsia="Arial" w:hAnsi="Arial"/>
                <w:sz w:val="13"/>
                <w:szCs w:val="13"/>
                <w:b w:val="1"/>
                <w:bCs w:val="1"/>
                <w:color w:val="auto"/>
                <w:w w:val="99"/>
              </w:rPr>
              <w:t>Consolidated</w:t>
            </w:r>
          </w:p>
        </w:tc>
        <w:tc>
          <w:tcPr>
            <w:tcW w:w="0" w:type="dxa"/>
            <w:vAlign w:val="bottom"/>
          </w:tcPr>
          <w:p>
            <w:pPr>
              <w:spacing w:after="0"/>
              <w:rPr>
                <w:sz w:val="1"/>
                <w:szCs w:val="1"/>
                <w:color w:val="auto"/>
              </w:rPr>
            </w:pPr>
          </w:p>
        </w:tc>
      </w:tr>
      <w:tr>
        <w:trPr>
          <w:trHeight w:val="179"/>
        </w:trPr>
        <w:tc>
          <w:tcPr>
            <w:tcW w:w="3640" w:type="dxa"/>
            <w:vAlign w:val="bottom"/>
            <w:vMerge w:val="continue"/>
          </w:tcPr>
          <w:p>
            <w:pPr>
              <w:spacing w:after="0"/>
              <w:rPr>
                <w:sz w:val="15"/>
                <w:szCs w:val="15"/>
                <w:color w:val="auto"/>
              </w:rPr>
            </w:pPr>
          </w:p>
        </w:tc>
        <w:tc>
          <w:tcPr>
            <w:tcW w:w="128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3"/>
              </w:rPr>
              <w:t>Transportation</w:t>
            </w:r>
          </w:p>
        </w:tc>
        <w:tc>
          <w:tcPr>
            <w:tcW w:w="220" w:type="dxa"/>
            <w:vAlign w:val="bottom"/>
          </w:tcPr>
          <w:p>
            <w:pPr>
              <w:spacing w:after="0"/>
              <w:rPr>
                <w:sz w:val="15"/>
                <w:szCs w:val="15"/>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5"/>
              </w:rPr>
              <w:t>Eliminations</w:t>
            </w:r>
          </w:p>
        </w:tc>
        <w:tc>
          <w:tcPr>
            <w:tcW w:w="22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6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As of March 31, 2017</w:t>
            </w:r>
          </w:p>
        </w:tc>
        <w:tc>
          <w:tcPr>
            <w:tcW w:w="1280" w:type="dxa"/>
            <w:vAlign w:val="bottom"/>
            <w:tcBorders>
              <w:top w:val="single" w:sz="8" w:color="auto"/>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CCEEFF"/>
            </w:tcBorders>
            <w:shd w:val="clear" w:color="auto" w:fill="CCEEFF"/>
          </w:tcPr>
          <w:p>
            <w:pPr>
              <w:spacing w:after="0"/>
              <w:rPr>
                <w:sz w:val="19"/>
                <w:szCs w:val="19"/>
                <w:color w:val="auto"/>
              </w:rPr>
            </w:pPr>
          </w:p>
        </w:tc>
        <w:tc>
          <w:tcPr>
            <w:tcW w:w="118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640" w:type="dxa"/>
            <w:vAlign w:val="bottom"/>
          </w:tcPr>
          <w:p>
            <w:pPr>
              <w:ind w:left="360"/>
              <w:spacing w:after="0"/>
              <w:rPr>
                <w:sz w:val="20"/>
                <w:szCs w:val="20"/>
                <w:color w:val="auto"/>
              </w:rPr>
            </w:pPr>
            <w:r>
              <w:rPr>
                <w:rFonts w:ascii="Arial" w:cs="Arial" w:eastAsia="Arial" w:hAnsi="Arial"/>
                <w:sz w:val="17"/>
                <w:szCs w:val="17"/>
                <w:color w:val="auto"/>
              </w:rPr>
              <w:t>Identifiable assets</w:t>
            </w:r>
          </w:p>
        </w:tc>
        <w:tc>
          <w:tcPr>
            <w:tcW w:w="128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9"/>
              <w:spacing w:after="0"/>
              <w:rPr>
                <w:sz w:val="20"/>
                <w:szCs w:val="20"/>
                <w:color w:val="auto"/>
              </w:rPr>
            </w:pPr>
            <w:r>
              <w:rPr>
                <w:rFonts w:ascii="Arial" w:cs="Arial" w:eastAsia="Arial" w:hAnsi="Arial"/>
                <w:sz w:val="17"/>
                <w:szCs w:val="17"/>
                <w:color w:val="auto"/>
              </w:rPr>
              <w:t>1,069.9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20"/>
              <w:spacing w:after="0"/>
              <w:rPr>
                <w:sz w:val="20"/>
                <w:szCs w:val="20"/>
                <w:color w:val="auto"/>
              </w:rPr>
            </w:pPr>
            <w:r>
              <w:rPr>
                <w:rFonts w:ascii="Arial" w:cs="Arial" w:eastAsia="Arial" w:hAnsi="Arial"/>
                <w:sz w:val="17"/>
                <w:szCs w:val="17"/>
                <w:color w:val="auto"/>
              </w:rPr>
              <w:t>667.5</w:t>
            </w:r>
          </w:p>
        </w:tc>
        <w:tc>
          <w:tcPr>
            <w:tcW w:w="100" w:type="dxa"/>
            <w:vAlign w:val="bottom"/>
          </w:tcPr>
          <w:p>
            <w:pPr>
              <w:spacing w:after="0"/>
              <w:rPr>
                <w:sz w:val="19"/>
                <w:szCs w:val="19"/>
                <w:color w:val="auto"/>
              </w:rPr>
            </w:pPr>
          </w:p>
        </w:tc>
        <w:tc>
          <w:tcPr>
            <w:tcW w:w="22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(9.5)</w:t>
            </w:r>
          </w:p>
        </w:tc>
        <w:tc>
          <w:tcPr>
            <w:tcW w:w="100" w:type="dxa"/>
            <w:vAlign w:val="bottom"/>
          </w:tcPr>
          <w:p>
            <w:pPr>
              <w:spacing w:after="0"/>
              <w:rPr>
                <w:sz w:val="19"/>
                <w:szCs w:val="19"/>
                <w:color w:val="auto"/>
              </w:rPr>
            </w:pPr>
          </w:p>
        </w:tc>
        <w:tc>
          <w:tcPr>
            <w:tcW w:w="22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9"/>
              <w:spacing w:after="0"/>
              <w:rPr>
                <w:sz w:val="20"/>
                <w:szCs w:val="20"/>
                <w:color w:val="auto"/>
              </w:rPr>
            </w:pPr>
            <w:r>
              <w:rPr>
                <w:rFonts w:ascii="Arial" w:cs="Arial" w:eastAsia="Arial" w:hAnsi="Arial"/>
                <w:sz w:val="17"/>
                <w:szCs w:val="17"/>
                <w:color w:val="auto"/>
              </w:rPr>
              <w:t>1,727.9</w:t>
            </w:r>
          </w:p>
        </w:tc>
        <w:tc>
          <w:tcPr>
            <w:tcW w:w="0" w:type="dxa"/>
            <w:vAlign w:val="bottom"/>
          </w:tcPr>
          <w:p>
            <w:pPr>
              <w:spacing w:after="0"/>
              <w:rPr>
                <w:sz w:val="1"/>
                <w:szCs w:val="1"/>
                <w:color w:val="auto"/>
              </w:rPr>
            </w:pPr>
          </w:p>
        </w:tc>
      </w:tr>
      <w:tr>
        <w:trPr>
          <w:trHeight w:val="26"/>
        </w:trPr>
        <w:tc>
          <w:tcPr>
            <w:tcW w:w="36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As of December 31, 2016</w:t>
            </w:r>
          </w:p>
        </w:tc>
        <w:tc>
          <w:tcPr>
            <w:tcW w:w="12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3640" w:type="dxa"/>
            <w:vAlign w:val="bottom"/>
          </w:tcPr>
          <w:p>
            <w:pPr>
              <w:ind w:left="360"/>
              <w:spacing w:after="0"/>
              <w:rPr>
                <w:sz w:val="20"/>
                <w:szCs w:val="20"/>
                <w:color w:val="auto"/>
              </w:rPr>
            </w:pPr>
            <w:r>
              <w:rPr>
                <w:rFonts w:ascii="Arial" w:cs="Arial" w:eastAsia="Arial" w:hAnsi="Arial"/>
                <w:sz w:val="17"/>
                <w:szCs w:val="17"/>
                <w:color w:val="auto"/>
              </w:rPr>
              <w:t>Identifiable assets</w:t>
            </w:r>
          </w:p>
        </w:tc>
        <w:tc>
          <w:tcPr>
            <w:tcW w:w="128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9"/>
              <w:spacing w:after="0"/>
              <w:rPr>
                <w:sz w:val="20"/>
                <w:szCs w:val="20"/>
                <w:color w:val="auto"/>
              </w:rPr>
            </w:pPr>
            <w:r>
              <w:rPr>
                <w:rFonts w:ascii="Arial" w:cs="Arial" w:eastAsia="Arial" w:hAnsi="Arial"/>
                <w:sz w:val="17"/>
                <w:szCs w:val="17"/>
                <w:color w:val="auto"/>
              </w:rPr>
              <w:t>1,208.7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20"/>
              <w:spacing w:after="0"/>
              <w:rPr>
                <w:sz w:val="20"/>
                <w:szCs w:val="20"/>
                <w:color w:val="auto"/>
              </w:rPr>
            </w:pPr>
            <w:r>
              <w:rPr>
                <w:rFonts w:ascii="Arial" w:cs="Arial" w:eastAsia="Arial" w:hAnsi="Arial"/>
                <w:sz w:val="17"/>
                <w:szCs w:val="17"/>
                <w:color w:val="auto"/>
              </w:rPr>
              <w:t>642.9</w:t>
            </w:r>
          </w:p>
        </w:tc>
        <w:tc>
          <w:tcPr>
            <w:tcW w:w="100" w:type="dxa"/>
            <w:vAlign w:val="bottom"/>
          </w:tcPr>
          <w:p>
            <w:pPr>
              <w:spacing w:after="0"/>
              <w:rPr>
                <w:sz w:val="19"/>
                <w:szCs w:val="19"/>
                <w:color w:val="auto"/>
              </w:rPr>
            </w:pPr>
          </w:p>
        </w:tc>
        <w:tc>
          <w:tcPr>
            <w:tcW w:w="22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(81.6)</w:t>
            </w:r>
          </w:p>
        </w:tc>
        <w:tc>
          <w:tcPr>
            <w:tcW w:w="100" w:type="dxa"/>
            <w:vAlign w:val="bottom"/>
          </w:tcPr>
          <w:p>
            <w:pPr>
              <w:spacing w:after="0"/>
              <w:rPr>
                <w:sz w:val="19"/>
                <w:szCs w:val="19"/>
                <w:color w:val="auto"/>
              </w:rPr>
            </w:pPr>
          </w:p>
        </w:tc>
        <w:tc>
          <w:tcPr>
            <w:tcW w:w="22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9"/>
              <w:spacing w:after="0"/>
              <w:rPr>
                <w:sz w:val="20"/>
                <w:szCs w:val="20"/>
                <w:color w:val="auto"/>
              </w:rPr>
            </w:pPr>
            <w:r>
              <w:rPr>
                <w:rFonts w:ascii="Arial" w:cs="Arial" w:eastAsia="Arial" w:hAnsi="Arial"/>
                <w:sz w:val="17"/>
                <w:szCs w:val="17"/>
                <w:color w:val="auto"/>
              </w:rPr>
              <w:t>1,770.0</w:t>
            </w:r>
          </w:p>
        </w:tc>
        <w:tc>
          <w:tcPr>
            <w:tcW w:w="0" w:type="dxa"/>
            <w:vAlign w:val="bottom"/>
          </w:tcPr>
          <w:p>
            <w:pPr>
              <w:spacing w:after="0"/>
              <w:rPr>
                <w:sz w:val="1"/>
                <w:szCs w:val="1"/>
                <w:color w:val="auto"/>
              </w:rPr>
            </w:pPr>
          </w:p>
        </w:tc>
      </w:tr>
      <w:tr>
        <w:trPr>
          <w:trHeight w:val="26"/>
        </w:trPr>
        <w:tc>
          <w:tcPr>
            <w:tcW w:w="36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Three Months Ended March 31, 2017</w:t>
            </w:r>
          </w:p>
        </w:tc>
        <w:tc>
          <w:tcPr>
            <w:tcW w:w="12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3640" w:type="dxa"/>
            <w:vAlign w:val="bottom"/>
          </w:tcPr>
          <w:p>
            <w:pPr>
              <w:ind w:left="360"/>
              <w:spacing w:after="0"/>
              <w:rPr>
                <w:sz w:val="20"/>
                <w:szCs w:val="20"/>
                <w:color w:val="auto"/>
              </w:rPr>
            </w:pPr>
            <w:r>
              <w:rPr>
                <w:rFonts w:ascii="Arial" w:cs="Arial" w:eastAsia="Arial" w:hAnsi="Arial"/>
                <w:sz w:val="17"/>
                <w:szCs w:val="17"/>
                <w:color w:val="auto"/>
              </w:rPr>
              <w:t>External revenue</w:t>
            </w:r>
          </w:p>
        </w:tc>
        <w:tc>
          <w:tcPr>
            <w:tcW w:w="128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9"/>
              <w:spacing w:after="0"/>
              <w:rPr>
                <w:sz w:val="20"/>
                <w:szCs w:val="20"/>
                <w:color w:val="auto"/>
              </w:rPr>
            </w:pPr>
            <w:r>
              <w:rPr>
                <w:rFonts w:ascii="Arial" w:cs="Arial" w:eastAsia="Arial" w:hAnsi="Arial"/>
                <w:sz w:val="17"/>
                <w:szCs w:val="17"/>
                <w:color w:val="auto"/>
              </w:rPr>
              <w:t>728.9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20"/>
              <w:spacing w:after="0"/>
              <w:rPr>
                <w:sz w:val="20"/>
                <w:szCs w:val="20"/>
                <w:color w:val="auto"/>
              </w:rPr>
            </w:pPr>
            <w:r>
              <w:rPr>
                <w:rFonts w:ascii="Arial" w:cs="Arial" w:eastAsia="Arial" w:hAnsi="Arial"/>
                <w:sz w:val="17"/>
                <w:szCs w:val="17"/>
                <w:color w:val="auto"/>
              </w:rPr>
              <w:t>441.8</w:t>
            </w:r>
          </w:p>
        </w:tc>
        <w:tc>
          <w:tcPr>
            <w:tcW w:w="100" w:type="dxa"/>
            <w:vAlign w:val="bottom"/>
          </w:tcPr>
          <w:p>
            <w:pPr>
              <w:spacing w:after="0"/>
              <w:rPr>
                <w:sz w:val="19"/>
                <w:szCs w:val="19"/>
                <w:color w:val="auto"/>
              </w:rPr>
            </w:pPr>
          </w:p>
        </w:tc>
        <w:tc>
          <w:tcPr>
            <w:tcW w:w="22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19"/>
                <w:szCs w:val="19"/>
                <w:color w:val="auto"/>
              </w:rPr>
            </w:pPr>
          </w:p>
        </w:tc>
        <w:tc>
          <w:tcPr>
            <w:tcW w:w="22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9"/>
              <w:spacing w:after="0"/>
              <w:rPr>
                <w:sz w:val="20"/>
                <w:szCs w:val="20"/>
                <w:color w:val="auto"/>
              </w:rPr>
            </w:pPr>
            <w:r>
              <w:rPr>
                <w:rFonts w:ascii="Arial" w:cs="Arial" w:eastAsia="Arial" w:hAnsi="Arial"/>
                <w:sz w:val="17"/>
                <w:szCs w:val="17"/>
                <w:color w:val="auto"/>
              </w:rPr>
              <w:t>1,170.6</w:t>
            </w:r>
          </w:p>
        </w:tc>
        <w:tc>
          <w:tcPr>
            <w:tcW w:w="0" w:type="dxa"/>
            <w:vAlign w:val="bottom"/>
          </w:tcPr>
          <w:p>
            <w:pPr>
              <w:spacing w:after="0"/>
              <w:rPr>
                <w:sz w:val="1"/>
                <w:szCs w:val="1"/>
                <w:color w:val="auto"/>
              </w:rPr>
            </w:pPr>
          </w:p>
        </w:tc>
      </w:tr>
      <w:tr>
        <w:trPr>
          <w:trHeight w:val="26"/>
        </w:trPr>
        <w:tc>
          <w:tcPr>
            <w:tcW w:w="36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36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Operating income (loss)</w:t>
            </w: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12.2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0" w:type="dxa"/>
            <w:vAlign w:val="bottom"/>
          </w:tcPr>
          <w:p>
            <w:pPr>
              <w:spacing w:after="0"/>
              <w:rPr>
                <w:sz w:val="1"/>
                <w:szCs w:val="1"/>
                <w:color w:val="auto"/>
              </w:rPr>
            </w:pPr>
          </w:p>
        </w:tc>
      </w:tr>
      <w:tr>
        <w:trPr>
          <w:trHeight w:val="226"/>
        </w:trPr>
        <w:tc>
          <w:tcPr>
            <w:tcW w:w="3640" w:type="dxa"/>
            <w:vAlign w:val="bottom"/>
          </w:tcPr>
          <w:p>
            <w:pPr>
              <w:ind w:left="20"/>
              <w:spacing w:after="0"/>
              <w:rPr>
                <w:sz w:val="20"/>
                <w:szCs w:val="20"/>
                <w:color w:val="auto"/>
              </w:rPr>
            </w:pPr>
            <w:r>
              <w:rPr>
                <w:rFonts w:ascii="Arial" w:cs="Arial" w:eastAsia="Arial" w:hAnsi="Arial"/>
                <w:sz w:val="17"/>
                <w:szCs w:val="17"/>
                <w:color w:val="auto"/>
              </w:rPr>
              <w:t>Three Months Ended March 31, 2016</w:t>
            </w:r>
          </w:p>
        </w:tc>
        <w:tc>
          <w:tcPr>
            <w:tcW w:w="1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36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36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External revenue</w:t>
            </w: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695.7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424.8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1,120.3</w:t>
            </w:r>
          </w:p>
        </w:tc>
        <w:tc>
          <w:tcPr>
            <w:tcW w:w="0" w:type="dxa"/>
            <w:vAlign w:val="bottom"/>
          </w:tcPr>
          <w:p>
            <w:pPr>
              <w:spacing w:after="0"/>
              <w:rPr>
                <w:sz w:val="1"/>
                <w:szCs w:val="1"/>
                <w:color w:val="auto"/>
              </w:rPr>
            </w:pPr>
          </w:p>
        </w:tc>
      </w:tr>
      <w:tr>
        <w:trPr>
          <w:trHeight w:val="226"/>
        </w:trPr>
        <w:tc>
          <w:tcPr>
            <w:tcW w:w="3640" w:type="dxa"/>
            <w:vAlign w:val="bottom"/>
          </w:tcPr>
          <w:p>
            <w:pPr>
              <w:ind w:left="360"/>
              <w:spacing w:after="0"/>
              <w:rPr>
                <w:sz w:val="20"/>
                <w:szCs w:val="20"/>
                <w:color w:val="auto"/>
              </w:rPr>
            </w:pPr>
            <w:r>
              <w:rPr>
                <w:rFonts w:ascii="Arial" w:cs="Arial" w:eastAsia="Arial" w:hAnsi="Arial"/>
                <w:sz w:val="17"/>
                <w:szCs w:val="17"/>
                <w:color w:val="auto"/>
              </w:rPr>
              <w:t>Operating income (loss)</w:t>
            </w:r>
          </w:p>
        </w:tc>
        <w:tc>
          <w:tcPr>
            <w:tcW w:w="128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9"/>
              <w:spacing w:after="0"/>
              <w:rPr>
                <w:sz w:val="20"/>
                <w:szCs w:val="20"/>
                <w:color w:val="auto"/>
              </w:rPr>
            </w:pPr>
            <w:r>
              <w:rPr>
                <w:rFonts w:ascii="Arial" w:cs="Arial" w:eastAsia="Arial" w:hAnsi="Arial"/>
                <w:sz w:val="17"/>
                <w:szCs w:val="17"/>
                <w:color w:val="auto"/>
              </w:rPr>
              <w:t>4.1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20"/>
              <w:spacing w:after="0"/>
              <w:rPr>
                <w:sz w:val="20"/>
                <w:szCs w:val="20"/>
                <w:color w:val="auto"/>
              </w:rPr>
            </w:pPr>
            <w:r>
              <w:rPr>
                <w:rFonts w:ascii="Arial" w:cs="Arial" w:eastAsia="Arial" w:hAnsi="Arial"/>
                <w:sz w:val="17"/>
                <w:szCs w:val="17"/>
                <w:color w:val="auto"/>
              </w:rPr>
              <w:t>12.4</w:t>
            </w:r>
          </w:p>
        </w:tc>
        <w:tc>
          <w:tcPr>
            <w:tcW w:w="100" w:type="dxa"/>
            <w:vAlign w:val="bottom"/>
          </w:tcPr>
          <w:p>
            <w:pPr>
              <w:spacing w:after="0"/>
              <w:rPr>
                <w:sz w:val="19"/>
                <w:szCs w:val="19"/>
                <w:color w:val="auto"/>
              </w:rPr>
            </w:pPr>
          </w:p>
        </w:tc>
        <w:tc>
          <w:tcPr>
            <w:tcW w:w="22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(3.1)</w:t>
            </w:r>
          </w:p>
        </w:tc>
        <w:tc>
          <w:tcPr>
            <w:tcW w:w="100" w:type="dxa"/>
            <w:vAlign w:val="bottom"/>
          </w:tcPr>
          <w:p>
            <w:pPr>
              <w:spacing w:after="0"/>
              <w:rPr>
                <w:sz w:val="19"/>
                <w:szCs w:val="19"/>
                <w:color w:val="auto"/>
              </w:rPr>
            </w:pPr>
          </w:p>
        </w:tc>
        <w:tc>
          <w:tcPr>
            <w:tcW w:w="22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9"/>
              <w:spacing w:after="0"/>
              <w:rPr>
                <w:sz w:val="20"/>
                <w:szCs w:val="20"/>
                <w:color w:val="auto"/>
              </w:rPr>
            </w:pPr>
            <w:r>
              <w:rPr>
                <w:rFonts w:ascii="Arial" w:cs="Arial" w:eastAsia="Arial" w:hAnsi="Arial"/>
                <w:sz w:val="17"/>
                <w:szCs w:val="17"/>
                <w:color w:val="auto"/>
              </w:rPr>
              <w:t>13.4</w:t>
            </w:r>
          </w:p>
        </w:tc>
        <w:tc>
          <w:tcPr>
            <w:tcW w:w="0" w:type="dxa"/>
            <w:vAlign w:val="bottom"/>
          </w:tcPr>
          <w:p>
            <w:pPr>
              <w:spacing w:after="0"/>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Contingencies and Uncertainties</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California Labor Law Change</w:t>
      </w:r>
    </w:p>
    <w:p>
      <w:pPr>
        <w:spacing w:after="0" w:line="207"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In October 2015, California adopted new rules governing the payment of piece-rate compensation. New California Labor Code section 226.2 sets forth requirements for the payment of a separate hourly wage for “nonproductive” time worked by piece-rate employees, and separate payment for compensable rest and recovery periods to those employees. The Company continues to assess the impact of this new law and ongoing compliance measures. We believe the possible loss or range of loss is inconsequential to our consolidated financial statements.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Legal Matters</w:t>
      </w:r>
    </w:p>
    <w:p>
      <w:pPr>
        <w:spacing w:after="0" w:line="207"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We are involved in litigation or proceedings that arise in ordinary business activities. When possible, we insure against these risks to the extent we deem prudent, but no assurance can be given that the nature or amount of such insurance will be sufficient to fully indemnify us against liabilities arising out of pending and future legal proceedings. Many of these insurance policies contain self-insured retentions in amounts we deem prudent. Based on our current assessment of information available as of the date of these consolidated financial statements, we believe that our consolidated financial statements include adequate provisions for estimated costs and losses that may be incurred within the litigation and proceedings to which we are a party.</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420"/>
          </w:cols>
          <w:pgMar w:left="240" w:top="122" w:right="239" w:bottom="1440" w:gutter="0" w:footer="0" w:header="0"/>
        </w:sectPr>
      </w:pPr>
    </w:p>
    <w:bookmarkStart w:id="12" w:name="page13"/>
    <w:bookmarkEnd w:id="12"/>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 Management’s Discussion and Analysis of Financial Condition and Results of Operations</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Cautionary Note Regarding Forward-Looking Statements</w:t>
      </w:r>
    </w:p>
    <w:p>
      <w:pPr>
        <w:spacing w:after="0" w:line="211"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Management’s Discussion and Analysis of Financial Condition and Results of Operations (“MD&amp;A”) should be read in conjunction with the Consolidated Financial Statements and the Notes to Consolidated Financial Statements included elsewhere in this report. This report includes forward-looking statements within the meaning of Section 27A of the Securities Act of 1933, as amended, and Section 21E of the Securities Exchange Act of 1934, as amended (“Exchange Act”). Forward-looking statements include those preceded by, followed by or characterized by words such as “will,” “expect,” “intend,” “anticipate,” “believe,” “could,” “should,” “may,” “project,” “forecast,” “propose,” “plan,” “designed,” “estimate,” “enable” and similar expressions which speak only as of the date the statement was made. Forward-looking statements are inherently uncertain, are based upon current beliefs, assumptions and expectations of Company management and current market conditions, and are subject to significant business, economic, competitive, regulatory and other risks, uncertainties and contingencies, known and unknown, many of which are beyond our control. Readers are cautioned not to place undue reliance on any forward-looking statements. Our future financial condition and results could differ materially from those predicted in such forward-looking statements because of a number of factors, including (without limitation):</w:t>
      </w:r>
    </w:p>
    <w:p>
      <w:pPr>
        <w:spacing w:after="0" w:line="222" w:lineRule="exact"/>
        <w:rPr>
          <w:sz w:val="20"/>
          <w:szCs w:val="20"/>
          <w:color w:val="auto"/>
        </w:rPr>
      </w:pPr>
    </w:p>
    <w:p>
      <w:pPr>
        <w:ind w:left="600" w:hanging="297"/>
        <w:spacing w:after="0"/>
        <w:tabs>
          <w:tab w:leader="none" w:pos="600" w:val="left"/>
        </w:tabs>
        <w:numPr>
          <w:ilvl w:val="0"/>
          <w:numId w:val="5"/>
        </w:numPr>
        <w:rPr>
          <w:rFonts w:ascii="Arial" w:cs="Arial" w:eastAsia="Arial" w:hAnsi="Arial"/>
          <w:sz w:val="17"/>
          <w:szCs w:val="17"/>
          <w:color w:val="auto"/>
        </w:rPr>
      </w:pPr>
      <w:r>
        <w:rPr>
          <w:rFonts w:ascii="Arial" w:cs="Arial" w:eastAsia="Arial" w:hAnsi="Arial"/>
          <w:sz w:val="17"/>
          <w:szCs w:val="17"/>
          <w:color w:val="auto"/>
        </w:rPr>
        <w:t>general economic factors, including (without limitation) customer demand in the retail and manufacturing sectors;</w:t>
      </w:r>
    </w:p>
    <w:p>
      <w:pPr>
        <w:spacing w:after="0" w:line="56" w:lineRule="exact"/>
        <w:rPr>
          <w:rFonts w:ascii="Arial" w:cs="Arial" w:eastAsia="Arial" w:hAnsi="Arial"/>
          <w:sz w:val="17"/>
          <w:szCs w:val="17"/>
          <w:color w:val="auto"/>
        </w:rPr>
      </w:pPr>
    </w:p>
    <w:p>
      <w:pPr>
        <w:ind w:left="600" w:hanging="297"/>
        <w:spacing w:after="0"/>
        <w:tabs>
          <w:tab w:leader="none" w:pos="600" w:val="left"/>
        </w:tabs>
        <w:numPr>
          <w:ilvl w:val="0"/>
          <w:numId w:val="5"/>
        </w:numPr>
        <w:rPr>
          <w:rFonts w:ascii="Arial" w:cs="Arial" w:eastAsia="Arial" w:hAnsi="Arial"/>
          <w:sz w:val="16"/>
          <w:szCs w:val="16"/>
          <w:color w:val="auto"/>
        </w:rPr>
      </w:pPr>
      <w:r>
        <w:rPr>
          <w:rFonts w:ascii="Arial" w:cs="Arial" w:eastAsia="Arial" w:hAnsi="Arial"/>
          <w:sz w:val="16"/>
          <w:szCs w:val="16"/>
          <w:color w:val="auto"/>
        </w:rPr>
        <w:t>business risks and increasing costs associated with the transportation industry, including increasing equipment, operational and technology costs;</w:t>
      </w:r>
    </w:p>
    <w:p>
      <w:pPr>
        <w:spacing w:after="0" w:line="67" w:lineRule="exact"/>
        <w:rPr>
          <w:rFonts w:ascii="Arial" w:cs="Arial" w:eastAsia="Arial" w:hAnsi="Arial"/>
          <w:sz w:val="16"/>
          <w:szCs w:val="16"/>
          <w:color w:val="auto"/>
        </w:rPr>
      </w:pPr>
    </w:p>
    <w:p>
      <w:pPr>
        <w:ind w:left="600" w:hanging="297"/>
        <w:spacing w:after="0"/>
        <w:tabs>
          <w:tab w:leader="none" w:pos="600" w:val="left"/>
        </w:tabs>
        <w:numPr>
          <w:ilvl w:val="0"/>
          <w:numId w:val="5"/>
        </w:numPr>
        <w:rPr>
          <w:rFonts w:ascii="Arial" w:cs="Arial" w:eastAsia="Arial" w:hAnsi="Arial"/>
          <w:sz w:val="17"/>
          <w:szCs w:val="17"/>
          <w:color w:val="auto"/>
        </w:rPr>
      </w:pPr>
      <w:r>
        <w:rPr>
          <w:rFonts w:ascii="Arial" w:cs="Arial" w:eastAsia="Arial" w:hAnsi="Arial"/>
          <w:sz w:val="17"/>
          <w:szCs w:val="17"/>
          <w:color w:val="auto"/>
        </w:rPr>
        <w:t>competition and competitive pressure on pricing;</w:t>
      </w:r>
    </w:p>
    <w:p>
      <w:pPr>
        <w:spacing w:after="0" w:line="56" w:lineRule="exact"/>
        <w:rPr>
          <w:rFonts w:ascii="Arial" w:cs="Arial" w:eastAsia="Arial" w:hAnsi="Arial"/>
          <w:sz w:val="17"/>
          <w:szCs w:val="17"/>
          <w:color w:val="auto"/>
        </w:rPr>
      </w:pPr>
    </w:p>
    <w:p>
      <w:pPr>
        <w:ind w:left="600" w:hanging="297"/>
        <w:spacing w:after="0"/>
        <w:tabs>
          <w:tab w:leader="none" w:pos="60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risk of labor disruptions or stoppages if our relationship with our employees and unions were to deteriorate;</w:t>
      </w:r>
    </w:p>
    <w:p>
      <w:pPr>
        <w:spacing w:after="0" w:line="56" w:lineRule="exact"/>
        <w:rPr>
          <w:rFonts w:ascii="Arial" w:cs="Arial" w:eastAsia="Arial" w:hAnsi="Arial"/>
          <w:sz w:val="17"/>
          <w:szCs w:val="17"/>
          <w:color w:val="auto"/>
        </w:rPr>
      </w:pPr>
    </w:p>
    <w:p>
      <w:pPr>
        <w:ind w:left="600" w:hanging="297"/>
        <w:spacing w:after="0"/>
        <w:tabs>
          <w:tab w:leader="none" w:pos="600" w:val="left"/>
        </w:tabs>
        <w:numPr>
          <w:ilvl w:val="0"/>
          <w:numId w:val="5"/>
        </w:numPr>
        <w:rPr>
          <w:rFonts w:ascii="Arial" w:cs="Arial" w:eastAsia="Arial" w:hAnsi="Arial"/>
          <w:sz w:val="17"/>
          <w:szCs w:val="17"/>
          <w:color w:val="auto"/>
        </w:rPr>
      </w:pPr>
      <w:r>
        <w:rPr>
          <w:rFonts w:ascii="Arial" w:cs="Arial" w:eastAsia="Arial" w:hAnsi="Arial"/>
          <w:sz w:val="17"/>
          <w:szCs w:val="17"/>
          <w:color w:val="auto"/>
        </w:rPr>
        <w:t>changes in pension expense and funding obligations, subject to interest rate volatility;</w:t>
      </w:r>
    </w:p>
    <w:p>
      <w:pPr>
        <w:spacing w:after="0" w:line="56" w:lineRule="exact"/>
        <w:rPr>
          <w:rFonts w:ascii="Arial" w:cs="Arial" w:eastAsia="Arial" w:hAnsi="Arial"/>
          <w:sz w:val="17"/>
          <w:szCs w:val="17"/>
          <w:color w:val="auto"/>
        </w:rPr>
      </w:pPr>
    </w:p>
    <w:p>
      <w:pPr>
        <w:ind w:left="600" w:hanging="297"/>
        <w:spacing w:after="0"/>
        <w:tabs>
          <w:tab w:leader="none" w:pos="600" w:val="left"/>
        </w:tabs>
        <w:numPr>
          <w:ilvl w:val="0"/>
          <w:numId w:val="5"/>
        </w:numPr>
        <w:rPr>
          <w:rFonts w:ascii="Arial" w:cs="Arial" w:eastAsia="Arial" w:hAnsi="Arial"/>
          <w:sz w:val="17"/>
          <w:szCs w:val="17"/>
          <w:color w:val="auto"/>
        </w:rPr>
      </w:pPr>
      <w:r>
        <w:rPr>
          <w:rFonts w:ascii="Arial" w:cs="Arial" w:eastAsia="Arial" w:hAnsi="Arial"/>
          <w:sz w:val="17"/>
          <w:szCs w:val="17"/>
          <w:color w:val="auto"/>
        </w:rPr>
        <w:t>increasing costs relating to our self-insurance claims expenses;</w:t>
      </w:r>
    </w:p>
    <w:p>
      <w:pPr>
        <w:spacing w:after="0" w:line="56" w:lineRule="exact"/>
        <w:rPr>
          <w:rFonts w:ascii="Arial" w:cs="Arial" w:eastAsia="Arial" w:hAnsi="Arial"/>
          <w:sz w:val="17"/>
          <w:szCs w:val="17"/>
          <w:color w:val="auto"/>
        </w:rPr>
      </w:pPr>
    </w:p>
    <w:p>
      <w:pPr>
        <w:ind w:left="600" w:hanging="297"/>
        <w:spacing w:after="0"/>
        <w:tabs>
          <w:tab w:leader="none" w:pos="60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ability to finance the maintenance, acquisition and replacement of revenue equipment and other necessary capital expenditures;</w:t>
      </w:r>
    </w:p>
    <w:p>
      <w:pPr>
        <w:spacing w:after="0" w:line="56" w:lineRule="exact"/>
        <w:rPr>
          <w:rFonts w:ascii="Arial" w:cs="Arial" w:eastAsia="Arial" w:hAnsi="Arial"/>
          <w:sz w:val="17"/>
          <w:szCs w:val="17"/>
          <w:color w:val="auto"/>
        </w:rPr>
      </w:pPr>
    </w:p>
    <w:p>
      <w:pPr>
        <w:ind w:left="600" w:hanging="297"/>
        <w:spacing w:after="0" w:line="269" w:lineRule="auto"/>
        <w:tabs>
          <w:tab w:leader="none" w:pos="60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ability to comply and the cost of compliance with, or liability resulting from violation of, federal, state, local and foreign laws and regulations, including (without limitation) labor laws and laws and regulations regarding the environment;</w:t>
      </w:r>
    </w:p>
    <w:p>
      <w:pPr>
        <w:spacing w:after="0" w:line="14" w:lineRule="exact"/>
        <w:rPr>
          <w:rFonts w:ascii="Arial" w:cs="Arial" w:eastAsia="Arial" w:hAnsi="Arial"/>
          <w:sz w:val="17"/>
          <w:szCs w:val="17"/>
          <w:color w:val="auto"/>
        </w:rPr>
      </w:pPr>
    </w:p>
    <w:p>
      <w:pPr>
        <w:ind w:left="600" w:hanging="297"/>
        <w:spacing w:after="0"/>
        <w:tabs>
          <w:tab w:leader="none" w:pos="600" w:val="left"/>
        </w:tabs>
        <w:numPr>
          <w:ilvl w:val="0"/>
          <w:numId w:val="5"/>
        </w:numPr>
        <w:rPr>
          <w:rFonts w:ascii="Arial" w:cs="Arial" w:eastAsia="Arial" w:hAnsi="Arial"/>
          <w:sz w:val="17"/>
          <w:szCs w:val="17"/>
          <w:color w:val="auto"/>
        </w:rPr>
      </w:pPr>
      <w:r>
        <w:rPr>
          <w:rFonts w:ascii="Arial" w:cs="Arial" w:eastAsia="Arial" w:hAnsi="Arial"/>
          <w:sz w:val="17"/>
          <w:szCs w:val="17"/>
          <w:color w:val="auto"/>
        </w:rPr>
        <w:t>impediments to our operations and business resulting from anti-terrorism measures;</w:t>
      </w:r>
    </w:p>
    <w:p>
      <w:pPr>
        <w:spacing w:after="0" w:line="56" w:lineRule="exact"/>
        <w:rPr>
          <w:rFonts w:ascii="Arial" w:cs="Arial" w:eastAsia="Arial" w:hAnsi="Arial"/>
          <w:sz w:val="17"/>
          <w:szCs w:val="17"/>
          <w:color w:val="auto"/>
        </w:rPr>
      </w:pPr>
    </w:p>
    <w:p>
      <w:pPr>
        <w:ind w:left="600" w:hanging="297"/>
        <w:spacing w:after="0"/>
        <w:tabs>
          <w:tab w:leader="none" w:pos="60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impact of claims and litigation expense to which we are or may become exposed;</w:t>
      </w:r>
    </w:p>
    <w:p>
      <w:pPr>
        <w:spacing w:after="0" w:line="56" w:lineRule="exact"/>
        <w:rPr>
          <w:rFonts w:ascii="Arial" w:cs="Arial" w:eastAsia="Arial" w:hAnsi="Arial"/>
          <w:sz w:val="17"/>
          <w:szCs w:val="17"/>
          <w:color w:val="auto"/>
        </w:rPr>
      </w:pPr>
    </w:p>
    <w:p>
      <w:pPr>
        <w:ind w:left="600" w:hanging="297"/>
        <w:spacing w:after="0"/>
        <w:tabs>
          <w:tab w:leader="none" w:pos="60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that we may not realize the expected benefits and costs savings from our performance and operational improvement initiatives;</w:t>
      </w:r>
    </w:p>
    <w:p>
      <w:pPr>
        <w:spacing w:after="0" w:line="56" w:lineRule="exact"/>
        <w:rPr>
          <w:rFonts w:ascii="Arial" w:cs="Arial" w:eastAsia="Arial" w:hAnsi="Arial"/>
          <w:sz w:val="17"/>
          <w:szCs w:val="17"/>
          <w:color w:val="auto"/>
        </w:rPr>
      </w:pPr>
    </w:p>
    <w:p>
      <w:pPr>
        <w:ind w:left="600" w:hanging="297"/>
        <w:spacing w:after="0"/>
        <w:tabs>
          <w:tab w:leader="none" w:pos="60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ability to attract and retain qualified drivers and increasing costs of driver compensation;</w:t>
      </w:r>
    </w:p>
    <w:p>
      <w:pPr>
        <w:spacing w:after="0" w:line="56" w:lineRule="exact"/>
        <w:rPr>
          <w:rFonts w:ascii="Arial" w:cs="Arial" w:eastAsia="Arial" w:hAnsi="Arial"/>
          <w:sz w:val="17"/>
          <w:szCs w:val="17"/>
          <w:color w:val="auto"/>
        </w:rPr>
      </w:pPr>
    </w:p>
    <w:p>
      <w:pPr>
        <w:ind w:left="600" w:hanging="297"/>
        <w:spacing w:after="0"/>
        <w:tabs>
          <w:tab w:leader="none" w:pos="600" w:val="left"/>
        </w:tabs>
        <w:numPr>
          <w:ilvl w:val="0"/>
          <w:numId w:val="5"/>
        </w:numPr>
        <w:rPr>
          <w:rFonts w:ascii="Arial" w:cs="Arial" w:eastAsia="Arial" w:hAnsi="Arial"/>
          <w:sz w:val="17"/>
          <w:szCs w:val="17"/>
          <w:color w:val="auto"/>
        </w:rPr>
      </w:pPr>
      <w:r>
        <w:rPr>
          <w:rFonts w:ascii="Arial" w:cs="Arial" w:eastAsia="Arial" w:hAnsi="Arial"/>
          <w:sz w:val="17"/>
          <w:szCs w:val="17"/>
          <w:color w:val="auto"/>
        </w:rPr>
        <w:t>a significant privacy breach or IT system disruption;</w:t>
      </w:r>
    </w:p>
    <w:p>
      <w:pPr>
        <w:spacing w:after="0" w:line="56" w:lineRule="exact"/>
        <w:rPr>
          <w:rFonts w:ascii="Arial" w:cs="Arial" w:eastAsia="Arial" w:hAnsi="Arial"/>
          <w:sz w:val="17"/>
          <w:szCs w:val="17"/>
          <w:color w:val="auto"/>
        </w:rPr>
      </w:pPr>
    </w:p>
    <w:p>
      <w:pPr>
        <w:ind w:left="600" w:hanging="297"/>
        <w:spacing w:after="0"/>
        <w:tabs>
          <w:tab w:leader="none" w:pos="600" w:val="left"/>
        </w:tabs>
        <w:numPr>
          <w:ilvl w:val="0"/>
          <w:numId w:val="5"/>
        </w:numPr>
        <w:rPr>
          <w:rFonts w:ascii="Arial" w:cs="Arial" w:eastAsia="Arial" w:hAnsi="Arial"/>
          <w:sz w:val="17"/>
          <w:szCs w:val="17"/>
          <w:color w:val="auto"/>
        </w:rPr>
      </w:pPr>
      <w:r>
        <w:rPr>
          <w:rFonts w:ascii="Arial" w:cs="Arial" w:eastAsia="Arial" w:hAnsi="Arial"/>
          <w:sz w:val="17"/>
          <w:szCs w:val="17"/>
          <w:color w:val="auto"/>
        </w:rPr>
        <w:t>risks of operating in foreign countries;</w:t>
      </w:r>
    </w:p>
    <w:p>
      <w:pPr>
        <w:spacing w:after="0" w:line="56" w:lineRule="exact"/>
        <w:rPr>
          <w:rFonts w:ascii="Arial" w:cs="Arial" w:eastAsia="Arial" w:hAnsi="Arial"/>
          <w:sz w:val="17"/>
          <w:szCs w:val="17"/>
          <w:color w:val="auto"/>
        </w:rPr>
      </w:pPr>
    </w:p>
    <w:p>
      <w:pPr>
        <w:ind w:left="600" w:hanging="297"/>
        <w:spacing w:after="0"/>
        <w:tabs>
          <w:tab w:leader="none" w:pos="60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dependence on key employees;</w:t>
      </w:r>
    </w:p>
    <w:p>
      <w:pPr>
        <w:spacing w:after="0" w:line="56" w:lineRule="exact"/>
        <w:rPr>
          <w:rFonts w:ascii="Arial" w:cs="Arial" w:eastAsia="Arial" w:hAnsi="Arial"/>
          <w:sz w:val="17"/>
          <w:szCs w:val="17"/>
          <w:color w:val="auto"/>
        </w:rPr>
      </w:pPr>
    </w:p>
    <w:p>
      <w:pPr>
        <w:ind w:left="600" w:hanging="297"/>
        <w:spacing w:after="0"/>
        <w:tabs>
          <w:tab w:leader="none" w:pos="600" w:val="left"/>
        </w:tabs>
        <w:numPr>
          <w:ilvl w:val="0"/>
          <w:numId w:val="5"/>
        </w:numPr>
        <w:rPr>
          <w:rFonts w:ascii="Arial" w:cs="Arial" w:eastAsia="Arial" w:hAnsi="Arial"/>
          <w:sz w:val="17"/>
          <w:szCs w:val="17"/>
          <w:color w:val="auto"/>
        </w:rPr>
      </w:pPr>
      <w:r>
        <w:rPr>
          <w:rFonts w:ascii="Arial" w:cs="Arial" w:eastAsia="Arial" w:hAnsi="Arial"/>
          <w:sz w:val="17"/>
          <w:szCs w:val="17"/>
          <w:color w:val="auto"/>
        </w:rPr>
        <w:t>seasonality;</w:t>
      </w:r>
    </w:p>
    <w:p>
      <w:pPr>
        <w:spacing w:after="0" w:line="56" w:lineRule="exact"/>
        <w:rPr>
          <w:rFonts w:ascii="Arial" w:cs="Arial" w:eastAsia="Arial" w:hAnsi="Arial"/>
          <w:sz w:val="17"/>
          <w:szCs w:val="17"/>
          <w:color w:val="auto"/>
        </w:rPr>
      </w:pPr>
    </w:p>
    <w:p>
      <w:pPr>
        <w:ind w:left="600" w:hanging="297"/>
        <w:spacing w:after="0" w:line="269" w:lineRule="auto"/>
        <w:tabs>
          <w:tab w:leader="none" w:pos="600" w:val="left"/>
        </w:tabs>
        <w:numPr>
          <w:ilvl w:val="0"/>
          <w:numId w:val="5"/>
        </w:numPr>
        <w:rPr>
          <w:rFonts w:ascii="Arial" w:cs="Arial" w:eastAsia="Arial" w:hAnsi="Arial"/>
          <w:sz w:val="17"/>
          <w:szCs w:val="17"/>
          <w:color w:val="auto"/>
        </w:rPr>
      </w:pPr>
      <w:r>
        <w:rPr>
          <w:rFonts w:ascii="Arial" w:cs="Arial" w:eastAsia="Arial" w:hAnsi="Arial"/>
          <w:sz w:val="17"/>
          <w:szCs w:val="17"/>
          <w:color w:val="auto"/>
        </w:rPr>
        <w:t>changes in the cost of fuel or the index upon which we base our fuel surcharge and the effectiveness of our fuel surcharge program in protecting us against fuel price volatility;</w:t>
      </w:r>
    </w:p>
    <w:p>
      <w:pPr>
        <w:spacing w:after="0" w:line="14" w:lineRule="exact"/>
        <w:rPr>
          <w:rFonts w:ascii="Arial" w:cs="Arial" w:eastAsia="Arial" w:hAnsi="Arial"/>
          <w:sz w:val="17"/>
          <w:szCs w:val="17"/>
          <w:color w:val="auto"/>
        </w:rPr>
      </w:pPr>
    </w:p>
    <w:p>
      <w:pPr>
        <w:ind w:left="600" w:hanging="297"/>
        <w:spacing w:after="0" w:line="295" w:lineRule="auto"/>
        <w:tabs>
          <w:tab w:leader="none" w:pos="600"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ability to generate sufficient liquidity to satisfy our cash needs and future cash commitments, including (without limitation) our obligations related to our indebtedness and lease and pension funding requirements, and our ability to achieve increased cash flows through improvement in operations;</w:t>
      </w:r>
    </w:p>
    <w:p>
      <w:pPr>
        <w:ind w:left="600" w:hanging="297"/>
        <w:spacing w:after="0" w:line="269" w:lineRule="auto"/>
        <w:tabs>
          <w:tab w:leader="none" w:pos="600" w:val="left"/>
        </w:tabs>
        <w:numPr>
          <w:ilvl w:val="0"/>
          <w:numId w:val="5"/>
        </w:numPr>
        <w:rPr>
          <w:rFonts w:ascii="Arial" w:cs="Arial" w:eastAsia="Arial" w:hAnsi="Arial"/>
          <w:sz w:val="17"/>
          <w:szCs w:val="17"/>
          <w:color w:val="auto"/>
        </w:rPr>
      </w:pPr>
      <w:r>
        <w:rPr>
          <w:rFonts w:ascii="Arial" w:cs="Arial" w:eastAsia="Arial" w:hAnsi="Arial"/>
          <w:sz w:val="17"/>
          <w:szCs w:val="17"/>
          <w:color w:val="auto"/>
        </w:rPr>
        <w:t>limitations on our operations, our financing opportunities, potential strategic transactions, acquisitions or dispositions resulting from restrictive covenants in the documents governing our existing and future indebtedness;</w:t>
      </w:r>
    </w:p>
    <w:p>
      <w:pPr>
        <w:spacing w:after="0" w:line="14" w:lineRule="exact"/>
        <w:rPr>
          <w:rFonts w:ascii="Arial" w:cs="Arial" w:eastAsia="Arial" w:hAnsi="Arial"/>
          <w:sz w:val="17"/>
          <w:szCs w:val="17"/>
          <w:color w:val="auto"/>
        </w:rPr>
      </w:pPr>
    </w:p>
    <w:p>
      <w:pPr>
        <w:ind w:left="600" w:hanging="297"/>
        <w:spacing w:after="0"/>
        <w:tabs>
          <w:tab w:leader="none" w:pos="60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failure to comply with the covenants in the documents governing our existing and future indebtedness;</w:t>
      </w:r>
    </w:p>
    <w:p>
      <w:pPr>
        <w:spacing w:after="0" w:line="56" w:lineRule="exact"/>
        <w:rPr>
          <w:rFonts w:ascii="Arial" w:cs="Arial" w:eastAsia="Arial" w:hAnsi="Arial"/>
          <w:sz w:val="17"/>
          <w:szCs w:val="17"/>
          <w:color w:val="auto"/>
        </w:rPr>
      </w:pPr>
    </w:p>
    <w:p>
      <w:pPr>
        <w:ind w:left="600" w:hanging="297"/>
        <w:spacing w:after="0"/>
        <w:tabs>
          <w:tab w:leader="none" w:pos="600" w:val="left"/>
        </w:tabs>
        <w:numPr>
          <w:ilvl w:val="0"/>
          <w:numId w:val="5"/>
        </w:numPr>
        <w:rPr>
          <w:rFonts w:ascii="Arial" w:cs="Arial" w:eastAsia="Arial" w:hAnsi="Arial"/>
          <w:sz w:val="17"/>
          <w:szCs w:val="17"/>
          <w:color w:val="auto"/>
        </w:rPr>
      </w:pPr>
      <w:r>
        <w:rPr>
          <w:rFonts w:ascii="Arial" w:cs="Arial" w:eastAsia="Arial" w:hAnsi="Arial"/>
          <w:sz w:val="17"/>
          <w:szCs w:val="17"/>
          <w:color w:val="auto"/>
        </w:rPr>
        <w:t>fluctuations in the price of our common stock;</w:t>
      </w:r>
    </w:p>
    <w:p>
      <w:pPr>
        <w:spacing w:after="0" w:line="56" w:lineRule="exact"/>
        <w:rPr>
          <w:rFonts w:ascii="Arial" w:cs="Arial" w:eastAsia="Arial" w:hAnsi="Arial"/>
          <w:sz w:val="17"/>
          <w:szCs w:val="17"/>
          <w:color w:val="auto"/>
        </w:rPr>
      </w:pPr>
    </w:p>
    <w:p>
      <w:pPr>
        <w:ind w:left="600" w:hanging="297"/>
        <w:spacing w:after="0"/>
        <w:tabs>
          <w:tab w:leader="none" w:pos="600" w:val="left"/>
        </w:tabs>
        <w:numPr>
          <w:ilvl w:val="0"/>
          <w:numId w:val="5"/>
        </w:numPr>
        <w:rPr>
          <w:rFonts w:ascii="Arial" w:cs="Arial" w:eastAsia="Arial" w:hAnsi="Arial"/>
          <w:sz w:val="17"/>
          <w:szCs w:val="17"/>
          <w:color w:val="auto"/>
        </w:rPr>
      </w:pPr>
      <w:r>
        <w:rPr>
          <w:rFonts w:ascii="Arial" w:cs="Arial" w:eastAsia="Arial" w:hAnsi="Arial"/>
          <w:sz w:val="17"/>
          <w:szCs w:val="17"/>
          <w:color w:val="auto"/>
        </w:rPr>
        <w:t>dilution from future issuances of our common stock;</w:t>
      </w:r>
    </w:p>
    <w:p>
      <w:pPr>
        <w:spacing w:after="0" w:line="56" w:lineRule="exact"/>
        <w:rPr>
          <w:rFonts w:ascii="Arial" w:cs="Arial" w:eastAsia="Arial" w:hAnsi="Arial"/>
          <w:sz w:val="17"/>
          <w:szCs w:val="17"/>
          <w:color w:val="auto"/>
        </w:rPr>
      </w:pPr>
    </w:p>
    <w:p>
      <w:pPr>
        <w:ind w:left="600" w:hanging="297"/>
        <w:spacing w:after="0"/>
        <w:tabs>
          <w:tab w:leader="none" w:pos="60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intention not to pay dividends on our common stock;</w:t>
      </w:r>
    </w:p>
    <w:p>
      <w:pPr>
        <w:spacing w:after="0" w:line="56" w:lineRule="exact"/>
        <w:rPr>
          <w:rFonts w:ascii="Arial" w:cs="Arial" w:eastAsia="Arial" w:hAnsi="Arial"/>
          <w:sz w:val="17"/>
          <w:szCs w:val="17"/>
          <w:color w:val="auto"/>
        </w:rPr>
      </w:pPr>
    </w:p>
    <w:p>
      <w:pPr>
        <w:ind w:left="600" w:hanging="297"/>
        <w:spacing w:after="0"/>
        <w:tabs>
          <w:tab w:leader="none" w:pos="60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that we have the ability to issue preferred stock that may adversely affect the rights of holders of our common stock; and</w:t>
      </w:r>
    </w:p>
    <w:p>
      <w:pPr>
        <w:spacing w:after="0" w:line="56" w:lineRule="exact"/>
        <w:rPr>
          <w:rFonts w:ascii="Arial" w:cs="Arial" w:eastAsia="Arial" w:hAnsi="Arial"/>
          <w:sz w:val="17"/>
          <w:szCs w:val="17"/>
          <w:color w:val="auto"/>
        </w:rPr>
      </w:pPr>
    </w:p>
    <w:p>
      <w:pPr>
        <w:ind w:left="600" w:hanging="297"/>
        <w:spacing w:after="0" w:line="269" w:lineRule="auto"/>
        <w:tabs>
          <w:tab w:leader="none" w:pos="600" w:val="left"/>
        </w:tabs>
        <w:numPr>
          <w:ilvl w:val="0"/>
          <w:numId w:val="5"/>
        </w:numPr>
        <w:rPr>
          <w:rFonts w:ascii="Arial" w:cs="Arial" w:eastAsia="Arial" w:hAnsi="Arial"/>
          <w:sz w:val="17"/>
          <w:szCs w:val="17"/>
          <w:color w:val="auto"/>
        </w:rPr>
      </w:pPr>
      <w:r>
        <w:rPr>
          <w:rFonts w:ascii="Arial" w:cs="Arial" w:eastAsia="Arial" w:hAnsi="Arial"/>
          <w:sz w:val="17"/>
          <w:szCs w:val="17"/>
          <w:color w:val="auto"/>
        </w:rPr>
        <w:t>other risks and contingencies, including (without limitation) the risk factors that are included in our reports filed with the SEC, including those described under “Risk Factors” in our annual report on Form 10-K and quarterly reports on Form 10-Q, including this quarterly report.</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MD&amp;A includes the following sections:</w:t>
      </w:r>
    </w:p>
    <w:p>
      <w:pPr>
        <w:spacing w:after="0" w:line="203" w:lineRule="exact"/>
        <w:rPr>
          <w:sz w:val="20"/>
          <w:szCs w:val="20"/>
          <w:color w:val="auto"/>
        </w:rPr>
      </w:pPr>
    </w:p>
    <w:p>
      <w:pPr>
        <w:ind w:left="1200"/>
        <w:spacing w:after="0"/>
        <w:rPr>
          <w:sz w:val="20"/>
          <w:szCs w:val="20"/>
          <w:color w:val="auto"/>
        </w:rPr>
      </w:pPr>
      <w:r>
        <w:rPr>
          <w:rFonts w:ascii="Arial" w:cs="Arial" w:eastAsia="Arial" w:hAnsi="Arial"/>
          <w:sz w:val="17"/>
          <w:szCs w:val="17"/>
          <w:b w:val="1"/>
          <w:bCs w:val="1"/>
          <w:color w:val="auto"/>
        </w:rPr>
        <w:t xml:space="preserve">Our Business </w:t>
      </w:r>
      <w:r>
        <w:rPr>
          <w:rFonts w:ascii="Arial" w:cs="Arial" w:eastAsia="Arial" w:hAnsi="Arial"/>
          <w:sz w:val="17"/>
          <w:szCs w:val="17"/>
          <w:color w:val="auto"/>
        </w:rPr>
        <w:t>— a brief description of our business and a discussion of how we assess our operating results.</w:t>
      </w:r>
    </w:p>
    <w:p>
      <w:pPr>
        <w:spacing w:after="0" w:line="169" w:lineRule="exact"/>
        <w:rPr>
          <w:sz w:val="20"/>
          <w:szCs w:val="20"/>
          <w:color w:val="auto"/>
        </w:rPr>
      </w:pPr>
    </w:p>
    <w:p>
      <w:pPr>
        <w:ind w:left="1200"/>
        <w:spacing w:after="0"/>
        <w:rPr>
          <w:sz w:val="20"/>
          <w:szCs w:val="20"/>
          <w:color w:val="auto"/>
        </w:rPr>
      </w:pPr>
      <w:r>
        <w:rPr>
          <w:rFonts w:ascii="Arial" w:cs="Arial" w:eastAsia="Arial" w:hAnsi="Arial"/>
          <w:sz w:val="15"/>
          <w:szCs w:val="15"/>
          <w:b w:val="1"/>
          <w:bCs w:val="1"/>
          <w:color w:val="auto"/>
        </w:rPr>
        <w:t xml:space="preserve">Consolidated Results of Operations </w:t>
      </w:r>
      <w:r>
        <w:rPr>
          <w:rFonts w:ascii="Arial" w:cs="Arial" w:eastAsia="Arial" w:hAnsi="Arial"/>
          <w:sz w:val="15"/>
          <w:szCs w:val="15"/>
          <w:color w:val="auto"/>
        </w:rPr>
        <w:t>— an analysis of our consolidated results of operations for the three months ended March 31, 2017 and 2016.</w:t>
      </w:r>
    </w:p>
    <w:p>
      <w:pPr>
        <w:spacing w:after="0" w:line="192" w:lineRule="exact"/>
        <w:rPr>
          <w:sz w:val="20"/>
          <w:szCs w:val="20"/>
          <w:color w:val="auto"/>
        </w:rPr>
      </w:pPr>
    </w:p>
    <w:p>
      <w:pPr>
        <w:ind w:left="600" w:firstLine="604"/>
        <w:spacing w:after="0" w:line="274" w:lineRule="auto"/>
        <w:rPr>
          <w:sz w:val="20"/>
          <w:szCs w:val="20"/>
          <w:color w:val="auto"/>
        </w:rPr>
      </w:pPr>
      <w:r>
        <w:rPr>
          <w:rFonts w:ascii="Arial" w:cs="Arial" w:eastAsia="Arial" w:hAnsi="Arial"/>
          <w:sz w:val="17"/>
          <w:szCs w:val="17"/>
          <w:b w:val="1"/>
          <w:bCs w:val="1"/>
          <w:color w:val="auto"/>
        </w:rPr>
        <w:t xml:space="preserve">Reporting Segment Results of Operations </w:t>
      </w:r>
      <w:r>
        <w:rPr>
          <w:rFonts w:ascii="Arial" w:cs="Arial" w:eastAsia="Arial" w:hAnsi="Arial"/>
          <w:sz w:val="17"/>
          <w:szCs w:val="17"/>
          <w:color w:val="auto"/>
        </w:rPr>
        <w:t>— an analysis of our results of operations for the three months ended March 31, 2017 and 2016 for our</w:t>
      </w:r>
      <w:r>
        <w:rPr>
          <w:rFonts w:ascii="Arial" w:cs="Arial" w:eastAsia="Arial" w:hAnsi="Arial"/>
          <w:sz w:val="17"/>
          <w:szCs w:val="17"/>
          <w:b w:val="1"/>
          <w:bCs w:val="1"/>
          <w:color w:val="auto"/>
        </w:rPr>
        <w:t xml:space="preserve"> </w:t>
      </w:r>
      <w:r>
        <w:rPr>
          <w:rFonts w:ascii="Arial" w:cs="Arial" w:eastAsia="Arial" w:hAnsi="Arial"/>
          <w:sz w:val="17"/>
          <w:szCs w:val="17"/>
          <w:color w:val="auto"/>
        </w:rPr>
        <w:t>YRC Freight and Regional Transportation reporting segments.</w:t>
      </w:r>
    </w:p>
    <w:p>
      <w:pPr>
        <w:spacing w:after="0" w:line="120" w:lineRule="exact"/>
        <w:rPr>
          <w:sz w:val="20"/>
          <w:szCs w:val="20"/>
          <w:color w:val="auto"/>
        </w:rPr>
      </w:pPr>
    </w:p>
    <w:p>
      <w:pPr>
        <w:ind w:left="600" w:firstLine="604"/>
        <w:spacing w:after="0" w:line="274" w:lineRule="auto"/>
        <w:rPr>
          <w:sz w:val="20"/>
          <w:szCs w:val="20"/>
          <w:color w:val="auto"/>
        </w:rPr>
      </w:pPr>
      <w:r>
        <w:rPr>
          <w:rFonts w:ascii="Arial" w:cs="Arial" w:eastAsia="Arial" w:hAnsi="Arial"/>
          <w:sz w:val="17"/>
          <w:szCs w:val="17"/>
          <w:b w:val="1"/>
          <w:bCs w:val="1"/>
          <w:color w:val="auto"/>
        </w:rPr>
        <w:t xml:space="preserve">Certain Non-GAAP Financial Measures </w:t>
      </w:r>
      <w:r>
        <w:rPr>
          <w:rFonts w:ascii="Arial" w:cs="Arial" w:eastAsia="Arial" w:hAnsi="Arial"/>
          <w:sz w:val="17"/>
          <w:szCs w:val="17"/>
          <w:color w:val="auto"/>
        </w:rPr>
        <w:t>— an analysis of selected non-GAAP financial measures for the three months ended March 31, 2017 and</w:t>
      </w:r>
      <w:r>
        <w:rPr>
          <w:rFonts w:ascii="Arial" w:cs="Arial" w:eastAsia="Arial" w:hAnsi="Arial"/>
          <w:sz w:val="17"/>
          <w:szCs w:val="17"/>
          <w:b w:val="1"/>
          <w:bCs w:val="1"/>
          <w:color w:val="auto"/>
        </w:rPr>
        <w:t xml:space="preserve"> </w:t>
      </w:r>
      <w:r>
        <w:rPr>
          <w:rFonts w:ascii="Arial" w:cs="Arial" w:eastAsia="Arial" w:hAnsi="Arial"/>
          <w:sz w:val="17"/>
          <w:szCs w:val="17"/>
          <w:color w:val="auto"/>
        </w:rPr>
        <w:t>2016 and trailing twelve months ended March 31, 2017 and 2016.</w:t>
      </w:r>
    </w:p>
    <w:p>
      <w:pPr>
        <w:spacing w:after="0" w:line="120" w:lineRule="exact"/>
        <w:rPr>
          <w:sz w:val="20"/>
          <w:szCs w:val="20"/>
          <w:color w:val="auto"/>
        </w:rPr>
      </w:pPr>
    </w:p>
    <w:p>
      <w:pPr>
        <w:ind w:left="600" w:firstLine="604"/>
        <w:spacing w:after="0" w:line="274" w:lineRule="auto"/>
        <w:rPr>
          <w:sz w:val="20"/>
          <w:szCs w:val="20"/>
          <w:color w:val="auto"/>
        </w:rPr>
      </w:pPr>
      <w:r>
        <w:rPr>
          <w:rFonts w:ascii="Arial" w:cs="Arial" w:eastAsia="Arial" w:hAnsi="Arial"/>
          <w:sz w:val="17"/>
          <w:szCs w:val="17"/>
          <w:b w:val="1"/>
          <w:bCs w:val="1"/>
          <w:color w:val="auto"/>
        </w:rPr>
        <w:t xml:space="preserve">Financial Condition/Liquidity and Capital Resources </w:t>
      </w:r>
      <w:r>
        <w:rPr>
          <w:rFonts w:ascii="Arial" w:cs="Arial" w:eastAsia="Arial" w:hAnsi="Arial"/>
          <w:sz w:val="17"/>
          <w:szCs w:val="17"/>
          <w:color w:val="auto"/>
        </w:rPr>
        <w:t>— a discussion of our major sources and uses of cash and an analysis of our cash flows and</w:t>
      </w:r>
      <w:r>
        <w:rPr>
          <w:rFonts w:ascii="Arial" w:cs="Arial" w:eastAsia="Arial" w:hAnsi="Arial"/>
          <w:sz w:val="17"/>
          <w:szCs w:val="17"/>
          <w:b w:val="1"/>
          <w:bCs w:val="1"/>
          <w:color w:val="auto"/>
        </w:rPr>
        <w:t xml:space="preserve"> </w:t>
      </w:r>
      <w:r>
        <w:rPr>
          <w:rFonts w:ascii="Arial" w:cs="Arial" w:eastAsia="Arial" w:hAnsi="Arial"/>
          <w:sz w:val="17"/>
          <w:szCs w:val="17"/>
          <w:color w:val="auto"/>
        </w:rPr>
        <w:t>aggregate contractual obligations and commercial commitments.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The “first quarter” of the years discussed below refer to the three months ended March 31, respectively.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179"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YRC Worldwide is a holding company that, through wholly owned operating subsidiaries, offers our customers a wide range of transportation services. YRC Worldwide has one of the largest, most comprehensive LTL networks in North America with local, regional, national and international capabilities. Through its team of experienced service professionals, YRC Worldwide offers industry-leading expertise in LTL shipments and flexible supply chain solutions, ensuring customers can ship industrial, commercial and retail goods with confidence.</w:t>
      </w:r>
    </w:p>
    <w:p>
      <w:pPr>
        <w:spacing w:after="0" w:line="141"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We measure the performance of our business on both a consolidated basis and a reporting segment basis. We use several performance metrics, but rely primarily upon operating revenue, operating income (loss), and operating ratio. We also use certain non-GAAP financial measures as secondary measures to assess our operating performance.</w:t>
      </w:r>
    </w:p>
    <w:p>
      <w:pPr>
        <w:spacing w:after="0" w:line="133" w:lineRule="exact"/>
        <w:rPr>
          <w:sz w:val="20"/>
          <w:szCs w:val="20"/>
          <w:color w:val="auto"/>
        </w:rPr>
      </w:pPr>
    </w:p>
    <w:p>
      <w:pPr>
        <w:jc w:val="both"/>
        <w:ind w:left="600" w:hanging="297"/>
        <w:spacing w:after="0" w:line="287" w:lineRule="auto"/>
        <w:tabs>
          <w:tab w:leader="none" w:pos="600" w:val="left"/>
        </w:tabs>
        <w:numPr>
          <w:ilvl w:val="0"/>
          <w:numId w:val="6"/>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Operating Revenue: </w:t>
      </w:r>
      <w:r>
        <w:rPr>
          <w:rFonts w:ascii="Arial" w:cs="Arial" w:eastAsia="Arial" w:hAnsi="Arial"/>
          <w:sz w:val="15"/>
          <w:szCs w:val="15"/>
          <w:color w:val="auto"/>
        </w:rPr>
        <w:t>Our operating revenue has two primary components: volume (commonly evaluated using number of shipments and weight per shipment)</w:t>
      </w:r>
      <w:r>
        <w:rPr>
          <w:rFonts w:ascii="Arial" w:cs="Arial" w:eastAsia="Arial" w:hAnsi="Arial"/>
          <w:sz w:val="15"/>
          <w:szCs w:val="15"/>
          <w:b w:val="1"/>
          <w:bCs w:val="1"/>
          <w:color w:val="auto"/>
        </w:rPr>
        <w:t xml:space="preserve"> </w:t>
      </w:r>
      <w:r>
        <w:rPr>
          <w:rFonts w:ascii="Arial" w:cs="Arial" w:eastAsia="Arial" w:hAnsi="Arial"/>
          <w:sz w:val="15"/>
          <w:szCs w:val="15"/>
          <w:color w:val="auto"/>
        </w:rPr>
        <w:t>and yield or price (commonly evaluated on a dollar-per-hundred weight basis and a dollar-per-shipment basis). Yield includes fuel surcharge revenue, which is common in the trucking industry and represents an amount charged to customers that adjusts with changing fuel prices. We base our fuel surcharges on a published national index and adjust them weekly. Rapid material changes in the index or our cost of fuel can positively or negatively impact our revenue and operating income (loss) versus prior periods, as there is a lag in our adjustment of base rates in response to changes in fuel surcharge. We believe that fuel surcharge is an accepted and important component of the overall pricing of our services to our customers. Without an industry accepted fuel surcharge program, our base pricing for our transportation services would require numerous changes. We believe the distinction between base rates and fuel surcharge has blurred over time, and it is impractical to clearly separate all the different factors that influence the price that our customers are willing to pay. In general, under our present fuel surcharge program, we believe rising fuel costs are beneficial to us and falling fuel costs are detrimental to us.</w:t>
      </w:r>
    </w:p>
    <w:p>
      <w:pPr>
        <w:spacing w:after="0" w:line="157" w:lineRule="exact"/>
        <w:rPr>
          <w:rFonts w:ascii="Arial" w:cs="Arial" w:eastAsia="Arial" w:hAnsi="Arial"/>
          <w:sz w:val="15"/>
          <w:szCs w:val="15"/>
          <w:b w:val="1"/>
          <w:bCs w:val="1"/>
          <w:color w:val="auto"/>
        </w:rPr>
      </w:pPr>
    </w:p>
    <w:p>
      <w:pPr>
        <w:ind w:left="600" w:hanging="297"/>
        <w:spacing w:after="0" w:line="274" w:lineRule="auto"/>
        <w:tabs>
          <w:tab w:leader="none" w:pos="600" w:val="left"/>
        </w:tabs>
        <w:numPr>
          <w:ilvl w:val="0"/>
          <w:numId w:val="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Operating Income (Loss): </w:t>
      </w:r>
      <w:r>
        <w:rPr>
          <w:rFonts w:ascii="Arial" w:cs="Arial" w:eastAsia="Arial" w:hAnsi="Arial"/>
          <w:sz w:val="17"/>
          <w:szCs w:val="17"/>
          <w:color w:val="auto"/>
        </w:rPr>
        <w:t>Operating income (loss) is our operating revenue less operating expenses. Our consolidated operating income (loss) includes certain</w:t>
      </w:r>
      <w:r>
        <w:rPr>
          <w:rFonts w:ascii="Arial" w:cs="Arial" w:eastAsia="Arial" w:hAnsi="Arial"/>
          <w:sz w:val="17"/>
          <w:szCs w:val="17"/>
          <w:b w:val="1"/>
          <w:bCs w:val="1"/>
          <w:color w:val="auto"/>
        </w:rPr>
        <w:t xml:space="preserve"> </w:t>
      </w:r>
      <w:r>
        <w:rPr>
          <w:rFonts w:ascii="Arial" w:cs="Arial" w:eastAsia="Arial" w:hAnsi="Arial"/>
          <w:sz w:val="17"/>
          <w:szCs w:val="17"/>
          <w:color w:val="auto"/>
        </w:rPr>
        <w:t>corporate charges that are not allocated to our YRC Freight and Regional Transportation reporting segments.</w:t>
      </w:r>
    </w:p>
    <w:p>
      <w:pPr>
        <w:spacing w:after="0" w:line="157" w:lineRule="exact"/>
        <w:rPr>
          <w:rFonts w:ascii="Arial" w:cs="Arial" w:eastAsia="Arial" w:hAnsi="Arial"/>
          <w:sz w:val="17"/>
          <w:szCs w:val="17"/>
          <w:b w:val="1"/>
          <w:bCs w:val="1"/>
          <w:color w:val="auto"/>
        </w:rPr>
      </w:pPr>
    </w:p>
    <w:p>
      <w:pPr>
        <w:ind w:left="600" w:hanging="297"/>
        <w:spacing w:after="0" w:line="342" w:lineRule="auto"/>
        <w:tabs>
          <w:tab w:leader="none" w:pos="600" w:val="left"/>
        </w:tabs>
        <w:numPr>
          <w:ilvl w:val="0"/>
          <w:numId w:val="6"/>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Operating Ratio: </w:t>
      </w:r>
      <w:r>
        <w:rPr>
          <w:rFonts w:ascii="Arial" w:cs="Arial" w:eastAsia="Arial" w:hAnsi="Arial"/>
          <w:sz w:val="15"/>
          <w:szCs w:val="15"/>
          <w:color w:val="auto"/>
        </w:rPr>
        <w:t>Operating ratio is a common operating performance metric used in the trucking industry. It is calculated as (i) 100 percent (ii) minus the result</w:t>
      </w:r>
      <w:r>
        <w:rPr>
          <w:rFonts w:ascii="Arial" w:cs="Arial" w:eastAsia="Arial" w:hAnsi="Arial"/>
          <w:sz w:val="15"/>
          <w:szCs w:val="15"/>
          <w:b w:val="1"/>
          <w:bCs w:val="1"/>
          <w:color w:val="auto"/>
        </w:rPr>
        <w:t xml:space="preserve"> </w:t>
      </w:r>
      <w:r>
        <w:rPr>
          <w:rFonts w:ascii="Arial" w:cs="Arial" w:eastAsia="Arial" w:hAnsi="Arial"/>
          <w:sz w:val="15"/>
          <w:szCs w:val="15"/>
          <w:color w:val="auto"/>
        </w:rPr>
        <w:t>of dividing operating income by operating revenue or (iii) plus the result of dividing operating loss by operating revenue, and expressed as a percentage.</w:t>
      </w:r>
    </w:p>
    <w:p>
      <w:pPr>
        <w:spacing w:after="0" w:line="112" w:lineRule="exact"/>
        <w:rPr>
          <w:rFonts w:ascii="Arial" w:cs="Arial" w:eastAsia="Arial" w:hAnsi="Arial"/>
          <w:sz w:val="15"/>
          <w:szCs w:val="15"/>
          <w:b w:val="1"/>
          <w:bCs w:val="1"/>
          <w:color w:val="auto"/>
        </w:rPr>
      </w:pPr>
    </w:p>
    <w:p>
      <w:pPr>
        <w:ind w:left="600" w:hanging="297"/>
        <w:spacing w:after="0"/>
        <w:tabs>
          <w:tab w:leader="none" w:pos="600" w:val="left"/>
        </w:tabs>
        <w:numPr>
          <w:ilvl w:val="0"/>
          <w:numId w:val="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Non-GAAP Financial Measures: </w:t>
      </w:r>
      <w:r>
        <w:rPr>
          <w:rFonts w:ascii="Arial" w:cs="Arial" w:eastAsia="Arial" w:hAnsi="Arial"/>
          <w:sz w:val="17"/>
          <w:szCs w:val="17"/>
          <w:color w:val="auto"/>
        </w:rPr>
        <w:t>We use EBITDA and Adjusted EBITDA, which are non-GAAP financial measures, to assess the following:</w:t>
      </w:r>
    </w:p>
    <w:p>
      <w:pPr>
        <w:spacing w:after="0" w:line="211" w:lineRule="exact"/>
        <w:rPr>
          <w:rFonts w:ascii="Arial" w:cs="Arial" w:eastAsia="Arial" w:hAnsi="Arial"/>
          <w:sz w:val="17"/>
          <w:szCs w:val="17"/>
          <w:b w:val="1"/>
          <w:bCs w:val="1"/>
          <w:color w:val="auto"/>
        </w:rPr>
      </w:pPr>
    </w:p>
    <w:p>
      <w:pPr>
        <w:ind w:left="1200" w:hanging="293"/>
        <w:spacing w:after="0" w:line="269" w:lineRule="auto"/>
        <w:tabs>
          <w:tab w:leader="none" w:pos="1200" w:val="left"/>
        </w:tabs>
        <w:numPr>
          <w:ilvl w:val="1"/>
          <w:numId w:val="6"/>
        </w:numPr>
        <w:rPr>
          <w:rFonts w:ascii="Arial" w:cs="Arial" w:eastAsia="Arial" w:hAnsi="Arial"/>
          <w:sz w:val="17"/>
          <w:szCs w:val="17"/>
          <w:color w:val="auto"/>
        </w:rPr>
      </w:pPr>
      <w:r>
        <w:rPr>
          <w:rFonts w:ascii="Arial" w:cs="Arial" w:eastAsia="Arial" w:hAnsi="Arial"/>
          <w:sz w:val="17"/>
          <w:szCs w:val="17"/>
          <w:i w:val="1"/>
          <w:iCs w:val="1"/>
          <w:color w:val="auto"/>
        </w:rPr>
        <w:t xml:space="preserve">EBITDA: </w:t>
      </w:r>
      <w:r>
        <w:rPr>
          <w:rFonts w:ascii="Arial" w:cs="Arial" w:eastAsia="Arial" w:hAnsi="Arial"/>
          <w:sz w:val="17"/>
          <w:szCs w:val="17"/>
          <w:color w:val="auto"/>
        </w:rPr>
        <w:t>a non-GAAP measure that reflects our earnings before interest, taxes, depreciation, and amortization expense. EBITDA is used for internal</w:t>
      </w:r>
      <w:r>
        <w:rPr>
          <w:rFonts w:ascii="Arial" w:cs="Arial" w:eastAsia="Arial" w:hAnsi="Arial"/>
          <w:sz w:val="17"/>
          <w:szCs w:val="17"/>
          <w:i w:val="1"/>
          <w:iCs w:val="1"/>
          <w:color w:val="auto"/>
        </w:rPr>
        <w:t xml:space="preserve"> </w:t>
      </w:r>
      <w:r>
        <w:rPr>
          <w:rFonts w:ascii="Arial" w:cs="Arial" w:eastAsia="Arial" w:hAnsi="Arial"/>
          <w:sz w:val="17"/>
          <w:szCs w:val="17"/>
          <w:color w:val="auto"/>
        </w:rPr>
        <w:t>management purposes as a financial measure that reflects our core operating performance.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34" w:lineRule="exact"/>
        <w:rPr>
          <w:sz w:val="20"/>
          <w:szCs w:val="20"/>
          <w:color w:val="auto"/>
        </w:rPr>
      </w:pPr>
    </w:p>
    <w:p>
      <w:pPr>
        <w:jc w:val="both"/>
        <w:ind w:left="1200" w:hanging="293"/>
        <w:spacing w:after="0" w:line="294" w:lineRule="auto"/>
        <w:tabs>
          <w:tab w:leader="none" w:pos="1200" w:val="left"/>
        </w:tabs>
        <w:numPr>
          <w:ilvl w:val="0"/>
          <w:numId w:val="7"/>
        </w:numPr>
        <w:rPr>
          <w:rFonts w:ascii="Arial" w:cs="Arial" w:eastAsia="Arial" w:hAnsi="Arial"/>
          <w:sz w:val="15"/>
          <w:szCs w:val="15"/>
          <w:i w:val="1"/>
          <w:iCs w:val="1"/>
          <w:color w:val="auto"/>
        </w:rPr>
      </w:pPr>
      <w:r>
        <w:rPr>
          <w:rFonts w:ascii="Arial" w:cs="Arial" w:eastAsia="Arial" w:hAnsi="Arial"/>
          <w:sz w:val="15"/>
          <w:szCs w:val="15"/>
          <w:i w:val="1"/>
          <w:iCs w:val="1"/>
          <w:color w:val="auto"/>
        </w:rPr>
        <w:t xml:space="preserve">Adjusted EBITDA: </w:t>
      </w:r>
      <w:r>
        <w:rPr>
          <w:rFonts w:ascii="Arial" w:cs="Arial" w:eastAsia="Arial" w:hAnsi="Arial"/>
          <w:sz w:val="15"/>
          <w:szCs w:val="15"/>
          <w:color w:val="auto"/>
        </w:rPr>
        <w:t>a non-GAAP measure that reflects EBITDA, and further adjusts for letter of credit fees, equity-based compensation expense, net</w:t>
      </w:r>
      <w:r>
        <w:rPr>
          <w:rFonts w:ascii="Arial" w:cs="Arial" w:eastAsia="Arial" w:hAnsi="Arial"/>
          <w:sz w:val="15"/>
          <w:szCs w:val="15"/>
          <w:i w:val="1"/>
          <w:iCs w:val="1"/>
          <w:color w:val="auto"/>
        </w:rPr>
        <w:t xml:space="preserve"> </w:t>
      </w:r>
      <w:r>
        <w:rPr>
          <w:rFonts w:ascii="Arial" w:cs="Arial" w:eastAsia="Arial" w:hAnsi="Arial"/>
          <w:sz w:val="15"/>
          <w:szCs w:val="15"/>
          <w:color w:val="auto"/>
        </w:rPr>
        <w:t>gains or losses on property disposals, restructuring professional fees, non-recurring consulting fees, expenses associated with certain lump sum payments to our union employees and gains or losses from permitted dispositions and discontinued operations, among other items, as defined in our credit facilities. Adjusted EBITDA is used for internal management purposes as a financial measure that reflects our core operating performance, to measure compliance with financial covenants in our credit facilities and to determine certain executive bonus compensation.</w:t>
      </w:r>
    </w:p>
    <w:p>
      <w:pPr>
        <w:spacing w:after="0" w:line="152" w:lineRule="exact"/>
        <w:rPr>
          <w:sz w:val="20"/>
          <w:szCs w:val="20"/>
          <w:color w:val="auto"/>
        </w:rPr>
      </w:pPr>
    </w:p>
    <w:p>
      <w:pPr>
        <w:ind w:left="600"/>
        <w:spacing w:after="0"/>
        <w:rPr>
          <w:sz w:val="20"/>
          <w:szCs w:val="20"/>
          <w:color w:val="auto"/>
        </w:rPr>
      </w:pPr>
      <w:r>
        <w:rPr>
          <w:rFonts w:ascii="Arial" w:cs="Arial" w:eastAsia="Arial" w:hAnsi="Arial"/>
          <w:sz w:val="17"/>
          <w:szCs w:val="17"/>
          <w:color w:val="auto"/>
        </w:rPr>
        <w:t>Our non-GAAP financial measures have the following limitations:</w:t>
      </w:r>
    </w:p>
    <w:p>
      <w:pPr>
        <w:spacing w:after="0" w:line="169" w:lineRule="exact"/>
        <w:rPr>
          <w:sz w:val="20"/>
          <w:szCs w:val="20"/>
          <w:color w:val="auto"/>
        </w:rPr>
      </w:pPr>
    </w:p>
    <w:p>
      <w:pPr>
        <w:ind w:left="1200" w:hanging="293"/>
        <w:spacing w:after="0"/>
        <w:tabs>
          <w:tab w:leader="none" w:pos="1200" w:val="left"/>
        </w:tabs>
        <w:numPr>
          <w:ilvl w:val="0"/>
          <w:numId w:val="8"/>
        </w:numPr>
        <w:rPr>
          <w:rFonts w:ascii="Arial" w:cs="Arial" w:eastAsia="Arial" w:hAnsi="Arial"/>
          <w:sz w:val="15"/>
          <w:szCs w:val="15"/>
          <w:color w:val="auto"/>
        </w:rPr>
      </w:pPr>
      <w:r>
        <w:rPr>
          <w:rFonts w:ascii="Arial" w:cs="Arial" w:eastAsia="Arial" w:hAnsi="Arial"/>
          <w:sz w:val="15"/>
          <w:szCs w:val="15"/>
          <w:color w:val="auto"/>
        </w:rPr>
        <w:t>EBITDA does not reflect the interest expense or the cash requirements necessary to service interest or fund principal payments on our outstanding debt;</w:t>
      </w:r>
    </w:p>
    <w:p>
      <w:pPr>
        <w:spacing w:after="0" w:line="40" w:lineRule="exact"/>
        <w:rPr>
          <w:rFonts w:ascii="Arial" w:cs="Arial" w:eastAsia="Arial" w:hAnsi="Arial"/>
          <w:sz w:val="15"/>
          <w:szCs w:val="15"/>
          <w:color w:val="auto"/>
        </w:rPr>
      </w:pPr>
    </w:p>
    <w:p>
      <w:pPr>
        <w:jc w:val="both"/>
        <w:ind w:left="1200" w:hanging="293"/>
        <w:spacing w:after="0" w:line="247" w:lineRule="auto"/>
        <w:tabs>
          <w:tab w:leader="none" w:pos="1200" w:val="left"/>
        </w:tabs>
        <w:numPr>
          <w:ilvl w:val="0"/>
          <w:numId w:val="8"/>
        </w:numPr>
        <w:rPr>
          <w:rFonts w:ascii="Arial" w:cs="Arial" w:eastAsia="Arial" w:hAnsi="Arial"/>
          <w:sz w:val="17"/>
          <w:szCs w:val="17"/>
          <w:color w:val="auto"/>
        </w:rPr>
      </w:pPr>
      <w:r>
        <w:rPr>
          <w:rFonts w:ascii="Arial" w:cs="Arial" w:eastAsia="Arial" w:hAnsi="Arial"/>
          <w:sz w:val="17"/>
          <w:szCs w:val="17"/>
          <w:color w:val="auto"/>
        </w:rPr>
        <w:t>Adjusted EBITDA does not reflect the interest expense or the cash requirements necessary to fund restructuring professional fees, nonrecurring consulting fees, letter of credit fees, service interest, principal payments on our outstanding debt or lump sum payments to our union employees required under the Memorandum of Understanding;</w:t>
      </w:r>
    </w:p>
    <w:p>
      <w:pPr>
        <w:ind w:left="1200" w:hanging="293"/>
        <w:spacing w:after="0" w:line="247" w:lineRule="auto"/>
        <w:tabs>
          <w:tab w:leader="none" w:pos="1200" w:val="left"/>
        </w:tabs>
        <w:numPr>
          <w:ilvl w:val="0"/>
          <w:numId w:val="8"/>
        </w:numPr>
        <w:rPr>
          <w:rFonts w:ascii="Arial" w:cs="Arial" w:eastAsia="Arial" w:hAnsi="Arial"/>
          <w:sz w:val="17"/>
          <w:szCs w:val="17"/>
          <w:color w:val="auto"/>
        </w:rPr>
      </w:pPr>
      <w:r>
        <w:rPr>
          <w:rFonts w:ascii="Arial" w:cs="Arial" w:eastAsia="Arial" w:hAnsi="Arial"/>
          <w:sz w:val="17"/>
          <w:szCs w:val="17"/>
          <w:color w:val="auto"/>
        </w:rPr>
        <w:t>Although depreciation and amortization are non-cash charges, the assets being depreciated and amortized will often have to be replaced in the future and EBITDA and Adjusted EBITDA do not reflect any cash requirements for such replacements;</w:t>
      </w:r>
    </w:p>
    <w:p>
      <w:pPr>
        <w:ind w:left="1200" w:hanging="293"/>
        <w:spacing w:after="0" w:line="247" w:lineRule="auto"/>
        <w:tabs>
          <w:tab w:leader="none" w:pos="1200" w:val="left"/>
        </w:tabs>
        <w:numPr>
          <w:ilvl w:val="0"/>
          <w:numId w:val="8"/>
        </w:numPr>
        <w:rPr>
          <w:rFonts w:ascii="Arial" w:cs="Arial" w:eastAsia="Arial" w:hAnsi="Arial"/>
          <w:sz w:val="17"/>
          <w:szCs w:val="17"/>
          <w:color w:val="auto"/>
        </w:rPr>
      </w:pPr>
      <w:r>
        <w:rPr>
          <w:rFonts w:ascii="Arial" w:cs="Arial" w:eastAsia="Arial" w:hAnsi="Arial"/>
          <w:sz w:val="17"/>
          <w:szCs w:val="17"/>
          <w:color w:val="auto"/>
        </w:rPr>
        <w:t>Equity-based compensation is an element of our long-term incentive compensation package, although Adjusted EBITDA excludes employee equity-based compensation expense when presenting our ongoing operating performance for a particular period; and</w:t>
      </w:r>
    </w:p>
    <w:p>
      <w:pPr>
        <w:ind w:left="1200" w:hanging="293"/>
        <w:spacing w:after="0"/>
        <w:tabs>
          <w:tab w:leader="none" w:pos="1200" w:val="left"/>
        </w:tabs>
        <w:numPr>
          <w:ilvl w:val="0"/>
          <w:numId w:val="8"/>
        </w:numPr>
        <w:rPr>
          <w:rFonts w:ascii="Arial" w:cs="Arial" w:eastAsia="Arial" w:hAnsi="Arial"/>
          <w:sz w:val="15"/>
          <w:szCs w:val="15"/>
          <w:color w:val="auto"/>
        </w:rPr>
      </w:pPr>
      <w:r>
        <w:rPr>
          <w:rFonts w:ascii="Arial" w:cs="Arial" w:eastAsia="Arial" w:hAnsi="Arial"/>
          <w:sz w:val="15"/>
          <w:szCs w:val="15"/>
          <w:color w:val="auto"/>
        </w:rPr>
        <w:t>Other companies in our industry may calculate Adjusted EBITDA differently than we do, potentially limiting its usefulness as a comparative measure.</w:t>
      </w:r>
    </w:p>
    <w:p>
      <w:pPr>
        <w:spacing w:after="0" w:line="218" w:lineRule="exact"/>
        <w:rPr>
          <w:sz w:val="20"/>
          <w:szCs w:val="20"/>
          <w:color w:val="auto"/>
        </w:rPr>
      </w:pPr>
    </w:p>
    <w:p>
      <w:pPr>
        <w:jc w:val="both"/>
        <w:ind w:left="600"/>
        <w:spacing w:after="0" w:line="281" w:lineRule="auto"/>
        <w:rPr>
          <w:sz w:val="20"/>
          <w:szCs w:val="20"/>
          <w:color w:val="auto"/>
        </w:rPr>
      </w:pPr>
      <w:r>
        <w:rPr>
          <w:rFonts w:ascii="Arial" w:cs="Arial" w:eastAsia="Arial" w:hAnsi="Arial"/>
          <w:sz w:val="16"/>
          <w:szCs w:val="16"/>
          <w:color w:val="auto"/>
        </w:rPr>
        <w:t>Because of these limitations, our non-GAAP measures should not be considered a substitute for performance measures calculated in accordance with GAAP. We compensate for these limitations by relying primarily on our GAAP results and use our non-GAAP measures as secondary measures. For additional information and a reconciliation of our non-GAAP measures and GAAP results, see “Certain Non-GAAP Financial Measures.”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29" w:lineRule="exact"/>
        <w:rPr>
          <w:sz w:val="20"/>
          <w:szCs w:val="20"/>
          <w:color w:val="auto"/>
        </w:rPr>
      </w:pPr>
    </w:p>
    <w:p>
      <w:pPr>
        <w:jc w:val="both"/>
        <w:spacing w:after="0" w:line="337" w:lineRule="auto"/>
        <w:rPr>
          <w:sz w:val="20"/>
          <w:szCs w:val="20"/>
          <w:color w:val="auto"/>
        </w:rPr>
      </w:pPr>
      <w:r>
        <w:rPr>
          <w:rFonts w:ascii="Arial" w:cs="Arial" w:eastAsia="Arial" w:hAnsi="Arial"/>
          <w:sz w:val="15"/>
          <w:szCs w:val="15"/>
          <w:color w:val="auto"/>
        </w:rPr>
        <w:t>Our consolidated results include the consolidated results of our YRC Freight and Regional Transportation reporting segments as well as any unallocated corporate charges. A more detailed discussion of the operating results of our segments is presented in the “Reporting Segment Results of Operations” section below.</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provides summary consolidated financial information for the first quarter of 2017 and 2016:</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7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362"/>
              <w:spacing w:after="0"/>
              <w:rPr>
                <w:sz w:val="20"/>
                <w:szCs w:val="20"/>
                <w:color w:val="auto"/>
              </w:rPr>
            </w:pPr>
            <w:r>
              <w:rPr>
                <w:rFonts w:ascii="Arial" w:cs="Arial" w:eastAsia="Arial" w:hAnsi="Arial"/>
                <w:sz w:val="13"/>
                <w:szCs w:val="13"/>
                <w:b w:val="1"/>
                <w:bCs w:val="1"/>
                <w:color w:val="auto"/>
              </w:rPr>
              <w:t>First Quarter</w:t>
            </w:r>
          </w:p>
        </w:tc>
        <w:tc>
          <w:tcPr>
            <w:tcW w:w="1320" w:type="dxa"/>
            <w:vAlign w:val="bottom"/>
            <w:tcBorders>
              <w:bottom w:val="single" w:sz="8" w:color="auto"/>
            </w:tcBorders>
          </w:tcPr>
          <w:p>
            <w:pPr>
              <w:spacing w:after="0"/>
              <w:rPr>
                <w:sz w:val="15"/>
                <w:szCs w:val="15"/>
                <w:color w:val="auto"/>
              </w:rPr>
            </w:pPr>
          </w:p>
        </w:tc>
      </w:tr>
      <w:tr>
        <w:trPr>
          <w:trHeight w:val="244"/>
        </w:trPr>
        <w:tc>
          <w:tcPr>
            <w:tcW w:w="71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(in millions)</w:t>
            </w: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519"/>
              <w:spacing w:after="0"/>
              <w:rPr>
                <w:sz w:val="20"/>
                <w:szCs w:val="20"/>
                <w:color w:val="auto"/>
              </w:rPr>
            </w:pPr>
            <w:r>
              <w:rPr>
                <w:rFonts w:ascii="Arial" w:cs="Arial" w:eastAsia="Arial" w:hAnsi="Arial"/>
                <w:sz w:val="13"/>
                <w:szCs w:val="13"/>
                <w:b w:val="1"/>
                <w:bCs w:val="1"/>
                <w:color w:val="auto"/>
              </w:rPr>
              <w:t>2017</w:t>
            </w:r>
          </w:p>
        </w:tc>
        <w:tc>
          <w:tcPr>
            <w:tcW w:w="2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622"/>
              <w:spacing w:after="0"/>
              <w:rPr>
                <w:sz w:val="20"/>
                <w:szCs w:val="20"/>
                <w:color w:val="auto"/>
              </w:rPr>
            </w:pPr>
            <w:r>
              <w:rPr>
                <w:rFonts w:ascii="Arial" w:cs="Arial" w:eastAsia="Arial" w:hAnsi="Arial"/>
                <w:sz w:val="13"/>
                <w:szCs w:val="13"/>
                <w:b w:val="1"/>
                <w:bCs w:val="1"/>
                <w:color w:val="auto"/>
              </w:rPr>
              <w:t>2016</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Percent Change</w:t>
            </w:r>
          </w:p>
        </w:tc>
      </w:tr>
      <w:tr>
        <w:trPr>
          <w:trHeight w:val="229"/>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Operating revenue</w:t>
            </w:r>
          </w:p>
        </w:tc>
        <w:tc>
          <w:tcPr>
            <w:tcW w:w="34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7"/>
                <w:szCs w:val="17"/>
                <w:color w:val="auto"/>
              </w:rPr>
              <w:t>1,170.6</w:t>
            </w:r>
          </w:p>
        </w:tc>
        <w:tc>
          <w:tcPr>
            <w:tcW w:w="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CCEEFF"/>
            </w:tcBorders>
            <w:shd w:val="clear" w:color="auto" w:fill="CCEEFF"/>
          </w:tcPr>
          <w:p>
            <w:pPr>
              <w:jc w:val="right"/>
              <w:ind w:right="182"/>
              <w:spacing w:after="0"/>
              <w:rPr>
                <w:sz w:val="20"/>
                <w:szCs w:val="20"/>
                <w:color w:val="auto"/>
              </w:rPr>
            </w:pPr>
            <w:r>
              <w:rPr>
                <w:rFonts w:ascii="Arial" w:cs="Arial" w:eastAsia="Arial" w:hAnsi="Arial"/>
                <w:sz w:val="17"/>
                <w:szCs w:val="17"/>
                <w:color w:val="auto"/>
              </w:rPr>
              <w:t>1,120.3</w:t>
            </w:r>
          </w:p>
        </w:tc>
        <w:tc>
          <w:tcPr>
            <w:tcW w:w="13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7"/>
              </w:rPr>
              <w:t>4.5%</w:t>
            </w:r>
          </w:p>
        </w:tc>
      </w:tr>
      <w:tr>
        <w:trPr>
          <w:trHeight w:val="226"/>
        </w:trPr>
        <w:tc>
          <w:tcPr>
            <w:tcW w:w="7100" w:type="dxa"/>
            <w:vAlign w:val="bottom"/>
          </w:tcPr>
          <w:p>
            <w:pPr>
              <w:ind w:left="20"/>
              <w:spacing w:after="0"/>
              <w:rPr>
                <w:sz w:val="20"/>
                <w:szCs w:val="20"/>
                <w:color w:val="auto"/>
              </w:rPr>
            </w:pPr>
            <w:r>
              <w:rPr>
                <w:rFonts w:ascii="Arial" w:cs="Arial" w:eastAsia="Arial" w:hAnsi="Arial"/>
                <w:sz w:val="17"/>
                <w:szCs w:val="17"/>
                <w:color w:val="auto"/>
              </w:rPr>
              <w:t>Operating income (loss)</w:t>
            </w:r>
          </w:p>
        </w:tc>
        <w:tc>
          <w:tcPr>
            <w:tcW w:w="340" w:type="dxa"/>
            <w:vAlign w:val="bottom"/>
          </w:tcPr>
          <w:p>
            <w:pPr>
              <w:jc w:val="right"/>
              <w:ind w:right="156"/>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ind w:right="19"/>
              <w:spacing w:after="0"/>
              <w:rPr>
                <w:sz w:val="20"/>
                <w:szCs w:val="20"/>
                <w:color w:val="auto"/>
              </w:rPr>
            </w:pPr>
            <w:r>
              <w:rPr>
                <w:rFonts w:ascii="Arial" w:cs="Arial" w:eastAsia="Arial" w:hAnsi="Arial"/>
                <w:sz w:val="17"/>
                <w:szCs w:val="17"/>
                <w:color w:val="auto"/>
              </w:rPr>
              <w:t>(3.0)</w:t>
            </w:r>
          </w:p>
        </w:tc>
        <w:tc>
          <w:tcPr>
            <w:tcW w:w="28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182"/>
              <w:spacing w:after="0"/>
              <w:rPr>
                <w:sz w:val="20"/>
                <w:szCs w:val="20"/>
                <w:color w:val="auto"/>
              </w:rPr>
            </w:pPr>
            <w:r>
              <w:rPr>
                <w:rFonts w:ascii="Arial" w:cs="Arial" w:eastAsia="Arial" w:hAnsi="Arial"/>
                <w:sz w:val="17"/>
                <w:szCs w:val="17"/>
                <w:color w:val="auto"/>
              </w:rPr>
              <w:t>13.4</w:t>
            </w:r>
          </w:p>
        </w:tc>
        <w:tc>
          <w:tcPr>
            <w:tcW w:w="1320" w:type="dxa"/>
            <w:vAlign w:val="bottom"/>
          </w:tcPr>
          <w:p>
            <w:pPr>
              <w:jc w:val="center"/>
              <w:spacing w:after="0"/>
              <w:rPr>
                <w:sz w:val="20"/>
                <w:szCs w:val="20"/>
                <w:color w:val="auto"/>
              </w:rPr>
            </w:pPr>
            <w:r>
              <w:rPr>
                <w:rFonts w:ascii="Arial" w:cs="Arial" w:eastAsia="Arial" w:hAnsi="Arial"/>
                <w:sz w:val="17"/>
                <w:szCs w:val="17"/>
                <w:color w:val="auto"/>
              </w:rPr>
              <w:t>NM*</w:t>
            </w:r>
          </w:p>
        </w:tc>
      </w:tr>
      <w:tr>
        <w:trPr>
          <w:trHeight w:val="26"/>
        </w:trPr>
        <w:tc>
          <w:tcPr>
            <w:tcW w:w="7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2"/>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Nonoperating expenses, net</w:t>
            </w:r>
          </w:p>
        </w:tc>
        <w:tc>
          <w:tcPr>
            <w:tcW w:w="34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7"/>
                <w:szCs w:val="17"/>
                <w:color w:val="auto"/>
              </w:rPr>
              <w:t>26.4</w:t>
            </w:r>
          </w:p>
        </w:tc>
        <w:tc>
          <w:tcPr>
            <w:tcW w:w="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CCEEFF"/>
            </w:tcBorders>
            <w:shd w:val="clear" w:color="auto" w:fill="CCEEFF"/>
          </w:tcPr>
          <w:p>
            <w:pPr>
              <w:jc w:val="right"/>
              <w:ind w:right="182"/>
              <w:spacing w:after="0"/>
              <w:rPr>
                <w:sz w:val="20"/>
                <w:szCs w:val="20"/>
                <w:color w:val="auto"/>
              </w:rPr>
            </w:pPr>
            <w:r>
              <w:rPr>
                <w:rFonts w:ascii="Arial" w:cs="Arial" w:eastAsia="Arial" w:hAnsi="Arial"/>
                <w:sz w:val="17"/>
                <w:szCs w:val="17"/>
                <w:color w:val="auto"/>
              </w:rPr>
              <w:t>27.2</w:t>
            </w:r>
          </w:p>
        </w:tc>
        <w:tc>
          <w:tcPr>
            <w:tcW w:w="13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91"/>
              </w:rPr>
              <w:t>(2.9)%</w:t>
            </w:r>
          </w:p>
        </w:tc>
      </w:tr>
      <w:tr>
        <w:trPr>
          <w:trHeight w:val="226"/>
        </w:trPr>
        <w:tc>
          <w:tcPr>
            <w:tcW w:w="7100" w:type="dxa"/>
            <w:vAlign w:val="bottom"/>
          </w:tcPr>
          <w:p>
            <w:pPr>
              <w:ind w:left="20"/>
              <w:spacing w:after="0"/>
              <w:rPr>
                <w:sz w:val="20"/>
                <w:szCs w:val="20"/>
                <w:color w:val="auto"/>
              </w:rPr>
            </w:pPr>
            <w:r>
              <w:rPr>
                <w:rFonts w:ascii="Arial" w:cs="Arial" w:eastAsia="Arial" w:hAnsi="Arial"/>
                <w:sz w:val="17"/>
                <w:szCs w:val="17"/>
                <w:color w:val="auto"/>
              </w:rPr>
              <w:t>Net loss</w:t>
            </w:r>
          </w:p>
        </w:tc>
        <w:tc>
          <w:tcPr>
            <w:tcW w:w="340" w:type="dxa"/>
            <w:vAlign w:val="bottom"/>
          </w:tcPr>
          <w:p>
            <w:pPr>
              <w:jc w:val="right"/>
              <w:ind w:right="156"/>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ind w:right="19"/>
              <w:spacing w:after="0"/>
              <w:rPr>
                <w:sz w:val="20"/>
                <w:szCs w:val="20"/>
                <w:color w:val="auto"/>
              </w:rPr>
            </w:pPr>
            <w:r>
              <w:rPr>
                <w:rFonts w:ascii="Arial" w:cs="Arial" w:eastAsia="Arial" w:hAnsi="Arial"/>
                <w:sz w:val="17"/>
                <w:szCs w:val="17"/>
                <w:color w:val="auto"/>
              </w:rPr>
              <w:t>(25.3)</w:t>
            </w:r>
          </w:p>
        </w:tc>
        <w:tc>
          <w:tcPr>
            <w:tcW w:w="28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122"/>
              <w:spacing w:after="0"/>
              <w:rPr>
                <w:sz w:val="20"/>
                <w:szCs w:val="20"/>
                <w:color w:val="auto"/>
              </w:rPr>
            </w:pPr>
            <w:r>
              <w:rPr>
                <w:rFonts w:ascii="Arial" w:cs="Arial" w:eastAsia="Arial" w:hAnsi="Arial"/>
                <w:sz w:val="17"/>
                <w:szCs w:val="17"/>
                <w:color w:val="auto"/>
              </w:rPr>
              <w:t>(12.0)</w:t>
            </w:r>
          </w:p>
        </w:tc>
        <w:tc>
          <w:tcPr>
            <w:tcW w:w="1320" w:type="dxa"/>
            <w:vAlign w:val="bottom"/>
          </w:tcPr>
          <w:p>
            <w:pPr>
              <w:jc w:val="center"/>
              <w:spacing w:after="0"/>
              <w:rPr>
                <w:sz w:val="20"/>
                <w:szCs w:val="20"/>
                <w:color w:val="auto"/>
              </w:rPr>
            </w:pPr>
            <w:r>
              <w:rPr>
                <w:rFonts w:ascii="Arial" w:cs="Arial" w:eastAsia="Arial" w:hAnsi="Arial"/>
                <w:sz w:val="17"/>
                <w:szCs w:val="17"/>
                <w:color w:val="auto"/>
                <w:w w:val="86"/>
              </w:rPr>
              <w:t>110.8%</w:t>
            </w:r>
          </w:p>
        </w:tc>
      </w:tr>
      <w:tr>
        <w:trPr>
          <w:trHeight w:val="179"/>
        </w:trPr>
        <w:tc>
          <w:tcPr>
            <w:tcW w:w="7100" w:type="dxa"/>
            <w:vAlign w:val="bottom"/>
          </w:tcPr>
          <w:p>
            <w:pPr>
              <w:ind w:left="60"/>
              <w:spacing w:after="0"/>
              <w:rPr>
                <w:sz w:val="20"/>
                <w:szCs w:val="20"/>
                <w:color w:val="auto"/>
              </w:rPr>
            </w:pPr>
            <w:r>
              <w:rPr>
                <w:rFonts w:ascii="Arial" w:cs="Arial" w:eastAsia="Arial" w:hAnsi="Arial"/>
                <w:sz w:val="13"/>
                <w:szCs w:val="13"/>
                <w:color w:val="auto"/>
              </w:rPr>
              <w:t>(*) not meaningful</w:t>
            </w: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320" w:type="dxa"/>
            <w:vAlign w:val="bottom"/>
          </w:tcPr>
          <w:p>
            <w:pPr>
              <w:spacing w:after="0"/>
              <w:rPr>
                <w:sz w:val="15"/>
                <w:szCs w:val="15"/>
                <w:color w:val="auto"/>
              </w:rPr>
            </w:pPr>
          </w:p>
        </w:tc>
      </w:tr>
    </w:tbl>
    <w:p>
      <w:pPr>
        <w:spacing w:after="0" w:line="33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First Quarter of 2017 Compared to the First Quarter of 2016</w:t>
      </w:r>
    </w:p>
    <w:p>
      <w:pPr>
        <w:spacing w:after="0" w:line="207"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Our consolidated operating revenue increased $50.3 million, or 4.5%, during the first quarter of 2017 compared to the same period in 2016. The increase in revenue is primarily attributed to an increase in fuel surcharge revenue and higher volume. This was partially offset by a decline in yield, excluding fuel surcharge, for YRC Freight, when compared to first quarter of 2016.</w:t>
      </w:r>
    </w:p>
    <w:p>
      <w:pPr>
        <w:spacing w:after="0" w:line="17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Total operating expenses increased $66.7 million, or 6.0%, for the first quarter of 2017 compared to the first quarter in 2016, and consisted primarily of an increase in wages and employee benefits, higher fuel costs and higher usage of purchased transportation.</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34" w:lineRule="exact"/>
        <w:rPr>
          <w:sz w:val="20"/>
          <w:szCs w:val="20"/>
          <w:color w:val="auto"/>
        </w:rPr>
      </w:pPr>
    </w:p>
    <w:p>
      <w:pPr>
        <w:jc w:val="both"/>
        <w:spacing w:after="0" w:line="258" w:lineRule="auto"/>
        <w:rPr>
          <w:sz w:val="20"/>
          <w:szCs w:val="20"/>
          <w:color w:val="auto"/>
        </w:rPr>
      </w:pPr>
      <w:r>
        <w:rPr>
          <w:rFonts w:ascii="Arial" w:cs="Arial" w:eastAsia="Arial" w:hAnsi="Arial"/>
          <w:sz w:val="17"/>
          <w:szCs w:val="17"/>
          <w:i w:val="1"/>
          <w:iCs w:val="1"/>
          <w:color w:val="auto"/>
        </w:rPr>
        <w:t xml:space="preserve">Salaries, wages and employee benefits. </w:t>
      </w:r>
      <w:r>
        <w:rPr>
          <w:rFonts w:ascii="Arial" w:cs="Arial" w:eastAsia="Arial" w:hAnsi="Arial"/>
          <w:sz w:val="17"/>
          <w:szCs w:val="17"/>
          <w:color w:val="auto"/>
        </w:rPr>
        <w:t>Salaries, wages and employee benefits increased $23.6 million, or 3.4%, primarily due to a $15.5 million increase in employee</w:t>
      </w:r>
      <w:r>
        <w:rPr>
          <w:rFonts w:ascii="Arial" w:cs="Arial" w:eastAsia="Arial" w:hAnsi="Arial"/>
          <w:sz w:val="17"/>
          <w:szCs w:val="17"/>
          <w:i w:val="1"/>
          <w:iCs w:val="1"/>
          <w:color w:val="auto"/>
        </w:rPr>
        <w:t xml:space="preserve"> </w:t>
      </w:r>
      <w:r>
        <w:rPr>
          <w:rFonts w:ascii="Arial" w:cs="Arial" w:eastAsia="Arial" w:hAnsi="Arial"/>
          <w:sz w:val="17"/>
          <w:szCs w:val="17"/>
          <w:color w:val="auto"/>
        </w:rPr>
        <w:t>benefit costs and a $6.8 million increase in wages, both of which are primarily related to contractual rate increases for union employees, combined with an increase in shipping volumes, which required more employee hours to process freight.</w:t>
      </w:r>
    </w:p>
    <w:p>
      <w:pPr>
        <w:spacing w:after="0" w:line="175" w:lineRule="exact"/>
        <w:rPr>
          <w:sz w:val="20"/>
          <w:szCs w:val="20"/>
          <w:color w:val="auto"/>
        </w:rPr>
      </w:pPr>
    </w:p>
    <w:p>
      <w:pPr>
        <w:jc w:val="both"/>
        <w:spacing w:after="0" w:line="337" w:lineRule="auto"/>
        <w:rPr>
          <w:sz w:val="20"/>
          <w:szCs w:val="20"/>
          <w:color w:val="auto"/>
        </w:rPr>
      </w:pPr>
      <w:r>
        <w:rPr>
          <w:rFonts w:ascii="Arial" w:cs="Arial" w:eastAsia="Arial" w:hAnsi="Arial"/>
          <w:sz w:val="15"/>
          <w:szCs w:val="15"/>
          <w:i w:val="1"/>
          <w:iCs w:val="1"/>
          <w:color w:val="auto"/>
        </w:rPr>
        <w:t xml:space="preserve">Operating expenses and supplies. </w:t>
      </w:r>
      <w:r>
        <w:rPr>
          <w:rFonts w:ascii="Arial" w:cs="Arial" w:eastAsia="Arial" w:hAnsi="Arial"/>
          <w:sz w:val="15"/>
          <w:szCs w:val="15"/>
          <w:color w:val="auto"/>
        </w:rPr>
        <w:t>Operating expenses and supplies increased $26.1 million, or 13.7%, primarily due to a $21.0 million increase in fuel expense, which</w:t>
      </w:r>
      <w:r>
        <w:rPr>
          <w:rFonts w:ascii="Arial" w:cs="Arial" w:eastAsia="Arial" w:hAnsi="Arial"/>
          <w:sz w:val="15"/>
          <w:szCs w:val="15"/>
          <w:i w:val="1"/>
          <w:iCs w:val="1"/>
          <w:color w:val="auto"/>
        </w:rPr>
        <w:t xml:space="preserve"> </w:t>
      </w:r>
      <w:r>
        <w:rPr>
          <w:rFonts w:ascii="Arial" w:cs="Arial" w:eastAsia="Arial" w:hAnsi="Arial"/>
          <w:sz w:val="15"/>
          <w:szCs w:val="15"/>
          <w:color w:val="auto"/>
        </w:rPr>
        <w:t>was largely driven by higher fuel prices on a per gallon basis. Also, operating expenses increased $5.6 million due to higher technology and operating supply costs.</w:t>
      </w:r>
    </w:p>
    <w:p>
      <w:pPr>
        <w:spacing w:after="0" w:line="120" w:lineRule="exact"/>
        <w:rPr>
          <w:sz w:val="20"/>
          <w:szCs w:val="20"/>
          <w:color w:val="auto"/>
        </w:rPr>
      </w:pPr>
    </w:p>
    <w:p>
      <w:pPr>
        <w:jc w:val="both"/>
        <w:spacing w:after="0" w:line="258" w:lineRule="auto"/>
        <w:rPr>
          <w:sz w:val="20"/>
          <w:szCs w:val="20"/>
          <w:color w:val="auto"/>
        </w:rPr>
      </w:pPr>
      <w:r>
        <w:rPr>
          <w:rFonts w:ascii="Arial" w:cs="Arial" w:eastAsia="Arial" w:hAnsi="Arial"/>
          <w:sz w:val="17"/>
          <w:szCs w:val="17"/>
          <w:i w:val="1"/>
          <w:iCs w:val="1"/>
          <w:color w:val="auto"/>
        </w:rPr>
        <w:t>Purchased transportation</w:t>
      </w:r>
      <w:r>
        <w:rPr>
          <w:rFonts w:ascii="Arial" w:cs="Arial" w:eastAsia="Arial" w:hAnsi="Arial"/>
          <w:sz w:val="17"/>
          <w:szCs w:val="17"/>
          <w:color w:val="auto"/>
        </w:rPr>
        <w:t>. Purchased transportation increased $19.0 million, or 16.5%, primarily due to a $7.4 million increase in vehicle rent expense caused by higher</w:t>
      </w:r>
      <w:r>
        <w:rPr>
          <w:rFonts w:ascii="Arial" w:cs="Arial" w:eastAsia="Arial" w:hAnsi="Arial"/>
          <w:sz w:val="17"/>
          <w:szCs w:val="17"/>
          <w:i w:val="1"/>
          <w:iCs w:val="1"/>
          <w:color w:val="auto"/>
        </w:rPr>
        <w:t xml:space="preserve"> </w:t>
      </w:r>
      <w:r>
        <w:rPr>
          <w:rFonts w:ascii="Arial" w:cs="Arial" w:eastAsia="Arial" w:hAnsi="Arial"/>
          <w:sz w:val="17"/>
          <w:szCs w:val="17"/>
          <w:color w:val="auto"/>
        </w:rPr>
        <w:t>usage of operating leases for revenue equipment. Rail purchased transportation increased $6.2 million due to an increase in rail miles and higher rail rates. In addition, local purchased transportation expense increased $3.9 million due to higher volume.</w:t>
      </w:r>
    </w:p>
    <w:p>
      <w:pPr>
        <w:spacing w:after="0" w:line="175" w:lineRule="exact"/>
        <w:rPr>
          <w:sz w:val="20"/>
          <w:szCs w:val="20"/>
          <w:color w:val="auto"/>
        </w:rPr>
      </w:pPr>
    </w:p>
    <w:p>
      <w:pPr>
        <w:jc w:val="both"/>
        <w:spacing w:after="0" w:line="258" w:lineRule="auto"/>
        <w:rPr>
          <w:sz w:val="20"/>
          <w:szCs w:val="20"/>
          <w:color w:val="auto"/>
        </w:rPr>
      </w:pPr>
      <w:r>
        <w:rPr>
          <w:rFonts w:ascii="Arial" w:cs="Arial" w:eastAsia="Arial" w:hAnsi="Arial"/>
          <w:sz w:val="17"/>
          <w:szCs w:val="17"/>
          <w:i w:val="1"/>
          <w:iCs w:val="1"/>
          <w:color w:val="auto"/>
        </w:rPr>
        <w:t xml:space="preserve">Nonoperating expenses, net. </w:t>
      </w:r>
      <w:r>
        <w:rPr>
          <w:rFonts w:ascii="Arial" w:cs="Arial" w:eastAsia="Arial" w:hAnsi="Arial"/>
          <w:sz w:val="17"/>
          <w:szCs w:val="17"/>
          <w:color w:val="auto"/>
        </w:rPr>
        <w:t>Nonoperating expenses decreased $0.8 million in the first quarter of 2017 compared to the first quarter of 2016 primarily driven by a $2.6</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decrease in foreign currency transaction losses, partially offset by a $2.3 million gain on the disposal of JHJ in the first quarter of 2016, with no corresponding adjustment in the first quarter of 2017.</w:t>
      </w:r>
    </w:p>
    <w:p>
      <w:pPr>
        <w:spacing w:after="0" w:line="175"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Our effective tax rate for the first quarter of 2017 and 2016 was 13.9% and 13.0%, respectively. The significant items impacting the 2017 rate include a provision for federal alternative minimum tax, a net state and foreign tax provision, certain permanent items, and a change in the valuation allowance established for the net deferred tax asset balance projected for December 31, 2017. The significant items impacting the 2016 rate include a provision for federal alternative minimum tax, a net state and foreign tax provision, certain permanent items, and a change in the valuation allowance established for the net deferred tax asset balance that had been projected for December 31, 2016. We recognize valuation allowances on deferred tax assets if, based on the weight of the evidence, we determine it is more likely than not that such assets will not be realized. Changes in valuation allowances are included in our tax provision in the period of change. In determining whether a valuation allowance is warranted, we evaluate factors such as prior years’ earnings history, expected future earnings, loss carry-back and carry-forward periods, reversals of existing deferred tax liabilities and tax planning strategies that potentially enhance the likelihood of the realization of a deferred tax asset. At March 31, 2017 and December 31, 2016, substantially all of our net deferred tax assets were subject to a valuation allowance.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Reporting Segment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We evaluate our operating performance using our YRC Freight and Regional Transportation reporting segments:</w:t>
      </w:r>
    </w:p>
    <w:p>
      <w:pPr>
        <w:spacing w:after="0" w:line="203" w:lineRule="exact"/>
        <w:rPr>
          <w:sz w:val="20"/>
          <w:szCs w:val="20"/>
          <w:color w:val="auto"/>
        </w:rPr>
      </w:pPr>
    </w:p>
    <w:p>
      <w:pPr>
        <w:jc w:val="both"/>
        <w:ind w:left="600" w:hanging="297"/>
        <w:spacing w:after="0" w:line="277" w:lineRule="auto"/>
        <w:tabs>
          <w:tab w:leader="none" w:pos="600" w:val="left"/>
        </w:tabs>
        <w:numPr>
          <w:ilvl w:val="0"/>
          <w:numId w:val="9"/>
        </w:numPr>
        <w:rPr>
          <w:rFonts w:ascii="Arial" w:cs="Arial" w:eastAsia="Arial" w:hAnsi="Arial"/>
          <w:sz w:val="16"/>
          <w:szCs w:val="16"/>
          <w:color w:val="auto"/>
        </w:rPr>
      </w:pPr>
      <w:r>
        <w:rPr>
          <w:rFonts w:ascii="Arial" w:cs="Arial" w:eastAsia="Arial" w:hAnsi="Arial"/>
          <w:sz w:val="16"/>
          <w:szCs w:val="16"/>
          <w:b w:val="1"/>
          <w:bCs w:val="1"/>
          <w:color w:val="auto"/>
        </w:rPr>
        <w:t xml:space="preserve">YRC Freight </w:t>
      </w:r>
      <w:r>
        <w:rPr>
          <w:rFonts w:ascii="Arial" w:cs="Arial" w:eastAsia="Arial" w:hAnsi="Arial"/>
          <w:sz w:val="16"/>
          <w:szCs w:val="16"/>
          <w:color w:val="auto"/>
        </w:rPr>
        <w:t>is the reporting segment that focuses on longer haul business opportunities with national, regional and international services. YRC Freight</w:t>
      </w:r>
      <w:r>
        <w:rPr>
          <w:rFonts w:ascii="Arial" w:cs="Arial" w:eastAsia="Arial" w:hAnsi="Arial"/>
          <w:sz w:val="16"/>
          <w:szCs w:val="16"/>
          <w:b w:val="1"/>
          <w:bCs w:val="1"/>
          <w:color w:val="auto"/>
        </w:rPr>
        <w:t xml:space="preserve"> </w:t>
      </w:r>
      <w:r>
        <w:rPr>
          <w:rFonts w:ascii="Arial" w:cs="Arial" w:eastAsia="Arial" w:hAnsi="Arial"/>
          <w:sz w:val="16"/>
          <w:szCs w:val="16"/>
          <w:color w:val="auto"/>
        </w:rPr>
        <w:t>provides for the movement of industrial, commercial and retail goods, primarily through centralized management. This reporting segment includes our LTL subsidiaries YRC Freight and YRC Reimer. YRC Reimer is a subsidiary located in Canada that specializes in shipments into, across and out of Canada. In addition to the United States and Canada, YRC Freight also serves parts of Mexico and Puerto Rico.</w:t>
      </w:r>
    </w:p>
    <w:p>
      <w:pPr>
        <w:spacing w:after="0" w:line="157" w:lineRule="exact"/>
        <w:rPr>
          <w:rFonts w:ascii="Arial" w:cs="Arial" w:eastAsia="Arial" w:hAnsi="Arial"/>
          <w:sz w:val="16"/>
          <w:szCs w:val="16"/>
          <w:color w:val="auto"/>
        </w:rPr>
      </w:pPr>
    </w:p>
    <w:p>
      <w:pPr>
        <w:jc w:val="both"/>
        <w:ind w:left="600" w:hanging="297"/>
        <w:spacing w:after="0" w:line="284" w:lineRule="auto"/>
        <w:tabs>
          <w:tab w:leader="none" w:pos="600" w:val="left"/>
        </w:tabs>
        <w:numPr>
          <w:ilvl w:val="0"/>
          <w:numId w:val="9"/>
        </w:numPr>
        <w:rPr>
          <w:rFonts w:ascii="Arial" w:cs="Arial" w:eastAsia="Arial" w:hAnsi="Arial"/>
          <w:sz w:val="16"/>
          <w:szCs w:val="16"/>
          <w:color w:val="auto"/>
        </w:rPr>
      </w:pPr>
      <w:r>
        <w:rPr>
          <w:rFonts w:ascii="Arial" w:cs="Arial" w:eastAsia="Arial" w:hAnsi="Arial"/>
          <w:sz w:val="16"/>
          <w:szCs w:val="16"/>
          <w:b w:val="1"/>
          <w:bCs w:val="1"/>
          <w:color w:val="auto"/>
        </w:rPr>
        <w:t xml:space="preserve">Regional Transportation </w:t>
      </w:r>
      <w:r>
        <w:rPr>
          <w:rFonts w:ascii="Arial" w:cs="Arial" w:eastAsia="Arial" w:hAnsi="Arial"/>
          <w:sz w:val="16"/>
          <w:szCs w:val="16"/>
          <w:color w:val="auto"/>
        </w:rPr>
        <w:t>is the reporting segment for our transportation service providers focused on business opportunities in the regional and next-day</w:t>
      </w:r>
      <w:r>
        <w:rPr>
          <w:rFonts w:ascii="Arial" w:cs="Arial" w:eastAsia="Arial" w:hAnsi="Arial"/>
          <w:sz w:val="16"/>
          <w:szCs w:val="16"/>
          <w:b w:val="1"/>
          <w:bCs w:val="1"/>
          <w:color w:val="auto"/>
        </w:rPr>
        <w:t xml:space="preserve"> </w:t>
      </w:r>
      <w:r>
        <w:rPr>
          <w:rFonts w:ascii="Arial" w:cs="Arial" w:eastAsia="Arial" w:hAnsi="Arial"/>
          <w:sz w:val="16"/>
          <w:szCs w:val="16"/>
          <w:color w:val="auto"/>
        </w:rPr>
        <w:t>delivery markets. Regional Transportation is comprised of Holland, New Penn and Reddaway. These companies each provide regional, next-day ground services in their respective regions through a network of facilities located across the United States, Canada, and Puerto Rico.</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YRC Freight Results</w:t>
      </w:r>
    </w:p>
    <w:p>
      <w:pPr>
        <w:spacing w:after="0" w:line="20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YRC Freight represented 62.3% of consolidated operating revenue for the first quarter of 2017, as compared to 62.1% for the first quarter of 2016. The table below provides summary financial information for YRC Freight for the first quarter of 2017 and 2016:</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72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b w:val="1"/>
                <w:bCs w:val="1"/>
                <w:color w:val="auto"/>
              </w:rPr>
              <w:t>First Quarter</w:t>
            </w:r>
          </w:p>
        </w:tc>
        <w:tc>
          <w:tcPr>
            <w:tcW w:w="1360" w:type="dxa"/>
            <w:vAlign w:val="bottom"/>
            <w:tcBorders>
              <w:bottom w:val="single" w:sz="8" w:color="auto"/>
            </w:tcBorders>
          </w:tcPr>
          <w:p>
            <w:pPr>
              <w:spacing w:after="0"/>
              <w:rPr>
                <w:sz w:val="15"/>
                <w:szCs w:val="15"/>
                <w:color w:val="auto"/>
              </w:rPr>
            </w:pPr>
          </w:p>
        </w:tc>
      </w:tr>
      <w:tr>
        <w:trPr>
          <w:trHeight w:val="244"/>
        </w:trPr>
        <w:tc>
          <w:tcPr>
            <w:tcW w:w="72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(in millions)</w:t>
            </w:r>
          </w:p>
        </w:tc>
        <w:tc>
          <w:tcPr>
            <w:tcW w:w="3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440"/>
              <w:spacing w:after="0"/>
              <w:rPr>
                <w:sz w:val="20"/>
                <w:szCs w:val="20"/>
                <w:color w:val="auto"/>
              </w:rPr>
            </w:pPr>
            <w:r>
              <w:rPr>
                <w:rFonts w:ascii="Arial" w:cs="Arial" w:eastAsia="Arial" w:hAnsi="Arial"/>
                <w:sz w:val="13"/>
                <w:szCs w:val="13"/>
                <w:b w:val="1"/>
                <w:bCs w:val="1"/>
                <w:color w:val="auto"/>
              </w:rPr>
              <w:t>2017</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43"/>
              <w:spacing w:after="0"/>
              <w:rPr>
                <w:sz w:val="20"/>
                <w:szCs w:val="20"/>
                <w:color w:val="auto"/>
              </w:rPr>
            </w:pPr>
            <w:r>
              <w:rPr>
                <w:rFonts w:ascii="Arial" w:cs="Arial" w:eastAsia="Arial" w:hAnsi="Arial"/>
                <w:sz w:val="13"/>
                <w:szCs w:val="13"/>
                <w:b w:val="1"/>
                <w:bCs w:val="1"/>
                <w:color w:val="auto"/>
              </w:rPr>
              <w:t>2016</w:t>
            </w:r>
          </w:p>
        </w:tc>
        <w:tc>
          <w:tcPr>
            <w:tcW w:w="100" w:type="dxa"/>
            <w:vAlign w:val="bottom"/>
            <w:tcBorders>
              <w:bottom w:val="single" w:sz="8" w:color="CCEEFF"/>
            </w:tcBorders>
          </w:tcPr>
          <w:p>
            <w:pPr>
              <w:spacing w:after="0"/>
              <w:rPr>
                <w:sz w:val="21"/>
                <w:szCs w:val="21"/>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Percent Change</w:t>
            </w:r>
          </w:p>
        </w:tc>
      </w:tr>
      <w:tr>
        <w:trPr>
          <w:trHeight w:val="229"/>
        </w:trPr>
        <w:tc>
          <w:tcPr>
            <w:tcW w:w="7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Operating revenue</w:t>
            </w:r>
          </w:p>
        </w:tc>
        <w:tc>
          <w:tcPr>
            <w:tcW w:w="32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7"/>
                <w:szCs w:val="17"/>
                <w:color w:val="auto"/>
              </w:rPr>
              <w:t>728.9</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CCEEFF"/>
            </w:tcBorders>
            <w:shd w:val="clear" w:color="auto" w:fill="CCEEFF"/>
          </w:tcPr>
          <w:p>
            <w:pPr>
              <w:jc w:val="right"/>
              <w:ind w:right="103"/>
              <w:spacing w:after="0"/>
              <w:rPr>
                <w:sz w:val="20"/>
                <w:szCs w:val="20"/>
                <w:color w:val="auto"/>
              </w:rPr>
            </w:pPr>
            <w:r>
              <w:rPr>
                <w:rFonts w:ascii="Arial" w:cs="Arial" w:eastAsia="Arial" w:hAnsi="Arial"/>
                <w:sz w:val="17"/>
                <w:szCs w:val="17"/>
                <w:color w:val="auto"/>
              </w:rPr>
              <w:t>695.7</w:t>
            </w:r>
          </w:p>
        </w:tc>
        <w:tc>
          <w:tcPr>
            <w:tcW w:w="10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7"/>
              </w:rPr>
              <w:t>4.8%</w:t>
            </w:r>
          </w:p>
        </w:tc>
      </w:tr>
      <w:tr>
        <w:trPr>
          <w:trHeight w:val="226"/>
        </w:trPr>
        <w:tc>
          <w:tcPr>
            <w:tcW w:w="7220" w:type="dxa"/>
            <w:vAlign w:val="bottom"/>
          </w:tcPr>
          <w:p>
            <w:pPr>
              <w:ind w:left="20"/>
              <w:spacing w:after="0"/>
              <w:rPr>
                <w:sz w:val="20"/>
                <w:szCs w:val="20"/>
                <w:color w:val="auto"/>
              </w:rPr>
            </w:pPr>
            <w:r>
              <w:rPr>
                <w:rFonts w:ascii="Arial" w:cs="Arial" w:eastAsia="Arial" w:hAnsi="Arial"/>
                <w:sz w:val="17"/>
                <w:szCs w:val="17"/>
                <w:color w:val="auto"/>
              </w:rPr>
              <w:t>Operating income (loss)</w:t>
            </w:r>
          </w:p>
        </w:tc>
        <w:tc>
          <w:tcPr>
            <w:tcW w:w="320" w:type="dxa"/>
            <w:vAlign w:val="bottom"/>
          </w:tcPr>
          <w:p>
            <w:pPr>
              <w:jc w:val="right"/>
              <w:ind w:right="116"/>
              <w:spacing w:after="0"/>
              <w:rPr>
                <w:sz w:val="20"/>
                <w:szCs w:val="20"/>
                <w:color w:val="auto"/>
              </w:rPr>
            </w:pPr>
            <w:r>
              <w:rPr>
                <w:rFonts w:ascii="Arial" w:cs="Arial" w:eastAsia="Arial" w:hAnsi="Arial"/>
                <w:sz w:val="17"/>
                <w:szCs w:val="17"/>
                <w:color w:val="auto"/>
              </w:rPr>
              <w:t>$</w:t>
            </w:r>
          </w:p>
        </w:tc>
        <w:tc>
          <w:tcPr>
            <w:tcW w:w="1000" w:type="dxa"/>
            <w:vAlign w:val="bottom"/>
          </w:tcPr>
          <w:p>
            <w:pPr>
              <w:jc w:val="right"/>
              <w:ind w:right="40"/>
              <w:spacing w:after="0"/>
              <w:rPr>
                <w:sz w:val="20"/>
                <w:szCs w:val="20"/>
                <w:color w:val="auto"/>
              </w:rPr>
            </w:pPr>
            <w:r>
              <w:rPr>
                <w:rFonts w:ascii="Arial" w:cs="Arial" w:eastAsia="Arial" w:hAnsi="Arial"/>
                <w:sz w:val="17"/>
                <w:szCs w:val="17"/>
                <w:color w:val="auto"/>
              </w:rPr>
              <w:t>(10.5)</w:t>
            </w:r>
          </w:p>
        </w:tc>
        <w:tc>
          <w:tcPr>
            <w:tcW w:w="100" w:type="dxa"/>
            <w:vAlign w:val="bottom"/>
          </w:tcPr>
          <w:p>
            <w:pPr>
              <w:spacing w:after="0"/>
              <w:rPr>
                <w:sz w:val="19"/>
                <w:szCs w:val="19"/>
                <w:color w:val="auto"/>
              </w:rPr>
            </w:pPr>
          </w:p>
        </w:tc>
        <w:tc>
          <w:tcPr>
            <w:tcW w:w="22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103"/>
              <w:spacing w:after="0"/>
              <w:rPr>
                <w:sz w:val="20"/>
                <w:szCs w:val="20"/>
                <w:color w:val="auto"/>
              </w:rPr>
            </w:pPr>
            <w:r>
              <w:rPr>
                <w:rFonts w:ascii="Arial" w:cs="Arial" w:eastAsia="Arial" w:hAnsi="Arial"/>
                <w:sz w:val="17"/>
                <w:szCs w:val="17"/>
                <w:color w:val="auto"/>
              </w:rPr>
              <w:t>4.1</w:t>
            </w:r>
          </w:p>
        </w:tc>
        <w:tc>
          <w:tcPr>
            <w:tcW w:w="10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17"/>
                <w:szCs w:val="17"/>
                <w:color w:val="auto"/>
              </w:rPr>
              <w:t>NM*</w:t>
            </w:r>
          </w:p>
        </w:tc>
      </w:tr>
      <w:tr>
        <w:trPr>
          <w:trHeight w:val="271"/>
        </w:trPr>
        <w:tc>
          <w:tcPr>
            <w:tcW w:w="7220" w:type="dxa"/>
            <w:vAlign w:val="bottom"/>
          </w:tcPr>
          <w:p>
            <w:pPr>
              <w:ind w:left="20"/>
              <w:spacing w:after="0"/>
              <w:rPr>
                <w:sz w:val="20"/>
                <w:szCs w:val="20"/>
                <w:color w:val="auto"/>
              </w:rPr>
            </w:pPr>
            <w:r>
              <w:rPr>
                <w:rFonts w:ascii="Arial" w:cs="Arial" w:eastAsia="Arial" w:hAnsi="Arial"/>
                <w:sz w:val="17"/>
                <w:szCs w:val="17"/>
                <w:color w:val="auto"/>
              </w:rPr>
              <w:t>Operating ratio</w:t>
            </w:r>
            <w:r>
              <w:rPr>
                <w:rFonts w:ascii="Arial" w:cs="Arial" w:eastAsia="Arial" w:hAnsi="Arial"/>
                <w:sz w:val="23"/>
                <w:szCs w:val="23"/>
                <w:color w:val="auto"/>
                <w:vertAlign w:val="superscript"/>
              </w:rPr>
              <w:t>(a)</w:t>
            </w: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101.4%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99.4%</w:t>
            </w:r>
          </w:p>
        </w:tc>
        <w:tc>
          <w:tcPr>
            <w:tcW w:w="100" w:type="dxa"/>
            <w:vAlign w:val="bottom"/>
          </w:tcPr>
          <w:p>
            <w:pPr>
              <w:spacing w:after="0"/>
              <w:rPr>
                <w:sz w:val="23"/>
                <w:szCs w:val="23"/>
                <w:color w:val="auto"/>
              </w:rPr>
            </w:pPr>
          </w:p>
        </w:tc>
        <w:tc>
          <w:tcPr>
            <w:tcW w:w="1360" w:type="dxa"/>
            <w:vAlign w:val="bottom"/>
          </w:tcPr>
          <w:p>
            <w:pPr>
              <w:jc w:val="center"/>
              <w:spacing w:after="0"/>
              <w:rPr>
                <w:sz w:val="20"/>
                <w:szCs w:val="20"/>
                <w:color w:val="auto"/>
              </w:rPr>
            </w:pPr>
            <w:r>
              <w:rPr>
                <w:rFonts w:ascii="Arial" w:cs="Arial" w:eastAsia="Arial" w:hAnsi="Arial"/>
                <w:sz w:val="17"/>
                <w:szCs w:val="17"/>
                <w:color w:val="auto"/>
                <w:w w:val="92"/>
              </w:rPr>
              <w:t>(2.0) pp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-154940</wp:posOffset>
            </wp:positionV>
            <wp:extent cx="7256145" cy="1600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6145" cy="160020"/>
                    </a:xfrm>
                    <a:prstGeom prst="rect">
                      <a:avLst/>
                    </a:prstGeom>
                    <a:noFill/>
                  </pic:spPr>
                </pic:pic>
              </a:graphicData>
            </a:graphic>
          </wp:anchor>
        </w:drawing>
      </w:r>
    </w:p>
    <w:p>
      <w:pPr>
        <w:ind w:left="300" w:hanging="299"/>
        <w:spacing w:after="0"/>
        <w:tabs>
          <w:tab w:leader="none" w:pos="300" w:val="left"/>
        </w:tabs>
        <w:numPr>
          <w:ilvl w:val="0"/>
          <w:numId w:val="10"/>
        </w:numPr>
        <w:rPr>
          <w:rFonts w:ascii="Arial" w:cs="Arial" w:eastAsia="Arial" w:hAnsi="Arial"/>
          <w:sz w:val="13"/>
          <w:szCs w:val="13"/>
          <w:color w:val="auto"/>
        </w:rPr>
      </w:pPr>
      <w:r>
        <w:rPr>
          <w:rFonts w:ascii="Arial" w:cs="Arial" w:eastAsia="Arial" w:hAnsi="Arial"/>
          <w:sz w:val="13"/>
          <w:szCs w:val="13"/>
          <w:color w:val="auto"/>
        </w:rPr>
        <w:t>pp represents the change in percentage points</w:t>
      </w:r>
    </w:p>
    <w:p>
      <w:pPr>
        <w:spacing w:after="0" w:line="1" w:lineRule="exact"/>
        <w:rPr>
          <w:rFonts w:ascii="Arial" w:cs="Arial" w:eastAsia="Arial" w:hAnsi="Arial"/>
          <w:sz w:val="13"/>
          <w:szCs w:val="13"/>
          <w:color w:val="auto"/>
        </w:rPr>
      </w:pPr>
    </w:p>
    <w:p>
      <w:pPr>
        <w:ind w:left="240" w:hanging="189"/>
        <w:spacing w:after="0"/>
        <w:tabs>
          <w:tab w:leader="none" w:pos="240" w:val="left"/>
        </w:tabs>
        <w:numPr>
          <w:ilvl w:val="1"/>
          <w:numId w:val="10"/>
        </w:numPr>
        <w:rPr>
          <w:rFonts w:ascii="Arial" w:cs="Arial" w:eastAsia="Arial" w:hAnsi="Arial"/>
          <w:sz w:val="13"/>
          <w:szCs w:val="13"/>
          <w:color w:val="auto"/>
        </w:rPr>
      </w:pPr>
      <w:r>
        <w:rPr>
          <w:rFonts w:ascii="Arial" w:cs="Arial" w:eastAsia="Arial" w:hAnsi="Arial"/>
          <w:sz w:val="13"/>
          <w:szCs w:val="13"/>
          <w:color w:val="auto"/>
        </w:rPr>
        <w:t>not meaningful</w:t>
      </w:r>
    </w:p>
    <w:p>
      <w:pPr>
        <w:spacing w:after="0" w:line="34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First Quarter of 2017 Compared to the First Quarter of 2016</w:t>
      </w:r>
    </w:p>
    <w:p>
      <w:pPr>
        <w:spacing w:after="0" w:line="207" w:lineRule="exact"/>
        <w:rPr>
          <w:sz w:val="20"/>
          <w:szCs w:val="20"/>
          <w:color w:val="auto"/>
        </w:rPr>
      </w:pPr>
    </w:p>
    <w:p>
      <w:pPr>
        <w:jc w:val="both"/>
        <w:spacing w:after="0" w:line="308" w:lineRule="auto"/>
        <w:rPr>
          <w:sz w:val="20"/>
          <w:szCs w:val="20"/>
          <w:color w:val="auto"/>
        </w:rPr>
      </w:pPr>
      <w:r>
        <w:rPr>
          <w:rFonts w:ascii="Arial" w:cs="Arial" w:eastAsia="Arial" w:hAnsi="Arial"/>
          <w:sz w:val="15"/>
          <w:szCs w:val="15"/>
          <w:color w:val="auto"/>
        </w:rPr>
        <w:t>YRC Freight reported operating revenue of $728.9 million in the first quarter of 2017, an increase of $33.2 million, or 4.8%, compared to the same period in 2016. The increase in revenue is primarily attributed to an increase in fuel surcharge revenue and higher volume, partially offset by a decline in yield (excluding fuel surcharge). The table below summarizes the key revenue metrics for the YRC Freight reporting segment for the first quarter of 2017 compared to the first quarter of 2016:</w:t>
      </w:r>
    </w:p>
    <w:p>
      <w:pPr>
        <w:spacing w:after="0" w:line="347" w:lineRule="exact"/>
        <w:rPr>
          <w:sz w:val="20"/>
          <w:szCs w:val="20"/>
          <w:color w:val="auto"/>
        </w:rPr>
      </w:pPr>
    </w:p>
    <w:tbl>
      <w:tblPr>
        <w:tblLayout w:type="fixed"/>
        <w:tblInd w:w="1440" w:type="dxa"/>
        <w:tblCellMar>
          <w:top w:w="0" w:type="dxa"/>
          <w:left w:w="0" w:type="dxa"/>
          <w:bottom w:w="0" w:type="dxa"/>
          <w:right w:w="0" w:type="dxa"/>
        </w:tblCellMar>
      </w:tblPr>
      <w:tr>
        <w:trPr>
          <w:trHeight w:val="179"/>
        </w:trPr>
        <w:tc>
          <w:tcPr>
            <w:tcW w:w="476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3"/>
          </w:tcPr>
          <w:p>
            <w:pPr>
              <w:jc w:val="right"/>
              <w:ind w:right="281"/>
              <w:spacing w:after="0"/>
              <w:rPr>
                <w:sz w:val="20"/>
                <w:szCs w:val="20"/>
                <w:color w:val="auto"/>
              </w:rPr>
            </w:pPr>
            <w:r>
              <w:rPr>
                <w:rFonts w:ascii="Arial" w:cs="Arial" w:eastAsia="Arial" w:hAnsi="Arial"/>
                <w:sz w:val="13"/>
                <w:szCs w:val="13"/>
                <w:b w:val="1"/>
                <w:bCs w:val="1"/>
                <w:color w:val="auto"/>
              </w:rPr>
              <w:t>First Quarter</w:t>
            </w: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r>
      <w:tr>
        <w:trPr>
          <w:trHeight w:val="244"/>
        </w:trPr>
        <w:tc>
          <w:tcPr>
            <w:tcW w:w="47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b w:val="1"/>
                <w:bCs w:val="1"/>
                <w:color w:val="auto"/>
              </w:rPr>
              <w:t>2017</w:t>
            </w:r>
          </w:p>
        </w:tc>
        <w:tc>
          <w:tcPr>
            <w:tcW w:w="42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2016</w:t>
            </w:r>
          </w:p>
        </w:tc>
        <w:tc>
          <w:tcPr>
            <w:tcW w:w="4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3"/>
                <w:szCs w:val="13"/>
                <w:b w:val="1"/>
                <w:bCs w:val="1"/>
                <w:color w:val="auto"/>
                <w:w w:val="95"/>
              </w:rPr>
              <w:t>Percent Change</w:t>
            </w:r>
            <w:r>
              <w:rPr>
                <w:rFonts w:ascii="Arial" w:cs="Arial" w:eastAsia="Arial" w:hAnsi="Arial"/>
                <w:sz w:val="8"/>
                <w:szCs w:val="8"/>
                <w:b w:val="1"/>
                <w:bCs w:val="1"/>
                <w:color w:val="auto"/>
                <w:w w:val="95"/>
              </w:rPr>
              <w:t>(b)</w:t>
            </w:r>
          </w:p>
        </w:tc>
      </w:tr>
      <w:tr>
        <w:trPr>
          <w:trHeight w:val="229"/>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Workdays</w:t>
            </w:r>
          </w:p>
        </w:tc>
        <w:tc>
          <w:tcPr>
            <w:tcW w:w="5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64.0</w:t>
            </w:r>
          </w:p>
        </w:tc>
        <w:tc>
          <w:tcPr>
            <w:tcW w:w="1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63.5</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r>
      <w:tr>
        <w:trPr>
          <w:trHeight w:val="302"/>
        </w:trPr>
        <w:tc>
          <w:tcPr>
            <w:tcW w:w="4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52"/>
        </w:trPr>
        <w:tc>
          <w:tcPr>
            <w:tcW w:w="4760" w:type="dxa"/>
            <w:vAlign w:val="bottom"/>
            <w:shd w:val="clear" w:color="auto" w:fill="CCEEFF"/>
          </w:tcPr>
          <w:p>
            <w:pPr>
              <w:ind w:left="20"/>
              <w:spacing w:after="0" w:line="252" w:lineRule="exact"/>
              <w:rPr>
                <w:sz w:val="20"/>
                <w:szCs w:val="20"/>
                <w:color w:val="auto"/>
              </w:rPr>
            </w:pPr>
            <w:r>
              <w:rPr>
                <w:rFonts w:ascii="Arial" w:cs="Arial" w:eastAsia="Arial" w:hAnsi="Arial"/>
                <w:sz w:val="17"/>
                <w:szCs w:val="17"/>
                <w:color w:val="auto"/>
              </w:rPr>
              <w:t>Total picked up revenue (in millions)</w:t>
            </w:r>
            <w:r>
              <w:rPr>
                <w:rFonts w:ascii="Arial" w:cs="Arial" w:eastAsia="Arial" w:hAnsi="Arial"/>
                <w:sz w:val="23"/>
                <w:szCs w:val="23"/>
                <w:color w:val="auto"/>
                <w:vertAlign w:val="superscript"/>
              </w:rPr>
              <w:t>(a)</w:t>
            </w:r>
          </w:p>
        </w:tc>
        <w:tc>
          <w:tcPr>
            <w:tcW w:w="560" w:type="dxa"/>
            <w:vAlign w:val="bottom"/>
            <w:shd w:val="clear" w:color="auto" w:fill="CCEEFF"/>
          </w:tcPr>
          <w:p>
            <w:pPr>
              <w:jc w:val="right"/>
              <w:ind w:right="379"/>
              <w:spacing w:after="0"/>
              <w:rPr>
                <w:sz w:val="20"/>
                <w:szCs w:val="20"/>
                <w:color w:val="auto"/>
              </w:rPr>
            </w:pPr>
            <w:r>
              <w:rPr>
                <w:rFonts w:ascii="Arial" w:cs="Arial" w:eastAsia="Arial" w:hAnsi="Arial"/>
                <w:sz w:val="17"/>
                <w:szCs w:val="17"/>
                <w:color w:val="auto"/>
                <w:w w:val="84"/>
              </w:rPr>
              <w:t>$</w:t>
            </w:r>
          </w:p>
        </w:tc>
        <w:tc>
          <w:tcPr>
            <w:tcW w:w="160" w:type="dxa"/>
            <w:vAlign w:val="bottom"/>
            <w:shd w:val="clear" w:color="auto" w:fill="CCEEFF"/>
          </w:tcPr>
          <w:p>
            <w:pPr>
              <w:spacing w:after="0"/>
              <w:rPr>
                <w:sz w:val="21"/>
                <w:szCs w:val="21"/>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728.2</w:t>
            </w: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521"/>
              <w:spacing w:after="0"/>
              <w:rPr>
                <w:sz w:val="20"/>
                <w:szCs w:val="20"/>
                <w:color w:val="auto"/>
              </w:rPr>
            </w:pPr>
            <w:r>
              <w:rPr>
                <w:rFonts w:ascii="Arial" w:cs="Arial" w:eastAsia="Arial" w:hAnsi="Arial"/>
                <w:sz w:val="17"/>
                <w:szCs w:val="17"/>
                <w:color w:val="auto"/>
                <w:w w:val="84"/>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695.6</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4.7 %</w:t>
            </w:r>
          </w:p>
        </w:tc>
      </w:tr>
      <w:tr>
        <w:trPr>
          <w:trHeight w:val="226"/>
        </w:trPr>
        <w:tc>
          <w:tcPr>
            <w:tcW w:w="4760" w:type="dxa"/>
            <w:vAlign w:val="bottom"/>
          </w:tcPr>
          <w:p>
            <w:pPr>
              <w:ind w:left="20"/>
              <w:spacing w:after="0"/>
              <w:rPr>
                <w:sz w:val="20"/>
                <w:szCs w:val="20"/>
                <w:color w:val="auto"/>
              </w:rPr>
            </w:pPr>
            <w:r>
              <w:rPr>
                <w:rFonts w:ascii="Arial" w:cs="Arial" w:eastAsia="Arial" w:hAnsi="Arial"/>
                <w:sz w:val="17"/>
                <w:szCs w:val="17"/>
                <w:color w:val="auto"/>
              </w:rPr>
              <w:t>Total tonnage (in thousands)</w:t>
            </w: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w w:val="84"/>
              </w:rPr>
              <w:t>1,547</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84"/>
              </w:rPr>
              <w:t>1,485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4.2 %</w:t>
            </w:r>
          </w:p>
        </w:tc>
      </w:tr>
      <w:tr>
        <w:trPr>
          <w:trHeight w:val="26"/>
        </w:trPr>
        <w:tc>
          <w:tcPr>
            <w:tcW w:w="47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2"/>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tonnage per day (in thousands)</w:t>
            </w:r>
          </w:p>
        </w:tc>
        <w:tc>
          <w:tcPr>
            <w:tcW w:w="5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24.18</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23.38</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3.4 %</w:t>
            </w:r>
          </w:p>
        </w:tc>
      </w:tr>
      <w:tr>
        <w:trPr>
          <w:trHeight w:val="226"/>
        </w:trPr>
        <w:tc>
          <w:tcPr>
            <w:tcW w:w="4760" w:type="dxa"/>
            <w:vAlign w:val="bottom"/>
          </w:tcPr>
          <w:p>
            <w:pPr>
              <w:ind w:left="20"/>
              <w:spacing w:after="0"/>
              <w:rPr>
                <w:sz w:val="20"/>
                <w:szCs w:val="20"/>
                <w:color w:val="auto"/>
              </w:rPr>
            </w:pPr>
            <w:r>
              <w:rPr>
                <w:rFonts w:ascii="Arial" w:cs="Arial" w:eastAsia="Arial" w:hAnsi="Arial"/>
                <w:sz w:val="17"/>
                <w:szCs w:val="17"/>
                <w:color w:val="auto"/>
              </w:rPr>
              <w:t>Total shipments (in thousands)</w:t>
            </w: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w w:val="84"/>
              </w:rPr>
              <w:t>2,586</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84"/>
              </w:rPr>
              <w:t>2,514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2.9 %</w:t>
            </w:r>
          </w:p>
        </w:tc>
      </w:tr>
      <w:tr>
        <w:trPr>
          <w:trHeight w:val="26"/>
        </w:trPr>
        <w:tc>
          <w:tcPr>
            <w:tcW w:w="47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2"/>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shipments per day (in thousands)</w:t>
            </w:r>
          </w:p>
        </w:tc>
        <w:tc>
          <w:tcPr>
            <w:tcW w:w="5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40.40</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39.58</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2.1 %</w:t>
            </w:r>
          </w:p>
        </w:tc>
      </w:tr>
      <w:tr>
        <w:trPr>
          <w:trHeight w:val="226"/>
        </w:trPr>
        <w:tc>
          <w:tcPr>
            <w:tcW w:w="4760" w:type="dxa"/>
            <w:vAlign w:val="bottom"/>
          </w:tcPr>
          <w:p>
            <w:pPr>
              <w:ind w:left="20"/>
              <w:spacing w:after="0"/>
              <w:rPr>
                <w:sz w:val="20"/>
                <w:szCs w:val="20"/>
                <w:color w:val="auto"/>
              </w:rPr>
            </w:pPr>
            <w:r>
              <w:rPr>
                <w:rFonts w:ascii="Arial" w:cs="Arial" w:eastAsia="Arial" w:hAnsi="Arial"/>
                <w:sz w:val="17"/>
                <w:szCs w:val="17"/>
                <w:color w:val="auto"/>
              </w:rPr>
              <w:t>Total picked up revenue per hundred weight</w:t>
            </w:r>
          </w:p>
        </w:tc>
        <w:tc>
          <w:tcPr>
            <w:tcW w:w="560" w:type="dxa"/>
            <w:vAlign w:val="bottom"/>
          </w:tcPr>
          <w:p>
            <w:pPr>
              <w:jc w:val="right"/>
              <w:ind w:right="379"/>
              <w:spacing w:after="0"/>
              <w:rPr>
                <w:sz w:val="20"/>
                <w:szCs w:val="20"/>
                <w:color w:val="auto"/>
              </w:rPr>
            </w:pPr>
            <w:r>
              <w:rPr>
                <w:rFonts w:ascii="Arial" w:cs="Arial" w:eastAsia="Arial" w:hAnsi="Arial"/>
                <w:sz w:val="17"/>
                <w:szCs w:val="17"/>
                <w:color w:val="auto"/>
                <w:w w:val="84"/>
              </w:rPr>
              <w:t>$</w:t>
            </w:r>
          </w:p>
        </w:tc>
        <w:tc>
          <w:tcPr>
            <w:tcW w:w="1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w w:val="84"/>
              </w:rPr>
              <w:t>23.53</w:t>
            </w:r>
          </w:p>
        </w:tc>
        <w:tc>
          <w:tcPr>
            <w:tcW w:w="120" w:type="dxa"/>
            <w:vAlign w:val="bottom"/>
          </w:tcPr>
          <w:p>
            <w:pPr>
              <w:spacing w:after="0"/>
              <w:rPr>
                <w:sz w:val="19"/>
                <w:szCs w:val="19"/>
                <w:color w:val="auto"/>
              </w:rPr>
            </w:pPr>
          </w:p>
        </w:tc>
        <w:tc>
          <w:tcPr>
            <w:tcW w:w="700" w:type="dxa"/>
            <w:vAlign w:val="bottom"/>
          </w:tcPr>
          <w:p>
            <w:pPr>
              <w:jc w:val="right"/>
              <w:ind w:right="521"/>
              <w:spacing w:after="0"/>
              <w:rPr>
                <w:sz w:val="20"/>
                <w:szCs w:val="20"/>
                <w:color w:val="auto"/>
              </w:rPr>
            </w:pPr>
            <w:r>
              <w:rPr>
                <w:rFonts w:ascii="Arial" w:cs="Arial" w:eastAsia="Arial" w:hAnsi="Arial"/>
                <w:sz w:val="17"/>
                <w:szCs w:val="17"/>
                <w:color w:val="auto"/>
                <w:w w:val="84"/>
              </w:rPr>
              <w:t>$</w:t>
            </w:r>
          </w:p>
        </w:tc>
        <w:tc>
          <w:tcPr>
            <w:tcW w:w="440" w:type="dxa"/>
            <w:vAlign w:val="bottom"/>
          </w:tcPr>
          <w:p>
            <w:pPr>
              <w:jc w:val="right"/>
              <w:spacing w:after="0"/>
              <w:rPr>
                <w:sz w:val="20"/>
                <w:szCs w:val="20"/>
                <w:color w:val="auto"/>
              </w:rPr>
            </w:pPr>
            <w:r>
              <w:rPr>
                <w:rFonts w:ascii="Arial" w:cs="Arial" w:eastAsia="Arial" w:hAnsi="Arial"/>
                <w:sz w:val="17"/>
                <w:szCs w:val="17"/>
                <w:color w:val="auto"/>
                <w:w w:val="84"/>
              </w:rPr>
              <w:t>23.42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0.5 %</w:t>
            </w:r>
          </w:p>
        </w:tc>
      </w:tr>
      <w:tr>
        <w:trPr>
          <w:trHeight w:val="26"/>
        </w:trPr>
        <w:tc>
          <w:tcPr>
            <w:tcW w:w="47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14"/>
        </w:trPr>
        <w:tc>
          <w:tcPr>
            <w:tcW w:w="4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picked up revenue per hundred weight (excluding fuel</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9"/>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surcharge)</w:t>
            </w:r>
          </w:p>
        </w:tc>
        <w:tc>
          <w:tcPr>
            <w:tcW w:w="56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7"/>
                <w:szCs w:val="17"/>
                <w:color w:val="auto"/>
                <w:w w:val="84"/>
              </w:rPr>
              <w:t>$</w:t>
            </w:r>
          </w:p>
        </w:tc>
        <w:tc>
          <w:tcPr>
            <w:tcW w:w="16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21.06</w:t>
            </w:r>
          </w:p>
        </w:tc>
        <w:tc>
          <w:tcPr>
            <w:tcW w:w="1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ind w:right="521"/>
              <w:spacing w:after="0"/>
              <w:rPr>
                <w:sz w:val="20"/>
                <w:szCs w:val="20"/>
                <w:color w:val="auto"/>
              </w:rPr>
            </w:pPr>
            <w:r>
              <w:rPr>
                <w:rFonts w:ascii="Arial" w:cs="Arial" w:eastAsia="Arial" w:hAnsi="Arial"/>
                <w:sz w:val="17"/>
                <w:szCs w:val="17"/>
                <w:color w:val="auto"/>
                <w:w w:val="84"/>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21.42</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(1.7)%</w:t>
            </w:r>
          </w:p>
        </w:tc>
      </w:tr>
      <w:tr>
        <w:trPr>
          <w:trHeight w:val="226"/>
        </w:trPr>
        <w:tc>
          <w:tcPr>
            <w:tcW w:w="4760" w:type="dxa"/>
            <w:vAlign w:val="bottom"/>
          </w:tcPr>
          <w:p>
            <w:pPr>
              <w:ind w:left="20"/>
              <w:spacing w:after="0"/>
              <w:rPr>
                <w:sz w:val="20"/>
                <w:szCs w:val="20"/>
                <w:color w:val="auto"/>
              </w:rPr>
            </w:pPr>
            <w:r>
              <w:rPr>
                <w:rFonts w:ascii="Arial" w:cs="Arial" w:eastAsia="Arial" w:hAnsi="Arial"/>
                <w:sz w:val="17"/>
                <w:szCs w:val="17"/>
                <w:color w:val="auto"/>
              </w:rPr>
              <w:t>Total picked up revenue per shipment</w:t>
            </w:r>
          </w:p>
        </w:tc>
        <w:tc>
          <w:tcPr>
            <w:tcW w:w="560" w:type="dxa"/>
            <w:vAlign w:val="bottom"/>
          </w:tcPr>
          <w:p>
            <w:pPr>
              <w:jc w:val="right"/>
              <w:ind w:right="379"/>
              <w:spacing w:after="0"/>
              <w:rPr>
                <w:sz w:val="20"/>
                <w:szCs w:val="20"/>
                <w:color w:val="auto"/>
              </w:rPr>
            </w:pPr>
            <w:r>
              <w:rPr>
                <w:rFonts w:ascii="Arial" w:cs="Arial" w:eastAsia="Arial" w:hAnsi="Arial"/>
                <w:sz w:val="17"/>
                <w:szCs w:val="17"/>
                <w:color w:val="auto"/>
                <w:w w:val="84"/>
              </w:rPr>
              <w:t>$</w:t>
            </w:r>
          </w:p>
        </w:tc>
        <w:tc>
          <w:tcPr>
            <w:tcW w:w="1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282</w:t>
            </w:r>
          </w:p>
        </w:tc>
        <w:tc>
          <w:tcPr>
            <w:tcW w:w="120" w:type="dxa"/>
            <w:vAlign w:val="bottom"/>
          </w:tcPr>
          <w:p>
            <w:pPr>
              <w:spacing w:after="0"/>
              <w:rPr>
                <w:sz w:val="19"/>
                <w:szCs w:val="19"/>
                <w:color w:val="auto"/>
              </w:rPr>
            </w:pPr>
          </w:p>
        </w:tc>
        <w:tc>
          <w:tcPr>
            <w:tcW w:w="700" w:type="dxa"/>
            <w:vAlign w:val="bottom"/>
          </w:tcPr>
          <w:p>
            <w:pPr>
              <w:jc w:val="right"/>
              <w:ind w:right="521"/>
              <w:spacing w:after="0"/>
              <w:rPr>
                <w:sz w:val="20"/>
                <w:szCs w:val="20"/>
                <w:color w:val="auto"/>
              </w:rPr>
            </w:pPr>
            <w:r>
              <w:rPr>
                <w:rFonts w:ascii="Arial" w:cs="Arial" w:eastAsia="Arial" w:hAnsi="Arial"/>
                <w:sz w:val="17"/>
                <w:szCs w:val="17"/>
                <w:color w:val="auto"/>
                <w:w w:val="84"/>
              </w:rPr>
              <w:t>$</w:t>
            </w:r>
          </w:p>
        </w:tc>
        <w:tc>
          <w:tcPr>
            <w:tcW w:w="440" w:type="dxa"/>
            <w:vAlign w:val="bottom"/>
          </w:tcPr>
          <w:p>
            <w:pPr>
              <w:jc w:val="right"/>
              <w:spacing w:after="0"/>
              <w:rPr>
                <w:sz w:val="20"/>
                <w:szCs w:val="20"/>
                <w:color w:val="auto"/>
              </w:rPr>
            </w:pPr>
            <w:r>
              <w:rPr>
                <w:rFonts w:ascii="Arial" w:cs="Arial" w:eastAsia="Arial" w:hAnsi="Arial"/>
                <w:sz w:val="17"/>
                <w:szCs w:val="17"/>
                <w:color w:val="auto"/>
              </w:rPr>
              <w:t>277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1.8 %</w:t>
            </w:r>
          </w:p>
        </w:tc>
      </w:tr>
      <w:tr>
        <w:trPr>
          <w:trHeight w:val="26"/>
        </w:trPr>
        <w:tc>
          <w:tcPr>
            <w:tcW w:w="47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2"/>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w w:val="97"/>
              </w:rPr>
              <w:t>Total picked up revenue per shipment (excluding fuel surcharge)</w:t>
            </w:r>
          </w:p>
        </w:tc>
        <w:tc>
          <w:tcPr>
            <w:tcW w:w="56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7"/>
                <w:szCs w:val="17"/>
                <w:color w:val="auto"/>
                <w:w w:val="84"/>
              </w:rPr>
              <w:t>$</w:t>
            </w:r>
          </w:p>
        </w:tc>
        <w:tc>
          <w:tcPr>
            <w:tcW w:w="16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252</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521"/>
              <w:spacing w:after="0"/>
              <w:rPr>
                <w:sz w:val="20"/>
                <w:szCs w:val="20"/>
                <w:color w:val="auto"/>
              </w:rPr>
            </w:pPr>
            <w:r>
              <w:rPr>
                <w:rFonts w:ascii="Arial" w:cs="Arial" w:eastAsia="Arial" w:hAnsi="Arial"/>
                <w:sz w:val="17"/>
                <w:szCs w:val="17"/>
                <w:color w:val="auto"/>
                <w:w w:val="84"/>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253</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(0.4)%</w:t>
            </w:r>
          </w:p>
        </w:tc>
      </w:tr>
      <w:tr>
        <w:trPr>
          <w:trHeight w:val="226"/>
        </w:trPr>
        <w:tc>
          <w:tcPr>
            <w:tcW w:w="4760" w:type="dxa"/>
            <w:vAlign w:val="bottom"/>
          </w:tcPr>
          <w:p>
            <w:pPr>
              <w:ind w:left="20"/>
              <w:spacing w:after="0"/>
              <w:rPr>
                <w:sz w:val="20"/>
                <w:szCs w:val="20"/>
                <w:color w:val="auto"/>
              </w:rPr>
            </w:pPr>
            <w:r>
              <w:rPr>
                <w:rFonts w:ascii="Arial" w:cs="Arial" w:eastAsia="Arial" w:hAnsi="Arial"/>
                <w:sz w:val="17"/>
                <w:szCs w:val="17"/>
                <w:color w:val="auto"/>
              </w:rPr>
              <w:t>Total weight per shipment (in pounds)</w:t>
            </w: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w w:val="84"/>
              </w:rPr>
              <w:t>1,197</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84"/>
              </w:rPr>
              <w:t>1,181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1.3 %</w:t>
            </w:r>
          </w:p>
        </w:tc>
      </w:tr>
      <w:tr>
        <w:trPr>
          <w:trHeight w:val="599"/>
        </w:trPr>
        <w:tc>
          <w:tcPr>
            <w:tcW w:w="4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4"/>
          </w:tcPr>
          <w:p>
            <w:pPr>
              <w:jc w:val="right"/>
              <w:ind w:right="400"/>
              <w:spacing w:after="0"/>
              <w:rPr>
                <w:sz w:val="20"/>
                <w:szCs w:val="20"/>
                <w:color w:val="auto"/>
              </w:rPr>
            </w:pPr>
            <w:r>
              <w:rPr>
                <w:rFonts w:ascii="Arial" w:cs="Arial" w:eastAsia="Arial" w:hAnsi="Arial"/>
                <w:sz w:val="13"/>
                <w:szCs w:val="13"/>
                <w:b w:val="1"/>
                <w:bCs w:val="1"/>
                <w:color w:val="auto"/>
              </w:rPr>
              <w:t>First Quarter</w:t>
            </w:r>
          </w:p>
        </w:tc>
        <w:tc>
          <w:tcPr>
            <w:tcW w:w="440" w:type="dxa"/>
            <w:vAlign w:val="bottom"/>
            <w:tcBorders>
              <w:bottom w:val="single" w:sz="8" w:color="auto"/>
            </w:tcBorders>
          </w:tcPr>
          <w:p>
            <w:pPr>
              <w:spacing w:after="0"/>
              <w:rPr>
                <w:sz w:val="24"/>
                <w:szCs w:val="24"/>
                <w:color w:val="auto"/>
              </w:rPr>
            </w:pPr>
          </w:p>
        </w:tc>
        <w:tc>
          <w:tcPr>
            <w:tcW w:w="760" w:type="dxa"/>
            <w:vAlign w:val="bottom"/>
          </w:tcPr>
          <w:p>
            <w:pPr>
              <w:spacing w:after="0"/>
              <w:rPr>
                <w:sz w:val="24"/>
                <w:szCs w:val="24"/>
                <w:color w:val="auto"/>
              </w:rPr>
            </w:pPr>
          </w:p>
        </w:tc>
      </w:tr>
      <w:tr>
        <w:trPr>
          <w:trHeight w:val="239"/>
        </w:trPr>
        <w:tc>
          <w:tcPr>
            <w:tcW w:w="4760" w:type="dxa"/>
            <w:vAlign w:val="bottom"/>
          </w:tcPr>
          <w:p>
            <w:pPr>
              <w:ind w:left="780"/>
              <w:spacing w:after="0"/>
              <w:rPr>
                <w:sz w:val="20"/>
                <w:szCs w:val="20"/>
                <w:color w:val="auto"/>
              </w:rPr>
            </w:pPr>
            <w:r>
              <w:rPr>
                <w:rFonts w:ascii="Arial" w:cs="Arial" w:eastAsia="Arial" w:hAnsi="Arial"/>
                <w:sz w:val="13"/>
                <w:szCs w:val="13"/>
                <w:b w:val="1"/>
                <w:bCs w:val="1"/>
                <w:color w:val="auto"/>
              </w:rPr>
              <w:t>(in millions)</w:t>
            </w: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3"/>
          </w:tcPr>
          <w:p>
            <w:pPr>
              <w:jc w:val="right"/>
              <w:ind w:right="601"/>
              <w:spacing w:after="0"/>
              <w:rPr>
                <w:sz w:val="20"/>
                <w:szCs w:val="20"/>
                <w:color w:val="auto"/>
              </w:rPr>
            </w:pPr>
            <w:r>
              <w:rPr>
                <w:rFonts w:ascii="Arial" w:cs="Arial" w:eastAsia="Arial" w:hAnsi="Arial"/>
                <w:sz w:val="13"/>
                <w:szCs w:val="13"/>
                <w:b w:val="1"/>
                <w:bCs w:val="1"/>
                <w:color w:val="auto"/>
              </w:rPr>
              <w:t>2017</w:t>
            </w:r>
          </w:p>
        </w:tc>
        <w:tc>
          <w:tcPr>
            <w:tcW w:w="640" w:type="dxa"/>
            <w:vAlign w:val="bottom"/>
            <w:gridSpan w:val="3"/>
          </w:tcPr>
          <w:p>
            <w:pPr>
              <w:jc w:val="right"/>
              <w:ind w:right="40"/>
              <w:spacing w:after="0"/>
              <w:rPr>
                <w:sz w:val="20"/>
                <w:szCs w:val="20"/>
                <w:color w:val="auto"/>
              </w:rPr>
            </w:pPr>
            <w:r>
              <w:rPr>
                <w:rFonts w:ascii="Arial" w:cs="Arial" w:eastAsia="Arial" w:hAnsi="Arial"/>
                <w:sz w:val="13"/>
                <w:szCs w:val="13"/>
                <w:b w:val="1"/>
                <w:bCs w:val="1"/>
                <w:color w:val="auto"/>
              </w:rPr>
              <w:t>2016</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1398905</wp:posOffset>
            </wp:positionH>
            <wp:positionV relativeFrom="paragraph">
              <wp:posOffset>6350</wp:posOffset>
            </wp:positionV>
            <wp:extent cx="4467225" cy="1676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467225" cy="167640"/>
                    </a:xfrm>
                    <a:prstGeom prst="rect">
                      <a:avLst/>
                    </a:prstGeom>
                    <a:noFill/>
                  </pic:spPr>
                </pic:pic>
              </a:graphicData>
            </a:graphic>
          </wp:anchor>
        </w:drawing>
      </w:r>
    </w:p>
    <w:p>
      <w:pPr>
        <w:spacing w:after="0" w:line="11" w:lineRule="exact"/>
        <w:rPr>
          <w:sz w:val="20"/>
          <w:szCs w:val="20"/>
          <w:color w:val="auto"/>
        </w:rPr>
      </w:pPr>
    </w:p>
    <w:p>
      <w:pPr>
        <w:ind w:left="2380" w:hanging="158"/>
        <w:spacing w:after="0"/>
        <w:tabs>
          <w:tab w:leader="none" w:pos="2380" w:val="left"/>
        </w:tabs>
        <w:numPr>
          <w:ilvl w:val="0"/>
          <w:numId w:val="11"/>
        </w:numPr>
        <w:rPr>
          <w:rFonts w:ascii="Arial" w:cs="Arial" w:eastAsia="Arial" w:hAnsi="Arial"/>
          <w:sz w:val="19"/>
          <w:szCs w:val="19"/>
          <w:color w:val="auto"/>
          <w:vertAlign w:val="superscript"/>
        </w:rPr>
      </w:pPr>
      <w:r>
        <w:rPr>
          <w:rFonts w:ascii="Arial" w:cs="Arial" w:eastAsia="Arial" w:hAnsi="Arial"/>
          <w:sz w:val="14"/>
          <w:szCs w:val="14"/>
          <w:color w:val="auto"/>
        </w:rPr>
        <w:t>Reconciliation of operating revenue to total picked up revenue:</w:t>
      </w:r>
    </w:p>
    <w:p>
      <w:pPr>
        <w:spacing w:after="0" w:line="52" w:lineRule="exact"/>
        <w:rPr>
          <w:sz w:val="20"/>
          <w:szCs w:val="20"/>
          <w:color w:val="auto"/>
        </w:rPr>
      </w:pPr>
    </w:p>
    <w:tbl>
      <w:tblPr>
        <w:tblLayout w:type="fixed"/>
        <w:tblInd w:w="2200" w:type="dxa"/>
        <w:tblCellMar>
          <w:top w:w="0" w:type="dxa"/>
          <w:left w:w="0" w:type="dxa"/>
          <w:bottom w:w="0" w:type="dxa"/>
          <w:right w:w="0" w:type="dxa"/>
        </w:tblCellMar>
      </w:tblPr>
      <w:tr>
        <w:trPr>
          <w:trHeight w:val="219"/>
        </w:trPr>
        <w:tc>
          <w:tcPr>
            <w:tcW w:w="4560" w:type="dxa"/>
            <w:vAlign w:val="bottom"/>
          </w:tcPr>
          <w:p>
            <w:pPr>
              <w:ind w:left="240"/>
              <w:spacing w:after="0"/>
              <w:rPr>
                <w:sz w:val="20"/>
                <w:szCs w:val="20"/>
                <w:color w:val="auto"/>
              </w:rPr>
            </w:pPr>
            <w:r>
              <w:rPr>
                <w:rFonts w:ascii="Arial" w:cs="Arial" w:eastAsia="Arial" w:hAnsi="Arial"/>
                <w:sz w:val="17"/>
                <w:szCs w:val="17"/>
                <w:color w:val="auto"/>
              </w:rPr>
              <w:t>Operating revenue</w:t>
            </w:r>
          </w:p>
        </w:tc>
        <w:tc>
          <w:tcPr>
            <w:tcW w:w="400" w:type="dxa"/>
            <w:vAlign w:val="bottom"/>
          </w:tcPr>
          <w:p>
            <w:pPr>
              <w:jc w:val="right"/>
              <w:ind w:right="216"/>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ind w:right="16"/>
              <w:spacing w:after="0"/>
              <w:rPr>
                <w:sz w:val="20"/>
                <w:szCs w:val="20"/>
                <w:color w:val="auto"/>
              </w:rPr>
            </w:pPr>
            <w:r>
              <w:rPr>
                <w:rFonts w:ascii="Arial" w:cs="Arial" w:eastAsia="Arial" w:hAnsi="Arial"/>
                <w:sz w:val="17"/>
                <w:szCs w:val="17"/>
                <w:color w:val="auto"/>
              </w:rPr>
              <w:t>728.9</w:t>
            </w:r>
          </w:p>
        </w:tc>
        <w:tc>
          <w:tcPr>
            <w:tcW w:w="100" w:type="dxa"/>
            <w:vAlign w:val="bottom"/>
          </w:tcPr>
          <w:p>
            <w:pPr>
              <w:spacing w:after="0"/>
              <w:rPr>
                <w:sz w:val="19"/>
                <w:szCs w:val="19"/>
                <w:color w:val="auto"/>
              </w:rPr>
            </w:pPr>
          </w:p>
        </w:tc>
        <w:tc>
          <w:tcPr>
            <w:tcW w:w="420" w:type="dxa"/>
            <w:vAlign w:val="bottom"/>
          </w:tcPr>
          <w:p>
            <w:pPr>
              <w:jc w:val="right"/>
              <w:ind w:right="236"/>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ind w:right="16"/>
              <w:spacing w:after="0"/>
              <w:rPr>
                <w:sz w:val="20"/>
                <w:szCs w:val="20"/>
                <w:color w:val="auto"/>
              </w:rPr>
            </w:pPr>
            <w:r>
              <w:rPr>
                <w:rFonts w:ascii="Arial" w:cs="Arial" w:eastAsia="Arial" w:hAnsi="Arial"/>
                <w:sz w:val="17"/>
                <w:szCs w:val="17"/>
                <w:color w:val="auto"/>
              </w:rPr>
              <w:t>695.7</w:t>
            </w:r>
          </w:p>
        </w:tc>
      </w:tr>
      <w:tr>
        <w:trPr>
          <w:trHeight w:val="257"/>
        </w:trPr>
        <w:tc>
          <w:tcPr>
            <w:tcW w:w="4560" w:type="dxa"/>
            <w:vAlign w:val="bottom"/>
            <w:tcBorders>
              <w:bottom w:val="single" w:sz="8" w:color="BFE4FF"/>
            </w:tcBorders>
            <w:shd w:val="clear" w:color="auto" w:fill="BFE4FF"/>
          </w:tcPr>
          <w:p>
            <w:pPr>
              <w:ind w:left="240"/>
              <w:spacing w:after="0"/>
              <w:rPr>
                <w:sz w:val="20"/>
                <w:szCs w:val="20"/>
                <w:color w:val="auto"/>
              </w:rPr>
            </w:pPr>
            <w:r>
              <w:rPr>
                <w:rFonts w:ascii="Arial" w:cs="Arial" w:eastAsia="Arial" w:hAnsi="Arial"/>
                <w:sz w:val="17"/>
                <w:szCs w:val="17"/>
                <w:color w:val="auto"/>
              </w:rPr>
              <w:t>Change in revenue deferral and other</w:t>
            </w:r>
          </w:p>
        </w:tc>
        <w:tc>
          <w:tcPr>
            <w:tcW w:w="400" w:type="dxa"/>
            <w:vAlign w:val="bottom"/>
            <w:tcBorders>
              <w:bottom w:val="single" w:sz="8" w:color="BFE4FF"/>
            </w:tcBorders>
            <w:shd w:val="clear" w:color="auto" w:fill="BFE4FF"/>
          </w:tcPr>
          <w:p>
            <w:pPr>
              <w:spacing w:after="0"/>
              <w:rPr>
                <w:sz w:val="22"/>
                <w:szCs w:val="22"/>
                <w:color w:val="auto"/>
              </w:rPr>
            </w:pPr>
          </w:p>
        </w:tc>
        <w:tc>
          <w:tcPr>
            <w:tcW w:w="7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7"/>
                <w:szCs w:val="17"/>
                <w:color w:val="auto"/>
              </w:rPr>
              <w:t>(0.7)</w:t>
            </w:r>
          </w:p>
        </w:tc>
        <w:tc>
          <w:tcPr>
            <w:tcW w:w="100" w:type="dxa"/>
            <w:vAlign w:val="bottom"/>
            <w:tcBorders>
              <w:bottom w:val="single" w:sz="8" w:color="BFE4FF"/>
            </w:tcBorders>
            <w:shd w:val="clear" w:color="auto" w:fill="BFE4FF"/>
          </w:tcPr>
          <w:p>
            <w:pPr>
              <w:spacing w:after="0"/>
              <w:rPr>
                <w:sz w:val="22"/>
                <w:szCs w:val="22"/>
                <w:color w:val="auto"/>
              </w:rPr>
            </w:pPr>
          </w:p>
        </w:tc>
        <w:tc>
          <w:tcPr>
            <w:tcW w:w="420" w:type="dxa"/>
            <w:vAlign w:val="bottom"/>
            <w:tcBorders>
              <w:bottom w:val="single" w:sz="8" w:color="BFE4FF"/>
            </w:tcBorders>
            <w:shd w:val="clear" w:color="auto" w:fill="BFE4FF"/>
          </w:tcPr>
          <w:p>
            <w:pPr>
              <w:spacing w:after="0"/>
              <w:rPr>
                <w:sz w:val="22"/>
                <w:szCs w:val="22"/>
                <w:color w:val="auto"/>
              </w:rPr>
            </w:pPr>
          </w:p>
        </w:tc>
        <w:tc>
          <w:tcPr>
            <w:tcW w:w="7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7"/>
                <w:szCs w:val="17"/>
                <w:color w:val="auto"/>
              </w:rPr>
              <w:t>(0.1)</w:t>
            </w:r>
          </w:p>
        </w:tc>
      </w:tr>
      <w:tr>
        <w:trPr>
          <w:trHeight w:val="231"/>
        </w:trPr>
        <w:tc>
          <w:tcPr>
            <w:tcW w:w="4560" w:type="dxa"/>
            <w:vAlign w:val="bottom"/>
          </w:tcPr>
          <w:p>
            <w:pPr>
              <w:ind w:left="140"/>
              <w:spacing w:after="0"/>
              <w:rPr>
                <w:sz w:val="20"/>
                <w:szCs w:val="20"/>
                <w:color w:val="auto"/>
              </w:rPr>
            </w:pPr>
            <w:r>
              <w:rPr>
                <w:rFonts w:ascii="Arial" w:cs="Arial" w:eastAsia="Arial" w:hAnsi="Arial"/>
                <w:sz w:val="17"/>
                <w:szCs w:val="17"/>
                <w:color w:val="auto"/>
              </w:rPr>
              <w:t>Total picked up revenue</w:t>
            </w:r>
          </w:p>
        </w:tc>
        <w:tc>
          <w:tcPr>
            <w:tcW w:w="400" w:type="dxa"/>
            <w:vAlign w:val="bottom"/>
            <w:tcBorders>
              <w:top w:val="single" w:sz="8" w:color="auto"/>
            </w:tcBorders>
          </w:tcPr>
          <w:p>
            <w:pPr>
              <w:jc w:val="right"/>
              <w:ind w:right="216"/>
              <w:spacing w:after="0"/>
              <w:rPr>
                <w:sz w:val="20"/>
                <w:szCs w:val="20"/>
                <w:color w:val="auto"/>
              </w:rPr>
            </w:pPr>
            <w:r>
              <w:rPr>
                <w:rFonts w:ascii="Arial" w:cs="Arial" w:eastAsia="Arial" w:hAnsi="Arial"/>
                <w:sz w:val="17"/>
                <w:szCs w:val="17"/>
                <w:color w:val="auto"/>
                <w:w w:val="84"/>
              </w:rPr>
              <w:t>$</w:t>
            </w:r>
          </w:p>
        </w:tc>
        <w:tc>
          <w:tcPr>
            <w:tcW w:w="78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728.2</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36"/>
              <w:spacing w:after="0"/>
              <w:rPr>
                <w:sz w:val="20"/>
                <w:szCs w:val="20"/>
                <w:color w:val="auto"/>
              </w:rPr>
            </w:pPr>
            <w:r>
              <w:rPr>
                <w:rFonts w:ascii="Arial" w:cs="Arial" w:eastAsia="Arial" w:hAnsi="Arial"/>
                <w:sz w:val="17"/>
                <w:szCs w:val="17"/>
                <w:color w:val="auto"/>
                <w:w w:val="84"/>
              </w:rPr>
              <w:t>$</w:t>
            </w:r>
          </w:p>
        </w:tc>
        <w:tc>
          <w:tcPr>
            <w:tcW w:w="78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695.6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4291965</wp:posOffset>
            </wp:positionH>
            <wp:positionV relativeFrom="paragraph">
              <wp:posOffset>8255</wp:posOffset>
            </wp:positionV>
            <wp:extent cx="15741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74165" cy="8255"/>
                    </a:xfrm>
                    <a:prstGeom prst="rect">
                      <a:avLst/>
                    </a:prstGeom>
                    <a:noFill/>
                  </pic:spPr>
                </pic:pic>
              </a:graphicData>
            </a:graphic>
          </wp:anchor>
        </w:drawing>
      </w:r>
    </w:p>
    <w:p>
      <w:pPr>
        <w:spacing w:after="0" w:line="12" w:lineRule="exact"/>
        <w:rPr>
          <w:sz w:val="20"/>
          <w:szCs w:val="20"/>
          <w:color w:val="auto"/>
        </w:rPr>
      </w:pPr>
    </w:p>
    <w:p>
      <w:pPr>
        <w:ind w:left="940" w:hanging="184"/>
        <w:spacing w:after="0"/>
        <w:tabs>
          <w:tab w:leader="none" w:pos="940" w:val="left"/>
        </w:tabs>
        <w:numPr>
          <w:ilvl w:val="0"/>
          <w:numId w:val="12"/>
        </w:numPr>
        <w:rPr>
          <w:rFonts w:ascii="Arial" w:cs="Arial" w:eastAsia="Arial" w:hAnsi="Arial"/>
          <w:sz w:val="13"/>
          <w:szCs w:val="13"/>
          <w:color w:val="auto"/>
        </w:rPr>
      </w:pPr>
      <w:r>
        <w:rPr>
          <w:rFonts w:ascii="Arial" w:cs="Arial" w:eastAsia="Arial" w:hAnsi="Arial"/>
          <w:sz w:val="13"/>
          <w:szCs w:val="13"/>
          <w:color w:val="auto"/>
        </w:rPr>
        <w:t>Does not equal financial statement revenue due to revenue recognition adjustments between accounting periods and the impact of other revenue</w:t>
      </w:r>
    </w:p>
    <w:p>
      <w:pPr>
        <w:spacing w:after="0" w:line="13" w:lineRule="exact"/>
        <w:rPr>
          <w:rFonts w:ascii="Arial" w:cs="Arial" w:eastAsia="Arial" w:hAnsi="Arial"/>
          <w:sz w:val="13"/>
          <w:szCs w:val="13"/>
          <w:color w:val="auto"/>
        </w:rPr>
      </w:pPr>
    </w:p>
    <w:p>
      <w:pPr>
        <w:ind w:left="940" w:hanging="184"/>
        <w:spacing w:after="0"/>
        <w:tabs>
          <w:tab w:leader="none" w:pos="940" w:val="left"/>
        </w:tabs>
        <w:numPr>
          <w:ilvl w:val="0"/>
          <w:numId w:val="12"/>
        </w:numPr>
        <w:rPr>
          <w:rFonts w:ascii="Arial" w:cs="Arial" w:eastAsia="Arial" w:hAnsi="Arial"/>
          <w:sz w:val="13"/>
          <w:szCs w:val="13"/>
          <w:color w:val="auto"/>
        </w:rPr>
      </w:pPr>
      <w:r>
        <w:rPr>
          <w:rFonts w:ascii="Arial" w:cs="Arial" w:eastAsia="Arial" w:hAnsi="Arial"/>
          <w:sz w:val="13"/>
          <w:szCs w:val="13"/>
          <w:color w:val="auto"/>
        </w:rPr>
        <w:t>Percent change based on unrounded figures and not the rounded figures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4291965</wp:posOffset>
            </wp:positionH>
            <wp:positionV relativeFrom="paragraph">
              <wp:posOffset>-194310</wp:posOffset>
            </wp:positionV>
            <wp:extent cx="15741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74165" cy="8255"/>
                    </a:xfrm>
                    <a:prstGeom prst="rect">
                      <a:avLst/>
                    </a:prstGeom>
                    <a:noFill/>
                  </pic:spPr>
                </pic:pic>
              </a:graphicData>
            </a:graphic>
          </wp:anchor>
        </w:drawing>
      </w:r>
    </w:p>
    <w:p>
      <w:pPr>
        <w:spacing w:after="0" w:line="177" w:lineRule="exact"/>
        <w:rPr>
          <w:sz w:val="20"/>
          <w:szCs w:val="20"/>
          <w:color w:val="auto"/>
        </w:rPr>
      </w:pPr>
    </w:p>
    <w:p>
      <w:pPr>
        <w:jc w:val="both"/>
        <w:spacing w:after="0" w:line="308" w:lineRule="auto"/>
        <w:rPr>
          <w:sz w:val="20"/>
          <w:szCs w:val="20"/>
          <w:color w:val="auto"/>
        </w:rPr>
      </w:pPr>
      <w:r>
        <w:rPr>
          <w:rFonts w:ascii="Arial" w:cs="Arial" w:eastAsia="Arial" w:hAnsi="Arial"/>
          <w:sz w:val="15"/>
          <w:szCs w:val="15"/>
          <w:color w:val="auto"/>
        </w:rPr>
        <w:t>Operating loss for YRC Freight was $10.5 million in the first quarter of 2017 compared to operating income of $4.1 million in the first quarter of 2016. The increase in operating loss consisted of a $33.2 million increase in revenue, which was more than offset by a $47.8 million increase in operating expenses. The increase in operating expenses consisted primarily of an increase in wages and employee benefit costs, higher fuel costs and higher usage of purchased transportation.</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34" w:lineRule="exact"/>
        <w:rPr>
          <w:sz w:val="20"/>
          <w:szCs w:val="20"/>
          <w:color w:val="auto"/>
        </w:rPr>
      </w:pPr>
    </w:p>
    <w:p>
      <w:pPr>
        <w:jc w:val="both"/>
        <w:spacing w:after="0" w:line="258" w:lineRule="auto"/>
        <w:rPr>
          <w:sz w:val="20"/>
          <w:szCs w:val="20"/>
          <w:color w:val="auto"/>
        </w:rPr>
      </w:pPr>
      <w:r>
        <w:rPr>
          <w:rFonts w:ascii="Arial" w:cs="Arial" w:eastAsia="Arial" w:hAnsi="Arial"/>
          <w:sz w:val="17"/>
          <w:szCs w:val="17"/>
          <w:i w:val="1"/>
          <w:iCs w:val="1"/>
          <w:color w:val="auto"/>
        </w:rPr>
        <w:t xml:space="preserve">Salaries, wages and employee benefits. </w:t>
      </w:r>
      <w:r>
        <w:rPr>
          <w:rFonts w:ascii="Arial" w:cs="Arial" w:eastAsia="Arial" w:hAnsi="Arial"/>
          <w:sz w:val="17"/>
          <w:szCs w:val="17"/>
          <w:color w:val="auto"/>
        </w:rPr>
        <w:t>Salaries, wages and employee benefits increased $14.0 million, or 3.3%, primarily due to a $9.1 million increase in employee</w:t>
      </w:r>
      <w:r>
        <w:rPr>
          <w:rFonts w:ascii="Arial" w:cs="Arial" w:eastAsia="Arial" w:hAnsi="Arial"/>
          <w:sz w:val="17"/>
          <w:szCs w:val="17"/>
          <w:i w:val="1"/>
          <w:iCs w:val="1"/>
          <w:color w:val="auto"/>
        </w:rPr>
        <w:t xml:space="preserve"> </w:t>
      </w:r>
      <w:r>
        <w:rPr>
          <w:rFonts w:ascii="Arial" w:cs="Arial" w:eastAsia="Arial" w:hAnsi="Arial"/>
          <w:sz w:val="17"/>
          <w:szCs w:val="17"/>
          <w:color w:val="auto"/>
        </w:rPr>
        <w:t>benefit costs and a $4.5 million increase in wages, both of which are primarily related to contractual rate increases for union employees, combined with an increase in shipping volumes, which required more employee hours to process freight.</w:t>
      </w:r>
    </w:p>
    <w:p>
      <w:pPr>
        <w:spacing w:after="0" w:line="175" w:lineRule="exact"/>
        <w:rPr>
          <w:sz w:val="20"/>
          <w:szCs w:val="20"/>
          <w:color w:val="auto"/>
        </w:rPr>
      </w:pPr>
    </w:p>
    <w:p>
      <w:pPr>
        <w:jc w:val="both"/>
        <w:spacing w:after="0" w:line="337" w:lineRule="auto"/>
        <w:rPr>
          <w:sz w:val="20"/>
          <w:szCs w:val="20"/>
          <w:color w:val="auto"/>
        </w:rPr>
      </w:pPr>
      <w:r>
        <w:rPr>
          <w:rFonts w:ascii="Arial" w:cs="Arial" w:eastAsia="Arial" w:hAnsi="Arial"/>
          <w:sz w:val="15"/>
          <w:szCs w:val="15"/>
          <w:i w:val="1"/>
          <w:iCs w:val="1"/>
          <w:color w:val="auto"/>
        </w:rPr>
        <w:t>Operating expenses and supplies</w:t>
      </w:r>
      <w:r>
        <w:rPr>
          <w:rFonts w:ascii="Arial" w:cs="Arial" w:eastAsia="Arial" w:hAnsi="Arial"/>
          <w:sz w:val="15"/>
          <w:szCs w:val="15"/>
          <w:color w:val="auto"/>
        </w:rPr>
        <w:t>. Operating expenses and supplies increased $16.7 million, or 13.8%, primarily due to a $12.7 million increase in fuel expense, which</w:t>
      </w:r>
      <w:r>
        <w:rPr>
          <w:rFonts w:ascii="Arial" w:cs="Arial" w:eastAsia="Arial" w:hAnsi="Arial"/>
          <w:sz w:val="15"/>
          <w:szCs w:val="15"/>
          <w:i w:val="1"/>
          <w:iCs w:val="1"/>
          <w:color w:val="auto"/>
        </w:rPr>
        <w:t xml:space="preserve"> </w:t>
      </w:r>
      <w:r>
        <w:rPr>
          <w:rFonts w:ascii="Arial" w:cs="Arial" w:eastAsia="Arial" w:hAnsi="Arial"/>
          <w:sz w:val="15"/>
          <w:szCs w:val="15"/>
          <w:color w:val="auto"/>
        </w:rPr>
        <w:t>was driven by higher fuel prices on a per gallon basis. Also, operating expenses increased by $4.3 million due to higher technology and operating supply costs.</w:t>
      </w:r>
    </w:p>
    <w:p>
      <w:pPr>
        <w:spacing w:after="0" w:line="120" w:lineRule="exact"/>
        <w:rPr>
          <w:sz w:val="20"/>
          <w:szCs w:val="20"/>
          <w:color w:val="auto"/>
        </w:rPr>
      </w:pPr>
    </w:p>
    <w:p>
      <w:pPr>
        <w:jc w:val="both"/>
        <w:spacing w:after="0" w:line="281" w:lineRule="auto"/>
        <w:rPr>
          <w:sz w:val="20"/>
          <w:szCs w:val="20"/>
          <w:color w:val="auto"/>
        </w:rPr>
      </w:pPr>
      <w:r>
        <w:rPr>
          <w:rFonts w:ascii="Arial" w:cs="Arial" w:eastAsia="Arial" w:hAnsi="Arial"/>
          <w:sz w:val="16"/>
          <w:szCs w:val="16"/>
          <w:i w:val="1"/>
          <w:iCs w:val="1"/>
          <w:color w:val="auto"/>
        </w:rPr>
        <w:t>Purchased transportation</w:t>
      </w:r>
      <w:r>
        <w:rPr>
          <w:rFonts w:ascii="Arial" w:cs="Arial" w:eastAsia="Arial" w:hAnsi="Arial"/>
          <w:sz w:val="16"/>
          <w:szCs w:val="16"/>
          <w:color w:val="auto"/>
        </w:rPr>
        <w:t>. Purchased transportation increased $13.4 million, or 15.4%, primarily due to a $6.2 million increase in rail purchased transportation expense</w:t>
      </w:r>
      <w:r>
        <w:rPr>
          <w:rFonts w:ascii="Arial" w:cs="Arial" w:eastAsia="Arial" w:hAnsi="Arial"/>
          <w:sz w:val="16"/>
          <w:szCs w:val="16"/>
          <w:i w:val="1"/>
          <w:iCs w:val="1"/>
          <w:color w:val="auto"/>
        </w:rPr>
        <w:t xml:space="preserve"> </w:t>
      </w:r>
      <w:r>
        <w:rPr>
          <w:rFonts w:ascii="Arial" w:cs="Arial" w:eastAsia="Arial" w:hAnsi="Arial"/>
          <w:sz w:val="16"/>
          <w:szCs w:val="16"/>
          <w:color w:val="auto"/>
        </w:rPr>
        <w:t>caused by an increase in rail miles and higher rail rates, as well as a $3.1 million increase in local purchased transportation expense resulting from increased volume. Vehicle rent expense increased $3.6 million caused by higher usage of operating leases for revenue equipment.</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Regional Transportation Results</w:t>
      </w:r>
    </w:p>
    <w:p>
      <w:pPr>
        <w:spacing w:after="0" w:line="20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Regional Transportation represented 37.7% of consolidated operating revenue for the first quarter of 2017, as compared to 37.9% for the first quarter of 2016. The table below provides summary financial information for Regional Transportation for the first quarter of 2017 and 2016:</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71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tcPr>
          <w:p>
            <w:pPr>
              <w:ind w:left="140"/>
              <w:spacing w:after="0"/>
              <w:rPr>
                <w:sz w:val="20"/>
                <w:szCs w:val="20"/>
                <w:color w:val="auto"/>
              </w:rPr>
            </w:pPr>
            <w:r>
              <w:rPr>
                <w:rFonts w:ascii="Arial" w:cs="Arial" w:eastAsia="Arial" w:hAnsi="Arial"/>
                <w:sz w:val="13"/>
                <w:szCs w:val="13"/>
                <w:b w:val="1"/>
                <w:bCs w:val="1"/>
                <w:color w:val="auto"/>
              </w:rPr>
              <w:t>First Quarter</w:t>
            </w:r>
          </w:p>
        </w:tc>
        <w:tc>
          <w:tcPr>
            <w:tcW w:w="14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71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(in millions)</w:t>
            </w:r>
          </w:p>
        </w:tc>
        <w:tc>
          <w:tcPr>
            <w:tcW w:w="3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420"/>
              <w:spacing w:after="0"/>
              <w:rPr>
                <w:sz w:val="20"/>
                <w:szCs w:val="20"/>
                <w:color w:val="auto"/>
              </w:rPr>
            </w:pPr>
            <w:r>
              <w:rPr>
                <w:rFonts w:ascii="Arial" w:cs="Arial" w:eastAsia="Arial" w:hAnsi="Arial"/>
                <w:sz w:val="13"/>
                <w:szCs w:val="13"/>
                <w:b w:val="1"/>
                <w:bCs w:val="1"/>
                <w:color w:val="auto"/>
              </w:rPr>
              <w:t>2017</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43"/>
              <w:spacing w:after="0"/>
              <w:rPr>
                <w:sz w:val="20"/>
                <w:szCs w:val="20"/>
                <w:color w:val="auto"/>
              </w:rPr>
            </w:pPr>
            <w:r>
              <w:rPr>
                <w:rFonts w:ascii="Arial" w:cs="Arial" w:eastAsia="Arial" w:hAnsi="Arial"/>
                <w:sz w:val="13"/>
                <w:szCs w:val="13"/>
                <w:b w:val="1"/>
                <w:bCs w:val="1"/>
                <w:color w:val="auto"/>
              </w:rPr>
              <w:t>2016</w:t>
            </w:r>
          </w:p>
        </w:tc>
        <w:tc>
          <w:tcPr>
            <w:tcW w:w="100" w:type="dxa"/>
            <w:vAlign w:val="bottom"/>
            <w:tcBorders>
              <w:bottom w:val="single" w:sz="8" w:color="CCEEFF"/>
            </w:tcBorders>
          </w:tcPr>
          <w:p>
            <w:pPr>
              <w:spacing w:after="0"/>
              <w:rPr>
                <w:sz w:val="21"/>
                <w:szCs w:val="21"/>
                <w:color w:val="auto"/>
              </w:rPr>
            </w:pPr>
          </w:p>
        </w:tc>
        <w:tc>
          <w:tcPr>
            <w:tcW w:w="1460" w:type="dxa"/>
            <w:vAlign w:val="bottom"/>
            <w:tcBorders>
              <w:bottom w:val="single" w:sz="8" w:color="auto"/>
            </w:tcBorders>
          </w:tcPr>
          <w:p>
            <w:pPr>
              <w:jc w:val="right"/>
              <w:ind w:right="179"/>
              <w:spacing w:after="0"/>
              <w:rPr>
                <w:sz w:val="20"/>
                <w:szCs w:val="20"/>
                <w:color w:val="auto"/>
              </w:rPr>
            </w:pPr>
            <w:r>
              <w:rPr>
                <w:rFonts w:ascii="Arial" w:cs="Arial" w:eastAsia="Arial" w:hAnsi="Arial"/>
                <w:sz w:val="13"/>
                <w:szCs w:val="13"/>
                <w:b w:val="1"/>
                <w:bCs w:val="1"/>
                <w:color w:val="auto"/>
              </w:rPr>
              <w:t>Percent Change</w:t>
            </w:r>
          </w:p>
        </w:tc>
        <w:tc>
          <w:tcPr>
            <w:tcW w:w="0" w:type="dxa"/>
            <w:vAlign w:val="bottom"/>
          </w:tcPr>
          <w:p>
            <w:pPr>
              <w:spacing w:after="0"/>
              <w:rPr>
                <w:sz w:val="1"/>
                <w:szCs w:val="1"/>
                <w:color w:val="auto"/>
              </w:rPr>
            </w:pPr>
          </w:p>
        </w:tc>
      </w:tr>
      <w:tr>
        <w:trPr>
          <w:trHeight w:val="229"/>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Operating revenue</w:t>
            </w:r>
          </w:p>
        </w:tc>
        <w:tc>
          <w:tcPr>
            <w:tcW w:w="32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7"/>
                <w:szCs w:val="17"/>
                <w:color w:val="auto"/>
              </w:rPr>
              <w:t>441.8</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CCEEFF"/>
            </w:tcBorders>
            <w:shd w:val="clear" w:color="auto" w:fill="CCEEFF"/>
          </w:tcPr>
          <w:p>
            <w:pPr>
              <w:jc w:val="right"/>
              <w:ind w:right="103"/>
              <w:spacing w:after="0"/>
              <w:rPr>
                <w:sz w:val="20"/>
                <w:szCs w:val="20"/>
                <w:color w:val="auto"/>
              </w:rPr>
            </w:pPr>
            <w:r>
              <w:rPr>
                <w:rFonts w:ascii="Arial" w:cs="Arial" w:eastAsia="Arial" w:hAnsi="Arial"/>
                <w:sz w:val="17"/>
                <w:szCs w:val="17"/>
                <w:color w:val="auto"/>
              </w:rPr>
              <w:t>424.8</w:t>
            </w:r>
          </w:p>
        </w:tc>
        <w:tc>
          <w:tcPr>
            <w:tcW w:w="10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4.0 %</w:t>
            </w:r>
          </w:p>
        </w:tc>
        <w:tc>
          <w:tcPr>
            <w:tcW w:w="0" w:type="dxa"/>
            <w:vAlign w:val="bottom"/>
          </w:tcPr>
          <w:p>
            <w:pPr>
              <w:spacing w:after="0"/>
              <w:rPr>
                <w:sz w:val="1"/>
                <w:szCs w:val="1"/>
                <w:color w:val="auto"/>
              </w:rPr>
            </w:pPr>
          </w:p>
        </w:tc>
      </w:tr>
      <w:tr>
        <w:trPr>
          <w:trHeight w:val="226"/>
        </w:trPr>
        <w:tc>
          <w:tcPr>
            <w:tcW w:w="7140" w:type="dxa"/>
            <w:vAlign w:val="bottom"/>
          </w:tcPr>
          <w:p>
            <w:pPr>
              <w:ind w:left="20"/>
              <w:spacing w:after="0"/>
              <w:rPr>
                <w:sz w:val="20"/>
                <w:szCs w:val="20"/>
                <w:color w:val="auto"/>
              </w:rPr>
            </w:pPr>
            <w:r>
              <w:rPr>
                <w:rFonts w:ascii="Arial" w:cs="Arial" w:eastAsia="Arial" w:hAnsi="Arial"/>
                <w:sz w:val="17"/>
                <w:szCs w:val="17"/>
                <w:color w:val="auto"/>
              </w:rPr>
              <w:t>Operating income</w:t>
            </w:r>
          </w:p>
        </w:tc>
        <w:tc>
          <w:tcPr>
            <w:tcW w:w="320" w:type="dxa"/>
            <w:vAlign w:val="bottom"/>
          </w:tcPr>
          <w:p>
            <w:pPr>
              <w:jc w:val="right"/>
              <w:ind w:right="116"/>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100"/>
              <w:spacing w:after="0"/>
              <w:rPr>
                <w:sz w:val="20"/>
                <w:szCs w:val="20"/>
                <w:color w:val="auto"/>
              </w:rPr>
            </w:pPr>
            <w:r>
              <w:rPr>
                <w:rFonts w:ascii="Arial" w:cs="Arial" w:eastAsia="Arial" w:hAnsi="Arial"/>
                <w:sz w:val="17"/>
                <w:szCs w:val="17"/>
                <w:color w:val="auto"/>
              </w:rPr>
              <w:t>12.2</w:t>
            </w:r>
          </w:p>
        </w:tc>
        <w:tc>
          <w:tcPr>
            <w:tcW w:w="120" w:type="dxa"/>
            <w:vAlign w:val="bottom"/>
          </w:tcPr>
          <w:p>
            <w:pPr>
              <w:spacing w:after="0"/>
              <w:rPr>
                <w:sz w:val="19"/>
                <w:szCs w:val="19"/>
                <w:color w:val="auto"/>
              </w:rPr>
            </w:pPr>
          </w:p>
        </w:tc>
        <w:tc>
          <w:tcPr>
            <w:tcW w:w="220" w:type="dxa"/>
            <w:vAlign w:val="bottom"/>
          </w:tcPr>
          <w:p>
            <w:pPr>
              <w:jc w:val="right"/>
              <w:ind w:right="36"/>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ind w:right="103"/>
              <w:spacing w:after="0"/>
              <w:rPr>
                <w:sz w:val="20"/>
                <w:szCs w:val="20"/>
                <w:color w:val="auto"/>
              </w:rPr>
            </w:pPr>
            <w:r>
              <w:rPr>
                <w:rFonts w:ascii="Arial" w:cs="Arial" w:eastAsia="Arial" w:hAnsi="Arial"/>
                <w:sz w:val="17"/>
                <w:szCs w:val="17"/>
                <w:color w:val="auto"/>
              </w:rPr>
              <w:t>12.4</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240"/>
        </w:trPr>
        <w:tc>
          <w:tcPr>
            <w:tcW w:w="7140" w:type="dxa"/>
            <w:vAlign w:val="bottom"/>
            <w:vMerge w:val="restart"/>
          </w:tcPr>
          <w:p>
            <w:pPr>
              <w:ind w:left="20"/>
              <w:spacing w:after="0"/>
              <w:rPr>
                <w:sz w:val="20"/>
                <w:szCs w:val="20"/>
                <w:color w:val="auto"/>
              </w:rPr>
            </w:pPr>
            <w:r>
              <w:rPr>
                <w:rFonts w:ascii="Arial" w:cs="Arial" w:eastAsia="Arial" w:hAnsi="Arial"/>
                <w:sz w:val="17"/>
                <w:szCs w:val="17"/>
                <w:color w:val="auto"/>
              </w:rPr>
              <w:t>Operating ratio</w:t>
            </w:r>
            <w:r>
              <w:rPr>
                <w:rFonts w:ascii="Arial" w:cs="Arial" w:eastAsia="Arial" w:hAnsi="Arial"/>
                <w:sz w:val="23"/>
                <w:szCs w:val="23"/>
                <w:color w:val="auto"/>
                <w:vertAlign w:val="superscript"/>
              </w:rPr>
              <w:t>(a)</w:t>
            </w: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jc w:val="right"/>
              <w:ind w:right="79"/>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3"/>
        </w:trPr>
        <w:tc>
          <w:tcPr>
            <w:tcW w:w="714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97.2%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97.1%</w:t>
            </w:r>
          </w:p>
        </w:tc>
        <w:tc>
          <w:tcPr>
            <w:tcW w:w="1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(0.1pp</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-283210</wp:posOffset>
            </wp:positionV>
            <wp:extent cx="7256145" cy="2876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6145" cy="287655"/>
                    </a:xfrm>
                    <a:prstGeom prst="rect">
                      <a:avLst/>
                    </a:prstGeom>
                    <a:noFill/>
                  </pic:spPr>
                </pic:pic>
              </a:graphicData>
            </a:graphic>
          </wp:anchor>
        </w:drawing>
      </w:r>
    </w:p>
    <w:p>
      <w:pPr>
        <w:ind w:left="300" w:hanging="299"/>
        <w:spacing w:after="0"/>
        <w:tabs>
          <w:tab w:leader="none" w:pos="300" w:val="left"/>
        </w:tabs>
        <w:numPr>
          <w:ilvl w:val="0"/>
          <w:numId w:val="13"/>
        </w:numPr>
        <w:rPr>
          <w:rFonts w:ascii="Arial" w:cs="Arial" w:eastAsia="Arial" w:hAnsi="Arial"/>
          <w:sz w:val="13"/>
          <w:szCs w:val="13"/>
          <w:color w:val="auto"/>
        </w:rPr>
      </w:pPr>
      <w:r>
        <w:rPr>
          <w:rFonts w:ascii="Arial" w:cs="Arial" w:eastAsia="Arial" w:hAnsi="Arial"/>
          <w:sz w:val="13"/>
          <w:szCs w:val="13"/>
          <w:color w:val="auto"/>
        </w:rPr>
        <w:t>pp represents the change in percentage points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First Quarter of 2017 Compared to the First Quarter of 2016</w:t>
      </w:r>
    </w:p>
    <w:p>
      <w:pPr>
        <w:spacing w:after="0" w:line="207"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Regional Transportation reported operating revenue of $441.8 million for the first quarter of 2017, an increase of $17.0 million, or 4.0%, from the first quarter of 2016. The increase in revenue is primarily attributed to an increase in fuel surcharge revenue. Shipment volume and yield, excluding fuel surcharge, are comparable to prior year. The table below summarizes the key revenue metrics for the Regional Transportation reporting segment for the first quarter of 2017 compared to the first quarter of 2016:</w:t>
      </w:r>
    </w:p>
    <w:p>
      <w:pPr>
        <w:spacing w:after="0" w:line="385" w:lineRule="exact"/>
        <w:rPr>
          <w:sz w:val="20"/>
          <w:szCs w:val="20"/>
          <w:color w:val="auto"/>
        </w:rPr>
      </w:pPr>
    </w:p>
    <w:tbl>
      <w:tblPr>
        <w:tblLayout w:type="fixed"/>
        <w:tblInd w:w="1440" w:type="dxa"/>
        <w:tblCellMar>
          <w:top w:w="0" w:type="dxa"/>
          <w:left w:w="0" w:type="dxa"/>
          <w:bottom w:w="0" w:type="dxa"/>
          <w:right w:w="0" w:type="dxa"/>
        </w:tblCellMar>
      </w:tblPr>
      <w:tr>
        <w:trPr>
          <w:trHeight w:val="179"/>
        </w:trPr>
        <w:tc>
          <w:tcPr>
            <w:tcW w:w="250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jc w:val="right"/>
              <w:ind w:right="281"/>
              <w:spacing w:after="0"/>
              <w:rPr>
                <w:sz w:val="20"/>
                <w:szCs w:val="20"/>
                <w:color w:val="auto"/>
              </w:rPr>
            </w:pPr>
            <w:r>
              <w:rPr>
                <w:rFonts w:ascii="Arial" w:cs="Arial" w:eastAsia="Arial" w:hAnsi="Arial"/>
                <w:sz w:val="13"/>
                <w:szCs w:val="13"/>
                <w:b w:val="1"/>
                <w:bCs w:val="1"/>
                <w:color w:val="auto"/>
              </w:rPr>
              <w:t>First Quarter</w:t>
            </w:r>
          </w:p>
        </w:tc>
        <w:tc>
          <w:tcPr>
            <w:tcW w:w="3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2500" w:type="dxa"/>
            <w:vAlign w:val="bottom"/>
            <w:tcBorders>
              <w:bottom w:val="single" w:sz="8" w:color="auto"/>
            </w:tcBorders>
          </w:tcPr>
          <w:p>
            <w:pPr>
              <w:spacing w:after="0"/>
              <w:rPr>
                <w:sz w:val="21"/>
                <w:szCs w:val="21"/>
                <w:color w:val="auto"/>
              </w:rPr>
            </w:pPr>
          </w:p>
        </w:tc>
        <w:tc>
          <w:tcPr>
            <w:tcW w:w="22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2017</w:t>
            </w:r>
          </w:p>
        </w:tc>
        <w:tc>
          <w:tcPr>
            <w:tcW w:w="4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2016</w:t>
            </w:r>
          </w:p>
        </w:tc>
        <w:tc>
          <w:tcPr>
            <w:tcW w:w="3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3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3"/>
                <w:szCs w:val="13"/>
                <w:b w:val="1"/>
                <w:bCs w:val="1"/>
                <w:color w:val="auto"/>
              </w:rPr>
              <w:t>Percent Change</w:t>
            </w:r>
            <w:r>
              <w:rPr>
                <w:rFonts w:ascii="Arial" w:cs="Arial" w:eastAsia="Arial" w:hAnsi="Arial"/>
                <w:sz w:val="8"/>
                <w:szCs w:val="8"/>
                <w:b w:val="1"/>
                <w:bCs w:val="1"/>
                <w:color w:val="auto"/>
              </w:rPr>
              <w:t>(b)</w:t>
            </w:r>
          </w:p>
        </w:tc>
        <w:tc>
          <w:tcPr>
            <w:tcW w:w="0" w:type="dxa"/>
            <w:vAlign w:val="bottom"/>
          </w:tcPr>
          <w:p>
            <w:pPr>
              <w:spacing w:after="0"/>
              <w:rPr>
                <w:sz w:val="1"/>
                <w:szCs w:val="1"/>
                <w:color w:val="auto"/>
              </w:rPr>
            </w:pPr>
          </w:p>
        </w:tc>
      </w:tr>
      <w:tr>
        <w:trPr>
          <w:trHeight w:val="229"/>
        </w:trPr>
        <w:tc>
          <w:tcPr>
            <w:tcW w:w="4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Workdays</w:t>
            </w:r>
          </w:p>
        </w:tc>
        <w:tc>
          <w:tcPr>
            <w:tcW w:w="6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64.0</w:t>
            </w:r>
          </w:p>
        </w:tc>
        <w:tc>
          <w:tcPr>
            <w:tcW w:w="1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64.5</w:t>
            </w: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02"/>
        </w:trPr>
        <w:tc>
          <w:tcPr>
            <w:tcW w:w="25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2500" w:type="dxa"/>
            <w:vAlign w:val="bottom"/>
            <w:vMerge w:val="restart"/>
            <w:shd w:val="clear" w:color="auto" w:fill="CCEEFF"/>
          </w:tcPr>
          <w:p>
            <w:pPr>
              <w:ind w:left="20"/>
              <w:spacing w:after="0"/>
              <w:rPr>
                <w:sz w:val="20"/>
                <w:szCs w:val="20"/>
                <w:color w:val="auto"/>
              </w:rPr>
            </w:pPr>
            <w:r>
              <w:rPr>
                <w:rFonts w:ascii="Arial" w:cs="Arial" w:eastAsia="Arial" w:hAnsi="Arial"/>
                <w:sz w:val="17"/>
                <w:szCs w:val="17"/>
                <w:color w:val="auto"/>
                <w:w w:val="90"/>
                <w:shd w:val="clear" w:color="auto" w:fill="CCEEFF"/>
              </w:rPr>
              <w:t>Total picked up revenue (in millions)</w:t>
            </w:r>
          </w:p>
        </w:tc>
        <w:tc>
          <w:tcPr>
            <w:tcW w:w="2240" w:type="dxa"/>
            <w:vAlign w:val="bottom"/>
            <w:shd w:val="clear" w:color="auto" w:fill="CCEEFF"/>
          </w:tcPr>
          <w:p>
            <w:pPr>
              <w:spacing w:after="0"/>
              <w:rPr>
                <w:sz w:val="20"/>
                <w:szCs w:val="20"/>
                <w:color w:val="auto"/>
              </w:rPr>
            </w:pPr>
            <w:r>
              <w:rPr>
                <w:rFonts w:ascii="Arial" w:cs="Arial" w:eastAsia="Arial" w:hAnsi="Arial"/>
                <w:sz w:val="12"/>
                <w:szCs w:val="12"/>
                <w:color w:val="auto"/>
                <w:shd w:val="clear" w:color="auto" w:fill="CCEEFF"/>
              </w:rPr>
              <w:t>(a)</w:t>
            </w:r>
          </w:p>
        </w:tc>
        <w:tc>
          <w:tcPr>
            <w:tcW w:w="640" w:type="dxa"/>
            <w:vAlign w:val="bottom"/>
            <w:vMerge w:val="restart"/>
            <w:shd w:val="clear" w:color="auto" w:fill="CCEEFF"/>
          </w:tcPr>
          <w:p>
            <w:pPr>
              <w:jc w:val="right"/>
              <w:ind w:right="459"/>
              <w:spacing w:after="0"/>
              <w:rPr>
                <w:sz w:val="20"/>
                <w:szCs w:val="20"/>
                <w:color w:val="auto"/>
              </w:rPr>
            </w:pPr>
            <w:r>
              <w:rPr>
                <w:rFonts w:ascii="Arial" w:cs="Arial" w:eastAsia="Arial" w:hAnsi="Arial"/>
                <w:sz w:val="17"/>
                <w:szCs w:val="17"/>
                <w:color w:val="auto"/>
                <w:w w:val="84"/>
              </w:rPr>
              <w:t>$</w:t>
            </w:r>
          </w:p>
        </w:tc>
        <w:tc>
          <w:tcPr>
            <w:tcW w:w="60" w:type="dxa"/>
            <w:vAlign w:val="bottom"/>
            <w:shd w:val="clear" w:color="auto" w:fill="CCEEFF"/>
          </w:tcPr>
          <w:p>
            <w:pPr>
              <w:spacing w:after="0"/>
              <w:rPr>
                <w:sz w:val="13"/>
                <w:szCs w:val="13"/>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443.1</w:t>
            </w:r>
          </w:p>
        </w:tc>
        <w:tc>
          <w:tcPr>
            <w:tcW w:w="10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ind w:right="541"/>
              <w:spacing w:after="0"/>
              <w:rPr>
                <w:sz w:val="20"/>
                <w:szCs w:val="20"/>
                <w:color w:val="auto"/>
              </w:rPr>
            </w:pPr>
            <w:r>
              <w:rPr>
                <w:rFonts w:ascii="Arial" w:cs="Arial" w:eastAsia="Arial" w:hAnsi="Arial"/>
                <w:sz w:val="17"/>
                <w:szCs w:val="17"/>
                <w:color w:val="auto"/>
                <w:w w:val="84"/>
              </w:rPr>
              <w:t>$</w:t>
            </w: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426.7</w:t>
            </w:r>
          </w:p>
        </w:tc>
        <w:tc>
          <w:tcPr>
            <w:tcW w:w="1480" w:type="dxa"/>
            <w:vAlign w:val="bottom"/>
            <w:gridSpan w:val="4"/>
            <w:vMerge w:val="restart"/>
            <w:shd w:val="clear" w:color="auto" w:fill="CCEEFF"/>
          </w:tcPr>
          <w:p>
            <w:pPr>
              <w:jc w:val="right"/>
              <w:ind w:right="180"/>
              <w:spacing w:after="0"/>
              <w:rPr>
                <w:sz w:val="20"/>
                <w:szCs w:val="20"/>
                <w:color w:val="auto"/>
              </w:rPr>
            </w:pPr>
            <w:r>
              <w:rPr>
                <w:rFonts w:ascii="Arial" w:cs="Arial" w:eastAsia="Arial" w:hAnsi="Arial"/>
                <w:sz w:val="17"/>
                <w:szCs w:val="17"/>
                <w:color w:val="auto"/>
              </w:rPr>
              <w:t>3.9 %</w:t>
            </w:r>
          </w:p>
        </w:tc>
        <w:tc>
          <w:tcPr>
            <w:tcW w:w="0" w:type="dxa"/>
            <w:vAlign w:val="bottom"/>
          </w:tcPr>
          <w:p>
            <w:pPr>
              <w:spacing w:after="0"/>
              <w:rPr>
                <w:sz w:val="1"/>
                <w:szCs w:val="1"/>
                <w:color w:val="auto"/>
              </w:rPr>
            </w:pPr>
          </w:p>
        </w:tc>
      </w:tr>
      <w:tr>
        <w:trPr>
          <w:trHeight w:val="72"/>
        </w:trPr>
        <w:tc>
          <w:tcPr>
            <w:tcW w:w="2500" w:type="dxa"/>
            <w:vAlign w:val="bottom"/>
            <w:tcBorders>
              <w:bottom w:val="single" w:sz="8" w:color="CCEEFF"/>
            </w:tcBorders>
            <w:vMerge w:val="continue"/>
            <w:shd w:val="clear" w:color="auto" w:fill="CCEEFF"/>
          </w:tcPr>
          <w:p>
            <w:pPr>
              <w:spacing w:after="0"/>
              <w:rPr>
                <w:sz w:val="6"/>
                <w:szCs w:val="6"/>
                <w:color w:val="auto"/>
              </w:rPr>
            </w:pPr>
          </w:p>
        </w:tc>
        <w:tc>
          <w:tcPr>
            <w:tcW w:w="2240" w:type="dxa"/>
            <w:vAlign w:val="bottom"/>
            <w:tcBorders>
              <w:bottom w:val="single" w:sz="8" w:color="CCEEFF"/>
            </w:tcBorders>
            <w:shd w:val="clear" w:color="auto" w:fill="CCEEFF"/>
          </w:tcPr>
          <w:p>
            <w:pPr>
              <w:spacing w:after="0"/>
              <w:rPr>
                <w:sz w:val="6"/>
                <w:szCs w:val="6"/>
                <w:color w:val="auto"/>
              </w:rPr>
            </w:pPr>
          </w:p>
        </w:tc>
        <w:tc>
          <w:tcPr>
            <w:tcW w:w="640" w:type="dxa"/>
            <w:vAlign w:val="bottom"/>
            <w:tcBorders>
              <w:bottom w:val="single" w:sz="8" w:color="CCEEFF"/>
            </w:tcBorders>
            <w:vMerge w:val="continue"/>
            <w:shd w:val="clear" w:color="auto" w:fill="CCEEFF"/>
          </w:tcPr>
          <w:p>
            <w:pPr>
              <w:spacing w:after="0"/>
              <w:rPr>
                <w:sz w:val="6"/>
                <w:szCs w:val="6"/>
                <w:color w:val="auto"/>
              </w:rPr>
            </w:pPr>
          </w:p>
        </w:tc>
        <w:tc>
          <w:tcPr>
            <w:tcW w:w="60" w:type="dxa"/>
            <w:vAlign w:val="bottom"/>
            <w:tcBorders>
              <w:bottom w:val="single" w:sz="8" w:color="CCEEFF"/>
            </w:tcBorders>
            <w:shd w:val="clear" w:color="auto" w:fill="CCEEFF"/>
          </w:tcPr>
          <w:p>
            <w:pPr>
              <w:spacing w:after="0"/>
              <w:rPr>
                <w:sz w:val="6"/>
                <w:szCs w:val="6"/>
                <w:color w:val="auto"/>
              </w:rPr>
            </w:pPr>
          </w:p>
        </w:tc>
        <w:tc>
          <w:tcPr>
            <w:tcW w:w="440" w:type="dxa"/>
            <w:vAlign w:val="bottom"/>
            <w:tcBorders>
              <w:bottom w:val="single" w:sz="8" w:color="CCEEFF"/>
            </w:tcBorders>
            <w:vMerge w:val="continue"/>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720" w:type="dxa"/>
            <w:vAlign w:val="bottom"/>
            <w:tcBorders>
              <w:bottom w:val="single" w:sz="8" w:color="CCEEFF"/>
            </w:tcBorders>
            <w:vMerge w:val="continue"/>
            <w:shd w:val="clear" w:color="auto" w:fill="CCEEFF"/>
          </w:tcPr>
          <w:p>
            <w:pPr>
              <w:spacing w:after="0"/>
              <w:rPr>
                <w:sz w:val="6"/>
                <w:szCs w:val="6"/>
                <w:color w:val="auto"/>
              </w:rPr>
            </w:pPr>
          </w:p>
        </w:tc>
        <w:tc>
          <w:tcPr>
            <w:tcW w:w="380" w:type="dxa"/>
            <w:vAlign w:val="bottom"/>
            <w:tcBorders>
              <w:bottom w:val="single" w:sz="8" w:color="CCEEFF"/>
            </w:tcBorders>
            <w:vMerge w:val="continue"/>
            <w:shd w:val="clear" w:color="auto" w:fill="CCEEFF"/>
          </w:tcPr>
          <w:p>
            <w:pPr>
              <w:spacing w:after="0"/>
              <w:rPr>
                <w:sz w:val="6"/>
                <w:szCs w:val="6"/>
                <w:color w:val="auto"/>
              </w:rPr>
            </w:pPr>
          </w:p>
        </w:tc>
        <w:tc>
          <w:tcPr>
            <w:tcW w:w="1480" w:type="dxa"/>
            <w:vAlign w:val="bottom"/>
            <w:tcBorders>
              <w:bottom w:val="single" w:sz="8" w:color="CCEEFF"/>
            </w:tcBorders>
            <w:gridSpan w:val="4"/>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6"/>
        </w:trPr>
        <w:tc>
          <w:tcPr>
            <w:tcW w:w="4740" w:type="dxa"/>
            <w:vAlign w:val="bottom"/>
            <w:gridSpan w:val="2"/>
          </w:tcPr>
          <w:p>
            <w:pPr>
              <w:ind w:left="20"/>
              <w:spacing w:after="0"/>
              <w:rPr>
                <w:sz w:val="20"/>
                <w:szCs w:val="20"/>
                <w:color w:val="auto"/>
              </w:rPr>
            </w:pPr>
            <w:r>
              <w:rPr>
                <w:rFonts w:ascii="Arial" w:cs="Arial" w:eastAsia="Arial" w:hAnsi="Arial"/>
                <w:sz w:val="17"/>
                <w:szCs w:val="17"/>
                <w:color w:val="auto"/>
              </w:rPr>
              <w:t>Total tonnage (in thousands)</w:t>
            </w: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84"/>
              </w:rPr>
              <w:t>1,925</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w w:val="84"/>
              </w:rPr>
              <w:t>1,900</w:t>
            </w:r>
          </w:p>
        </w:tc>
        <w:tc>
          <w:tcPr>
            <w:tcW w:w="1480" w:type="dxa"/>
            <w:vAlign w:val="bottom"/>
            <w:gridSpan w:val="4"/>
          </w:tcPr>
          <w:p>
            <w:pPr>
              <w:jc w:val="right"/>
              <w:ind w:right="180"/>
              <w:spacing w:after="0"/>
              <w:rPr>
                <w:sz w:val="20"/>
                <w:szCs w:val="20"/>
                <w:color w:val="auto"/>
              </w:rPr>
            </w:pPr>
            <w:r>
              <w:rPr>
                <w:rFonts w:ascii="Arial" w:cs="Arial" w:eastAsia="Arial" w:hAnsi="Arial"/>
                <w:sz w:val="17"/>
                <w:szCs w:val="17"/>
                <w:color w:val="auto"/>
              </w:rPr>
              <w:t>1.3 %</w:t>
            </w:r>
          </w:p>
        </w:tc>
        <w:tc>
          <w:tcPr>
            <w:tcW w:w="0" w:type="dxa"/>
            <w:vAlign w:val="bottom"/>
          </w:tcPr>
          <w:p>
            <w:pPr>
              <w:spacing w:after="0"/>
              <w:rPr>
                <w:sz w:val="1"/>
                <w:szCs w:val="1"/>
                <w:color w:val="auto"/>
              </w:rPr>
            </w:pPr>
          </w:p>
        </w:tc>
      </w:tr>
      <w:tr>
        <w:trPr>
          <w:trHeight w:val="26"/>
        </w:trPr>
        <w:tc>
          <w:tcPr>
            <w:tcW w:w="25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4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Total tonnage per day (in thousands)</w:t>
            </w:r>
          </w:p>
        </w:tc>
        <w:tc>
          <w:tcPr>
            <w:tcW w:w="6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30.07</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29.46</w:t>
            </w:r>
          </w:p>
        </w:tc>
        <w:tc>
          <w:tcPr>
            <w:tcW w:w="148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Arial" w:cs="Arial" w:eastAsia="Arial" w:hAnsi="Arial"/>
                <w:sz w:val="17"/>
                <w:szCs w:val="17"/>
                <w:color w:val="auto"/>
              </w:rPr>
              <w:t>2.1 %</w:t>
            </w:r>
          </w:p>
        </w:tc>
        <w:tc>
          <w:tcPr>
            <w:tcW w:w="0" w:type="dxa"/>
            <w:vAlign w:val="bottom"/>
          </w:tcPr>
          <w:p>
            <w:pPr>
              <w:spacing w:after="0"/>
              <w:rPr>
                <w:sz w:val="1"/>
                <w:szCs w:val="1"/>
                <w:color w:val="auto"/>
              </w:rPr>
            </w:pPr>
          </w:p>
        </w:tc>
      </w:tr>
      <w:tr>
        <w:trPr>
          <w:trHeight w:val="226"/>
        </w:trPr>
        <w:tc>
          <w:tcPr>
            <w:tcW w:w="4740" w:type="dxa"/>
            <w:vAlign w:val="bottom"/>
            <w:gridSpan w:val="2"/>
          </w:tcPr>
          <w:p>
            <w:pPr>
              <w:ind w:left="20"/>
              <w:spacing w:after="0"/>
              <w:rPr>
                <w:sz w:val="20"/>
                <w:szCs w:val="20"/>
                <w:color w:val="auto"/>
              </w:rPr>
            </w:pPr>
            <w:r>
              <w:rPr>
                <w:rFonts w:ascii="Arial" w:cs="Arial" w:eastAsia="Arial" w:hAnsi="Arial"/>
                <w:sz w:val="17"/>
                <w:szCs w:val="17"/>
                <w:color w:val="auto"/>
              </w:rPr>
              <w:t>Total shipments (in thousands)</w:t>
            </w: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84"/>
              </w:rPr>
              <w:t>2,545</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w w:val="84"/>
              </w:rPr>
              <w:t>2,558</w:t>
            </w:r>
          </w:p>
        </w:tc>
        <w:tc>
          <w:tcPr>
            <w:tcW w:w="1480" w:type="dxa"/>
            <w:vAlign w:val="bottom"/>
            <w:gridSpan w:val="4"/>
          </w:tcPr>
          <w:p>
            <w:pPr>
              <w:jc w:val="right"/>
              <w:ind w:right="160"/>
              <w:spacing w:after="0"/>
              <w:rPr>
                <w:sz w:val="20"/>
                <w:szCs w:val="20"/>
                <w:color w:val="auto"/>
              </w:rPr>
            </w:pPr>
            <w:r>
              <w:rPr>
                <w:rFonts w:ascii="Arial" w:cs="Arial" w:eastAsia="Arial" w:hAnsi="Arial"/>
                <w:sz w:val="17"/>
                <w:szCs w:val="17"/>
                <w:color w:val="auto"/>
              </w:rPr>
              <w:t>(0.5)%</w:t>
            </w:r>
          </w:p>
        </w:tc>
        <w:tc>
          <w:tcPr>
            <w:tcW w:w="0" w:type="dxa"/>
            <w:vAlign w:val="bottom"/>
          </w:tcPr>
          <w:p>
            <w:pPr>
              <w:spacing w:after="0"/>
              <w:rPr>
                <w:sz w:val="1"/>
                <w:szCs w:val="1"/>
                <w:color w:val="auto"/>
              </w:rPr>
            </w:pPr>
          </w:p>
        </w:tc>
      </w:tr>
      <w:tr>
        <w:trPr>
          <w:trHeight w:val="26"/>
        </w:trPr>
        <w:tc>
          <w:tcPr>
            <w:tcW w:w="25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4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Total shipments per day (in thousands)</w:t>
            </w:r>
          </w:p>
        </w:tc>
        <w:tc>
          <w:tcPr>
            <w:tcW w:w="6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39.77</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39.65</w:t>
            </w:r>
          </w:p>
        </w:tc>
        <w:tc>
          <w:tcPr>
            <w:tcW w:w="148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Arial" w:cs="Arial" w:eastAsia="Arial" w:hAnsi="Arial"/>
                <w:sz w:val="17"/>
                <w:szCs w:val="17"/>
                <w:color w:val="auto"/>
              </w:rPr>
              <w:t>0.3 %</w:t>
            </w:r>
          </w:p>
        </w:tc>
        <w:tc>
          <w:tcPr>
            <w:tcW w:w="0" w:type="dxa"/>
            <w:vAlign w:val="bottom"/>
          </w:tcPr>
          <w:p>
            <w:pPr>
              <w:spacing w:after="0"/>
              <w:rPr>
                <w:sz w:val="1"/>
                <w:szCs w:val="1"/>
                <w:color w:val="auto"/>
              </w:rPr>
            </w:pPr>
          </w:p>
        </w:tc>
      </w:tr>
      <w:tr>
        <w:trPr>
          <w:trHeight w:val="226"/>
        </w:trPr>
        <w:tc>
          <w:tcPr>
            <w:tcW w:w="4740" w:type="dxa"/>
            <w:vAlign w:val="bottom"/>
            <w:gridSpan w:val="2"/>
          </w:tcPr>
          <w:p>
            <w:pPr>
              <w:ind w:left="20"/>
              <w:spacing w:after="0"/>
              <w:rPr>
                <w:sz w:val="20"/>
                <w:szCs w:val="20"/>
                <w:color w:val="auto"/>
              </w:rPr>
            </w:pPr>
            <w:r>
              <w:rPr>
                <w:rFonts w:ascii="Arial" w:cs="Arial" w:eastAsia="Arial" w:hAnsi="Arial"/>
                <w:sz w:val="17"/>
                <w:szCs w:val="17"/>
                <w:color w:val="auto"/>
              </w:rPr>
              <w:t>Total picked up revenue per hundred weight</w:t>
            </w:r>
          </w:p>
        </w:tc>
        <w:tc>
          <w:tcPr>
            <w:tcW w:w="640" w:type="dxa"/>
            <w:vAlign w:val="bottom"/>
          </w:tcPr>
          <w:p>
            <w:pPr>
              <w:jc w:val="right"/>
              <w:ind w:right="459"/>
              <w:spacing w:after="0"/>
              <w:rPr>
                <w:sz w:val="20"/>
                <w:szCs w:val="20"/>
                <w:color w:val="auto"/>
              </w:rPr>
            </w:pPr>
            <w:r>
              <w:rPr>
                <w:rFonts w:ascii="Arial" w:cs="Arial" w:eastAsia="Arial" w:hAnsi="Arial"/>
                <w:sz w:val="17"/>
                <w:szCs w:val="17"/>
                <w:color w:val="auto"/>
                <w:w w:val="84"/>
              </w:rPr>
              <w:t>$</w:t>
            </w:r>
          </w:p>
        </w:tc>
        <w:tc>
          <w:tcPr>
            <w:tcW w:w="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84"/>
              </w:rPr>
              <w:t>11.51</w:t>
            </w:r>
          </w:p>
        </w:tc>
        <w:tc>
          <w:tcPr>
            <w:tcW w:w="100" w:type="dxa"/>
            <w:vAlign w:val="bottom"/>
          </w:tcPr>
          <w:p>
            <w:pPr>
              <w:spacing w:after="0"/>
              <w:rPr>
                <w:sz w:val="19"/>
                <w:szCs w:val="19"/>
                <w:color w:val="auto"/>
              </w:rPr>
            </w:pPr>
          </w:p>
        </w:tc>
        <w:tc>
          <w:tcPr>
            <w:tcW w:w="720" w:type="dxa"/>
            <w:vAlign w:val="bottom"/>
          </w:tcPr>
          <w:p>
            <w:pPr>
              <w:jc w:val="right"/>
              <w:ind w:right="541"/>
              <w:spacing w:after="0"/>
              <w:rPr>
                <w:sz w:val="20"/>
                <w:szCs w:val="20"/>
                <w:color w:val="auto"/>
              </w:rPr>
            </w:pPr>
            <w:r>
              <w:rPr>
                <w:rFonts w:ascii="Arial" w:cs="Arial" w:eastAsia="Arial" w:hAnsi="Arial"/>
                <w:sz w:val="17"/>
                <w:szCs w:val="17"/>
                <w:color w:val="auto"/>
                <w:w w:val="84"/>
              </w:rPr>
              <w:t>$</w:t>
            </w:r>
          </w:p>
        </w:tc>
        <w:tc>
          <w:tcPr>
            <w:tcW w:w="380" w:type="dxa"/>
            <w:vAlign w:val="bottom"/>
          </w:tcPr>
          <w:p>
            <w:pPr>
              <w:jc w:val="right"/>
              <w:spacing w:after="0"/>
              <w:rPr>
                <w:sz w:val="20"/>
                <w:szCs w:val="20"/>
                <w:color w:val="auto"/>
              </w:rPr>
            </w:pPr>
            <w:r>
              <w:rPr>
                <w:rFonts w:ascii="Arial" w:cs="Arial" w:eastAsia="Arial" w:hAnsi="Arial"/>
                <w:sz w:val="17"/>
                <w:szCs w:val="17"/>
                <w:color w:val="auto"/>
                <w:w w:val="84"/>
              </w:rPr>
              <w:t>11.23</w:t>
            </w:r>
          </w:p>
        </w:tc>
        <w:tc>
          <w:tcPr>
            <w:tcW w:w="1480" w:type="dxa"/>
            <w:vAlign w:val="bottom"/>
            <w:gridSpan w:val="4"/>
          </w:tcPr>
          <w:p>
            <w:pPr>
              <w:jc w:val="right"/>
              <w:ind w:right="180"/>
              <w:spacing w:after="0"/>
              <w:rPr>
                <w:sz w:val="20"/>
                <w:szCs w:val="20"/>
                <w:color w:val="auto"/>
              </w:rPr>
            </w:pPr>
            <w:r>
              <w:rPr>
                <w:rFonts w:ascii="Arial" w:cs="Arial" w:eastAsia="Arial" w:hAnsi="Arial"/>
                <w:sz w:val="17"/>
                <w:szCs w:val="17"/>
                <w:color w:val="auto"/>
              </w:rPr>
              <w:t>2.5 %</w:t>
            </w:r>
          </w:p>
        </w:tc>
        <w:tc>
          <w:tcPr>
            <w:tcW w:w="0" w:type="dxa"/>
            <w:vAlign w:val="bottom"/>
          </w:tcPr>
          <w:p>
            <w:pPr>
              <w:spacing w:after="0"/>
              <w:rPr>
                <w:sz w:val="1"/>
                <w:szCs w:val="1"/>
                <w:color w:val="auto"/>
              </w:rPr>
            </w:pPr>
          </w:p>
        </w:tc>
      </w:tr>
      <w:tr>
        <w:trPr>
          <w:trHeight w:val="26"/>
        </w:trPr>
        <w:tc>
          <w:tcPr>
            <w:tcW w:w="25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47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Total picked up revenue per hundred weight (excluding fuel</w:t>
            </w: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surcharge)</w:t>
            </w:r>
          </w:p>
        </w:tc>
        <w:tc>
          <w:tcPr>
            <w:tcW w:w="640" w:type="dxa"/>
            <w:vAlign w:val="bottom"/>
            <w:tcBorders>
              <w:bottom w:val="single" w:sz="8" w:color="CCEEFF"/>
            </w:tcBorders>
            <w:shd w:val="clear" w:color="auto" w:fill="CCEEFF"/>
          </w:tcPr>
          <w:p>
            <w:pPr>
              <w:jc w:val="right"/>
              <w:ind w:right="459"/>
              <w:spacing w:after="0"/>
              <w:rPr>
                <w:sz w:val="20"/>
                <w:szCs w:val="20"/>
                <w:color w:val="auto"/>
              </w:rPr>
            </w:pPr>
            <w:r>
              <w:rPr>
                <w:rFonts w:ascii="Arial" w:cs="Arial" w:eastAsia="Arial" w:hAnsi="Arial"/>
                <w:sz w:val="17"/>
                <w:szCs w:val="17"/>
                <w:color w:val="auto"/>
                <w:w w:val="84"/>
              </w:rPr>
              <w:t>$</w:t>
            </w:r>
          </w:p>
        </w:tc>
        <w:tc>
          <w:tcPr>
            <w:tcW w:w="6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10.34</w:t>
            </w:r>
          </w:p>
        </w:tc>
        <w:tc>
          <w:tcPr>
            <w:tcW w:w="1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541"/>
              <w:spacing w:after="0"/>
              <w:rPr>
                <w:sz w:val="20"/>
                <w:szCs w:val="20"/>
                <w:color w:val="auto"/>
              </w:rPr>
            </w:pPr>
            <w:r>
              <w:rPr>
                <w:rFonts w:ascii="Arial" w:cs="Arial" w:eastAsia="Arial" w:hAnsi="Arial"/>
                <w:sz w:val="17"/>
                <w:szCs w:val="17"/>
                <w:color w:val="auto"/>
                <w:w w:val="84"/>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10.31</w:t>
            </w:r>
          </w:p>
        </w:tc>
        <w:tc>
          <w:tcPr>
            <w:tcW w:w="148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Arial" w:cs="Arial" w:eastAsia="Arial" w:hAnsi="Arial"/>
                <w:sz w:val="17"/>
                <w:szCs w:val="17"/>
                <w:color w:val="auto"/>
              </w:rPr>
              <w:t>0.2 %</w:t>
            </w:r>
          </w:p>
        </w:tc>
        <w:tc>
          <w:tcPr>
            <w:tcW w:w="0" w:type="dxa"/>
            <w:vAlign w:val="bottom"/>
          </w:tcPr>
          <w:p>
            <w:pPr>
              <w:spacing w:after="0"/>
              <w:rPr>
                <w:sz w:val="1"/>
                <w:szCs w:val="1"/>
                <w:color w:val="auto"/>
              </w:rPr>
            </w:pPr>
          </w:p>
        </w:tc>
      </w:tr>
      <w:tr>
        <w:trPr>
          <w:trHeight w:val="226"/>
        </w:trPr>
        <w:tc>
          <w:tcPr>
            <w:tcW w:w="4740" w:type="dxa"/>
            <w:vAlign w:val="bottom"/>
            <w:gridSpan w:val="2"/>
          </w:tcPr>
          <w:p>
            <w:pPr>
              <w:ind w:left="20"/>
              <w:spacing w:after="0"/>
              <w:rPr>
                <w:sz w:val="20"/>
                <w:szCs w:val="20"/>
                <w:color w:val="auto"/>
              </w:rPr>
            </w:pPr>
            <w:r>
              <w:rPr>
                <w:rFonts w:ascii="Arial" w:cs="Arial" w:eastAsia="Arial" w:hAnsi="Arial"/>
                <w:sz w:val="17"/>
                <w:szCs w:val="17"/>
                <w:color w:val="auto"/>
              </w:rPr>
              <w:t>Total picked up revenue per shipment</w:t>
            </w:r>
          </w:p>
        </w:tc>
        <w:tc>
          <w:tcPr>
            <w:tcW w:w="640" w:type="dxa"/>
            <w:vAlign w:val="bottom"/>
          </w:tcPr>
          <w:p>
            <w:pPr>
              <w:jc w:val="right"/>
              <w:ind w:right="459"/>
              <w:spacing w:after="0"/>
              <w:rPr>
                <w:sz w:val="20"/>
                <w:szCs w:val="20"/>
                <w:color w:val="auto"/>
              </w:rPr>
            </w:pPr>
            <w:r>
              <w:rPr>
                <w:rFonts w:ascii="Arial" w:cs="Arial" w:eastAsia="Arial" w:hAnsi="Arial"/>
                <w:sz w:val="17"/>
                <w:szCs w:val="17"/>
                <w:color w:val="auto"/>
                <w:w w:val="84"/>
              </w:rPr>
              <w:t>$</w:t>
            </w:r>
          </w:p>
        </w:tc>
        <w:tc>
          <w:tcPr>
            <w:tcW w:w="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174</w:t>
            </w:r>
          </w:p>
        </w:tc>
        <w:tc>
          <w:tcPr>
            <w:tcW w:w="100" w:type="dxa"/>
            <w:vAlign w:val="bottom"/>
          </w:tcPr>
          <w:p>
            <w:pPr>
              <w:spacing w:after="0"/>
              <w:rPr>
                <w:sz w:val="19"/>
                <w:szCs w:val="19"/>
                <w:color w:val="auto"/>
              </w:rPr>
            </w:pPr>
          </w:p>
        </w:tc>
        <w:tc>
          <w:tcPr>
            <w:tcW w:w="720" w:type="dxa"/>
            <w:vAlign w:val="bottom"/>
          </w:tcPr>
          <w:p>
            <w:pPr>
              <w:jc w:val="right"/>
              <w:ind w:right="541"/>
              <w:spacing w:after="0"/>
              <w:rPr>
                <w:sz w:val="20"/>
                <w:szCs w:val="20"/>
                <w:color w:val="auto"/>
              </w:rPr>
            </w:pPr>
            <w:r>
              <w:rPr>
                <w:rFonts w:ascii="Arial" w:cs="Arial" w:eastAsia="Arial" w:hAnsi="Arial"/>
                <w:sz w:val="17"/>
                <w:szCs w:val="17"/>
                <w:color w:val="auto"/>
                <w:w w:val="84"/>
              </w:rPr>
              <w:t>$</w:t>
            </w:r>
          </w:p>
        </w:tc>
        <w:tc>
          <w:tcPr>
            <w:tcW w:w="380" w:type="dxa"/>
            <w:vAlign w:val="bottom"/>
          </w:tcPr>
          <w:p>
            <w:pPr>
              <w:jc w:val="right"/>
              <w:spacing w:after="0"/>
              <w:rPr>
                <w:sz w:val="20"/>
                <w:szCs w:val="20"/>
                <w:color w:val="auto"/>
              </w:rPr>
            </w:pPr>
            <w:r>
              <w:rPr>
                <w:rFonts w:ascii="Arial" w:cs="Arial" w:eastAsia="Arial" w:hAnsi="Arial"/>
                <w:sz w:val="17"/>
                <w:szCs w:val="17"/>
                <w:color w:val="auto"/>
              </w:rPr>
              <w:t>167</w:t>
            </w:r>
          </w:p>
        </w:tc>
        <w:tc>
          <w:tcPr>
            <w:tcW w:w="1480" w:type="dxa"/>
            <w:vAlign w:val="bottom"/>
            <w:gridSpan w:val="4"/>
          </w:tcPr>
          <w:p>
            <w:pPr>
              <w:jc w:val="right"/>
              <w:ind w:right="180"/>
              <w:spacing w:after="0"/>
              <w:rPr>
                <w:sz w:val="20"/>
                <w:szCs w:val="20"/>
                <w:color w:val="auto"/>
              </w:rPr>
            </w:pPr>
            <w:r>
              <w:rPr>
                <w:rFonts w:ascii="Arial" w:cs="Arial" w:eastAsia="Arial" w:hAnsi="Arial"/>
                <w:sz w:val="17"/>
                <w:szCs w:val="17"/>
                <w:color w:val="auto"/>
              </w:rPr>
              <w:t>4.4 %</w:t>
            </w:r>
          </w:p>
        </w:tc>
        <w:tc>
          <w:tcPr>
            <w:tcW w:w="0" w:type="dxa"/>
            <w:vAlign w:val="bottom"/>
          </w:tcPr>
          <w:p>
            <w:pPr>
              <w:spacing w:after="0"/>
              <w:rPr>
                <w:sz w:val="1"/>
                <w:szCs w:val="1"/>
                <w:color w:val="auto"/>
              </w:rPr>
            </w:pPr>
          </w:p>
        </w:tc>
      </w:tr>
      <w:tr>
        <w:trPr>
          <w:trHeight w:val="26"/>
        </w:trPr>
        <w:tc>
          <w:tcPr>
            <w:tcW w:w="25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4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w w:val="96"/>
              </w:rPr>
              <w:t>Total picked up revenue per shipment (excluding fuel surcharge)</w:t>
            </w:r>
          </w:p>
        </w:tc>
        <w:tc>
          <w:tcPr>
            <w:tcW w:w="640" w:type="dxa"/>
            <w:vAlign w:val="bottom"/>
            <w:tcBorders>
              <w:bottom w:val="single" w:sz="8" w:color="CCEEFF"/>
            </w:tcBorders>
            <w:shd w:val="clear" w:color="auto" w:fill="CCEEFF"/>
          </w:tcPr>
          <w:p>
            <w:pPr>
              <w:jc w:val="right"/>
              <w:ind w:right="459"/>
              <w:spacing w:after="0"/>
              <w:rPr>
                <w:sz w:val="20"/>
                <w:szCs w:val="20"/>
                <w:color w:val="auto"/>
              </w:rPr>
            </w:pPr>
            <w:r>
              <w:rPr>
                <w:rFonts w:ascii="Arial" w:cs="Arial" w:eastAsia="Arial" w:hAnsi="Arial"/>
                <w:sz w:val="17"/>
                <w:szCs w:val="17"/>
                <w:color w:val="auto"/>
                <w:w w:val="84"/>
              </w:rPr>
              <w:t>$</w:t>
            </w:r>
          </w:p>
        </w:tc>
        <w:tc>
          <w:tcPr>
            <w:tcW w:w="6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156</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541"/>
              <w:spacing w:after="0"/>
              <w:rPr>
                <w:sz w:val="20"/>
                <w:szCs w:val="20"/>
                <w:color w:val="auto"/>
              </w:rPr>
            </w:pPr>
            <w:r>
              <w:rPr>
                <w:rFonts w:ascii="Arial" w:cs="Arial" w:eastAsia="Arial" w:hAnsi="Arial"/>
                <w:sz w:val="17"/>
                <w:szCs w:val="17"/>
                <w:color w:val="auto"/>
                <w:w w:val="84"/>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153</w:t>
            </w:r>
          </w:p>
        </w:tc>
        <w:tc>
          <w:tcPr>
            <w:tcW w:w="148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Arial" w:cs="Arial" w:eastAsia="Arial" w:hAnsi="Arial"/>
                <w:sz w:val="17"/>
                <w:szCs w:val="17"/>
                <w:color w:val="auto"/>
              </w:rPr>
              <w:t>2.0 %</w:t>
            </w:r>
          </w:p>
        </w:tc>
        <w:tc>
          <w:tcPr>
            <w:tcW w:w="0" w:type="dxa"/>
            <w:vAlign w:val="bottom"/>
          </w:tcPr>
          <w:p>
            <w:pPr>
              <w:spacing w:after="0"/>
              <w:rPr>
                <w:sz w:val="1"/>
                <w:szCs w:val="1"/>
                <w:color w:val="auto"/>
              </w:rPr>
            </w:pPr>
          </w:p>
        </w:tc>
      </w:tr>
      <w:tr>
        <w:trPr>
          <w:trHeight w:val="226"/>
        </w:trPr>
        <w:tc>
          <w:tcPr>
            <w:tcW w:w="4740" w:type="dxa"/>
            <w:vAlign w:val="bottom"/>
            <w:gridSpan w:val="2"/>
          </w:tcPr>
          <w:p>
            <w:pPr>
              <w:ind w:left="20"/>
              <w:spacing w:after="0"/>
              <w:rPr>
                <w:sz w:val="20"/>
                <w:szCs w:val="20"/>
                <w:color w:val="auto"/>
              </w:rPr>
            </w:pPr>
            <w:r>
              <w:rPr>
                <w:rFonts w:ascii="Arial" w:cs="Arial" w:eastAsia="Arial" w:hAnsi="Arial"/>
                <w:sz w:val="17"/>
                <w:szCs w:val="17"/>
                <w:color w:val="auto"/>
              </w:rPr>
              <w:t>Total weight per shipment (in pounds)</w:t>
            </w: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84"/>
              </w:rPr>
              <w:t>1,512</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w w:val="84"/>
              </w:rPr>
              <w:t>1,486</w:t>
            </w:r>
          </w:p>
        </w:tc>
        <w:tc>
          <w:tcPr>
            <w:tcW w:w="1480" w:type="dxa"/>
            <w:vAlign w:val="bottom"/>
            <w:gridSpan w:val="4"/>
          </w:tcPr>
          <w:p>
            <w:pPr>
              <w:jc w:val="right"/>
              <w:ind w:right="180"/>
              <w:spacing w:after="0"/>
              <w:rPr>
                <w:sz w:val="20"/>
                <w:szCs w:val="20"/>
                <w:color w:val="auto"/>
              </w:rPr>
            </w:pPr>
            <w:r>
              <w:rPr>
                <w:rFonts w:ascii="Arial" w:cs="Arial" w:eastAsia="Arial" w:hAnsi="Arial"/>
                <w:sz w:val="17"/>
                <w:szCs w:val="17"/>
                <w:color w:val="auto"/>
              </w:rPr>
              <w:t>1.8 %</w:t>
            </w:r>
          </w:p>
        </w:tc>
        <w:tc>
          <w:tcPr>
            <w:tcW w:w="0" w:type="dxa"/>
            <w:vAlign w:val="bottom"/>
          </w:tcPr>
          <w:p>
            <w:pPr>
              <w:spacing w:after="0"/>
              <w:rPr>
                <w:sz w:val="1"/>
                <w:szCs w:val="1"/>
                <w:color w:val="auto"/>
              </w:rPr>
            </w:pPr>
          </w:p>
        </w:tc>
      </w:tr>
      <w:tr>
        <w:trPr>
          <w:trHeight w:val="599"/>
        </w:trPr>
        <w:tc>
          <w:tcPr>
            <w:tcW w:w="25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2"/>
          </w:tcPr>
          <w:p>
            <w:pPr>
              <w:jc w:val="right"/>
              <w:ind w:right="16"/>
              <w:spacing w:after="0"/>
              <w:rPr>
                <w:sz w:val="20"/>
                <w:szCs w:val="20"/>
                <w:color w:val="auto"/>
              </w:rPr>
            </w:pPr>
            <w:r>
              <w:rPr>
                <w:rFonts w:ascii="Arial" w:cs="Arial" w:eastAsia="Arial" w:hAnsi="Arial"/>
                <w:sz w:val="13"/>
                <w:szCs w:val="13"/>
                <w:b w:val="1"/>
                <w:bCs w:val="1"/>
                <w:color w:val="auto"/>
              </w:rPr>
              <w:t>First Quarter</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4740" w:type="dxa"/>
            <w:vAlign w:val="bottom"/>
            <w:gridSpan w:val="2"/>
          </w:tcPr>
          <w:p>
            <w:pPr>
              <w:ind w:left="780"/>
              <w:spacing w:after="0"/>
              <w:rPr>
                <w:sz w:val="20"/>
                <w:szCs w:val="20"/>
                <w:color w:val="auto"/>
              </w:rPr>
            </w:pPr>
            <w:r>
              <w:rPr>
                <w:rFonts w:ascii="Arial" w:cs="Arial" w:eastAsia="Arial" w:hAnsi="Arial"/>
                <w:sz w:val="13"/>
                <w:szCs w:val="13"/>
                <w:b w:val="1"/>
                <w:bCs w:val="1"/>
                <w:color w:val="auto"/>
              </w:rPr>
              <w:t>(in millions)</w:t>
            </w: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gridSpan w:val="3"/>
          </w:tcPr>
          <w:p>
            <w:pPr>
              <w:jc w:val="right"/>
              <w:ind w:right="541"/>
              <w:spacing w:after="0"/>
              <w:rPr>
                <w:sz w:val="20"/>
                <w:szCs w:val="20"/>
                <w:color w:val="auto"/>
              </w:rPr>
            </w:pPr>
            <w:r>
              <w:rPr>
                <w:rFonts w:ascii="Arial" w:cs="Arial" w:eastAsia="Arial" w:hAnsi="Arial"/>
                <w:sz w:val="13"/>
                <w:szCs w:val="13"/>
                <w:b w:val="1"/>
                <w:bCs w:val="1"/>
                <w:color w:val="auto"/>
              </w:rPr>
              <w:t>2017</w:t>
            </w:r>
          </w:p>
        </w:tc>
        <w:tc>
          <w:tcPr>
            <w:tcW w:w="380" w:type="dxa"/>
            <w:vAlign w:val="bottom"/>
          </w:tcPr>
          <w:p>
            <w:pPr>
              <w:spacing w:after="0"/>
              <w:rPr>
                <w:sz w:val="20"/>
                <w:szCs w:val="20"/>
                <w:color w:val="auto"/>
              </w:rPr>
            </w:pPr>
          </w:p>
        </w:tc>
        <w:tc>
          <w:tcPr>
            <w:tcW w:w="720" w:type="dxa"/>
            <w:vAlign w:val="bottom"/>
            <w:gridSpan w:val="3"/>
          </w:tcPr>
          <w:p>
            <w:pPr>
              <w:jc w:val="right"/>
              <w:ind w:right="393"/>
              <w:spacing w:after="0"/>
              <w:rPr>
                <w:sz w:val="20"/>
                <w:szCs w:val="20"/>
                <w:color w:val="auto"/>
              </w:rPr>
            </w:pPr>
            <w:r>
              <w:rPr>
                <w:rFonts w:ascii="Arial" w:cs="Arial" w:eastAsia="Arial" w:hAnsi="Arial"/>
                <w:sz w:val="13"/>
                <w:szCs w:val="13"/>
                <w:b w:val="1"/>
                <w:bCs w:val="1"/>
                <w:color w:val="auto"/>
                <w:w w:val="82"/>
              </w:rPr>
              <w:t>2016</w:t>
            </w: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1398905</wp:posOffset>
            </wp:positionH>
            <wp:positionV relativeFrom="paragraph">
              <wp:posOffset>6350</wp:posOffset>
            </wp:positionV>
            <wp:extent cx="4467225" cy="167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467225" cy="167640"/>
                    </a:xfrm>
                    <a:prstGeom prst="rect">
                      <a:avLst/>
                    </a:prstGeom>
                    <a:noFill/>
                  </pic:spPr>
                </pic:pic>
              </a:graphicData>
            </a:graphic>
          </wp:anchor>
        </w:drawing>
      </w:r>
    </w:p>
    <w:p>
      <w:pPr>
        <w:spacing w:after="0" w:line="11" w:lineRule="exact"/>
        <w:rPr>
          <w:sz w:val="20"/>
          <w:szCs w:val="20"/>
          <w:color w:val="auto"/>
        </w:rPr>
      </w:pPr>
    </w:p>
    <w:p>
      <w:pPr>
        <w:ind w:left="2380" w:hanging="158"/>
        <w:spacing w:after="0"/>
        <w:tabs>
          <w:tab w:leader="none" w:pos="2380" w:val="left"/>
        </w:tabs>
        <w:numPr>
          <w:ilvl w:val="0"/>
          <w:numId w:val="14"/>
        </w:numPr>
        <w:rPr>
          <w:rFonts w:ascii="Arial" w:cs="Arial" w:eastAsia="Arial" w:hAnsi="Arial"/>
          <w:sz w:val="19"/>
          <w:szCs w:val="19"/>
          <w:color w:val="auto"/>
          <w:vertAlign w:val="superscript"/>
        </w:rPr>
      </w:pPr>
      <w:r>
        <w:rPr>
          <w:rFonts w:ascii="Arial" w:cs="Arial" w:eastAsia="Arial" w:hAnsi="Arial"/>
          <w:sz w:val="14"/>
          <w:szCs w:val="14"/>
          <w:color w:val="auto"/>
        </w:rPr>
        <w:t>Reconciliation of operating revenue to total picked up revenue:</w:t>
      </w:r>
    </w:p>
    <w:p>
      <w:pPr>
        <w:spacing w:after="0" w:line="52" w:lineRule="exact"/>
        <w:rPr>
          <w:sz w:val="20"/>
          <w:szCs w:val="20"/>
          <w:color w:val="auto"/>
        </w:rPr>
      </w:pPr>
    </w:p>
    <w:tbl>
      <w:tblPr>
        <w:tblLayout w:type="fixed"/>
        <w:tblInd w:w="2200" w:type="dxa"/>
        <w:tblCellMar>
          <w:top w:w="0" w:type="dxa"/>
          <w:left w:w="0" w:type="dxa"/>
          <w:bottom w:w="0" w:type="dxa"/>
          <w:right w:w="0" w:type="dxa"/>
        </w:tblCellMar>
      </w:tblPr>
      <w:tr>
        <w:trPr>
          <w:trHeight w:val="219"/>
        </w:trPr>
        <w:tc>
          <w:tcPr>
            <w:tcW w:w="4620" w:type="dxa"/>
            <w:vAlign w:val="bottom"/>
          </w:tcPr>
          <w:p>
            <w:pPr>
              <w:ind w:left="240"/>
              <w:spacing w:after="0"/>
              <w:rPr>
                <w:sz w:val="20"/>
                <w:szCs w:val="20"/>
                <w:color w:val="auto"/>
              </w:rPr>
            </w:pPr>
            <w:r>
              <w:rPr>
                <w:rFonts w:ascii="Arial" w:cs="Arial" w:eastAsia="Arial" w:hAnsi="Arial"/>
                <w:sz w:val="17"/>
                <w:szCs w:val="17"/>
                <w:color w:val="auto"/>
              </w:rPr>
              <w:t>Operating revenue</w:t>
            </w:r>
          </w:p>
        </w:tc>
        <w:tc>
          <w:tcPr>
            <w:tcW w:w="420" w:type="dxa"/>
            <w:vAlign w:val="bottom"/>
          </w:tcPr>
          <w:p>
            <w:pPr>
              <w:jc w:val="right"/>
              <w:ind w:right="236"/>
              <w:spacing w:after="0"/>
              <w:rPr>
                <w:sz w:val="20"/>
                <w:szCs w:val="20"/>
                <w:color w:val="auto"/>
              </w:rPr>
            </w:pPr>
            <w:r>
              <w:rPr>
                <w:rFonts w:ascii="Arial" w:cs="Arial" w:eastAsia="Arial" w:hAnsi="Arial"/>
                <w:sz w:val="17"/>
                <w:szCs w:val="17"/>
                <w:color w:val="auto"/>
                <w:w w:val="84"/>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441.8</w:t>
            </w:r>
          </w:p>
        </w:tc>
        <w:tc>
          <w:tcPr>
            <w:tcW w:w="100" w:type="dxa"/>
            <w:vAlign w:val="bottom"/>
          </w:tcPr>
          <w:p>
            <w:pPr>
              <w:spacing w:after="0"/>
              <w:rPr>
                <w:sz w:val="19"/>
                <w:szCs w:val="19"/>
                <w:color w:val="auto"/>
              </w:rPr>
            </w:pPr>
          </w:p>
        </w:tc>
        <w:tc>
          <w:tcPr>
            <w:tcW w:w="420" w:type="dxa"/>
            <w:vAlign w:val="bottom"/>
          </w:tcPr>
          <w:p>
            <w:pPr>
              <w:jc w:val="right"/>
              <w:ind w:right="236"/>
              <w:spacing w:after="0"/>
              <w:rPr>
                <w:sz w:val="20"/>
                <w:szCs w:val="20"/>
                <w:color w:val="auto"/>
              </w:rPr>
            </w:pPr>
            <w:r>
              <w:rPr>
                <w:rFonts w:ascii="Arial" w:cs="Arial" w:eastAsia="Arial" w:hAnsi="Arial"/>
                <w:sz w:val="17"/>
                <w:szCs w:val="17"/>
                <w:color w:val="auto"/>
                <w:w w:val="84"/>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424.8</w:t>
            </w:r>
          </w:p>
        </w:tc>
      </w:tr>
      <w:tr>
        <w:trPr>
          <w:trHeight w:val="257"/>
        </w:trPr>
        <w:tc>
          <w:tcPr>
            <w:tcW w:w="46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7"/>
                <w:szCs w:val="17"/>
                <w:color w:val="auto"/>
              </w:rPr>
              <w:t>Change in revenue deferral and other</w:t>
            </w:r>
          </w:p>
        </w:tc>
        <w:tc>
          <w:tcPr>
            <w:tcW w:w="4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w:t>
            </w:r>
          </w:p>
        </w:tc>
      </w:tr>
      <w:tr>
        <w:trPr>
          <w:trHeight w:val="231"/>
        </w:trPr>
        <w:tc>
          <w:tcPr>
            <w:tcW w:w="4620" w:type="dxa"/>
            <w:vAlign w:val="bottom"/>
          </w:tcPr>
          <w:p>
            <w:pPr>
              <w:ind w:left="140"/>
              <w:spacing w:after="0"/>
              <w:rPr>
                <w:sz w:val="20"/>
                <w:szCs w:val="20"/>
                <w:color w:val="auto"/>
              </w:rPr>
            </w:pPr>
            <w:r>
              <w:rPr>
                <w:rFonts w:ascii="Arial" w:cs="Arial" w:eastAsia="Arial" w:hAnsi="Arial"/>
                <w:sz w:val="17"/>
                <w:szCs w:val="17"/>
                <w:color w:val="auto"/>
              </w:rPr>
              <w:t>Total picked up revenue</w:t>
            </w:r>
          </w:p>
        </w:tc>
        <w:tc>
          <w:tcPr>
            <w:tcW w:w="420" w:type="dxa"/>
            <w:vAlign w:val="bottom"/>
            <w:tcBorders>
              <w:top w:val="single" w:sz="8" w:color="auto"/>
            </w:tcBorders>
          </w:tcPr>
          <w:p>
            <w:pPr>
              <w:jc w:val="right"/>
              <w:ind w:right="236"/>
              <w:spacing w:after="0"/>
              <w:rPr>
                <w:sz w:val="20"/>
                <w:szCs w:val="20"/>
                <w:color w:val="auto"/>
              </w:rPr>
            </w:pPr>
            <w:r>
              <w:rPr>
                <w:rFonts w:ascii="Arial" w:cs="Arial" w:eastAsia="Arial" w:hAnsi="Arial"/>
                <w:sz w:val="17"/>
                <w:szCs w:val="17"/>
                <w:color w:val="auto"/>
                <w:w w:val="84"/>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443.1</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36"/>
              <w:spacing w:after="0"/>
              <w:rPr>
                <w:sz w:val="20"/>
                <w:szCs w:val="20"/>
                <w:color w:val="auto"/>
              </w:rPr>
            </w:pPr>
            <w:r>
              <w:rPr>
                <w:rFonts w:ascii="Arial" w:cs="Arial" w:eastAsia="Arial" w:hAnsi="Arial"/>
                <w:sz w:val="17"/>
                <w:szCs w:val="17"/>
                <w:color w:val="auto"/>
                <w:w w:val="84"/>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426.7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4331335</wp:posOffset>
            </wp:positionH>
            <wp:positionV relativeFrom="paragraph">
              <wp:posOffset>8255</wp:posOffset>
            </wp:positionV>
            <wp:extent cx="15341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34160" cy="8255"/>
                    </a:xfrm>
                    <a:prstGeom prst="rect">
                      <a:avLst/>
                    </a:prstGeom>
                    <a:noFill/>
                  </pic:spPr>
                </pic:pic>
              </a:graphicData>
            </a:graphic>
          </wp:anchor>
        </w:drawing>
      </w:r>
    </w:p>
    <w:p>
      <w:pPr>
        <w:spacing w:after="0" w:line="12" w:lineRule="exact"/>
        <w:rPr>
          <w:sz w:val="20"/>
          <w:szCs w:val="20"/>
          <w:color w:val="auto"/>
        </w:rPr>
      </w:pPr>
    </w:p>
    <w:p>
      <w:pPr>
        <w:ind w:left="940" w:hanging="184"/>
        <w:spacing w:after="0"/>
        <w:tabs>
          <w:tab w:leader="none" w:pos="940" w:val="left"/>
        </w:tabs>
        <w:numPr>
          <w:ilvl w:val="0"/>
          <w:numId w:val="15"/>
        </w:numPr>
        <w:rPr>
          <w:rFonts w:ascii="Arial" w:cs="Arial" w:eastAsia="Arial" w:hAnsi="Arial"/>
          <w:sz w:val="13"/>
          <w:szCs w:val="13"/>
          <w:color w:val="auto"/>
        </w:rPr>
      </w:pPr>
      <w:r>
        <w:rPr>
          <w:rFonts w:ascii="Arial" w:cs="Arial" w:eastAsia="Arial" w:hAnsi="Arial"/>
          <w:sz w:val="13"/>
          <w:szCs w:val="13"/>
          <w:color w:val="auto"/>
        </w:rPr>
        <w:t>Does not equal financial statement revenue due to revenue recognition adjustments between accounting periods</w:t>
      </w:r>
    </w:p>
    <w:p>
      <w:pPr>
        <w:spacing w:after="0" w:line="13" w:lineRule="exact"/>
        <w:rPr>
          <w:rFonts w:ascii="Arial" w:cs="Arial" w:eastAsia="Arial" w:hAnsi="Arial"/>
          <w:sz w:val="13"/>
          <w:szCs w:val="13"/>
          <w:color w:val="auto"/>
        </w:rPr>
      </w:pPr>
    </w:p>
    <w:p>
      <w:pPr>
        <w:ind w:left="940" w:hanging="184"/>
        <w:spacing w:after="0"/>
        <w:tabs>
          <w:tab w:leader="none" w:pos="940" w:val="left"/>
        </w:tabs>
        <w:numPr>
          <w:ilvl w:val="0"/>
          <w:numId w:val="15"/>
        </w:numPr>
        <w:rPr>
          <w:rFonts w:ascii="Arial" w:cs="Arial" w:eastAsia="Arial" w:hAnsi="Arial"/>
          <w:sz w:val="13"/>
          <w:szCs w:val="13"/>
          <w:color w:val="auto"/>
        </w:rPr>
      </w:pPr>
      <w:r>
        <w:rPr>
          <w:rFonts w:ascii="Arial" w:cs="Arial" w:eastAsia="Arial" w:hAnsi="Arial"/>
          <w:sz w:val="13"/>
          <w:szCs w:val="13"/>
          <w:color w:val="auto"/>
        </w:rPr>
        <w:t>Percent change based on unrounded figures and not the rounded figures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4331335</wp:posOffset>
            </wp:positionH>
            <wp:positionV relativeFrom="paragraph">
              <wp:posOffset>-194310</wp:posOffset>
            </wp:positionV>
            <wp:extent cx="15341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34160" cy="8255"/>
                    </a:xfrm>
                    <a:prstGeom prst="rect">
                      <a:avLst/>
                    </a:prstGeom>
                    <a:noFill/>
                  </pic:spPr>
                </pic:pic>
              </a:graphicData>
            </a:graphic>
          </wp:anchor>
        </w:drawing>
      </w:r>
    </w:p>
    <w:p>
      <w:pPr>
        <w:spacing w:after="0" w:line="177" w:lineRule="exact"/>
        <w:rPr>
          <w:sz w:val="20"/>
          <w:szCs w:val="20"/>
          <w:color w:val="auto"/>
        </w:rPr>
      </w:pPr>
    </w:p>
    <w:p>
      <w:pPr>
        <w:jc w:val="both"/>
        <w:spacing w:after="0" w:line="308" w:lineRule="auto"/>
        <w:rPr>
          <w:sz w:val="20"/>
          <w:szCs w:val="20"/>
          <w:color w:val="auto"/>
        </w:rPr>
      </w:pPr>
      <w:r>
        <w:rPr>
          <w:rFonts w:ascii="Arial" w:cs="Arial" w:eastAsia="Arial" w:hAnsi="Arial"/>
          <w:sz w:val="15"/>
          <w:szCs w:val="15"/>
          <w:color w:val="auto"/>
        </w:rPr>
        <w:t>Operating income for Regional Transportation was $12.2 million for the first quarter of 2017 compared to $12.4 million for the first quarter of 2016. The slight decrease in operating income consisted of an increase in operating revenues of $17.0 million, which was offset by a $17.2 million increase in total operating expenses. The increase in operating expenses consisted primarily of an increase in employee benefit costs, higher fuel costs and higher usage of purchased transportation.</w:t>
      </w:r>
    </w:p>
    <w:p>
      <w:pPr>
        <w:spacing w:after="0" w:line="14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Salaries, wages and employee benefits. </w:t>
      </w:r>
      <w:r>
        <w:rPr>
          <w:rFonts w:ascii="Arial" w:cs="Arial" w:eastAsia="Arial" w:hAnsi="Arial"/>
          <w:sz w:val="17"/>
          <w:szCs w:val="17"/>
          <w:color w:val="auto"/>
        </w:rPr>
        <w:t>Salaries, wages and employee benefits increased $7.9 million, or 3.0%, primarily due to a $6.6 million increase in employee</w:t>
      </w:r>
      <w:r>
        <w:rPr>
          <w:rFonts w:ascii="Arial" w:cs="Arial" w:eastAsia="Arial" w:hAnsi="Arial"/>
          <w:sz w:val="17"/>
          <w:szCs w:val="17"/>
          <w:i w:val="1"/>
          <w:iCs w:val="1"/>
          <w:color w:val="auto"/>
        </w:rPr>
        <w:t xml:space="preserve"> </w:t>
      </w:r>
      <w:r>
        <w:rPr>
          <w:rFonts w:ascii="Arial" w:cs="Arial" w:eastAsia="Arial" w:hAnsi="Arial"/>
          <w:sz w:val="17"/>
          <w:szCs w:val="17"/>
          <w:color w:val="auto"/>
        </w:rPr>
        <w:t>benefit costs which is primarily a result of contractual rate increases for union employees.</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Operating expenses and supplies. </w:t>
      </w:r>
      <w:r>
        <w:rPr>
          <w:rFonts w:ascii="Arial" w:cs="Arial" w:eastAsia="Arial" w:hAnsi="Arial"/>
          <w:sz w:val="17"/>
          <w:szCs w:val="17"/>
          <w:color w:val="auto"/>
        </w:rPr>
        <w:t>Operating expenses and supplies increased $9.4 million, or 12.2%, primarily due to an $8.3 million increase in fuel expense, which was</w:t>
      </w:r>
      <w:r>
        <w:rPr>
          <w:rFonts w:ascii="Arial" w:cs="Arial" w:eastAsia="Arial" w:hAnsi="Arial"/>
          <w:sz w:val="17"/>
          <w:szCs w:val="17"/>
          <w:i w:val="1"/>
          <w:iCs w:val="1"/>
          <w:color w:val="auto"/>
        </w:rPr>
        <w:t xml:space="preserve"> </w:t>
      </w:r>
      <w:r>
        <w:rPr>
          <w:rFonts w:ascii="Arial" w:cs="Arial" w:eastAsia="Arial" w:hAnsi="Arial"/>
          <w:sz w:val="17"/>
          <w:szCs w:val="17"/>
          <w:color w:val="auto"/>
        </w:rPr>
        <w:t>driven by higher fuel prices on a per gallon basis, as well as a slight increase in miles driven.</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Purchased transportation</w:t>
      </w:r>
      <w:r>
        <w:rPr>
          <w:rFonts w:ascii="Arial" w:cs="Arial" w:eastAsia="Arial" w:hAnsi="Arial"/>
          <w:sz w:val="17"/>
          <w:szCs w:val="17"/>
          <w:color w:val="auto"/>
        </w:rPr>
        <w:t>. Purchased transportation increased $5.5 million, or 19.1%, primarily due to a $3.8 million increase in vehicle rent expense due to higher usage</w:t>
      </w:r>
      <w:r>
        <w:rPr>
          <w:rFonts w:ascii="Arial" w:cs="Arial" w:eastAsia="Arial" w:hAnsi="Arial"/>
          <w:sz w:val="17"/>
          <w:szCs w:val="17"/>
          <w:i w:val="1"/>
          <w:iCs w:val="1"/>
          <w:color w:val="auto"/>
        </w:rPr>
        <w:t xml:space="preserve"> </w:t>
      </w:r>
      <w:r>
        <w:rPr>
          <w:rFonts w:ascii="Arial" w:cs="Arial" w:eastAsia="Arial" w:hAnsi="Arial"/>
          <w:sz w:val="17"/>
          <w:szCs w:val="17"/>
          <w:color w:val="auto"/>
        </w:rPr>
        <w:t>of operating leases for revenue equipment.</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Other operating expenses</w:t>
      </w:r>
      <w:r>
        <w:rPr>
          <w:rFonts w:ascii="Arial" w:cs="Arial" w:eastAsia="Arial" w:hAnsi="Arial"/>
          <w:sz w:val="17"/>
          <w:szCs w:val="17"/>
          <w:color w:val="auto"/>
        </w:rPr>
        <w:t>. Other operating expenses decreased $3.5 million, or 14.0%, due to a $3.8 million decrease in our property damage and liability claims as a</w:t>
      </w:r>
      <w:r>
        <w:rPr>
          <w:rFonts w:ascii="Arial" w:cs="Arial" w:eastAsia="Arial" w:hAnsi="Arial"/>
          <w:sz w:val="17"/>
          <w:szCs w:val="17"/>
          <w:i w:val="1"/>
          <w:iCs w:val="1"/>
          <w:color w:val="auto"/>
        </w:rPr>
        <w:t xml:space="preserve"> </w:t>
      </w:r>
      <w:r>
        <w:rPr>
          <w:rFonts w:ascii="Arial" w:cs="Arial" w:eastAsia="Arial" w:hAnsi="Arial"/>
          <w:sz w:val="17"/>
          <w:szCs w:val="17"/>
          <w:color w:val="auto"/>
        </w:rPr>
        <w:t>result of more favorable development on our prior year claims.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Non-GAAP Financial Measures</w:t>
      </w:r>
    </w:p>
    <w:p>
      <w:pPr>
        <w:spacing w:after="0" w:line="217"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As discussed in the “Our Business” section, we use certain non-GAAP financial measures to assess performance. These measures should be considered in addition to the results prepared in accordance with GAAP, but should not be considered a substitute for, or superior to, our GAAP financial measures. For segment Adjusted EBITDA, we present the reconciliation from operating income (loss) to Adjusted EBITDA as it is consistent with how we measure performance.</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Consolidated Adjusted EBITDA</w:t>
      </w:r>
    </w:p>
    <w:p>
      <w:pPr>
        <w:spacing w:after="0" w:line="20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reconciliation of net income (loss) to EBITDA and EBITDA to Adjusted EBITDA (defined in our Term Loan Agreement as “Consolidated EBITDA”) for the first quarter of 2017 and 2016, and the trailing twelve months ended March 31, 2017 and 2016, is as follows: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6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gridSpan w:val="5"/>
          </w:tcPr>
          <w:p>
            <w:pPr>
              <w:ind w:left="300"/>
              <w:spacing w:after="0"/>
              <w:rPr>
                <w:sz w:val="20"/>
                <w:szCs w:val="20"/>
                <w:color w:val="auto"/>
              </w:rPr>
            </w:pPr>
            <w:r>
              <w:rPr>
                <w:rFonts w:ascii="Arial" w:cs="Arial" w:eastAsia="Arial" w:hAnsi="Arial"/>
                <w:sz w:val="13"/>
                <w:szCs w:val="13"/>
                <w:b w:val="1"/>
                <w:bCs w:val="1"/>
                <w:color w:val="auto"/>
              </w:rPr>
              <w:t>First Quarter</w:t>
            </w:r>
          </w:p>
        </w:tc>
        <w:tc>
          <w:tcPr>
            <w:tcW w:w="160" w:type="dxa"/>
            <w:vAlign w:val="bottom"/>
          </w:tcPr>
          <w:p>
            <w:pPr>
              <w:spacing w:after="0"/>
              <w:rPr>
                <w:sz w:val="15"/>
                <w:szCs w:val="15"/>
                <w:color w:val="auto"/>
              </w:rPr>
            </w:pPr>
          </w:p>
        </w:tc>
        <w:tc>
          <w:tcPr>
            <w:tcW w:w="2660" w:type="dxa"/>
            <w:vAlign w:val="bottom"/>
            <w:gridSpan w:val="4"/>
          </w:tcPr>
          <w:p>
            <w:pPr>
              <w:jc w:val="right"/>
              <w:ind w:right="417"/>
              <w:spacing w:after="0"/>
              <w:rPr>
                <w:sz w:val="20"/>
                <w:szCs w:val="20"/>
                <w:color w:val="auto"/>
              </w:rPr>
            </w:pPr>
            <w:r>
              <w:rPr>
                <w:rFonts w:ascii="Arial" w:cs="Arial" w:eastAsia="Arial" w:hAnsi="Arial"/>
                <w:sz w:val="13"/>
                <w:szCs w:val="13"/>
                <w:b w:val="1"/>
                <w:bCs w:val="1"/>
                <w:color w:val="auto"/>
              </w:rPr>
              <w:t>Trailing Twelve Months Ended</w:t>
            </w:r>
          </w:p>
        </w:tc>
      </w:tr>
      <w:tr>
        <w:trPr>
          <w:trHeight w:val="244"/>
        </w:trPr>
        <w:tc>
          <w:tcPr>
            <w:tcW w:w="67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(in millions)</w:t>
            </w:r>
          </w:p>
        </w:tc>
        <w:tc>
          <w:tcPr>
            <w:tcW w:w="200" w:type="dxa"/>
            <w:vAlign w:val="bottom"/>
            <w:tcBorders>
              <w:top w:val="single" w:sz="8" w:color="auto"/>
              <w:bottom w:val="single" w:sz="8" w:color="auto"/>
            </w:tcBorders>
          </w:tcPr>
          <w:p>
            <w:pPr>
              <w:spacing w:after="0"/>
              <w:rPr>
                <w:sz w:val="21"/>
                <w:szCs w:val="21"/>
                <w:color w:val="auto"/>
              </w:rPr>
            </w:pPr>
          </w:p>
        </w:tc>
        <w:tc>
          <w:tcPr>
            <w:tcW w:w="640" w:type="dxa"/>
            <w:vAlign w:val="bottom"/>
            <w:tcBorders>
              <w:top w:val="single" w:sz="8" w:color="auto"/>
              <w:bottom w:val="single" w:sz="8" w:color="auto"/>
            </w:tcBorders>
          </w:tcPr>
          <w:p>
            <w:pPr>
              <w:jc w:val="right"/>
              <w:ind w:right="198"/>
              <w:spacing w:after="0"/>
              <w:rPr>
                <w:sz w:val="20"/>
                <w:szCs w:val="20"/>
                <w:color w:val="auto"/>
              </w:rPr>
            </w:pPr>
            <w:r>
              <w:rPr>
                <w:rFonts w:ascii="Arial" w:cs="Arial" w:eastAsia="Arial" w:hAnsi="Arial"/>
                <w:sz w:val="13"/>
                <w:szCs w:val="13"/>
                <w:b w:val="1"/>
                <w:bCs w:val="1"/>
                <w:color w:val="auto"/>
              </w:rPr>
              <w:t>2017</w:t>
            </w:r>
          </w:p>
        </w:tc>
        <w:tc>
          <w:tcPr>
            <w:tcW w:w="100" w:type="dxa"/>
            <w:vAlign w:val="bottom"/>
            <w:tcBorders>
              <w:top w:val="single" w:sz="8" w:color="auto"/>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600" w:type="dxa"/>
            <w:vAlign w:val="bottom"/>
            <w:tcBorders>
              <w:top w:val="single" w:sz="8" w:color="auto"/>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2016</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gridSpan w:val="2"/>
          </w:tcPr>
          <w:p>
            <w:pPr>
              <w:ind w:left="80"/>
              <w:spacing w:after="0"/>
              <w:rPr>
                <w:sz w:val="20"/>
                <w:szCs w:val="20"/>
                <w:color w:val="auto"/>
              </w:rPr>
            </w:pPr>
            <w:r>
              <w:rPr>
                <w:rFonts w:ascii="Arial" w:cs="Arial" w:eastAsia="Arial" w:hAnsi="Arial"/>
                <w:sz w:val="13"/>
                <w:szCs w:val="13"/>
                <w:b w:val="1"/>
                <w:bCs w:val="1"/>
                <w:color w:val="auto"/>
              </w:rPr>
              <w:t>March 31, 2017</w:t>
            </w:r>
          </w:p>
        </w:tc>
        <w:tc>
          <w:tcPr>
            <w:tcW w:w="18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March 31, 2016</w:t>
            </w:r>
          </w:p>
        </w:tc>
      </w:tr>
      <w:tr>
        <w:trPr>
          <w:trHeight w:val="229"/>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Reconciliation of net income (loss) to Adjusted EBITDA:</w:t>
            </w:r>
          </w:p>
        </w:tc>
        <w:tc>
          <w:tcPr>
            <w:tcW w:w="2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r>
      <w:tr>
        <w:trPr>
          <w:trHeight w:val="226"/>
        </w:trPr>
        <w:tc>
          <w:tcPr>
            <w:tcW w:w="6740" w:type="dxa"/>
            <w:vAlign w:val="bottom"/>
          </w:tcPr>
          <w:p>
            <w:pPr>
              <w:ind w:left="20"/>
              <w:spacing w:after="0"/>
              <w:rPr>
                <w:sz w:val="20"/>
                <w:szCs w:val="20"/>
                <w:color w:val="auto"/>
              </w:rPr>
            </w:pPr>
            <w:r>
              <w:rPr>
                <w:rFonts w:ascii="Arial" w:cs="Arial" w:eastAsia="Arial" w:hAnsi="Arial"/>
                <w:sz w:val="17"/>
                <w:szCs w:val="17"/>
                <w:color w:val="auto"/>
              </w:rPr>
              <w:t>Net income (loss)</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(25.3)</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(12.0)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ind w:right="38"/>
              <w:spacing w:after="0"/>
              <w:rPr>
                <w:sz w:val="20"/>
                <w:szCs w:val="20"/>
                <w:color w:val="auto"/>
              </w:rPr>
            </w:pPr>
            <w:r>
              <w:rPr>
                <w:rFonts w:ascii="Arial" w:cs="Arial" w:eastAsia="Arial" w:hAnsi="Arial"/>
                <w:sz w:val="17"/>
                <w:szCs w:val="17"/>
                <w:color w:val="auto"/>
              </w:rPr>
              <w:t>8.2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17"/>
              <w:spacing w:after="0"/>
              <w:rPr>
                <w:sz w:val="20"/>
                <w:szCs w:val="20"/>
                <w:color w:val="auto"/>
              </w:rPr>
            </w:pPr>
            <w:r>
              <w:rPr>
                <w:rFonts w:ascii="Arial" w:cs="Arial" w:eastAsia="Arial" w:hAnsi="Arial"/>
                <w:sz w:val="17"/>
                <w:szCs w:val="17"/>
                <w:color w:val="auto"/>
              </w:rPr>
              <w:t>10.3</w:t>
            </w:r>
          </w:p>
        </w:tc>
      </w:tr>
      <w:tr>
        <w:trPr>
          <w:trHeight w:val="26"/>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2"/>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Interest expense, net</w:t>
            </w:r>
          </w:p>
        </w:tc>
        <w:tc>
          <w:tcPr>
            <w:tcW w:w="2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25.2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26.0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102.2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105.7</w:t>
            </w:r>
          </w:p>
        </w:tc>
      </w:tr>
      <w:tr>
        <w:trPr>
          <w:trHeight w:val="226"/>
        </w:trPr>
        <w:tc>
          <w:tcPr>
            <w:tcW w:w="6740" w:type="dxa"/>
            <w:vAlign w:val="bottom"/>
          </w:tcPr>
          <w:p>
            <w:pPr>
              <w:ind w:left="360"/>
              <w:spacing w:after="0"/>
              <w:rPr>
                <w:sz w:val="20"/>
                <w:szCs w:val="20"/>
                <w:color w:val="auto"/>
              </w:rPr>
            </w:pPr>
            <w:r>
              <w:rPr>
                <w:rFonts w:ascii="Arial" w:cs="Arial" w:eastAsia="Arial" w:hAnsi="Arial"/>
                <w:sz w:val="17"/>
                <w:szCs w:val="17"/>
                <w:color w:val="auto"/>
              </w:rPr>
              <w:t>Income tax expense (benefit)</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(4.1)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ind w:right="38"/>
              <w:spacing w:after="0"/>
              <w:rPr>
                <w:sz w:val="20"/>
                <w:szCs w:val="20"/>
                <w:color w:val="auto"/>
              </w:rPr>
            </w:pPr>
            <w:r>
              <w:rPr>
                <w:rFonts w:ascii="Arial" w:cs="Arial" w:eastAsia="Arial" w:hAnsi="Arial"/>
                <w:sz w:val="17"/>
                <w:szCs w:val="17"/>
                <w:color w:val="auto"/>
              </w:rPr>
              <w:t>0.8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(8.3)</w:t>
            </w:r>
          </w:p>
        </w:tc>
      </w:tr>
      <w:tr>
        <w:trPr>
          <w:trHeight w:val="26"/>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2"/>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Depreciation and amortization</w:t>
            </w: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37.1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40.7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156.2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162.8</w:t>
            </w:r>
          </w:p>
        </w:tc>
      </w:tr>
      <w:tr>
        <w:trPr>
          <w:trHeight w:val="219"/>
        </w:trPr>
        <w:tc>
          <w:tcPr>
            <w:tcW w:w="6740" w:type="dxa"/>
            <w:vAlign w:val="bottom"/>
          </w:tcPr>
          <w:p>
            <w:pPr>
              <w:ind w:left="20"/>
              <w:spacing w:after="0"/>
              <w:rPr>
                <w:sz w:val="20"/>
                <w:szCs w:val="20"/>
                <w:color w:val="auto"/>
              </w:rPr>
            </w:pPr>
            <w:r>
              <w:rPr>
                <w:rFonts w:ascii="Arial" w:cs="Arial" w:eastAsia="Arial" w:hAnsi="Arial"/>
                <w:sz w:val="17"/>
                <w:szCs w:val="17"/>
                <w:color w:val="auto"/>
              </w:rPr>
              <w:t>EBITDA</w:t>
            </w:r>
          </w:p>
        </w:tc>
        <w:tc>
          <w:tcPr>
            <w:tcW w:w="2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ind w:right="38"/>
              <w:spacing w:after="0"/>
              <w:rPr>
                <w:sz w:val="20"/>
                <w:szCs w:val="20"/>
                <w:color w:val="auto"/>
              </w:rPr>
            </w:pPr>
            <w:r>
              <w:rPr>
                <w:rFonts w:ascii="Arial" w:cs="Arial" w:eastAsia="Arial" w:hAnsi="Arial"/>
                <w:sz w:val="17"/>
                <w:szCs w:val="17"/>
                <w:color w:val="auto"/>
              </w:rPr>
              <w:t>32.9</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ind w:right="37"/>
              <w:spacing w:after="0"/>
              <w:rPr>
                <w:sz w:val="20"/>
                <w:szCs w:val="20"/>
                <w:color w:val="auto"/>
              </w:rPr>
            </w:pPr>
            <w:r>
              <w:rPr>
                <w:rFonts w:ascii="Arial" w:cs="Arial" w:eastAsia="Arial" w:hAnsi="Arial"/>
                <w:sz w:val="17"/>
                <w:szCs w:val="17"/>
                <w:color w:val="auto"/>
              </w:rPr>
              <w:t>52.9</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ind w:right="38"/>
              <w:spacing w:after="0"/>
              <w:rPr>
                <w:sz w:val="20"/>
                <w:szCs w:val="20"/>
                <w:color w:val="auto"/>
              </w:rPr>
            </w:pPr>
            <w:r>
              <w:rPr>
                <w:rFonts w:ascii="Arial" w:cs="Arial" w:eastAsia="Arial" w:hAnsi="Arial"/>
                <w:sz w:val="17"/>
                <w:szCs w:val="17"/>
                <w:color w:val="auto"/>
              </w:rPr>
              <w:t>267.4</w:t>
            </w:r>
          </w:p>
        </w:tc>
        <w:tc>
          <w:tcPr>
            <w:tcW w:w="10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auto"/>
              </w:rPr>
              <w:t>270.5</w:t>
            </w:r>
          </w:p>
        </w:tc>
      </w:tr>
      <w:tr>
        <w:trPr>
          <w:trHeight w:val="26"/>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2"/>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Adjustments for Term Loan Agreement:</w:t>
            </w:r>
          </w:p>
        </w:tc>
        <w:tc>
          <w:tcPr>
            <w:tcW w:w="2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r>
      <w:tr>
        <w:trPr>
          <w:trHeight w:val="226"/>
        </w:trPr>
        <w:tc>
          <w:tcPr>
            <w:tcW w:w="6740" w:type="dxa"/>
            <w:vAlign w:val="bottom"/>
          </w:tcPr>
          <w:p>
            <w:pPr>
              <w:ind w:left="360"/>
              <w:spacing w:after="0"/>
              <w:rPr>
                <w:sz w:val="20"/>
                <w:szCs w:val="20"/>
                <w:color w:val="auto"/>
              </w:rPr>
            </w:pPr>
            <w:r>
              <w:rPr>
                <w:rFonts w:ascii="Arial" w:cs="Arial" w:eastAsia="Arial" w:hAnsi="Arial"/>
                <w:sz w:val="17"/>
                <w:szCs w:val="17"/>
                <w:color w:val="auto"/>
              </w:rPr>
              <w:t>(Gains) losses on property disposals, net</w:t>
            </w:r>
          </w:p>
        </w:tc>
        <w:tc>
          <w:tcPr>
            <w:tcW w:w="200" w:type="dxa"/>
            <w:vAlign w:val="bottom"/>
          </w:tcPr>
          <w:p>
            <w:pPr>
              <w:spacing w:after="0"/>
              <w:rPr>
                <w:sz w:val="19"/>
                <w:szCs w:val="19"/>
                <w:color w:val="auto"/>
              </w:rPr>
            </w:pPr>
          </w:p>
        </w:tc>
        <w:tc>
          <w:tcPr>
            <w:tcW w:w="640" w:type="dxa"/>
            <w:vAlign w:val="bottom"/>
          </w:tcPr>
          <w:p>
            <w:pPr>
              <w:jc w:val="right"/>
              <w:ind w:right="38"/>
              <w:spacing w:after="0"/>
              <w:rPr>
                <w:sz w:val="20"/>
                <w:szCs w:val="20"/>
                <w:color w:val="auto"/>
              </w:rPr>
            </w:pPr>
            <w:r>
              <w:rPr>
                <w:rFonts w:ascii="Arial" w:cs="Arial" w:eastAsia="Arial" w:hAnsi="Arial"/>
                <w:sz w:val="17"/>
                <w:szCs w:val="17"/>
                <w:color w:val="auto"/>
              </w:rPr>
              <w:t>2.7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(0.3)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(11.6)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ind w:right="17"/>
              <w:spacing w:after="0"/>
              <w:rPr>
                <w:sz w:val="20"/>
                <w:szCs w:val="20"/>
                <w:color w:val="auto"/>
              </w:rPr>
            </w:pPr>
            <w:r>
              <w:rPr>
                <w:rFonts w:ascii="Arial" w:cs="Arial" w:eastAsia="Arial" w:hAnsi="Arial"/>
                <w:sz w:val="17"/>
                <w:szCs w:val="17"/>
                <w:color w:val="auto"/>
              </w:rPr>
              <w:t>0.3</w:t>
            </w:r>
          </w:p>
        </w:tc>
      </w:tr>
      <w:tr>
        <w:trPr>
          <w:trHeight w:val="26"/>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2"/>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Letter of credit expense</w:t>
            </w:r>
          </w:p>
        </w:tc>
        <w:tc>
          <w:tcPr>
            <w:tcW w:w="2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1.7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2.2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7.2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8.8</w:t>
            </w:r>
          </w:p>
        </w:tc>
      </w:tr>
      <w:tr>
        <w:trPr>
          <w:trHeight w:val="226"/>
        </w:trPr>
        <w:tc>
          <w:tcPr>
            <w:tcW w:w="6740" w:type="dxa"/>
            <w:vAlign w:val="bottom"/>
          </w:tcPr>
          <w:p>
            <w:pPr>
              <w:ind w:left="360"/>
              <w:spacing w:after="0"/>
              <w:rPr>
                <w:sz w:val="20"/>
                <w:szCs w:val="20"/>
                <w:color w:val="auto"/>
              </w:rPr>
            </w:pPr>
            <w:r>
              <w:rPr>
                <w:rFonts w:ascii="Arial" w:cs="Arial" w:eastAsia="Arial" w:hAnsi="Arial"/>
                <w:sz w:val="17"/>
                <w:szCs w:val="17"/>
                <w:color w:val="auto"/>
              </w:rPr>
              <w:t>Restructuring professional fees</w:t>
            </w:r>
          </w:p>
        </w:tc>
        <w:tc>
          <w:tcPr>
            <w:tcW w:w="200" w:type="dxa"/>
            <w:vAlign w:val="bottom"/>
          </w:tcPr>
          <w:p>
            <w:pPr>
              <w:spacing w:after="0"/>
              <w:rPr>
                <w:sz w:val="19"/>
                <w:szCs w:val="19"/>
                <w:color w:val="auto"/>
              </w:rPr>
            </w:pPr>
          </w:p>
        </w:tc>
        <w:tc>
          <w:tcPr>
            <w:tcW w:w="640" w:type="dxa"/>
            <w:vAlign w:val="bottom"/>
          </w:tcPr>
          <w:p>
            <w:pPr>
              <w:jc w:val="right"/>
              <w:ind w:right="38"/>
              <w:spacing w:after="0"/>
              <w:rPr>
                <w:sz w:val="20"/>
                <w:szCs w:val="20"/>
                <w:color w:val="auto"/>
              </w:rPr>
            </w:pPr>
            <w:r>
              <w:rPr>
                <w:rFonts w:ascii="Arial" w:cs="Arial" w:eastAsia="Arial" w:hAnsi="Arial"/>
                <w:sz w:val="17"/>
                <w:szCs w:val="17"/>
                <w:color w:val="auto"/>
              </w:rPr>
              <w:t>2.2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200" w:type="dxa"/>
            <w:vAlign w:val="bottom"/>
          </w:tcPr>
          <w:p>
            <w:pPr>
              <w:jc w:val="right"/>
              <w:ind w:right="38"/>
              <w:spacing w:after="0"/>
              <w:rPr>
                <w:sz w:val="20"/>
                <w:szCs w:val="20"/>
                <w:color w:val="auto"/>
              </w:rPr>
            </w:pPr>
            <w:r>
              <w:rPr>
                <w:rFonts w:ascii="Arial" w:cs="Arial" w:eastAsia="Arial" w:hAnsi="Arial"/>
                <w:sz w:val="17"/>
                <w:szCs w:val="17"/>
                <w:color w:val="auto"/>
              </w:rPr>
              <w:t>2.2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ind w:right="17"/>
              <w:spacing w:after="0"/>
              <w:rPr>
                <w:sz w:val="20"/>
                <w:szCs w:val="20"/>
                <w:color w:val="auto"/>
              </w:rPr>
            </w:pPr>
            <w:r>
              <w:rPr>
                <w:rFonts w:ascii="Arial" w:cs="Arial" w:eastAsia="Arial" w:hAnsi="Arial"/>
                <w:sz w:val="17"/>
                <w:szCs w:val="17"/>
                <w:color w:val="auto"/>
              </w:rPr>
              <w:t>0.2</w:t>
            </w:r>
          </w:p>
        </w:tc>
      </w:tr>
      <w:tr>
        <w:trPr>
          <w:trHeight w:val="26"/>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2"/>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Nonrecurring consulting fees</w:t>
            </w:r>
          </w:p>
        </w:tc>
        <w:tc>
          <w:tcPr>
            <w:tcW w:w="2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2.2</w:t>
            </w:r>
          </w:p>
        </w:tc>
      </w:tr>
      <w:tr>
        <w:trPr>
          <w:trHeight w:val="226"/>
        </w:trPr>
        <w:tc>
          <w:tcPr>
            <w:tcW w:w="6740" w:type="dxa"/>
            <w:vAlign w:val="bottom"/>
          </w:tcPr>
          <w:p>
            <w:pPr>
              <w:ind w:left="360"/>
              <w:spacing w:after="0"/>
              <w:rPr>
                <w:sz w:val="20"/>
                <w:szCs w:val="20"/>
                <w:color w:val="auto"/>
              </w:rPr>
            </w:pPr>
            <w:r>
              <w:rPr>
                <w:rFonts w:ascii="Arial" w:cs="Arial" w:eastAsia="Arial" w:hAnsi="Arial"/>
                <w:sz w:val="17"/>
                <w:szCs w:val="17"/>
                <w:color w:val="auto"/>
              </w:rPr>
              <w:t>Permitted dispositions and other</w:t>
            </w:r>
          </w:p>
        </w:tc>
        <w:tc>
          <w:tcPr>
            <w:tcW w:w="200" w:type="dxa"/>
            <w:vAlign w:val="bottom"/>
          </w:tcPr>
          <w:p>
            <w:pPr>
              <w:spacing w:after="0"/>
              <w:rPr>
                <w:sz w:val="19"/>
                <w:szCs w:val="19"/>
                <w:color w:val="auto"/>
              </w:rPr>
            </w:pPr>
          </w:p>
        </w:tc>
        <w:tc>
          <w:tcPr>
            <w:tcW w:w="640" w:type="dxa"/>
            <w:vAlign w:val="bottom"/>
          </w:tcPr>
          <w:p>
            <w:pPr>
              <w:jc w:val="right"/>
              <w:ind w:right="38"/>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200" w:type="dxa"/>
            <w:vAlign w:val="bottom"/>
          </w:tcPr>
          <w:p>
            <w:pPr>
              <w:jc w:val="right"/>
              <w:ind w:right="38"/>
              <w:spacing w:after="0"/>
              <w:rPr>
                <w:sz w:val="20"/>
                <w:szCs w:val="20"/>
                <w:color w:val="auto"/>
              </w:rPr>
            </w:pPr>
            <w:r>
              <w:rPr>
                <w:rFonts w:ascii="Arial" w:cs="Arial" w:eastAsia="Arial" w:hAnsi="Arial"/>
                <w:sz w:val="17"/>
                <w:szCs w:val="17"/>
                <w:color w:val="auto"/>
              </w:rPr>
              <w:t>3.1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ind w:right="17"/>
              <w:spacing w:after="0"/>
              <w:rPr>
                <w:sz w:val="20"/>
                <w:szCs w:val="20"/>
                <w:color w:val="auto"/>
              </w:rPr>
            </w:pPr>
            <w:r>
              <w:rPr>
                <w:rFonts w:ascii="Arial" w:cs="Arial" w:eastAsia="Arial" w:hAnsi="Arial"/>
                <w:sz w:val="17"/>
                <w:szCs w:val="17"/>
                <w:color w:val="auto"/>
              </w:rPr>
              <w:t>0.2</w:t>
            </w:r>
          </w:p>
        </w:tc>
      </w:tr>
      <w:tr>
        <w:trPr>
          <w:trHeight w:val="26"/>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2"/>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Equity-based compensation expense</w:t>
            </w:r>
          </w:p>
        </w:tc>
        <w:tc>
          <w:tcPr>
            <w:tcW w:w="2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1.4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1.8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6.9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9.8</w:t>
            </w:r>
          </w:p>
        </w:tc>
      </w:tr>
      <w:tr>
        <w:trPr>
          <w:trHeight w:val="226"/>
        </w:trPr>
        <w:tc>
          <w:tcPr>
            <w:tcW w:w="6740" w:type="dxa"/>
            <w:vAlign w:val="bottom"/>
          </w:tcPr>
          <w:p>
            <w:pPr>
              <w:ind w:left="360"/>
              <w:spacing w:after="0"/>
              <w:rPr>
                <w:sz w:val="20"/>
                <w:szCs w:val="20"/>
                <w:color w:val="auto"/>
              </w:rPr>
            </w:pPr>
            <w:r>
              <w:rPr>
                <w:rFonts w:ascii="Arial" w:cs="Arial" w:eastAsia="Arial" w:hAnsi="Arial"/>
                <w:sz w:val="17"/>
                <w:szCs w:val="17"/>
                <w:color w:val="auto"/>
              </w:rPr>
              <w:t>Amortization of ratification bonus</w:t>
            </w:r>
          </w:p>
        </w:tc>
        <w:tc>
          <w:tcPr>
            <w:tcW w:w="200" w:type="dxa"/>
            <w:vAlign w:val="bottom"/>
          </w:tcPr>
          <w:p>
            <w:pPr>
              <w:spacing w:after="0"/>
              <w:rPr>
                <w:sz w:val="19"/>
                <w:szCs w:val="19"/>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600" w:type="dxa"/>
            <w:vAlign w:val="bottom"/>
          </w:tcPr>
          <w:p>
            <w:pPr>
              <w:jc w:val="right"/>
              <w:ind w:right="37"/>
              <w:spacing w:after="0"/>
              <w:rPr>
                <w:sz w:val="20"/>
                <w:szCs w:val="20"/>
                <w:color w:val="auto"/>
              </w:rPr>
            </w:pPr>
            <w:r>
              <w:rPr>
                <w:rFonts w:ascii="Arial" w:cs="Arial" w:eastAsia="Arial" w:hAnsi="Arial"/>
                <w:sz w:val="17"/>
                <w:szCs w:val="17"/>
                <w:color w:val="auto"/>
              </w:rPr>
              <w:t>4.6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180" w:type="dxa"/>
            <w:vAlign w:val="bottom"/>
          </w:tcPr>
          <w:p>
            <w:pPr>
              <w:jc w:val="right"/>
              <w:ind w:right="17"/>
              <w:spacing w:after="0"/>
              <w:rPr>
                <w:sz w:val="20"/>
                <w:szCs w:val="20"/>
                <w:color w:val="auto"/>
              </w:rPr>
            </w:pPr>
            <w:r>
              <w:rPr>
                <w:rFonts w:ascii="Arial" w:cs="Arial" w:eastAsia="Arial" w:hAnsi="Arial"/>
                <w:sz w:val="17"/>
                <w:szCs w:val="17"/>
                <w:color w:val="auto"/>
              </w:rPr>
              <w:t>18.3</w:t>
            </w:r>
          </w:p>
        </w:tc>
      </w:tr>
      <w:tr>
        <w:trPr>
          <w:trHeight w:val="26"/>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2"/>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Non-union pension settlement charge</w:t>
            </w:r>
          </w:p>
        </w:tc>
        <w:tc>
          <w:tcPr>
            <w:tcW w:w="2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28.7</w:t>
            </w:r>
          </w:p>
        </w:tc>
      </w:tr>
      <w:tr>
        <w:trPr>
          <w:trHeight w:val="252"/>
        </w:trPr>
        <w:tc>
          <w:tcPr>
            <w:tcW w:w="6740" w:type="dxa"/>
            <w:vAlign w:val="bottom"/>
            <w:tcBorders>
              <w:bottom w:val="single" w:sz="8" w:color="CCEEFF"/>
            </w:tcBorders>
          </w:tcPr>
          <w:p>
            <w:pPr>
              <w:ind w:left="360"/>
              <w:spacing w:after="0" w:line="252" w:lineRule="exact"/>
              <w:rPr>
                <w:sz w:val="20"/>
                <w:szCs w:val="20"/>
                <w:color w:val="auto"/>
              </w:rPr>
            </w:pPr>
            <w:r>
              <w:rPr>
                <w:rFonts w:ascii="Arial" w:cs="Arial" w:eastAsia="Arial" w:hAnsi="Arial"/>
                <w:sz w:val="17"/>
                <w:szCs w:val="17"/>
                <w:color w:val="auto"/>
              </w:rPr>
              <w:t>Other, net</w:t>
            </w:r>
            <w:r>
              <w:rPr>
                <w:rFonts w:ascii="Arial" w:cs="Arial" w:eastAsia="Arial" w:hAnsi="Arial"/>
                <w:sz w:val="23"/>
                <w:szCs w:val="23"/>
                <w:color w:val="auto"/>
                <w:vertAlign w:val="superscript"/>
              </w:rPr>
              <w:t>(a)</w:t>
            </w:r>
          </w:p>
        </w:tc>
        <w:tc>
          <w:tcPr>
            <w:tcW w:w="20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38"/>
              <w:spacing w:after="0"/>
              <w:rPr>
                <w:sz w:val="20"/>
                <w:szCs w:val="20"/>
                <w:color w:val="auto"/>
              </w:rPr>
            </w:pPr>
            <w:r>
              <w:rPr>
                <w:rFonts w:ascii="Arial" w:cs="Arial" w:eastAsia="Arial" w:hAnsi="Arial"/>
                <w:sz w:val="17"/>
                <w:szCs w:val="17"/>
                <w:color w:val="auto"/>
              </w:rPr>
              <w:t>2.2</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1.7</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38"/>
              <w:spacing w:after="0"/>
              <w:rPr>
                <w:sz w:val="20"/>
                <w:szCs w:val="20"/>
                <w:color w:val="auto"/>
              </w:rPr>
            </w:pPr>
            <w:r>
              <w:rPr>
                <w:rFonts w:ascii="Arial" w:cs="Arial" w:eastAsia="Arial" w:hAnsi="Arial"/>
                <w:sz w:val="17"/>
                <w:szCs w:val="17"/>
                <w:color w:val="auto"/>
              </w:rPr>
              <w:t>2.6</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w:t>
            </w:r>
          </w:p>
        </w:tc>
      </w:tr>
      <w:tr>
        <w:trPr>
          <w:trHeight w:val="249"/>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Adjusted EBITDA</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43.2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62.9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277.8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337.4</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165" w:lineRule="exact"/>
        <w:rPr>
          <w:sz w:val="20"/>
          <w:szCs w:val="20"/>
          <w:color w:val="auto"/>
        </w:rPr>
      </w:pPr>
    </w:p>
    <w:p>
      <w:pPr>
        <w:ind w:left="160" w:hanging="159"/>
        <w:spacing w:after="0"/>
        <w:tabs>
          <w:tab w:leader="none" w:pos="160" w:val="left"/>
        </w:tabs>
        <w:numPr>
          <w:ilvl w:val="0"/>
          <w:numId w:val="16"/>
        </w:numPr>
        <w:rPr>
          <w:rFonts w:ascii="Arial" w:cs="Arial" w:eastAsia="Arial" w:hAnsi="Arial"/>
          <w:sz w:val="19"/>
          <w:szCs w:val="19"/>
          <w:color w:val="auto"/>
          <w:vertAlign w:val="superscript"/>
        </w:rPr>
      </w:pPr>
      <w:r>
        <w:rPr>
          <w:rFonts w:ascii="Arial" w:cs="Arial" w:eastAsia="Arial" w:hAnsi="Arial"/>
          <w:sz w:val="14"/>
          <w:szCs w:val="14"/>
          <w:color w:val="auto"/>
        </w:rPr>
        <w:t>As required under our Term Loan Agreement, Other, net shown above consists of the impact of certain items to be included in Adjusted EBITDA.</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Segment Adjusted EBITDA</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represents Adjusted EBITDA by segment for the first quarter of 2017 and 2016:</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3880" w:type="dxa"/>
            <w:vAlign w:val="bottom"/>
          </w:tcPr>
          <w:p>
            <w:pPr>
              <w:spacing w:after="0"/>
              <w:rPr>
                <w:sz w:val="15"/>
                <w:szCs w:val="15"/>
                <w:color w:val="auto"/>
              </w:rPr>
            </w:pPr>
          </w:p>
        </w:tc>
        <w:tc>
          <w:tcPr>
            <w:tcW w:w="5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First Quarter</w:t>
            </w:r>
          </w:p>
        </w:tc>
        <w:tc>
          <w:tcPr>
            <w:tcW w:w="7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38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(in millions)</w:t>
            </w:r>
          </w:p>
        </w:tc>
        <w:tc>
          <w:tcPr>
            <w:tcW w:w="504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62"/>
              <w:spacing w:after="0"/>
              <w:rPr>
                <w:sz w:val="20"/>
                <w:szCs w:val="20"/>
                <w:color w:val="auto"/>
              </w:rPr>
            </w:pPr>
            <w:r>
              <w:rPr>
                <w:rFonts w:ascii="Arial" w:cs="Arial" w:eastAsia="Arial" w:hAnsi="Arial"/>
                <w:sz w:val="13"/>
                <w:szCs w:val="13"/>
                <w:b w:val="1"/>
                <w:bCs w:val="1"/>
                <w:color w:val="auto"/>
              </w:rPr>
              <w:t>2017</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339"/>
              <w:spacing w:after="0"/>
              <w:rPr>
                <w:sz w:val="20"/>
                <w:szCs w:val="20"/>
                <w:color w:val="auto"/>
              </w:rPr>
            </w:pPr>
            <w:r>
              <w:rPr>
                <w:rFonts w:ascii="Arial" w:cs="Arial" w:eastAsia="Arial" w:hAnsi="Arial"/>
                <w:sz w:val="13"/>
                <w:szCs w:val="13"/>
                <w:b w:val="1"/>
                <w:bCs w:val="1"/>
                <w:color w:val="auto"/>
              </w:rPr>
              <w:t>2016</w:t>
            </w:r>
          </w:p>
        </w:tc>
        <w:tc>
          <w:tcPr>
            <w:tcW w:w="0" w:type="dxa"/>
            <w:vAlign w:val="bottom"/>
          </w:tcPr>
          <w:p>
            <w:pPr>
              <w:spacing w:after="0"/>
              <w:rPr>
                <w:sz w:val="1"/>
                <w:szCs w:val="1"/>
                <w:color w:val="auto"/>
              </w:rPr>
            </w:pPr>
          </w:p>
        </w:tc>
      </w:tr>
      <w:tr>
        <w:trPr>
          <w:trHeight w:val="229"/>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Adjusted EBITDA by segment:</w:t>
            </w:r>
          </w:p>
        </w:tc>
        <w:tc>
          <w:tcPr>
            <w:tcW w:w="50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880" w:type="dxa"/>
            <w:vAlign w:val="bottom"/>
          </w:tcPr>
          <w:p>
            <w:pPr>
              <w:ind w:left="360"/>
              <w:spacing w:after="0"/>
              <w:rPr>
                <w:sz w:val="20"/>
                <w:szCs w:val="20"/>
                <w:color w:val="auto"/>
              </w:rPr>
            </w:pPr>
            <w:r>
              <w:rPr>
                <w:rFonts w:ascii="Arial" w:cs="Arial" w:eastAsia="Arial" w:hAnsi="Arial"/>
                <w:sz w:val="17"/>
                <w:szCs w:val="17"/>
                <w:color w:val="auto"/>
              </w:rPr>
              <w:t>YRC Freight</w:t>
            </w:r>
          </w:p>
        </w:tc>
        <w:tc>
          <w:tcPr>
            <w:tcW w:w="544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42"/>
              <w:spacing w:after="0"/>
              <w:rPr>
                <w:sz w:val="20"/>
                <w:szCs w:val="20"/>
                <w:color w:val="auto"/>
              </w:rPr>
            </w:pPr>
            <w:r>
              <w:rPr>
                <w:rFonts w:ascii="Arial" w:cs="Arial" w:eastAsia="Arial" w:hAnsi="Arial"/>
                <w:sz w:val="17"/>
                <w:szCs w:val="17"/>
                <w:color w:val="auto"/>
              </w:rPr>
              <w:t>14.9</w:t>
            </w:r>
          </w:p>
        </w:tc>
        <w:tc>
          <w:tcPr>
            <w:tcW w:w="120" w:type="dxa"/>
            <w:vAlign w:val="bottom"/>
          </w:tcPr>
          <w:p>
            <w:pPr>
              <w:spacing w:after="0"/>
              <w:rPr>
                <w:sz w:val="19"/>
                <w:szCs w:val="19"/>
                <w:color w:val="auto"/>
              </w:rPr>
            </w:pPr>
          </w:p>
        </w:tc>
        <w:tc>
          <w:tcPr>
            <w:tcW w:w="380" w:type="dxa"/>
            <w:vAlign w:val="bottom"/>
          </w:tcPr>
          <w:p>
            <w:pPr>
              <w:jc w:val="right"/>
              <w:ind w:right="196"/>
              <w:spacing w:after="0"/>
              <w:rPr>
                <w:sz w:val="20"/>
                <w:szCs w:val="20"/>
                <w:color w:val="auto"/>
              </w:rPr>
            </w:pPr>
            <w:r>
              <w:rPr>
                <w:rFonts w:ascii="Arial" w:cs="Arial" w:eastAsia="Arial" w:hAnsi="Arial"/>
                <w:sz w:val="17"/>
                <w:szCs w:val="17"/>
                <w:color w:val="auto"/>
                <w:w w:val="84"/>
              </w:rPr>
              <w:t>$</w:t>
            </w:r>
          </w:p>
        </w:tc>
        <w:tc>
          <w:tcPr>
            <w:tcW w:w="740" w:type="dxa"/>
            <w:vAlign w:val="bottom"/>
          </w:tcPr>
          <w:p>
            <w:pPr>
              <w:jc w:val="right"/>
              <w:ind w:right="19"/>
              <w:spacing w:after="0"/>
              <w:rPr>
                <w:sz w:val="20"/>
                <w:szCs w:val="20"/>
                <w:color w:val="auto"/>
              </w:rPr>
            </w:pPr>
            <w:r>
              <w:rPr>
                <w:rFonts w:ascii="Arial" w:cs="Arial" w:eastAsia="Arial" w:hAnsi="Arial"/>
                <w:sz w:val="17"/>
                <w:szCs w:val="17"/>
                <w:color w:val="auto"/>
              </w:rPr>
              <w:t>30.1</w:t>
            </w:r>
          </w:p>
        </w:tc>
        <w:tc>
          <w:tcPr>
            <w:tcW w:w="0" w:type="dxa"/>
            <w:vAlign w:val="bottom"/>
          </w:tcPr>
          <w:p>
            <w:pPr>
              <w:spacing w:after="0"/>
              <w:rPr>
                <w:sz w:val="1"/>
                <w:szCs w:val="1"/>
                <w:color w:val="auto"/>
              </w:rPr>
            </w:pPr>
          </w:p>
        </w:tc>
      </w:tr>
      <w:tr>
        <w:trPr>
          <w:trHeight w:val="26"/>
        </w:trPr>
        <w:tc>
          <w:tcPr>
            <w:tcW w:w="3880" w:type="dxa"/>
            <w:vAlign w:val="bottom"/>
          </w:tcPr>
          <w:p>
            <w:pPr>
              <w:spacing w:after="0"/>
              <w:rPr>
                <w:sz w:val="2"/>
                <w:szCs w:val="2"/>
                <w:color w:val="auto"/>
              </w:rPr>
            </w:pPr>
          </w:p>
        </w:tc>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38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Regional Transportation</w:t>
            </w:r>
          </w:p>
        </w:tc>
        <w:tc>
          <w:tcPr>
            <w:tcW w:w="5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7"/>
                <w:szCs w:val="17"/>
                <w:color w:val="auto"/>
              </w:rPr>
              <w:t>29.4</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33.4</w:t>
            </w:r>
          </w:p>
        </w:tc>
        <w:tc>
          <w:tcPr>
            <w:tcW w:w="0" w:type="dxa"/>
            <w:vAlign w:val="bottom"/>
          </w:tcPr>
          <w:p>
            <w:pPr>
              <w:spacing w:after="0"/>
              <w:rPr>
                <w:sz w:val="1"/>
                <w:szCs w:val="1"/>
                <w:color w:val="auto"/>
              </w:rPr>
            </w:pPr>
          </w:p>
        </w:tc>
      </w:tr>
      <w:tr>
        <w:trPr>
          <w:trHeight w:val="226"/>
        </w:trPr>
        <w:tc>
          <w:tcPr>
            <w:tcW w:w="3880" w:type="dxa"/>
            <w:vAlign w:val="bottom"/>
          </w:tcPr>
          <w:p>
            <w:pPr>
              <w:ind w:left="360"/>
              <w:spacing w:after="0"/>
              <w:rPr>
                <w:sz w:val="20"/>
                <w:szCs w:val="20"/>
                <w:color w:val="auto"/>
              </w:rPr>
            </w:pPr>
            <w:r>
              <w:rPr>
                <w:rFonts w:ascii="Arial" w:cs="Arial" w:eastAsia="Arial" w:hAnsi="Arial"/>
                <w:sz w:val="17"/>
                <w:szCs w:val="17"/>
                <w:color w:val="auto"/>
              </w:rPr>
              <w:t>Corporate and other</w:t>
            </w:r>
          </w:p>
        </w:tc>
        <w:tc>
          <w:tcPr>
            <w:tcW w:w="5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(0.6)</w:t>
            </w:r>
          </w:p>
        </w:tc>
        <w:tc>
          <w:tcPr>
            <w:tcW w:w="0" w:type="dxa"/>
            <w:vAlign w:val="bottom"/>
          </w:tcPr>
          <w:p>
            <w:pPr>
              <w:spacing w:after="0"/>
              <w:rPr>
                <w:sz w:val="1"/>
                <w:szCs w:val="1"/>
                <w:color w:val="auto"/>
              </w:rPr>
            </w:pPr>
          </w:p>
        </w:tc>
      </w:tr>
      <w:tr>
        <w:trPr>
          <w:trHeight w:val="26"/>
        </w:trPr>
        <w:tc>
          <w:tcPr>
            <w:tcW w:w="3880" w:type="dxa"/>
            <w:vAlign w:val="bottom"/>
            <w:tcBorders>
              <w:bottom w:val="single" w:sz="8" w:color="CCEEFF"/>
            </w:tcBorders>
          </w:tcPr>
          <w:p>
            <w:pPr>
              <w:spacing w:after="0"/>
              <w:rPr>
                <w:sz w:val="2"/>
                <w:szCs w:val="2"/>
                <w:color w:val="auto"/>
              </w:rPr>
            </w:pPr>
          </w:p>
        </w:tc>
        <w:tc>
          <w:tcPr>
            <w:tcW w:w="5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9"/>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Adjusted EBITDA</w:t>
            </w:r>
          </w:p>
        </w:tc>
        <w:tc>
          <w:tcPr>
            <w:tcW w:w="54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7"/>
                <w:szCs w:val="17"/>
                <w:color w:val="auto"/>
              </w:rPr>
              <w:t>43.2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7"/>
                <w:szCs w:val="17"/>
                <w:color w:val="auto"/>
                <w:w w:val="84"/>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62.9</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5040" w:type="dxa"/>
            <w:vAlign w:val="bottom"/>
            <w:tcBorders>
              <w:top w:val="single" w:sz="8" w:color="CCEEFF"/>
              <w:bottom w:val="single" w:sz="8" w:color="CCEEFF"/>
            </w:tcBorders>
            <w:vMerge w:val="restart"/>
          </w:tcPr>
          <w:p>
            <w:pPr>
              <w:jc w:val="right"/>
              <w:ind w:right="3036"/>
              <w:spacing w:after="0"/>
              <w:rPr>
                <w:sz w:val="20"/>
                <w:szCs w:val="20"/>
                <w:color w:val="auto"/>
              </w:rPr>
            </w:pPr>
            <w:r>
              <w:rPr>
                <w:rFonts w:ascii="Arial" w:cs="Arial" w:eastAsia="Arial" w:hAnsi="Arial"/>
                <w:sz w:val="17"/>
                <w:szCs w:val="17"/>
                <w:color w:val="auto"/>
              </w:rPr>
              <w:t>20</w:t>
            </w: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7"/>
        </w:trPr>
        <w:tc>
          <w:tcPr>
            <w:tcW w:w="3880" w:type="dxa"/>
            <w:vAlign w:val="bottom"/>
          </w:tcPr>
          <w:p>
            <w:pPr>
              <w:spacing w:after="0"/>
              <w:rPr>
                <w:sz w:val="24"/>
                <w:szCs w:val="24"/>
                <w:color w:val="auto"/>
              </w:rPr>
            </w:pPr>
          </w:p>
        </w:tc>
        <w:tc>
          <w:tcPr>
            <w:tcW w:w="50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The reconciliation of operating income (loss), by segment, to Adjusted EBITDA for the first quarter of 2017 and 2016, is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8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3"/>
                <w:szCs w:val="13"/>
                <w:b w:val="1"/>
                <w:bCs w:val="1"/>
                <w:color w:val="auto"/>
              </w:rPr>
              <w:t>First Quarter</w:t>
            </w:r>
          </w:p>
        </w:tc>
        <w:tc>
          <w:tcPr>
            <w:tcW w:w="7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244"/>
        </w:trPr>
        <w:tc>
          <w:tcPr>
            <w:tcW w:w="88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YRC Freight segment (in millions)</w:t>
            </w:r>
          </w:p>
        </w:tc>
        <w:tc>
          <w:tcPr>
            <w:tcW w:w="120" w:type="dxa"/>
            <w:vAlign w:val="bottom"/>
            <w:tcBorders>
              <w:bottom w:val="single" w:sz="8" w:color="CCEEFF"/>
            </w:tcBorders>
            <w:gridSpan w:val="2"/>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340"/>
              <w:spacing w:after="0"/>
              <w:rPr>
                <w:sz w:val="20"/>
                <w:szCs w:val="20"/>
                <w:color w:val="auto"/>
              </w:rPr>
            </w:pPr>
            <w:r>
              <w:rPr>
                <w:rFonts w:ascii="Arial" w:cs="Arial" w:eastAsia="Arial" w:hAnsi="Arial"/>
                <w:sz w:val="13"/>
                <w:szCs w:val="13"/>
                <w:b w:val="1"/>
                <w:bCs w:val="1"/>
                <w:color w:val="auto"/>
              </w:rPr>
              <w:t>2017</w:t>
            </w:r>
          </w:p>
        </w:tc>
        <w:tc>
          <w:tcPr>
            <w:tcW w:w="8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358"/>
              <w:spacing w:after="0"/>
              <w:rPr>
                <w:sz w:val="20"/>
                <w:szCs w:val="20"/>
                <w:color w:val="auto"/>
              </w:rPr>
            </w:pPr>
            <w:r>
              <w:rPr>
                <w:rFonts w:ascii="Arial" w:cs="Arial" w:eastAsia="Arial" w:hAnsi="Arial"/>
                <w:sz w:val="13"/>
                <w:szCs w:val="13"/>
                <w:b w:val="1"/>
                <w:bCs w:val="1"/>
                <w:color w:val="auto"/>
                <w:w w:val="89"/>
              </w:rPr>
              <w:t>2016</w:t>
            </w:r>
          </w:p>
        </w:tc>
        <w:tc>
          <w:tcPr>
            <w:tcW w:w="60" w:type="dxa"/>
            <w:vAlign w:val="bottom"/>
          </w:tcPr>
          <w:p>
            <w:pPr>
              <w:spacing w:after="0"/>
              <w:rPr>
                <w:sz w:val="21"/>
                <w:szCs w:val="21"/>
                <w:color w:val="auto"/>
              </w:rPr>
            </w:pPr>
          </w:p>
        </w:tc>
      </w:tr>
      <w:tr>
        <w:trPr>
          <w:trHeight w:val="229"/>
        </w:trPr>
        <w:tc>
          <w:tcPr>
            <w:tcW w:w="89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7"/>
                <w:szCs w:val="17"/>
                <w:color w:val="auto"/>
              </w:rPr>
              <w:t>Reconciliation of operating income (loss) to Adjusted EBITDA:</w:t>
            </w:r>
          </w:p>
        </w:tc>
        <w:tc>
          <w:tcPr>
            <w:tcW w:w="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60" w:type="dxa"/>
            <w:vAlign w:val="bottom"/>
          </w:tcPr>
          <w:p>
            <w:pPr>
              <w:spacing w:after="0"/>
              <w:rPr>
                <w:sz w:val="19"/>
                <w:szCs w:val="19"/>
                <w:color w:val="auto"/>
              </w:rPr>
            </w:pPr>
          </w:p>
        </w:tc>
      </w:tr>
      <w:tr>
        <w:trPr>
          <w:trHeight w:val="226"/>
        </w:trPr>
        <w:tc>
          <w:tcPr>
            <w:tcW w:w="8980" w:type="dxa"/>
            <w:vAlign w:val="bottom"/>
            <w:gridSpan w:val="3"/>
          </w:tcPr>
          <w:p>
            <w:pPr>
              <w:ind w:left="20"/>
              <w:spacing w:after="0"/>
              <w:rPr>
                <w:sz w:val="20"/>
                <w:szCs w:val="20"/>
                <w:color w:val="auto"/>
              </w:rPr>
            </w:pPr>
            <w:r>
              <w:rPr>
                <w:rFonts w:ascii="Arial" w:cs="Arial" w:eastAsia="Arial" w:hAnsi="Arial"/>
                <w:sz w:val="17"/>
                <w:szCs w:val="17"/>
                <w:color w:val="auto"/>
              </w:rPr>
              <w:t>Operating income (loss)</w:t>
            </w:r>
          </w:p>
        </w:tc>
        <w:tc>
          <w:tcPr>
            <w:tcW w:w="300" w:type="dxa"/>
            <w:vAlign w:val="bottom"/>
            <w:gridSpan w:val="2"/>
          </w:tcPr>
          <w:p>
            <w:pPr>
              <w:jc w:val="right"/>
              <w:ind w:right="200"/>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(10.5)</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gridSpan w:val="2"/>
          </w:tcPr>
          <w:p>
            <w:pPr>
              <w:jc w:val="right"/>
              <w:ind w:right="320"/>
              <w:spacing w:after="0"/>
              <w:rPr>
                <w:sz w:val="20"/>
                <w:szCs w:val="20"/>
                <w:color w:val="auto"/>
              </w:rPr>
            </w:pPr>
            <w:r>
              <w:rPr>
                <w:rFonts w:ascii="Arial" w:cs="Arial" w:eastAsia="Arial" w:hAnsi="Arial"/>
                <w:sz w:val="17"/>
                <w:szCs w:val="17"/>
                <w:color w:val="auto"/>
                <w:w w:val="84"/>
              </w:rPr>
              <w:t>$</w:t>
            </w:r>
          </w:p>
        </w:tc>
        <w:tc>
          <w:tcPr>
            <w:tcW w:w="720" w:type="dxa"/>
            <w:vAlign w:val="bottom"/>
          </w:tcPr>
          <w:p>
            <w:pPr>
              <w:jc w:val="right"/>
              <w:ind w:right="38"/>
              <w:spacing w:after="0"/>
              <w:rPr>
                <w:sz w:val="20"/>
                <w:szCs w:val="20"/>
                <w:color w:val="auto"/>
              </w:rPr>
            </w:pPr>
            <w:r>
              <w:rPr>
                <w:rFonts w:ascii="Arial" w:cs="Arial" w:eastAsia="Arial" w:hAnsi="Arial"/>
                <w:sz w:val="17"/>
                <w:szCs w:val="17"/>
                <w:color w:val="auto"/>
              </w:rPr>
              <w:t>4.1</w:t>
            </w:r>
          </w:p>
        </w:tc>
        <w:tc>
          <w:tcPr>
            <w:tcW w:w="60" w:type="dxa"/>
            <w:vAlign w:val="bottom"/>
          </w:tcPr>
          <w:p>
            <w:pPr>
              <w:spacing w:after="0"/>
              <w:rPr>
                <w:sz w:val="19"/>
                <w:szCs w:val="19"/>
                <w:color w:val="auto"/>
              </w:rPr>
            </w:pPr>
          </w:p>
        </w:tc>
      </w:tr>
      <w:tr>
        <w:trPr>
          <w:trHeight w:val="26"/>
        </w:trPr>
        <w:tc>
          <w:tcPr>
            <w:tcW w:w="88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32"/>
        </w:trPr>
        <w:tc>
          <w:tcPr>
            <w:tcW w:w="8980" w:type="dxa"/>
            <w:vAlign w:val="bottom"/>
            <w:tcBorders>
              <w:bottom w:val="single" w:sz="8" w:color="CCEEFF"/>
            </w:tcBorders>
            <w:gridSpan w:val="3"/>
            <w:shd w:val="clear" w:color="auto" w:fill="CCEEFF"/>
          </w:tcPr>
          <w:p>
            <w:pPr>
              <w:ind w:left="360"/>
              <w:spacing w:after="0"/>
              <w:rPr>
                <w:sz w:val="20"/>
                <w:szCs w:val="20"/>
                <w:color w:val="auto"/>
              </w:rPr>
            </w:pPr>
            <w:r>
              <w:rPr>
                <w:rFonts w:ascii="Arial" w:cs="Arial" w:eastAsia="Arial" w:hAnsi="Arial"/>
                <w:sz w:val="17"/>
                <w:szCs w:val="17"/>
                <w:color w:val="auto"/>
              </w:rPr>
              <w:t>Depreciation and amortization</w:t>
            </w:r>
          </w:p>
        </w:tc>
        <w:tc>
          <w:tcPr>
            <w:tcW w:w="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21.3</w:t>
            </w: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22.7</w:t>
            </w:r>
          </w:p>
        </w:tc>
        <w:tc>
          <w:tcPr>
            <w:tcW w:w="60" w:type="dxa"/>
            <w:vAlign w:val="bottom"/>
          </w:tcPr>
          <w:p>
            <w:pPr>
              <w:spacing w:after="0"/>
              <w:rPr>
                <w:sz w:val="20"/>
                <w:szCs w:val="20"/>
                <w:color w:val="auto"/>
              </w:rPr>
            </w:pPr>
          </w:p>
        </w:tc>
      </w:tr>
      <w:tr>
        <w:trPr>
          <w:trHeight w:val="226"/>
        </w:trPr>
        <w:tc>
          <w:tcPr>
            <w:tcW w:w="8980" w:type="dxa"/>
            <w:vAlign w:val="bottom"/>
            <w:gridSpan w:val="3"/>
          </w:tcPr>
          <w:p>
            <w:pPr>
              <w:ind w:left="360"/>
              <w:spacing w:after="0"/>
              <w:rPr>
                <w:sz w:val="20"/>
                <w:szCs w:val="20"/>
                <w:color w:val="auto"/>
              </w:rPr>
            </w:pPr>
            <w:r>
              <w:rPr>
                <w:rFonts w:ascii="Arial" w:cs="Arial" w:eastAsia="Arial" w:hAnsi="Arial"/>
                <w:sz w:val="17"/>
                <w:szCs w:val="17"/>
                <w:color w:val="auto"/>
              </w:rPr>
              <w:t>(Gains) losses on property disposals, net</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ind w:right="20"/>
              <w:spacing w:after="0"/>
              <w:rPr>
                <w:sz w:val="20"/>
                <w:szCs w:val="20"/>
                <w:color w:val="auto"/>
              </w:rPr>
            </w:pPr>
            <w:r>
              <w:rPr>
                <w:rFonts w:ascii="Arial" w:cs="Arial" w:eastAsia="Arial" w:hAnsi="Arial"/>
                <w:sz w:val="17"/>
                <w:szCs w:val="17"/>
                <w:color w:val="auto"/>
              </w:rPr>
              <w:t>2.1</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(0.8)</w:t>
            </w:r>
          </w:p>
        </w:tc>
        <w:tc>
          <w:tcPr>
            <w:tcW w:w="60" w:type="dxa"/>
            <w:vAlign w:val="bottom"/>
          </w:tcPr>
          <w:p>
            <w:pPr>
              <w:spacing w:after="0"/>
              <w:rPr>
                <w:sz w:val="19"/>
                <w:szCs w:val="19"/>
                <w:color w:val="auto"/>
              </w:rPr>
            </w:pPr>
          </w:p>
        </w:tc>
      </w:tr>
      <w:tr>
        <w:trPr>
          <w:trHeight w:val="26"/>
        </w:trPr>
        <w:tc>
          <w:tcPr>
            <w:tcW w:w="88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32"/>
        </w:trPr>
        <w:tc>
          <w:tcPr>
            <w:tcW w:w="8980" w:type="dxa"/>
            <w:vAlign w:val="bottom"/>
            <w:tcBorders>
              <w:bottom w:val="single" w:sz="8" w:color="CCEEFF"/>
            </w:tcBorders>
            <w:gridSpan w:val="3"/>
            <w:shd w:val="clear" w:color="auto" w:fill="CCEEFF"/>
          </w:tcPr>
          <w:p>
            <w:pPr>
              <w:ind w:left="360"/>
              <w:spacing w:after="0"/>
              <w:rPr>
                <w:sz w:val="20"/>
                <w:szCs w:val="20"/>
                <w:color w:val="auto"/>
              </w:rPr>
            </w:pPr>
            <w:r>
              <w:rPr>
                <w:rFonts w:ascii="Arial" w:cs="Arial" w:eastAsia="Arial" w:hAnsi="Arial"/>
                <w:sz w:val="17"/>
                <w:szCs w:val="17"/>
                <w:color w:val="auto"/>
              </w:rPr>
              <w:t>Letter of credit expense</w:t>
            </w:r>
          </w:p>
        </w:tc>
        <w:tc>
          <w:tcPr>
            <w:tcW w:w="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1.1</w:t>
            </w: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1.4</w:t>
            </w:r>
          </w:p>
        </w:tc>
        <w:tc>
          <w:tcPr>
            <w:tcW w:w="60" w:type="dxa"/>
            <w:vAlign w:val="bottom"/>
          </w:tcPr>
          <w:p>
            <w:pPr>
              <w:spacing w:after="0"/>
              <w:rPr>
                <w:sz w:val="20"/>
                <w:szCs w:val="20"/>
                <w:color w:val="auto"/>
              </w:rPr>
            </w:pPr>
          </w:p>
        </w:tc>
      </w:tr>
      <w:tr>
        <w:trPr>
          <w:trHeight w:val="226"/>
        </w:trPr>
        <w:tc>
          <w:tcPr>
            <w:tcW w:w="8980" w:type="dxa"/>
            <w:vAlign w:val="bottom"/>
            <w:gridSpan w:val="3"/>
          </w:tcPr>
          <w:p>
            <w:pPr>
              <w:ind w:left="360"/>
              <w:spacing w:after="0"/>
              <w:rPr>
                <w:sz w:val="20"/>
                <w:szCs w:val="20"/>
                <w:color w:val="auto"/>
              </w:rPr>
            </w:pPr>
            <w:r>
              <w:rPr>
                <w:rFonts w:ascii="Arial" w:cs="Arial" w:eastAsia="Arial" w:hAnsi="Arial"/>
                <w:sz w:val="17"/>
                <w:szCs w:val="17"/>
                <w:color w:val="auto"/>
              </w:rPr>
              <w:t>Amortization of ratification bonus</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3"/>
          </w:tcPr>
          <w:p>
            <w:pPr>
              <w:jc w:val="right"/>
              <w:ind w:right="22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ind w:right="38"/>
              <w:spacing w:after="0"/>
              <w:rPr>
                <w:sz w:val="20"/>
                <w:szCs w:val="20"/>
                <w:color w:val="auto"/>
              </w:rPr>
            </w:pPr>
            <w:r>
              <w:rPr>
                <w:rFonts w:ascii="Arial" w:cs="Arial" w:eastAsia="Arial" w:hAnsi="Arial"/>
                <w:sz w:val="17"/>
                <w:szCs w:val="17"/>
                <w:color w:val="auto"/>
              </w:rPr>
              <w:t>3.0</w:t>
            </w:r>
          </w:p>
        </w:tc>
        <w:tc>
          <w:tcPr>
            <w:tcW w:w="60" w:type="dxa"/>
            <w:vAlign w:val="bottom"/>
          </w:tcPr>
          <w:p>
            <w:pPr>
              <w:spacing w:after="0"/>
              <w:rPr>
                <w:sz w:val="19"/>
                <w:szCs w:val="19"/>
                <w:color w:val="auto"/>
              </w:rPr>
            </w:pPr>
          </w:p>
        </w:tc>
      </w:tr>
      <w:tr>
        <w:trPr>
          <w:trHeight w:val="26"/>
        </w:trPr>
        <w:tc>
          <w:tcPr>
            <w:tcW w:w="88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2"/>
        </w:trPr>
        <w:tc>
          <w:tcPr>
            <w:tcW w:w="8980" w:type="dxa"/>
            <w:vAlign w:val="bottom"/>
            <w:gridSpan w:val="3"/>
            <w:shd w:val="clear" w:color="auto" w:fill="CCEEFF"/>
          </w:tcPr>
          <w:p>
            <w:pPr>
              <w:ind w:left="360"/>
              <w:spacing w:after="0" w:line="252" w:lineRule="exact"/>
              <w:rPr>
                <w:sz w:val="20"/>
                <w:szCs w:val="20"/>
                <w:color w:val="auto"/>
              </w:rPr>
            </w:pPr>
            <w:r>
              <w:rPr>
                <w:rFonts w:ascii="Arial" w:cs="Arial" w:eastAsia="Arial" w:hAnsi="Arial"/>
                <w:sz w:val="17"/>
                <w:szCs w:val="17"/>
                <w:color w:val="auto"/>
              </w:rPr>
              <w:t>Other, net</w:t>
            </w:r>
            <w:r>
              <w:rPr>
                <w:rFonts w:ascii="Arial" w:cs="Arial" w:eastAsia="Arial" w:hAnsi="Arial"/>
                <w:sz w:val="23"/>
                <w:szCs w:val="23"/>
                <w:color w:val="auto"/>
                <w:vertAlign w:val="superscript"/>
              </w:rPr>
              <w:t>(a)</w:t>
            </w:r>
          </w:p>
        </w:tc>
        <w:tc>
          <w:tcPr>
            <w:tcW w:w="6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7"/>
                <w:szCs w:val="17"/>
                <w:color w:val="auto"/>
              </w:rPr>
              <w:t>0.9</w:t>
            </w: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(0.3)</w:t>
            </w:r>
          </w:p>
        </w:tc>
        <w:tc>
          <w:tcPr>
            <w:tcW w:w="60" w:type="dxa"/>
            <w:vAlign w:val="bottom"/>
          </w:tcPr>
          <w:p>
            <w:pPr>
              <w:spacing w:after="0"/>
              <w:rPr>
                <w:sz w:val="21"/>
                <w:szCs w:val="21"/>
                <w:color w:val="auto"/>
              </w:rPr>
            </w:pPr>
          </w:p>
        </w:tc>
      </w:tr>
      <w:tr>
        <w:trPr>
          <w:trHeight w:val="219"/>
        </w:trPr>
        <w:tc>
          <w:tcPr>
            <w:tcW w:w="8980" w:type="dxa"/>
            <w:vAlign w:val="bottom"/>
            <w:gridSpan w:val="3"/>
          </w:tcPr>
          <w:p>
            <w:pPr>
              <w:ind w:left="20"/>
              <w:spacing w:after="0"/>
              <w:rPr>
                <w:sz w:val="20"/>
                <w:szCs w:val="20"/>
                <w:color w:val="auto"/>
              </w:rPr>
            </w:pPr>
            <w:r>
              <w:rPr>
                <w:rFonts w:ascii="Arial" w:cs="Arial" w:eastAsia="Arial" w:hAnsi="Arial"/>
                <w:sz w:val="17"/>
                <w:szCs w:val="17"/>
                <w:color w:val="auto"/>
              </w:rPr>
              <w:t>Adjusted EBITDA</w:t>
            </w:r>
          </w:p>
        </w:tc>
        <w:tc>
          <w:tcPr>
            <w:tcW w:w="300" w:type="dxa"/>
            <w:vAlign w:val="bottom"/>
            <w:gridSpan w:val="2"/>
          </w:tcPr>
          <w:p>
            <w:pPr>
              <w:jc w:val="right"/>
              <w:ind w:right="200"/>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ind w:right="20"/>
              <w:spacing w:after="0"/>
              <w:rPr>
                <w:sz w:val="20"/>
                <w:szCs w:val="20"/>
                <w:color w:val="auto"/>
              </w:rPr>
            </w:pPr>
            <w:r>
              <w:rPr>
                <w:rFonts w:ascii="Arial" w:cs="Arial" w:eastAsia="Arial" w:hAnsi="Arial"/>
                <w:sz w:val="17"/>
                <w:szCs w:val="17"/>
                <w:color w:val="auto"/>
              </w:rPr>
              <w:t>14.9</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gridSpan w:val="2"/>
          </w:tcPr>
          <w:p>
            <w:pPr>
              <w:jc w:val="right"/>
              <w:ind w:right="320"/>
              <w:spacing w:after="0"/>
              <w:rPr>
                <w:sz w:val="20"/>
                <w:szCs w:val="20"/>
                <w:color w:val="auto"/>
              </w:rPr>
            </w:pPr>
            <w:r>
              <w:rPr>
                <w:rFonts w:ascii="Arial" w:cs="Arial" w:eastAsia="Arial" w:hAnsi="Arial"/>
                <w:sz w:val="17"/>
                <w:szCs w:val="17"/>
                <w:color w:val="auto"/>
                <w:w w:val="84"/>
              </w:rPr>
              <w:t>$</w:t>
            </w:r>
          </w:p>
        </w:tc>
        <w:tc>
          <w:tcPr>
            <w:tcW w:w="720" w:type="dxa"/>
            <w:vAlign w:val="bottom"/>
          </w:tcPr>
          <w:p>
            <w:pPr>
              <w:jc w:val="right"/>
              <w:ind w:right="38"/>
              <w:spacing w:after="0"/>
              <w:rPr>
                <w:sz w:val="20"/>
                <w:szCs w:val="20"/>
                <w:color w:val="auto"/>
              </w:rPr>
            </w:pPr>
            <w:r>
              <w:rPr>
                <w:rFonts w:ascii="Arial" w:cs="Arial" w:eastAsia="Arial" w:hAnsi="Arial"/>
                <w:sz w:val="17"/>
                <w:szCs w:val="17"/>
                <w:color w:val="auto"/>
              </w:rPr>
              <w:t>30.1</w:t>
            </w:r>
          </w:p>
        </w:tc>
        <w:tc>
          <w:tcPr>
            <w:tcW w:w="60" w:type="dxa"/>
            <w:vAlign w:val="bottom"/>
          </w:tcPr>
          <w:p>
            <w:pPr>
              <w:spacing w:after="0"/>
              <w:rPr>
                <w:sz w:val="19"/>
                <w:szCs w:val="19"/>
                <w:color w:val="auto"/>
              </w:rPr>
            </w:pPr>
          </w:p>
        </w:tc>
      </w:tr>
      <w:tr>
        <w:trPr>
          <w:trHeight w:val="26"/>
        </w:trPr>
        <w:tc>
          <w:tcPr>
            <w:tcW w:w="88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0"/>
        </w:trPr>
        <w:tc>
          <w:tcPr>
            <w:tcW w:w="8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51"/>
        </w:trPr>
        <w:tc>
          <w:tcPr>
            <w:tcW w:w="8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5"/>
          </w:tcPr>
          <w:p>
            <w:pPr>
              <w:jc w:val="right"/>
              <w:spacing w:after="0"/>
              <w:rPr>
                <w:sz w:val="20"/>
                <w:szCs w:val="20"/>
                <w:color w:val="auto"/>
              </w:rPr>
            </w:pPr>
            <w:r>
              <w:rPr>
                <w:rFonts w:ascii="Arial" w:cs="Arial" w:eastAsia="Arial" w:hAnsi="Arial"/>
                <w:sz w:val="13"/>
                <w:szCs w:val="13"/>
                <w:b w:val="1"/>
                <w:bCs w:val="1"/>
                <w:color w:val="auto"/>
              </w:rPr>
              <w:t>First Quarter</w:t>
            </w:r>
          </w:p>
        </w:tc>
        <w:tc>
          <w:tcPr>
            <w:tcW w:w="7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r>
        <w:trPr>
          <w:trHeight w:val="244"/>
        </w:trPr>
        <w:tc>
          <w:tcPr>
            <w:tcW w:w="892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Regional Transportation segment (in millions)</w:t>
            </w:r>
          </w:p>
        </w:tc>
        <w:tc>
          <w:tcPr>
            <w:tcW w:w="6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80"/>
              <w:spacing w:after="0"/>
              <w:rPr>
                <w:sz w:val="20"/>
                <w:szCs w:val="20"/>
                <w:color w:val="auto"/>
              </w:rPr>
            </w:pPr>
            <w:r>
              <w:rPr>
                <w:rFonts w:ascii="Arial" w:cs="Arial" w:eastAsia="Arial" w:hAnsi="Arial"/>
                <w:sz w:val="13"/>
                <w:szCs w:val="13"/>
                <w:b w:val="1"/>
                <w:bCs w:val="1"/>
                <w:color w:val="auto"/>
              </w:rPr>
              <w:t>2017</w:t>
            </w:r>
          </w:p>
        </w:tc>
        <w:tc>
          <w:tcPr>
            <w:tcW w:w="80" w:type="dxa"/>
            <w:vAlign w:val="bottom"/>
            <w:tcBorders>
              <w:bottom w:val="single" w:sz="8" w:color="auto"/>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278"/>
              <w:spacing w:after="0"/>
              <w:rPr>
                <w:sz w:val="20"/>
                <w:szCs w:val="20"/>
                <w:color w:val="auto"/>
              </w:rPr>
            </w:pPr>
            <w:r>
              <w:rPr>
                <w:rFonts w:ascii="Arial" w:cs="Arial" w:eastAsia="Arial" w:hAnsi="Arial"/>
                <w:sz w:val="13"/>
                <w:szCs w:val="13"/>
                <w:b w:val="1"/>
                <w:bCs w:val="1"/>
                <w:color w:val="auto"/>
              </w:rPr>
              <w:t>2016</w:t>
            </w:r>
          </w:p>
        </w:tc>
        <w:tc>
          <w:tcPr>
            <w:tcW w:w="60" w:type="dxa"/>
            <w:vAlign w:val="bottom"/>
            <w:tcBorders>
              <w:bottom w:val="single" w:sz="8" w:color="auto"/>
            </w:tcBorders>
          </w:tcPr>
          <w:p>
            <w:pPr>
              <w:spacing w:after="0"/>
              <w:rPr>
                <w:sz w:val="21"/>
                <w:szCs w:val="21"/>
                <w:color w:val="auto"/>
              </w:rPr>
            </w:pPr>
          </w:p>
        </w:tc>
      </w:tr>
      <w:tr>
        <w:trPr>
          <w:trHeight w:val="229"/>
        </w:trPr>
        <w:tc>
          <w:tcPr>
            <w:tcW w:w="89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7"/>
                <w:szCs w:val="17"/>
                <w:color w:val="auto"/>
              </w:rPr>
              <w:t>Reconciliation of operating income to Adjusted EBITDA:</w:t>
            </w:r>
          </w:p>
        </w:tc>
        <w:tc>
          <w:tcPr>
            <w:tcW w:w="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r>
      <w:tr>
        <w:trPr>
          <w:trHeight w:val="226"/>
        </w:trPr>
        <w:tc>
          <w:tcPr>
            <w:tcW w:w="8980" w:type="dxa"/>
            <w:vAlign w:val="bottom"/>
            <w:gridSpan w:val="3"/>
          </w:tcPr>
          <w:p>
            <w:pPr>
              <w:ind w:left="20"/>
              <w:spacing w:after="0"/>
              <w:rPr>
                <w:sz w:val="20"/>
                <w:szCs w:val="20"/>
                <w:color w:val="auto"/>
              </w:rPr>
            </w:pPr>
            <w:r>
              <w:rPr>
                <w:rFonts w:ascii="Arial" w:cs="Arial" w:eastAsia="Arial" w:hAnsi="Arial"/>
                <w:sz w:val="17"/>
                <w:szCs w:val="17"/>
                <w:color w:val="auto"/>
              </w:rPr>
              <w:t>Operating income</w:t>
            </w:r>
          </w:p>
        </w:tc>
        <w:tc>
          <w:tcPr>
            <w:tcW w:w="3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12.2</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12.4</w:t>
            </w:r>
          </w:p>
        </w:tc>
        <w:tc>
          <w:tcPr>
            <w:tcW w:w="60" w:type="dxa"/>
            <w:vAlign w:val="bottom"/>
          </w:tcPr>
          <w:p>
            <w:pPr>
              <w:spacing w:after="0"/>
              <w:rPr>
                <w:sz w:val="19"/>
                <w:szCs w:val="19"/>
                <w:color w:val="auto"/>
              </w:rPr>
            </w:pPr>
          </w:p>
        </w:tc>
      </w:tr>
      <w:tr>
        <w:trPr>
          <w:trHeight w:val="26"/>
        </w:trPr>
        <w:tc>
          <w:tcPr>
            <w:tcW w:w="892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32"/>
        </w:trPr>
        <w:tc>
          <w:tcPr>
            <w:tcW w:w="8980" w:type="dxa"/>
            <w:vAlign w:val="bottom"/>
            <w:tcBorders>
              <w:bottom w:val="single" w:sz="8" w:color="CCEEFF"/>
            </w:tcBorders>
            <w:gridSpan w:val="3"/>
            <w:shd w:val="clear" w:color="auto" w:fill="CCEEFF"/>
          </w:tcPr>
          <w:p>
            <w:pPr>
              <w:ind w:left="360"/>
              <w:spacing w:after="0"/>
              <w:rPr>
                <w:sz w:val="20"/>
                <w:szCs w:val="20"/>
                <w:color w:val="auto"/>
              </w:rPr>
            </w:pPr>
            <w:r>
              <w:rPr>
                <w:rFonts w:ascii="Arial" w:cs="Arial" w:eastAsia="Arial" w:hAnsi="Arial"/>
                <w:sz w:val="17"/>
                <w:szCs w:val="17"/>
                <w:color w:val="auto"/>
              </w:rPr>
              <w:t>Depreciation and amortization</w:t>
            </w:r>
          </w:p>
        </w:tc>
        <w:tc>
          <w:tcPr>
            <w:tcW w:w="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15.8</w:t>
            </w: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18.0</w:t>
            </w:r>
          </w:p>
        </w:tc>
        <w:tc>
          <w:tcPr>
            <w:tcW w:w="60" w:type="dxa"/>
            <w:vAlign w:val="bottom"/>
            <w:tcBorders>
              <w:bottom w:val="single" w:sz="8" w:color="CCEEFF"/>
            </w:tcBorders>
            <w:shd w:val="clear" w:color="auto" w:fill="CCEEFF"/>
          </w:tcPr>
          <w:p>
            <w:pPr>
              <w:spacing w:after="0"/>
              <w:rPr>
                <w:sz w:val="20"/>
                <w:szCs w:val="20"/>
                <w:color w:val="auto"/>
              </w:rPr>
            </w:pPr>
          </w:p>
        </w:tc>
      </w:tr>
      <w:tr>
        <w:trPr>
          <w:trHeight w:val="226"/>
        </w:trPr>
        <w:tc>
          <w:tcPr>
            <w:tcW w:w="8980" w:type="dxa"/>
            <w:vAlign w:val="bottom"/>
            <w:gridSpan w:val="3"/>
          </w:tcPr>
          <w:p>
            <w:pPr>
              <w:ind w:left="360"/>
              <w:spacing w:after="0"/>
              <w:rPr>
                <w:sz w:val="20"/>
                <w:szCs w:val="20"/>
                <w:color w:val="auto"/>
              </w:rPr>
            </w:pPr>
            <w:r>
              <w:rPr>
                <w:rFonts w:ascii="Arial" w:cs="Arial" w:eastAsia="Arial" w:hAnsi="Arial"/>
                <w:sz w:val="17"/>
                <w:szCs w:val="17"/>
                <w:color w:val="auto"/>
              </w:rPr>
              <w:t>Losses on property disposals, net</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0.6</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0.5</w:t>
            </w:r>
          </w:p>
        </w:tc>
        <w:tc>
          <w:tcPr>
            <w:tcW w:w="60" w:type="dxa"/>
            <w:vAlign w:val="bottom"/>
          </w:tcPr>
          <w:p>
            <w:pPr>
              <w:spacing w:after="0"/>
              <w:rPr>
                <w:sz w:val="19"/>
                <w:szCs w:val="19"/>
                <w:color w:val="auto"/>
              </w:rPr>
            </w:pPr>
          </w:p>
        </w:tc>
      </w:tr>
      <w:tr>
        <w:trPr>
          <w:trHeight w:val="26"/>
        </w:trPr>
        <w:tc>
          <w:tcPr>
            <w:tcW w:w="892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32"/>
        </w:trPr>
        <w:tc>
          <w:tcPr>
            <w:tcW w:w="8980" w:type="dxa"/>
            <w:vAlign w:val="bottom"/>
            <w:tcBorders>
              <w:bottom w:val="single" w:sz="8" w:color="CCEEFF"/>
            </w:tcBorders>
            <w:gridSpan w:val="3"/>
            <w:shd w:val="clear" w:color="auto" w:fill="CCEEFF"/>
          </w:tcPr>
          <w:p>
            <w:pPr>
              <w:ind w:left="360"/>
              <w:spacing w:after="0"/>
              <w:rPr>
                <w:sz w:val="20"/>
                <w:szCs w:val="20"/>
                <w:color w:val="auto"/>
              </w:rPr>
            </w:pPr>
            <w:r>
              <w:rPr>
                <w:rFonts w:ascii="Arial" w:cs="Arial" w:eastAsia="Arial" w:hAnsi="Arial"/>
                <w:sz w:val="17"/>
                <w:szCs w:val="17"/>
                <w:color w:val="auto"/>
              </w:rPr>
              <w:t>Letter of credit expense</w:t>
            </w:r>
          </w:p>
        </w:tc>
        <w:tc>
          <w:tcPr>
            <w:tcW w:w="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0.5</w:t>
            </w: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0.7</w:t>
            </w:r>
          </w:p>
        </w:tc>
        <w:tc>
          <w:tcPr>
            <w:tcW w:w="60" w:type="dxa"/>
            <w:vAlign w:val="bottom"/>
            <w:tcBorders>
              <w:bottom w:val="single" w:sz="8" w:color="CCEEFF"/>
            </w:tcBorders>
            <w:shd w:val="clear" w:color="auto" w:fill="CCEEFF"/>
          </w:tcPr>
          <w:p>
            <w:pPr>
              <w:spacing w:after="0"/>
              <w:rPr>
                <w:sz w:val="20"/>
                <w:szCs w:val="20"/>
                <w:color w:val="auto"/>
              </w:rPr>
            </w:pPr>
          </w:p>
        </w:tc>
      </w:tr>
      <w:tr>
        <w:trPr>
          <w:trHeight w:val="226"/>
        </w:trPr>
        <w:tc>
          <w:tcPr>
            <w:tcW w:w="8980" w:type="dxa"/>
            <w:vAlign w:val="bottom"/>
            <w:gridSpan w:val="3"/>
          </w:tcPr>
          <w:p>
            <w:pPr>
              <w:ind w:left="360"/>
              <w:spacing w:after="0"/>
              <w:rPr>
                <w:sz w:val="20"/>
                <w:szCs w:val="20"/>
                <w:color w:val="auto"/>
              </w:rPr>
            </w:pPr>
            <w:r>
              <w:rPr>
                <w:rFonts w:ascii="Arial" w:cs="Arial" w:eastAsia="Arial" w:hAnsi="Arial"/>
                <w:sz w:val="17"/>
                <w:szCs w:val="17"/>
                <w:color w:val="auto"/>
              </w:rPr>
              <w:t>Amortization of ratification bonus</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1.6</w:t>
            </w:r>
          </w:p>
        </w:tc>
        <w:tc>
          <w:tcPr>
            <w:tcW w:w="60" w:type="dxa"/>
            <w:vAlign w:val="bottom"/>
          </w:tcPr>
          <w:p>
            <w:pPr>
              <w:spacing w:after="0"/>
              <w:rPr>
                <w:sz w:val="19"/>
                <w:szCs w:val="19"/>
                <w:color w:val="auto"/>
              </w:rPr>
            </w:pPr>
          </w:p>
        </w:tc>
      </w:tr>
      <w:tr>
        <w:trPr>
          <w:trHeight w:val="26"/>
        </w:trPr>
        <w:tc>
          <w:tcPr>
            <w:tcW w:w="892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2"/>
        </w:trPr>
        <w:tc>
          <w:tcPr>
            <w:tcW w:w="8980" w:type="dxa"/>
            <w:vAlign w:val="bottom"/>
            <w:gridSpan w:val="3"/>
            <w:shd w:val="clear" w:color="auto" w:fill="CCEEFF"/>
          </w:tcPr>
          <w:p>
            <w:pPr>
              <w:ind w:left="360"/>
              <w:spacing w:after="0" w:line="252" w:lineRule="exact"/>
              <w:rPr>
                <w:sz w:val="20"/>
                <w:szCs w:val="20"/>
                <w:color w:val="auto"/>
              </w:rPr>
            </w:pPr>
            <w:r>
              <w:rPr>
                <w:rFonts w:ascii="Arial" w:cs="Arial" w:eastAsia="Arial" w:hAnsi="Arial"/>
                <w:sz w:val="17"/>
                <w:szCs w:val="17"/>
                <w:color w:val="auto"/>
              </w:rPr>
              <w:t>Other, net</w:t>
            </w:r>
            <w:r>
              <w:rPr>
                <w:rFonts w:ascii="Arial" w:cs="Arial" w:eastAsia="Arial" w:hAnsi="Arial"/>
                <w:sz w:val="23"/>
                <w:szCs w:val="23"/>
                <w:color w:val="auto"/>
                <w:vertAlign w:val="superscript"/>
              </w:rPr>
              <w:t>(a)</w:t>
            </w:r>
          </w:p>
        </w:tc>
        <w:tc>
          <w:tcPr>
            <w:tcW w:w="6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0.3</w:t>
            </w:r>
          </w:p>
        </w:tc>
        <w:tc>
          <w:tcPr>
            <w:tcW w:w="80" w:type="dxa"/>
            <w:vAlign w:val="bottom"/>
            <w:tcBorders>
              <w:bottom w:val="single" w:sz="8" w:color="auto"/>
            </w:tcBorders>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60" w:type="dxa"/>
            <w:vAlign w:val="bottom"/>
            <w:tcBorders>
              <w:bottom w:val="single" w:sz="8" w:color="auto"/>
            </w:tcBorders>
            <w:shd w:val="clear" w:color="auto" w:fill="CCEEFF"/>
          </w:tcPr>
          <w:p>
            <w:pPr>
              <w:spacing w:after="0"/>
              <w:rPr>
                <w:sz w:val="21"/>
                <w:szCs w:val="21"/>
                <w:color w:val="auto"/>
              </w:rPr>
            </w:pPr>
          </w:p>
        </w:tc>
      </w:tr>
      <w:tr>
        <w:trPr>
          <w:trHeight w:val="219"/>
        </w:trPr>
        <w:tc>
          <w:tcPr>
            <w:tcW w:w="8980" w:type="dxa"/>
            <w:vAlign w:val="bottom"/>
            <w:gridSpan w:val="3"/>
          </w:tcPr>
          <w:p>
            <w:pPr>
              <w:ind w:left="20"/>
              <w:spacing w:after="0"/>
              <w:rPr>
                <w:sz w:val="20"/>
                <w:szCs w:val="20"/>
                <w:color w:val="auto"/>
              </w:rPr>
            </w:pPr>
            <w:r>
              <w:rPr>
                <w:rFonts w:ascii="Arial" w:cs="Arial" w:eastAsia="Arial" w:hAnsi="Arial"/>
                <w:sz w:val="17"/>
                <w:szCs w:val="17"/>
                <w:color w:val="auto"/>
              </w:rPr>
              <w:t>Adjusted EBITDA</w:t>
            </w:r>
          </w:p>
        </w:tc>
        <w:tc>
          <w:tcPr>
            <w:tcW w:w="3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29.4</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33.4</w:t>
            </w:r>
          </w:p>
        </w:tc>
        <w:tc>
          <w:tcPr>
            <w:tcW w:w="60" w:type="dxa"/>
            <w:vAlign w:val="bottom"/>
          </w:tcPr>
          <w:p>
            <w:pPr>
              <w:spacing w:after="0"/>
              <w:rPr>
                <w:sz w:val="19"/>
                <w:szCs w:val="19"/>
                <w:color w:val="auto"/>
              </w:rPr>
            </w:pPr>
          </w:p>
        </w:tc>
      </w:tr>
      <w:tr>
        <w:trPr>
          <w:trHeight w:val="26"/>
        </w:trPr>
        <w:tc>
          <w:tcPr>
            <w:tcW w:w="88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20" w:type="dxa"/>
            <w:vAlign w:val="bottom"/>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20"/>
        </w:trPr>
        <w:tc>
          <w:tcPr>
            <w:tcW w:w="8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r>
      <w:tr>
        <w:trPr>
          <w:trHeight w:val="551"/>
        </w:trPr>
        <w:tc>
          <w:tcPr>
            <w:tcW w:w="8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5"/>
          </w:tcPr>
          <w:p>
            <w:pPr>
              <w:jc w:val="right"/>
              <w:spacing w:after="0"/>
              <w:rPr>
                <w:sz w:val="20"/>
                <w:szCs w:val="20"/>
                <w:color w:val="auto"/>
              </w:rPr>
            </w:pPr>
            <w:r>
              <w:rPr>
                <w:rFonts w:ascii="Arial" w:cs="Arial" w:eastAsia="Arial" w:hAnsi="Arial"/>
                <w:sz w:val="13"/>
                <w:szCs w:val="13"/>
                <w:b w:val="1"/>
                <w:bCs w:val="1"/>
                <w:color w:val="auto"/>
              </w:rPr>
              <w:t>First Quarter</w:t>
            </w:r>
          </w:p>
        </w:tc>
        <w:tc>
          <w:tcPr>
            <w:tcW w:w="7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r>
        <w:trPr>
          <w:trHeight w:val="244"/>
        </w:trPr>
        <w:tc>
          <w:tcPr>
            <w:tcW w:w="892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Corporate and other (in millions)</w:t>
            </w:r>
          </w:p>
        </w:tc>
        <w:tc>
          <w:tcPr>
            <w:tcW w:w="6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80"/>
              <w:spacing w:after="0"/>
              <w:rPr>
                <w:sz w:val="20"/>
                <w:szCs w:val="20"/>
                <w:color w:val="auto"/>
              </w:rPr>
            </w:pPr>
            <w:r>
              <w:rPr>
                <w:rFonts w:ascii="Arial" w:cs="Arial" w:eastAsia="Arial" w:hAnsi="Arial"/>
                <w:sz w:val="13"/>
                <w:szCs w:val="13"/>
                <w:b w:val="1"/>
                <w:bCs w:val="1"/>
                <w:color w:val="auto"/>
              </w:rPr>
              <w:t>2017</w:t>
            </w:r>
          </w:p>
        </w:tc>
        <w:tc>
          <w:tcPr>
            <w:tcW w:w="80" w:type="dxa"/>
            <w:vAlign w:val="bottom"/>
            <w:tcBorders>
              <w:bottom w:val="single" w:sz="8" w:color="auto"/>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278"/>
              <w:spacing w:after="0"/>
              <w:rPr>
                <w:sz w:val="20"/>
                <w:szCs w:val="20"/>
                <w:color w:val="auto"/>
              </w:rPr>
            </w:pPr>
            <w:r>
              <w:rPr>
                <w:rFonts w:ascii="Arial" w:cs="Arial" w:eastAsia="Arial" w:hAnsi="Arial"/>
                <w:sz w:val="13"/>
                <w:szCs w:val="13"/>
                <w:b w:val="1"/>
                <w:bCs w:val="1"/>
                <w:color w:val="auto"/>
              </w:rPr>
              <w:t>2016</w:t>
            </w:r>
          </w:p>
        </w:tc>
        <w:tc>
          <w:tcPr>
            <w:tcW w:w="60" w:type="dxa"/>
            <w:vAlign w:val="bottom"/>
            <w:tcBorders>
              <w:bottom w:val="single" w:sz="8" w:color="auto"/>
            </w:tcBorders>
          </w:tcPr>
          <w:p>
            <w:pPr>
              <w:spacing w:after="0"/>
              <w:rPr>
                <w:sz w:val="21"/>
                <w:szCs w:val="21"/>
                <w:color w:val="auto"/>
              </w:rPr>
            </w:pPr>
          </w:p>
        </w:tc>
      </w:tr>
      <w:tr>
        <w:trPr>
          <w:trHeight w:val="229"/>
        </w:trPr>
        <w:tc>
          <w:tcPr>
            <w:tcW w:w="89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7"/>
                <w:szCs w:val="17"/>
                <w:color w:val="auto"/>
              </w:rPr>
              <w:t>Reconciliation of operating loss to Adjusted EBITDA:</w:t>
            </w:r>
          </w:p>
        </w:tc>
        <w:tc>
          <w:tcPr>
            <w:tcW w:w="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r>
      <w:tr>
        <w:trPr>
          <w:trHeight w:val="226"/>
        </w:trPr>
        <w:tc>
          <w:tcPr>
            <w:tcW w:w="8980" w:type="dxa"/>
            <w:vAlign w:val="bottom"/>
            <w:gridSpan w:val="3"/>
          </w:tcPr>
          <w:p>
            <w:pPr>
              <w:ind w:left="20"/>
              <w:spacing w:after="0"/>
              <w:rPr>
                <w:sz w:val="20"/>
                <w:szCs w:val="20"/>
                <w:color w:val="auto"/>
              </w:rPr>
            </w:pPr>
            <w:r>
              <w:rPr>
                <w:rFonts w:ascii="Arial" w:cs="Arial" w:eastAsia="Arial" w:hAnsi="Arial"/>
                <w:sz w:val="17"/>
                <w:szCs w:val="17"/>
                <w:color w:val="auto"/>
              </w:rPr>
              <w:t>Operating loss</w:t>
            </w:r>
          </w:p>
        </w:tc>
        <w:tc>
          <w:tcPr>
            <w:tcW w:w="3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7"/>
                <w:szCs w:val="17"/>
                <w:color w:val="auto"/>
              </w:rPr>
              <w:t>(4.7)</w:t>
            </w:r>
          </w:p>
        </w:tc>
        <w:tc>
          <w:tcPr>
            <w:tcW w:w="40" w:type="dxa"/>
            <w:vAlign w:val="bottom"/>
          </w:tcPr>
          <w:p>
            <w:pPr>
              <w:spacing w:after="0"/>
              <w:rPr>
                <w:sz w:val="19"/>
                <w:szCs w:val="19"/>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(3.1)</w:t>
            </w:r>
          </w:p>
        </w:tc>
      </w:tr>
      <w:tr>
        <w:trPr>
          <w:trHeight w:val="26"/>
        </w:trPr>
        <w:tc>
          <w:tcPr>
            <w:tcW w:w="8980" w:type="dxa"/>
            <w:vAlign w:val="bottom"/>
            <w:gridSpan w:val="3"/>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32"/>
        </w:trPr>
        <w:tc>
          <w:tcPr>
            <w:tcW w:w="8980" w:type="dxa"/>
            <w:vAlign w:val="bottom"/>
            <w:tcBorders>
              <w:bottom w:val="single" w:sz="8" w:color="CCEEFF"/>
            </w:tcBorders>
            <w:gridSpan w:val="3"/>
            <w:shd w:val="clear" w:color="auto" w:fill="CCEEFF"/>
          </w:tcPr>
          <w:p>
            <w:pPr>
              <w:ind w:left="360"/>
              <w:spacing w:after="0"/>
              <w:rPr>
                <w:sz w:val="20"/>
                <w:szCs w:val="20"/>
                <w:color w:val="auto"/>
              </w:rPr>
            </w:pPr>
            <w:r>
              <w:rPr>
                <w:rFonts w:ascii="Arial" w:cs="Arial" w:eastAsia="Arial" w:hAnsi="Arial"/>
                <w:sz w:val="17"/>
                <w:szCs w:val="17"/>
                <w:color w:val="auto"/>
              </w:rPr>
              <w:t>Letter of credit expense</w:t>
            </w:r>
          </w:p>
        </w:tc>
        <w:tc>
          <w:tcPr>
            <w:tcW w:w="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60" w:type="dxa"/>
            <w:vAlign w:val="bottom"/>
            <w:tcBorders>
              <w:bottom w:val="single" w:sz="8" w:color="CCEEFF"/>
            </w:tcBorders>
            <w:shd w:val="clear" w:color="auto" w:fill="CCEEFF"/>
          </w:tcPr>
          <w:p>
            <w:pPr>
              <w:spacing w:after="0"/>
              <w:rPr>
                <w:sz w:val="20"/>
                <w:szCs w:val="20"/>
                <w:color w:val="auto"/>
              </w:rPr>
            </w:pPr>
          </w:p>
        </w:tc>
      </w:tr>
      <w:tr>
        <w:trPr>
          <w:trHeight w:val="226"/>
        </w:trPr>
        <w:tc>
          <w:tcPr>
            <w:tcW w:w="8980" w:type="dxa"/>
            <w:vAlign w:val="bottom"/>
            <w:gridSpan w:val="3"/>
          </w:tcPr>
          <w:p>
            <w:pPr>
              <w:ind w:left="360"/>
              <w:spacing w:after="0"/>
              <w:rPr>
                <w:sz w:val="20"/>
                <w:szCs w:val="20"/>
                <w:color w:val="auto"/>
              </w:rPr>
            </w:pPr>
            <w:r>
              <w:rPr>
                <w:rFonts w:ascii="Arial" w:cs="Arial" w:eastAsia="Arial" w:hAnsi="Arial"/>
                <w:sz w:val="17"/>
                <w:szCs w:val="17"/>
                <w:color w:val="auto"/>
              </w:rPr>
              <w:t>Restructuring professional fees</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2.2</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6"/>
        </w:trPr>
        <w:tc>
          <w:tcPr>
            <w:tcW w:w="8980" w:type="dxa"/>
            <w:vAlign w:val="bottom"/>
            <w:gridSpan w:val="3"/>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gridSpan w:val="2"/>
          </w:tcPr>
          <w:p>
            <w:pPr>
              <w:spacing w:after="0"/>
              <w:rPr>
                <w:sz w:val="2"/>
                <w:szCs w:val="2"/>
                <w:color w:val="auto"/>
              </w:rPr>
            </w:pPr>
          </w:p>
        </w:tc>
      </w:tr>
      <w:tr>
        <w:trPr>
          <w:trHeight w:val="232"/>
        </w:trPr>
        <w:tc>
          <w:tcPr>
            <w:tcW w:w="8980" w:type="dxa"/>
            <w:vAlign w:val="bottom"/>
            <w:tcBorders>
              <w:bottom w:val="single" w:sz="8" w:color="CCEEFF"/>
            </w:tcBorders>
            <w:gridSpan w:val="3"/>
            <w:shd w:val="clear" w:color="auto" w:fill="CCEEFF"/>
          </w:tcPr>
          <w:p>
            <w:pPr>
              <w:ind w:left="360"/>
              <w:spacing w:after="0"/>
              <w:rPr>
                <w:sz w:val="20"/>
                <w:szCs w:val="20"/>
                <w:color w:val="auto"/>
              </w:rPr>
            </w:pPr>
            <w:r>
              <w:rPr>
                <w:rFonts w:ascii="Arial" w:cs="Arial" w:eastAsia="Arial" w:hAnsi="Arial"/>
                <w:sz w:val="17"/>
                <w:szCs w:val="17"/>
                <w:color w:val="auto"/>
              </w:rPr>
              <w:t>Permitted dispositions and other</w:t>
            </w:r>
          </w:p>
        </w:tc>
        <w:tc>
          <w:tcPr>
            <w:tcW w:w="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26"/>
        </w:trPr>
        <w:tc>
          <w:tcPr>
            <w:tcW w:w="8980" w:type="dxa"/>
            <w:vAlign w:val="bottom"/>
            <w:gridSpan w:val="3"/>
          </w:tcPr>
          <w:p>
            <w:pPr>
              <w:ind w:left="360"/>
              <w:spacing w:after="0"/>
              <w:rPr>
                <w:sz w:val="20"/>
                <w:szCs w:val="20"/>
                <w:color w:val="auto"/>
              </w:rPr>
            </w:pPr>
            <w:r>
              <w:rPr>
                <w:rFonts w:ascii="Arial" w:cs="Arial" w:eastAsia="Arial" w:hAnsi="Arial"/>
                <w:sz w:val="17"/>
                <w:szCs w:val="17"/>
                <w:color w:val="auto"/>
              </w:rPr>
              <w:t>Equity-based compensation expense</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1.4</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1.8</w:t>
            </w:r>
          </w:p>
        </w:tc>
        <w:tc>
          <w:tcPr>
            <w:tcW w:w="60" w:type="dxa"/>
            <w:vAlign w:val="bottom"/>
          </w:tcPr>
          <w:p>
            <w:pPr>
              <w:spacing w:after="0"/>
              <w:rPr>
                <w:sz w:val="19"/>
                <w:szCs w:val="19"/>
                <w:color w:val="auto"/>
              </w:rPr>
            </w:pPr>
          </w:p>
        </w:tc>
      </w:tr>
      <w:tr>
        <w:trPr>
          <w:trHeight w:val="26"/>
        </w:trPr>
        <w:tc>
          <w:tcPr>
            <w:tcW w:w="8980" w:type="dxa"/>
            <w:vAlign w:val="bottom"/>
            <w:gridSpan w:val="3"/>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2"/>
        </w:trPr>
        <w:tc>
          <w:tcPr>
            <w:tcW w:w="8980" w:type="dxa"/>
            <w:vAlign w:val="bottom"/>
            <w:gridSpan w:val="3"/>
            <w:shd w:val="clear" w:color="auto" w:fill="CCEEFF"/>
          </w:tcPr>
          <w:p>
            <w:pPr>
              <w:ind w:left="360"/>
              <w:spacing w:after="0" w:line="252" w:lineRule="exact"/>
              <w:rPr>
                <w:sz w:val="20"/>
                <w:szCs w:val="20"/>
                <w:color w:val="auto"/>
              </w:rPr>
            </w:pPr>
            <w:r>
              <w:rPr>
                <w:rFonts w:ascii="Arial" w:cs="Arial" w:eastAsia="Arial" w:hAnsi="Arial"/>
                <w:sz w:val="17"/>
                <w:szCs w:val="17"/>
                <w:color w:val="auto"/>
              </w:rPr>
              <w:t>Other, net</w:t>
            </w:r>
            <w:r>
              <w:rPr>
                <w:rFonts w:ascii="Arial" w:cs="Arial" w:eastAsia="Arial" w:hAnsi="Arial"/>
                <w:sz w:val="23"/>
                <w:szCs w:val="23"/>
                <w:color w:val="auto"/>
                <w:vertAlign w:val="superscript"/>
              </w:rPr>
              <w:t>(a)</w:t>
            </w:r>
          </w:p>
        </w:tc>
        <w:tc>
          <w:tcPr>
            <w:tcW w:w="6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(0.2)</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0.6</w:t>
            </w:r>
          </w:p>
        </w:tc>
        <w:tc>
          <w:tcPr>
            <w:tcW w:w="60" w:type="dxa"/>
            <w:vAlign w:val="bottom"/>
            <w:tcBorders>
              <w:bottom w:val="single" w:sz="8" w:color="auto"/>
            </w:tcBorders>
            <w:shd w:val="clear" w:color="auto" w:fill="CCEEFF"/>
          </w:tcPr>
          <w:p>
            <w:pPr>
              <w:spacing w:after="0"/>
              <w:rPr>
                <w:sz w:val="21"/>
                <w:szCs w:val="21"/>
                <w:color w:val="auto"/>
              </w:rPr>
            </w:pPr>
          </w:p>
        </w:tc>
      </w:tr>
      <w:tr>
        <w:trPr>
          <w:trHeight w:val="219"/>
        </w:trPr>
        <w:tc>
          <w:tcPr>
            <w:tcW w:w="8980" w:type="dxa"/>
            <w:vAlign w:val="bottom"/>
            <w:gridSpan w:val="3"/>
          </w:tcPr>
          <w:p>
            <w:pPr>
              <w:ind w:left="20"/>
              <w:spacing w:after="0"/>
              <w:rPr>
                <w:sz w:val="20"/>
                <w:szCs w:val="20"/>
                <w:color w:val="auto"/>
              </w:rPr>
            </w:pPr>
            <w:r>
              <w:rPr>
                <w:rFonts w:ascii="Arial" w:cs="Arial" w:eastAsia="Arial" w:hAnsi="Arial"/>
                <w:sz w:val="17"/>
                <w:szCs w:val="17"/>
                <w:color w:val="auto"/>
              </w:rPr>
              <w:t>Adjusted EBITDA</w:t>
            </w:r>
          </w:p>
        </w:tc>
        <w:tc>
          <w:tcPr>
            <w:tcW w:w="3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7"/>
                <w:szCs w:val="17"/>
                <w:color w:val="auto"/>
              </w:rPr>
              <w:t>(1.1)</w:t>
            </w:r>
          </w:p>
        </w:tc>
        <w:tc>
          <w:tcPr>
            <w:tcW w:w="40" w:type="dxa"/>
            <w:vAlign w:val="bottom"/>
          </w:tcPr>
          <w:p>
            <w:pPr>
              <w:spacing w:after="0"/>
              <w:rPr>
                <w:sz w:val="19"/>
                <w:szCs w:val="19"/>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(0.6)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16510</wp:posOffset>
            </wp:positionV>
            <wp:extent cx="1510030" cy="241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10030" cy="24130"/>
                    </a:xfrm>
                    <a:prstGeom prst="rect">
                      <a:avLst/>
                    </a:prstGeom>
                    <a:noFill/>
                  </pic:spPr>
                </pic:pic>
              </a:graphicData>
            </a:graphic>
          </wp:anchor>
        </w:drawing>
      </w:r>
    </w:p>
    <w:p>
      <w:pPr>
        <w:spacing w:after="0" w:line="30" w:lineRule="exact"/>
        <w:rPr>
          <w:sz w:val="20"/>
          <w:szCs w:val="20"/>
          <w:color w:val="auto"/>
        </w:rPr>
      </w:pPr>
    </w:p>
    <w:p>
      <w:pPr>
        <w:ind w:left="180" w:hanging="142"/>
        <w:spacing w:after="0"/>
        <w:tabs>
          <w:tab w:leader="none" w:pos="180" w:val="left"/>
        </w:tabs>
        <w:numPr>
          <w:ilvl w:val="0"/>
          <w:numId w:val="17"/>
        </w:numPr>
        <w:rPr>
          <w:rFonts w:ascii="Arial" w:cs="Arial" w:eastAsia="Arial" w:hAnsi="Arial"/>
          <w:sz w:val="17"/>
          <w:szCs w:val="17"/>
          <w:color w:val="auto"/>
          <w:vertAlign w:val="superscript"/>
        </w:rPr>
      </w:pPr>
      <w:r>
        <w:rPr>
          <w:rFonts w:ascii="Arial" w:cs="Arial" w:eastAsia="Arial" w:hAnsi="Arial"/>
          <w:sz w:val="13"/>
          <w:szCs w:val="13"/>
          <w:color w:val="auto"/>
        </w:rPr>
        <w:t>As required under our Term Loan Agreement, Other, net shown in the above tables consists of the impact of certain items to be included in Adjusted EBITDA.</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17"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Our principal sources of liquidity are cash and cash equivalents, available borrowings under our ABL Facility and any prospective net cash flow from operations. As of March 31, 2017, our availability under our ABL Facility was $61.9 million, which is derived by reducing the amount that may be advanced against eligible receivables plus eligible borrowing base cash by certain reserves imposed by the ABL Agent and our $359.2 million of outstanding letters of credit. Of the $61.9 million in availability, our Managed Accessibility was $19.6 million based on our springing fixed charge coverage ratio (as set forth in our ABL Facility). Our cash and cash equivalents and Managed Accessibility was $202.0 million as of March 31, 2017.</w:t>
      </w:r>
    </w:p>
    <w:p>
      <w:pPr>
        <w:spacing w:after="0" w:line="182"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Outside of funding normal operations, our principal uses of cash include making contributions to our single-employer pension plans and various multi-employer pension funds, and meeting our other cash obligations including, but not limited to, paying principal and interest on our funded debt, payments on our equipment leases and funding capital expenditures.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1420"/>
          </w:cols>
          <w:pgMar w:left="240" w:top="122" w:right="239" w:bottom="1440" w:gutter="0" w:footer="0" w:header="0"/>
        </w:sectPr>
      </w:pPr>
    </w:p>
    <w:bookmarkStart w:id="21" w:name="page22"/>
    <w:bookmarkEnd w:id="21"/>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34"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As of March 31, 2017, we had $1,004.8 million in aggregate par value of outstanding indebtedness, the majority of which matures in 2019. We also have future funding obligations for our single-employer pension plans and various multi-employer pension funds. We expect our funding obligations for the remainder of 2017 for our single-employer pension plans and multi-employer pension funds will be $53.9 million and $68.6 million, respectively. In addition, we have, and will continue to have, operating lease obligations. As of March 31, 2017, our operating lease payment obligations through 2030 totaled $316.6 million and are expected to increase as we lease additional revenue equipment. Additionally, for the first quarter of 2017, we entered into new operating leases for revenue equipment totaling $7.1 million in future lease payments, payable over an average lease term of five years.</w:t>
      </w:r>
    </w:p>
    <w:p>
      <w:pPr>
        <w:spacing w:after="0" w:line="18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capital expenditures for the first quarter of 2017 and 2016 were $16.3 million and $19.8 million, respectively. These amounts were principally used to fund the purchase of used tractors and trailers, to refurbish engines for our revenue fleet, and for capitalized costs to improve our technology infrastructure.</w:t>
      </w:r>
    </w:p>
    <w:p>
      <w:pPr>
        <w:spacing w:after="0" w:line="14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of March 31, 2017, our Standard &amp; Poor’s Corporate Family Rating was “B-” with a stable outlook and Moody’s Investor Service Corporate Family Rating was “B3” with a stable outlook.</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Credit Facility Covenants</w:t>
      </w:r>
    </w:p>
    <w:p>
      <w:pPr>
        <w:spacing w:after="0" w:line="207"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Our Term Loan Agreement has certain financial covenants that, among other things, restricts certain capital expenditures and requires us to not exceed a maximum total leverage ratio (defined as Consolidated Total Debt divided by Consolidated Adjusted EBITDA. Refer to the “Debt and Financing” footnote to the consolidated financial statements for an overview of our Term Loan covenants.</w:t>
      </w:r>
    </w:p>
    <w:p>
      <w:pPr>
        <w:spacing w:after="0" w:line="175"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We believe that our results of operations will be sufficient to allow us to comply with the covenants in the Term Loan Agreement, fund our operations, increase working capital as necessary to support our planned revenue growth and fund capital expenditures for at least the next twelve months. To maintain compliance with the maximum total leverage ratio over the tenor of the Term Loan and satisfy our liquidity needs, we would have to achieve operating results that reflect performance comparable to our 2016 Adjusted EBITDA. Means for improving our profitability may include streamlining our support structure, as well as ongoing successful implementation and realization of pricing, productivity and efficiency initiatives, as well as increased volume, some of which are outside of our control.</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Flows</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Operating Cash Flow</w:t>
      </w:r>
    </w:p>
    <w:p>
      <w:pPr>
        <w:spacing w:after="0" w:line="207"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Cash flows used in operating activities was $25.9 million and $11.1 million in the first quarter of 2017 and 2016, respectively. The decrease in operating cash flows was primarily attributable to a net loss of $25.3 million in the first quarter of 2017 compared to a net loss of $12.0 million in the first quarter of 2016 and decreased cash inflow from accounts receivable. This was offset by an increase in cash flows attributed to other operating liabilities, primarily related to the timing of vacation and bonus accruals, offset by the timing of interest payments on the Term Loan Agreement.</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Investing Cash Flow</w:t>
      </w:r>
    </w:p>
    <w:p>
      <w:pPr>
        <w:spacing w:after="0" w:line="207"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Cash flows provided by investing activities was $80.2 million during the first quarter of 2017 compared to $26.4 million during the first quarter of 2016, largely driven by a net receipt of $95.0 million in restricted escrow refunds in 2017 compared to a net receipt of $27.2 million in 2016. Additionally, cash flows in 2016 included $14.6 million in net proceeds from the sale of JHJ.</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Financing Cash Flow</w:t>
      </w:r>
    </w:p>
    <w:p>
      <w:pPr>
        <w:spacing w:after="0" w:line="207" w:lineRule="exact"/>
        <w:rPr>
          <w:sz w:val="20"/>
          <w:szCs w:val="20"/>
          <w:color w:val="auto"/>
        </w:rPr>
      </w:pPr>
    </w:p>
    <w:p>
      <w:pPr>
        <w:jc w:val="both"/>
        <w:spacing w:after="0" w:line="337" w:lineRule="auto"/>
        <w:rPr>
          <w:sz w:val="20"/>
          <w:szCs w:val="20"/>
          <w:color w:val="auto"/>
        </w:rPr>
      </w:pPr>
      <w:r>
        <w:rPr>
          <w:rFonts w:ascii="Arial" w:cs="Arial" w:eastAsia="Arial" w:hAnsi="Arial"/>
          <w:sz w:val="15"/>
          <w:szCs w:val="15"/>
          <w:color w:val="auto"/>
        </w:rPr>
        <w:t>Cash flows used in financing activities for the first quarter of 2017 and 2016 was $8.6 million and $4.2 million, respectively, which consists mainly of repayments on our long-term debt. Cash flows used in financing activities for the first quarter of 2017 also included $3.2 million in debt issuance costs related to the Term Loan amendment.</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Contractual Obligations and Other Commercial Commitments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sections provide aggregated information regarding our contractual cash obligations and other commercial commitments as of March 31, 2017.</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Contractual Cash Obligations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reflects our cash outflows that we are contractually obligated to make as of March 31, 2017:</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29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3080" w:type="dxa"/>
            <w:vAlign w:val="bottom"/>
            <w:tcBorders>
              <w:bottom w:val="single" w:sz="8" w:color="auto"/>
            </w:tcBorders>
            <w:gridSpan w:val="5"/>
          </w:tcPr>
          <w:p>
            <w:pPr>
              <w:ind w:left="620"/>
              <w:spacing w:after="0"/>
              <w:rPr>
                <w:sz w:val="20"/>
                <w:szCs w:val="20"/>
                <w:color w:val="auto"/>
              </w:rPr>
            </w:pPr>
            <w:r>
              <w:rPr>
                <w:rFonts w:ascii="Arial" w:cs="Arial" w:eastAsia="Arial" w:hAnsi="Arial"/>
                <w:sz w:val="13"/>
                <w:szCs w:val="13"/>
                <w:b w:val="1"/>
                <w:bCs w:val="1"/>
                <w:color w:val="auto"/>
              </w:rPr>
              <w:t>Payments Due by Period</w:t>
            </w:r>
          </w:p>
        </w:tc>
        <w:tc>
          <w:tcPr>
            <w:tcW w:w="1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r>
      <w:tr>
        <w:trPr>
          <w:trHeight w:val="244"/>
        </w:trPr>
        <w:tc>
          <w:tcPr>
            <w:tcW w:w="29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(in millions)</w:t>
            </w:r>
          </w:p>
        </w:tc>
        <w:tc>
          <w:tcPr>
            <w:tcW w:w="3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598"/>
              <w:spacing w:after="0"/>
              <w:rPr>
                <w:sz w:val="20"/>
                <w:szCs w:val="20"/>
                <w:color w:val="auto"/>
              </w:rPr>
            </w:pPr>
            <w:r>
              <w:rPr>
                <w:rFonts w:ascii="Arial" w:cs="Arial" w:eastAsia="Arial" w:hAnsi="Arial"/>
                <w:sz w:val="13"/>
                <w:szCs w:val="13"/>
                <w:b w:val="1"/>
                <w:bCs w:val="1"/>
                <w:color w:val="auto"/>
              </w:rPr>
              <w:t>Total</w:t>
            </w:r>
          </w:p>
        </w:tc>
        <w:tc>
          <w:tcPr>
            <w:tcW w:w="32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gridSpan w:val="2"/>
          </w:tcPr>
          <w:p>
            <w:pPr>
              <w:ind w:left="100"/>
              <w:spacing w:after="0"/>
              <w:rPr>
                <w:sz w:val="20"/>
                <w:szCs w:val="20"/>
                <w:color w:val="auto"/>
              </w:rPr>
            </w:pPr>
            <w:r>
              <w:rPr>
                <w:rFonts w:ascii="Arial" w:cs="Arial" w:eastAsia="Arial" w:hAnsi="Arial"/>
                <w:sz w:val="13"/>
                <w:szCs w:val="13"/>
                <w:b w:val="1"/>
                <w:bCs w:val="1"/>
                <w:color w:val="auto"/>
              </w:rPr>
              <w:t>Less than 1 year</w:t>
            </w:r>
          </w:p>
        </w:tc>
        <w:tc>
          <w:tcPr>
            <w:tcW w:w="3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2"/>
          </w:tcPr>
          <w:p>
            <w:pPr>
              <w:ind w:left="200"/>
              <w:spacing w:after="0"/>
              <w:rPr>
                <w:sz w:val="20"/>
                <w:szCs w:val="20"/>
                <w:color w:val="auto"/>
              </w:rPr>
            </w:pPr>
            <w:r>
              <w:rPr>
                <w:rFonts w:ascii="Arial" w:cs="Arial" w:eastAsia="Arial" w:hAnsi="Arial"/>
                <w:sz w:val="13"/>
                <w:szCs w:val="13"/>
                <w:b w:val="1"/>
                <w:bCs w:val="1"/>
                <w:color w:val="auto"/>
              </w:rPr>
              <w:t>1-3 years</w:t>
            </w:r>
          </w:p>
        </w:tc>
        <w:tc>
          <w:tcPr>
            <w:tcW w:w="3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2"/>
          </w:tcPr>
          <w:p>
            <w:pPr>
              <w:ind w:left="200"/>
              <w:spacing w:after="0"/>
              <w:rPr>
                <w:sz w:val="20"/>
                <w:szCs w:val="20"/>
                <w:color w:val="auto"/>
              </w:rPr>
            </w:pPr>
            <w:r>
              <w:rPr>
                <w:rFonts w:ascii="Arial" w:cs="Arial" w:eastAsia="Arial" w:hAnsi="Arial"/>
                <w:sz w:val="13"/>
                <w:szCs w:val="13"/>
                <w:b w:val="1"/>
                <w:bCs w:val="1"/>
                <w:color w:val="auto"/>
              </w:rPr>
              <w:t>3-5 years</w:t>
            </w:r>
          </w:p>
        </w:tc>
        <w:tc>
          <w:tcPr>
            <w:tcW w:w="1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198"/>
              <w:spacing w:after="0"/>
              <w:rPr>
                <w:sz w:val="20"/>
                <w:szCs w:val="20"/>
                <w:color w:val="auto"/>
              </w:rPr>
            </w:pPr>
            <w:r>
              <w:rPr>
                <w:rFonts w:ascii="Arial" w:cs="Arial" w:eastAsia="Arial" w:hAnsi="Arial"/>
                <w:sz w:val="13"/>
                <w:szCs w:val="13"/>
                <w:b w:val="1"/>
                <w:bCs w:val="1"/>
                <w:color w:val="auto"/>
                <w:w w:val="99"/>
              </w:rPr>
              <w:t>More than 5 years</w:t>
            </w:r>
          </w:p>
        </w:tc>
      </w:tr>
      <w:tr>
        <w:trPr>
          <w:trHeight w:val="249"/>
        </w:trPr>
        <w:tc>
          <w:tcPr>
            <w:tcW w:w="2980" w:type="dxa"/>
            <w:vAlign w:val="bottom"/>
            <w:shd w:val="clear" w:color="auto" w:fill="BFE4FF"/>
          </w:tcPr>
          <w:p>
            <w:pPr>
              <w:ind w:left="360"/>
              <w:spacing w:after="0" w:line="250" w:lineRule="exact"/>
              <w:rPr>
                <w:sz w:val="20"/>
                <w:szCs w:val="20"/>
                <w:color w:val="auto"/>
              </w:rPr>
            </w:pPr>
            <w:r>
              <w:rPr>
                <w:rFonts w:ascii="Arial" w:cs="Arial" w:eastAsia="Arial" w:hAnsi="Arial"/>
                <w:sz w:val="17"/>
                <w:szCs w:val="17"/>
                <w:color w:val="auto"/>
              </w:rPr>
              <w:t>ABL Facility</w:t>
            </w:r>
            <w:r>
              <w:rPr>
                <w:rFonts w:ascii="Arial" w:cs="Arial" w:eastAsia="Arial" w:hAnsi="Arial"/>
                <w:sz w:val="23"/>
                <w:szCs w:val="23"/>
                <w:color w:val="auto"/>
                <w:vertAlign w:val="superscript"/>
              </w:rPr>
              <w:t>(a)</w:t>
            </w:r>
          </w:p>
        </w:tc>
        <w:tc>
          <w:tcPr>
            <w:tcW w:w="380" w:type="dxa"/>
            <w:vAlign w:val="bottom"/>
            <w:shd w:val="clear" w:color="auto" w:fill="BFE4FF"/>
          </w:tcPr>
          <w:p>
            <w:pPr>
              <w:jc w:val="right"/>
              <w:ind w:right="196"/>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BFE4FF"/>
          </w:tcPr>
          <w:p>
            <w:pPr>
              <w:jc w:val="right"/>
              <w:ind w:right="58"/>
              <w:spacing w:after="0"/>
              <w:rPr>
                <w:sz w:val="20"/>
                <w:szCs w:val="20"/>
                <w:color w:val="auto"/>
              </w:rPr>
            </w:pPr>
            <w:r>
              <w:rPr>
                <w:rFonts w:ascii="Arial" w:cs="Arial" w:eastAsia="Arial" w:hAnsi="Arial"/>
                <w:sz w:val="17"/>
                <w:szCs w:val="17"/>
                <w:color w:val="auto"/>
              </w:rPr>
              <w:t>15.1</w:t>
            </w:r>
          </w:p>
        </w:tc>
        <w:tc>
          <w:tcPr>
            <w:tcW w:w="320" w:type="dxa"/>
            <w:vAlign w:val="bottom"/>
            <w:shd w:val="clear" w:color="auto" w:fill="BFE4FF"/>
          </w:tcPr>
          <w:p>
            <w:pPr>
              <w:jc w:val="right"/>
              <w:ind w:right="36"/>
              <w:spacing w:after="0"/>
              <w:rPr>
                <w:sz w:val="20"/>
                <w:szCs w:val="20"/>
                <w:color w:val="auto"/>
              </w:rPr>
            </w:pPr>
            <w:r>
              <w:rPr>
                <w:rFonts w:ascii="Arial" w:cs="Arial" w:eastAsia="Arial" w:hAnsi="Arial"/>
                <w:sz w:val="17"/>
                <w:szCs w:val="17"/>
                <w:color w:val="auto"/>
              </w:rPr>
              <w:t>$</w:t>
            </w:r>
          </w:p>
        </w:tc>
        <w:tc>
          <w:tcPr>
            <w:tcW w:w="1360" w:type="dxa"/>
            <w:vAlign w:val="bottom"/>
            <w:shd w:val="clear" w:color="auto" w:fill="BFE4FF"/>
          </w:tcPr>
          <w:p>
            <w:pPr>
              <w:jc w:val="right"/>
              <w:ind w:right="38"/>
              <w:spacing w:after="0"/>
              <w:rPr>
                <w:sz w:val="20"/>
                <w:szCs w:val="20"/>
                <w:color w:val="auto"/>
              </w:rPr>
            </w:pPr>
            <w:r>
              <w:rPr>
                <w:rFonts w:ascii="Arial" w:cs="Arial" w:eastAsia="Arial" w:hAnsi="Arial"/>
                <w:sz w:val="17"/>
                <w:szCs w:val="17"/>
                <w:color w:val="auto"/>
              </w:rPr>
              <w:t>7.1</w:t>
            </w:r>
          </w:p>
        </w:tc>
        <w:tc>
          <w:tcPr>
            <w:tcW w:w="120" w:type="dxa"/>
            <w:vAlign w:val="bottom"/>
            <w:shd w:val="clear" w:color="auto" w:fill="BFE4FF"/>
          </w:tcPr>
          <w:p>
            <w:pPr>
              <w:spacing w:after="0"/>
              <w:rPr>
                <w:sz w:val="21"/>
                <w:szCs w:val="21"/>
                <w:color w:val="auto"/>
              </w:rPr>
            </w:pPr>
          </w:p>
        </w:tc>
        <w:tc>
          <w:tcPr>
            <w:tcW w:w="320" w:type="dxa"/>
            <w:vAlign w:val="bottom"/>
            <w:shd w:val="clear" w:color="auto" w:fill="BFE4FF"/>
          </w:tcPr>
          <w:p>
            <w:pPr>
              <w:jc w:val="right"/>
              <w:ind w:right="136"/>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BFE4FF"/>
          </w:tcPr>
          <w:p>
            <w:pPr>
              <w:jc w:val="right"/>
              <w:ind w:right="39"/>
              <w:spacing w:after="0"/>
              <w:rPr>
                <w:sz w:val="20"/>
                <w:szCs w:val="20"/>
                <w:color w:val="auto"/>
              </w:rPr>
            </w:pPr>
            <w:r>
              <w:rPr>
                <w:rFonts w:ascii="Arial" w:cs="Arial" w:eastAsia="Arial" w:hAnsi="Arial"/>
                <w:sz w:val="17"/>
                <w:szCs w:val="17"/>
                <w:color w:val="auto"/>
              </w:rPr>
              <w:t>8.0</w:t>
            </w:r>
          </w:p>
        </w:tc>
        <w:tc>
          <w:tcPr>
            <w:tcW w:w="120" w:type="dxa"/>
            <w:vAlign w:val="bottom"/>
            <w:shd w:val="clear" w:color="auto" w:fill="BFE4FF"/>
          </w:tcPr>
          <w:p>
            <w:pPr>
              <w:spacing w:after="0"/>
              <w:rPr>
                <w:sz w:val="21"/>
                <w:szCs w:val="21"/>
                <w:color w:val="auto"/>
              </w:rPr>
            </w:pPr>
          </w:p>
        </w:tc>
        <w:tc>
          <w:tcPr>
            <w:tcW w:w="320" w:type="dxa"/>
            <w:vAlign w:val="bottom"/>
            <w:shd w:val="clear" w:color="auto" w:fill="BFE4FF"/>
          </w:tcPr>
          <w:p>
            <w:pPr>
              <w:jc w:val="right"/>
              <w:ind w:right="136"/>
              <w:spacing w:after="0"/>
              <w:rPr>
                <w:sz w:val="20"/>
                <w:szCs w:val="20"/>
                <w:color w:val="auto"/>
              </w:rPr>
            </w:pPr>
            <w:r>
              <w:rPr>
                <w:rFonts w:ascii="Arial" w:cs="Arial" w:eastAsia="Arial" w:hAnsi="Arial"/>
                <w:sz w:val="17"/>
                <w:szCs w:val="17"/>
                <w:color w:val="auto"/>
                <w:w w:val="84"/>
              </w:rPr>
              <w:t>$</w:t>
            </w:r>
          </w:p>
        </w:tc>
        <w:tc>
          <w:tcPr>
            <w:tcW w:w="1380" w:type="dxa"/>
            <w:vAlign w:val="bottom"/>
            <w:gridSpan w:val="2"/>
            <w:shd w:val="clear" w:color="auto" w:fill="BFE4FF"/>
          </w:tcPr>
          <w:p>
            <w:pPr>
              <w:jc w:val="right"/>
              <w:ind w:right="240"/>
              <w:spacing w:after="0"/>
              <w:rPr>
                <w:sz w:val="20"/>
                <w:szCs w:val="20"/>
                <w:color w:val="auto"/>
              </w:rPr>
            </w:pPr>
            <w:r>
              <w:rPr>
                <w:rFonts w:ascii="Arial" w:cs="Arial" w:eastAsia="Arial" w:hAnsi="Arial"/>
                <w:sz w:val="17"/>
                <w:szCs w:val="17"/>
                <w:color w:val="auto"/>
              </w:rPr>
              <w:t>—</w:t>
            </w:r>
          </w:p>
        </w:tc>
        <w:tc>
          <w:tcPr>
            <w:tcW w:w="180" w:type="dxa"/>
            <w:vAlign w:val="bottom"/>
            <w:shd w:val="clear" w:color="auto" w:fill="BFE4FF"/>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shd w:val="clear" w:color="auto" w:fill="BFE4FF"/>
          </w:tcPr>
          <w:p>
            <w:pPr>
              <w:jc w:val="right"/>
              <w:ind w:right="38"/>
              <w:spacing w:after="0"/>
              <w:rPr>
                <w:sz w:val="20"/>
                <w:szCs w:val="20"/>
                <w:color w:val="auto"/>
              </w:rPr>
            </w:pPr>
            <w:r>
              <w:rPr>
                <w:rFonts w:ascii="Arial" w:cs="Arial" w:eastAsia="Arial" w:hAnsi="Arial"/>
                <w:sz w:val="17"/>
                <w:szCs w:val="17"/>
                <w:color w:val="auto"/>
              </w:rPr>
              <w:t>—</w:t>
            </w:r>
          </w:p>
        </w:tc>
      </w:tr>
      <w:tr>
        <w:trPr>
          <w:trHeight w:val="252"/>
        </w:trPr>
        <w:tc>
          <w:tcPr>
            <w:tcW w:w="2980" w:type="dxa"/>
            <w:vAlign w:val="bottom"/>
          </w:tcPr>
          <w:p>
            <w:pPr>
              <w:ind w:left="320"/>
              <w:spacing w:after="0" w:line="252" w:lineRule="exact"/>
              <w:rPr>
                <w:sz w:val="20"/>
                <w:szCs w:val="20"/>
                <w:color w:val="auto"/>
              </w:rPr>
            </w:pPr>
            <w:r>
              <w:rPr>
                <w:rFonts w:ascii="Arial" w:cs="Arial" w:eastAsia="Arial" w:hAnsi="Arial"/>
                <w:sz w:val="17"/>
                <w:szCs w:val="17"/>
                <w:color w:val="auto"/>
              </w:rPr>
              <w:t>Term Loan</w:t>
            </w:r>
            <w:r>
              <w:rPr>
                <w:rFonts w:ascii="Arial" w:cs="Arial" w:eastAsia="Arial" w:hAnsi="Arial"/>
                <w:sz w:val="23"/>
                <w:szCs w:val="23"/>
                <w:color w:val="auto"/>
                <w:vertAlign w:val="superscript"/>
              </w:rPr>
              <w:t>(b)</w:t>
            </w:r>
          </w:p>
        </w:tc>
        <w:tc>
          <w:tcPr>
            <w:tcW w:w="380" w:type="dxa"/>
            <w:vAlign w:val="bottom"/>
          </w:tcPr>
          <w:p>
            <w:pPr>
              <w:spacing w:after="0"/>
              <w:rPr>
                <w:sz w:val="21"/>
                <w:szCs w:val="21"/>
                <w:color w:val="auto"/>
              </w:rPr>
            </w:pPr>
          </w:p>
        </w:tc>
        <w:tc>
          <w:tcPr>
            <w:tcW w:w="1240" w:type="dxa"/>
            <w:vAlign w:val="bottom"/>
          </w:tcPr>
          <w:p>
            <w:pPr>
              <w:jc w:val="right"/>
              <w:ind w:right="58"/>
              <w:spacing w:after="0"/>
              <w:rPr>
                <w:sz w:val="20"/>
                <w:szCs w:val="20"/>
                <w:color w:val="auto"/>
              </w:rPr>
            </w:pPr>
            <w:r>
              <w:rPr>
                <w:rFonts w:ascii="Arial" w:cs="Arial" w:eastAsia="Arial" w:hAnsi="Arial"/>
                <w:sz w:val="17"/>
                <w:szCs w:val="17"/>
                <w:color w:val="auto"/>
              </w:rPr>
              <w:t>739.1</w:t>
            </w:r>
          </w:p>
        </w:tc>
        <w:tc>
          <w:tcPr>
            <w:tcW w:w="320" w:type="dxa"/>
            <w:vAlign w:val="bottom"/>
          </w:tcPr>
          <w:p>
            <w:pPr>
              <w:spacing w:after="0"/>
              <w:rPr>
                <w:sz w:val="21"/>
                <w:szCs w:val="21"/>
                <w:color w:val="auto"/>
              </w:rPr>
            </w:pPr>
          </w:p>
        </w:tc>
        <w:tc>
          <w:tcPr>
            <w:tcW w:w="1360" w:type="dxa"/>
            <w:vAlign w:val="bottom"/>
          </w:tcPr>
          <w:p>
            <w:pPr>
              <w:jc w:val="right"/>
              <w:ind w:right="38"/>
              <w:spacing w:after="0"/>
              <w:rPr>
                <w:sz w:val="20"/>
                <w:szCs w:val="20"/>
                <w:color w:val="auto"/>
              </w:rPr>
            </w:pPr>
            <w:r>
              <w:rPr>
                <w:rFonts w:ascii="Arial" w:cs="Arial" w:eastAsia="Arial" w:hAnsi="Arial"/>
                <w:sz w:val="17"/>
                <w:szCs w:val="17"/>
                <w:color w:val="auto"/>
              </w:rPr>
              <w:t>61.4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ind w:right="39"/>
              <w:spacing w:after="0"/>
              <w:rPr>
                <w:sz w:val="20"/>
                <w:szCs w:val="20"/>
                <w:color w:val="auto"/>
              </w:rPr>
            </w:pPr>
            <w:r>
              <w:rPr>
                <w:rFonts w:ascii="Arial" w:cs="Arial" w:eastAsia="Arial" w:hAnsi="Arial"/>
                <w:sz w:val="17"/>
                <w:szCs w:val="17"/>
                <w:color w:val="auto"/>
              </w:rPr>
              <w:t>677.7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1"/>
                <w:szCs w:val="21"/>
                <w:color w:val="auto"/>
              </w:rPr>
            </w:pPr>
          </w:p>
        </w:tc>
        <w:tc>
          <w:tcPr>
            <w:tcW w:w="1400" w:type="dxa"/>
            <w:vAlign w:val="bottom"/>
          </w:tcPr>
          <w:p>
            <w:pPr>
              <w:jc w:val="right"/>
              <w:ind w:right="38"/>
              <w:spacing w:after="0"/>
              <w:rPr>
                <w:sz w:val="20"/>
                <w:szCs w:val="20"/>
                <w:color w:val="auto"/>
              </w:rPr>
            </w:pPr>
            <w:r>
              <w:rPr>
                <w:rFonts w:ascii="Arial" w:cs="Arial" w:eastAsia="Arial" w:hAnsi="Arial"/>
                <w:sz w:val="17"/>
                <w:szCs w:val="17"/>
                <w:color w:val="auto"/>
              </w:rPr>
              <w:t>—</w:t>
            </w:r>
          </w:p>
        </w:tc>
      </w:tr>
      <w:tr>
        <w:trPr>
          <w:trHeight w:val="252"/>
        </w:trPr>
        <w:tc>
          <w:tcPr>
            <w:tcW w:w="2980" w:type="dxa"/>
            <w:vAlign w:val="bottom"/>
            <w:shd w:val="clear" w:color="auto" w:fill="BFE4FF"/>
          </w:tcPr>
          <w:p>
            <w:pPr>
              <w:ind w:left="360"/>
              <w:spacing w:after="0" w:line="252" w:lineRule="exact"/>
              <w:rPr>
                <w:sz w:val="20"/>
                <w:szCs w:val="20"/>
                <w:color w:val="auto"/>
              </w:rPr>
            </w:pPr>
            <w:r>
              <w:rPr>
                <w:rFonts w:ascii="Arial" w:cs="Arial" w:eastAsia="Arial" w:hAnsi="Arial"/>
                <w:sz w:val="17"/>
                <w:szCs w:val="17"/>
                <w:color w:val="auto"/>
              </w:rPr>
              <w:t>Lease financing obligations</w:t>
            </w:r>
            <w:r>
              <w:rPr>
                <w:rFonts w:ascii="Arial" w:cs="Arial" w:eastAsia="Arial" w:hAnsi="Arial"/>
                <w:sz w:val="23"/>
                <w:szCs w:val="23"/>
                <w:color w:val="auto"/>
                <w:vertAlign w:val="superscript"/>
              </w:rPr>
              <w:t>(c)</w:t>
            </w:r>
          </w:p>
        </w:tc>
        <w:tc>
          <w:tcPr>
            <w:tcW w:w="380" w:type="dxa"/>
            <w:vAlign w:val="bottom"/>
            <w:shd w:val="clear" w:color="auto" w:fill="BFE4FF"/>
          </w:tcPr>
          <w:p>
            <w:pPr>
              <w:spacing w:after="0"/>
              <w:rPr>
                <w:sz w:val="21"/>
                <w:szCs w:val="21"/>
                <w:color w:val="auto"/>
              </w:rPr>
            </w:pPr>
          </w:p>
        </w:tc>
        <w:tc>
          <w:tcPr>
            <w:tcW w:w="1240" w:type="dxa"/>
            <w:vAlign w:val="bottom"/>
            <w:shd w:val="clear" w:color="auto" w:fill="BFE4FF"/>
          </w:tcPr>
          <w:p>
            <w:pPr>
              <w:jc w:val="right"/>
              <w:ind w:right="58"/>
              <w:spacing w:after="0"/>
              <w:rPr>
                <w:sz w:val="20"/>
                <w:szCs w:val="20"/>
                <w:color w:val="auto"/>
              </w:rPr>
            </w:pPr>
            <w:r>
              <w:rPr>
                <w:rFonts w:ascii="Arial" w:cs="Arial" w:eastAsia="Arial" w:hAnsi="Arial"/>
                <w:sz w:val="17"/>
                <w:szCs w:val="17"/>
                <w:color w:val="auto"/>
              </w:rPr>
              <w:t>131.6</w:t>
            </w:r>
          </w:p>
        </w:tc>
        <w:tc>
          <w:tcPr>
            <w:tcW w:w="320" w:type="dxa"/>
            <w:vAlign w:val="bottom"/>
            <w:shd w:val="clear" w:color="auto" w:fill="BFE4FF"/>
          </w:tcPr>
          <w:p>
            <w:pPr>
              <w:spacing w:after="0"/>
              <w:rPr>
                <w:sz w:val="21"/>
                <w:szCs w:val="21"/>
                <w:color w:val="auto"/>
              </w:rPr>
            </w:pPr>
          </w:p>
        </w:tc>
        <w:tc>
          <w:tcPr>
            <w:tcW w:w="1360" w:type="dxa"/>
            <w:vAlign w:val="bottom"/>
            <w:shd w:val="clear" w:color="auto" w:fill="BFE4FF"/>
          </w:tcPr>
          <w:p>
            <w:pPr>
              <w:jc w:val="right"/>
              <w:ind w:right="38"/>
              <w:spacing w:after="0"/>
              <w:rPr>
                <w:sz w:val="20"/>
                <w:szCs w:val="20"/>
                <w:color w:val="auto"/>
              </w:rPr>
            </w:pPr>
            <w:r>
              <w:rPr>
                <w:rFonts w:ascii="Arial" w:cs="Arial" w:eastAsia="Arial" w:hAnsi="Arial"/>
                <w:sz w:val="17"/>
                <w:szCs w:val="17"/>
                <w:color w:val="auto"/>
              </w:rPr>
              <w:t>42.5</w:t>
            </w:r>
          </w:p>
        </w:tc>
        <w:tc>
          <w:tcPr>
            <w:tcW w:w="120" w:type="dxa"/>
            <w:vAlign w:val="bottom"/>
            <w:shd w:val="clear" w:color="auto" w:fill="BFE4FF"/>
          </w:tcPr>
          <w:p>
            <w:pPr>
              <w:spacing w:after="0"/>
              <w:rPr>
                <w:sz w:val="21"/>
                <w:szCs w:val="21"/>
                <w:color w:val="auto"/>
              </w:rPr>
            </w:pPr>
          </w:p>
        </w:tc>
        <w:tc>
          <w:tcPr>
            <w:tcW w:w="320" w:type="dxa"/>
            <w:vAlign w:val="bottom"/>
            <w:shd w:val="clear" w:color="auto" w:fill="BFE4FF"/>
          </w:tcPr>
          <w:p>
            <w:pPr>
              <w:spacing w:after="0"/>
              <w:rPr>
                <w:sz w:val="21"/>
                <w:szCs w:val="21"/>
                <w:color w:val="auto"/>
              </w:rPr>
            </w:pPr>
          </w:p>
        </w:tc>
        <w:tc>
          <w:tcPr>
            <w:tcW w:w="1260" w:type="dxa"/>
            <w:vAlign w:val="bottom"/>
            <w:shd w:val="clear" w:color="auto" w:fill="BFE4FF"/>
          </w:tcPr>
          <w:p>
            <w:pPr>
              <w:jc w:val="right"/>
              <w:ind w:right="39"/>
              <w:spacing w:after="0"/>
              <w:rPr>
                <w:sz w:val="20"/>
                <w:szCs w:val="20"/>
                <w:color w:val="auto"/>
              </w:rPr>
            </w:pPr>
            <w:r>
              <w:rPr>
                <w:rFonts w:ascii="Arial" w:cs="Arial" w:eastAsia="Arial" w:hAnsi="Arial"/>
                <w:sz w:val="17"/>
                <w:szCs w:val="17"/>
                <w:color w:val="auto"/>
              </w:rPr>
              <w:t>55.7</w:t>
            </w:r>
          </w:p>
        </w:tc>
        <w:tc>
          <w:tcPr>
            <w:tcW w:w="120" w:type="dxa"/>
            <w:vAlign w:val="bottom"/>
            <w:shd w:val="clear" w:color="auto" w:fill="BFE4FF"/>
          </w:tcPr>
          <w:p>
            <w:pPr>
              <w:spacing w:after="0"/>
              <w:rPr>
                <w:sz w:val="21"/>
                <w:szCs w:val="21"/>
                <w:color w:val="auto"/>
              </w:rPr>
            </w:pPr>
          </w:p>
        </w:tc>
        <w:tc>
          <w:tcPr>
            <w:tcW w:w="320" w:type="dxa"/>
            <w:vAlign w:val="bottom"/>
            <w:shd w:val="clear" w:color="auto" w:fill="BFE4FF"/>
          </w:tcPr>
          <w:p>
            <w:pPr>
              <w:spacing w:after="0"/>
              <w:rPr>
                <w:sz w:val="21"/>
                <w:szCs w:val="21"/>
                <w:color w:val="auto"/>
              </w:rPr>
            </w:pPr>
          </w:p>
        </w:tc>
        <w:tc>
          <w:tcPr>
            <w:tcW w:w="1260" w:type="dxa"/>
            <w:vAlign w:val="bottom"/>
            <w:shd w:val="clear" w:color="auto" w:fill="BFE4FF"/>
          </w:tcPr>
          <w:p>
            <w:pPr>
              <w:jc w:val="right"/>
              <w:ind w:right="38"/>
              <w:spacing w:after="0"/>
              <w:rPr>
                <w:sz w:val="20"/>
                <w:szCs w:val="20"/>
                <w:color w:val="auto"/>
              </w:rPr>
            </w:pPr>
            <w:r>
              <w:rPr>
                <w:rFonts w:ascii="Arial" w:cs="Arial" w:eastAsia="Arial" w:hAnsi="Arial"/>
                <w:sz w:val="17"/>
                <w:szCs w:val="17"/>
                <w:color w:val="auto"/>
              </w:rPr>
              <w:t>16.0</w:t>
            </w:r>
          </w:p>
        </w:tc>
        <w:tc>
          <w:tcPr>
            <w:tcW w:w="120" w:type="dxa"/>
            <w:vAlign w:val="bottom"/>
            <w:shd w:val="clear" w:color="auto" w:fill="BFE4FF"/>
          </w:tcPr>
          <w:p>
            <w:pPr>
              <w:spacing w:after="0"/>
              <w:rPr>
                <w:sz w:val="21"/>
                <w:szCs w:val="21"/>
                <w:color w:val="auto"/>
              </w:rPr>
            </w:pPr>
          </w:p>
        </w:tc>
        <w:tc>
          <w:tcPr>
            <w:tcW w:w="180" w:type="dxa"/>
            <w:vAlign w:val="bottom"/>
            <w:shd w:val="clear" w:color="auto" w:fill="BFE4FF"/>
          </w:tcPr>
          <w:p>
            <w:pPr>
              <w:spacing w:after="0"/>
              <w:rPr>
                <w:sz w:val="21"/>
                <w:szCs w:val="21"/>
                <w:color w:val="auto"/>
              </w:rPr>
            </w:pPr>
          </w:p>
        </w:tc>
        <w:tc>
          <w:tcPr>
            <w:tcW w:w="1400" w:type="dxa"/>
            <w:vAlign w:val="bottom"/>
            <w:shd w:val="clear" w:color="auto" w:fill="BFE4FF"/>
          </w:tcPr>
          <w:p>
            <w:pPr>
              <w:jc w:val="right"/>
              <w:ind w:right="38"/>
              <w:spacing w:after="0"/>
              <w:rPr>
                <w:sz w:val="20"/>
                <w:szCs w:val="20"/>
                <w:color w:val="auto"/>
              </w:rPr>
            </w:pPr>
            <w:r>
              <w:rPr>
                <w:rFonts w:ascii="Arial" w:cs="Arial" w:eastAsia="Arial" w:hAnsi="Arial"/>
                <w:sz w:val="17"/>
                <w:szCs w:val="17"/>
                <w:color w:val="auto"/>
              </w:rPr>
              <w:t>17.4</w:t>
            </w:r>
          </w:p>
        </w:tc>
      </w:tr>
      <w:tr>
        <w:trPr>
          <w:trHeight w:val="252"/>
        </w:trPr>
        <w:tc>
          <w:tcPr>
            <w:tcW w:w="2980" w:type="dxa"/>
            <w:vAlign w:val="bottom"/>
          </w:tcPr>
          <w:p>
            <w:pPr>
              <w:ind w:left="360"/>
              <w:spacing w:after="0" w:line="252" w:lineRule="exact"/>
              <w:rPr>
                <w:sz w:val="20"/>
                <w:szCs w:val="20"/>
                <w:color w:val="auto"/>
              </w:rPr>
            </w:pPr>
            <w:r>
              <w:rPr>
                <w:rFonts w:ascii="Arial" w:cs="Arial" w:eastAsia="Arial" w:hAnsi="Arial"/>
                <w:sz w:val="17"/>
                <w:szCs w:val="17"/>
                <w:color w:val="auto"/>
              </w:rPr>
              <w:t>Pension deferral obligations</w:t>
            </w:r>
            <w:r>
              <w:rPr>
                <w:rFonts w:ascii="Arial" w:cs="Arial" w:eastAsia="Arial" w:hAnsi="Arial"/>
                <w:sz w:val="23"/>
                <w:szCs w:val="23"/>
                <w:color w:val="auto"/>
                <w:vertAlign w:val="superscript"/>
              </w:rPr>
              <w:t>(d)</w:t>
            </w:r>
          </w:p>
        </w:tc>
        <w:tc>
          <w:tcPr>
            <w:tcW w:w="380" w:type="dxa"/>
            <w:vAlign w:val="bottom"/>
          </w:tcPr>
          <w:p>
            <w:pPr>
              <w:spacing w:after="0"/>
              <w:rPr>
                <w:sz w:val="21"/>
                <w:szCs w:val="21"/>
                <w:color w:val="auto"/>
              </w:rPr>
            </w:pPr>
          </w:p>
        </w:tc>
        <w:tc>
          <w:tcPr>
            <w:tcW w:w="1240" w:type="dxa"/>
            <w:vAlign w:val="bottom"/>
          </w:tcPr>
          <w:p>
            <w:pPr>
              <w:jc w:val="right"/>
              <w:ind w:right="58"/>
              <w:spacing w:after="0"/>
              <w:rPr>
                <w:sz w:val="20"/>
                <w:szCs w:val="20"/>
                <w:color w:val="auto"/>
              </w:rPr>
            </w:pPr>
            <w:r>
              <w:rPr>
                <w:rFonts w:ascii="Arial" w:cs="Arial" w:eastAsia="Arial" w:hAnsi="Arial"/>
                <w:sz w:val="17"/>
                <w:szCs w:val="17"/>
                <w:color w:val="auto"/>
              </w:rPr>
              <w:t>121.1</w:t>
            </w:r>
          </w:p>
        </w:tc>
        <w:tc>
          <w:tcPr>
            <w:tcW w:w="320" w:type="dxa"/>
            <w:vAlign w:val="bottom"/>
          </w:tcPr>
          <w:p>
            <w:pPr>
              <w:spacing w:after="0"/>
              <w:rPr>
                <w:sz w:val="21"/>
                <w:szCs w:val="21"/>
                <w:color w:val="auto"/>
              </w:rPr>
            </w:pPr>
          </w:p>
        </w:tc>
        <w:tc>
          <w:tcPr>
            <w:tcW w:w="1360" w:type="dxa"/>
            <w:vAlign w:val="bottom"/>
          </w:tcPr>
          <w:p>
            <w:pPr>
              <w:jc w:val="right"/>
              <w:ind w:right="38"/>
              <w:spacing w:after="0"/>
              <w:rPr>
                <w:sz w:val="20"/>
                <w:szCs w:val="20"/>
                <w:color w:val="auto"/>
              </w:rPr>
            </w:pPr>
            <w:r>
              <w:rPr>
                <w:rFonts w:ascii="Arial" w:cs="Arial" w:eastAsia="Arial" w:hAnsi="Arial"/>
                <w:sz w:val="17"/>
                <w:szCs w:val="17"/>
                <w:color w:val="auto"/>
              </w:rPr>
              <w:t>7.5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ind w:right="39"/>
              <w:spacing w:after="0"/>
              <w:rPr>
                <w:sz w:val="20"/>
                <w:szCs w:val="20"/>
                <w:color w:val="auto"/>
              </w:rPr>
            </w:pPr>
            <w:r>
              <w:rPr>
                <w:rFonts w:ascii="Arial" w:cs="Arial" w:eastAsia="Arial" w:hAnsi="Arial"/>
                <w:sz w:val="17"/>
                <w:szCs w:val="17"/>
                <w:color w:val="auto"/>
              </w:rPr>
              <w:t>113.6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1"/>
                <w:szCs w:val="21"/>
                <w:color w:val="auto"/>
              </w:rPr>
            </w:pPr>
          </w:p>
        </w:tc>
        <w:tc>
          <w:tcPr>
            <w:tcW w:w="1400" w:type="dxa"/>
            <w:vAlign w:val="bottom"/>
          </w:tcPr>
          <w:p>
            <w:pPr>
              <w:jc w:val="right"/>
              <w:ind w:right="38"/>
              <w:spacing w:after="0"/>
              <w:rPr>
                <w:sz w:val="20"/>
                <w:szCs w:val="20"/>
                <w:color w:val="auto"/>
              </w:rPr>
            </w:pPr>
            <w:r>
              <w:rPr>
                <w:rFonts w:ascii="Arial" w:cs="Arial" w:eastAsia="Arial" w:hAnsi="Arial"/>
                <w:sz w:val="17"/>
                <w:szCs w:val="17"/>
                <w:color w:val="auto"/>
              </w:rPr>
              <w:t>—</w:t>
            </w:r>
          </w:p>
        </w:tc>
      </w:tr>
      <w:tr>
        <w:trPr>
          <w:trHeight w:val="214"/>
        </w:trPr>
        <w:tc>
          <w:tcPr>
            <w:tcW w:w="2980" w:type="dxa"/>
            <w:vAlign w:val="bottom"/>
            <w:shd w:val="clear" w:color="auto" w:fill="BFE4FF"/>
          </w:tcPr>
          <w:p>
            <w:pPr>
              <w:ind w:left="360"/>
              <w:spacing w:after="0"/>
              <w:rPr>
                <w:sz w:val="20"/>
                <w:szCs w:val="20"/>
                <w:color w:val="auto"/>
              </w:rPr>
            </w:pPr>
            <w:r>
              <w:rPr>
                <w:rFonts w:ascii="Arial" w:cs="Arial" w:eastAsia="Arial" w:hAnsi="Arial"/>
                <w:sz w:val="17"/>
                <w:szCs w:val="17"/>
                <w:color w:val="auto"/>
              </w:rPr>
              <w:t>Workers’ compensation, property</w:t>
            </w:r>
          </w:p>
        </w:tc>
        <w:tc>
          <w:tcPr>
            <w:tcW w:w="380" w:type="dxa"/>
            <w:vAlign w:val="bottom"/>
            <w:shd w:val="clear" w:color="auto" w:fill="BFE4FF"/>
          </w:tcPr>
          <w:p>
            <w:pPr>
              <w:spacing w:after="0"/>
              <w:rPr>
                <w:sz w:val="18"/>
                <w:szCs w:val="18"/>
                <w:color w:val="auto"/>
              </w:rPr>
            </w:pPr>
          </w:p>
        </w:tc>
        <w:tc>
          <w:tcPr>
            <w:tcW w:w="1240" w:type="dxa"/>
            <w:vAlign w:val="bottom"/>
            <w:shd w:val="clear" w:color="auto" w:fill="BFE4FF"/>
          </w:tcPr>
          <w:p>
            <w:pPr>
              <w:spacing w:after="0"/>
              <w:rPr>
                <w:sz w:val="18"/>
                <w:szCs w:val="18"/>
                <w:color w:val="auto"/>
              </w:rPr>
            </w:pPr>
          </w:p>
        </w:tc>
        <w:tc>
          <w:tcPr>
            <w:tcW w:w="320" w:type="dxa"/>
            <w:vAlign w:val="bottom"/>
            <w:shd w:val="clear" w:color="auto" w:fill="BFE4FF"/>
          </w:tcPr>
          <w:p>
            <w:pPr>
              <w:spacing w:after="0"/>
              <w:rPr>
                <w:sz w:val="18"/>
                <w:szCs w:val="18"/>
                <w:color w:val="auto"/>
              </w:rPr>
            </w:pPr>
          </w:p>
        </w:tc>
        <w:tc>
          <w:tcPr>
            <w:tcW w:w="1360" w:type="dxa"/>
            <w:vAlign w:val="bottom"/>
            <w:shd w:val="clear" w:color="auto" w:fill="BFE4FF"/>
          </w:tcPr>
          <w:p>
            <w:pPr>
              <w:spacing w:after="0"/>
              <w:rPr>
                <w:sz w:val="18"/>
                <w:szCs w:val="18"/>
                <w:color w:val="auto"/>
              </w:rPr>
            </w:pPr>
          </w:p>
        </w:tc>
        <w:tc>
          <w:tcPr>
            <w:tcW w:w="120" w:type="dxa"/>
            <w:vAlign w:val="bottom"/>
            <w:shd w:val="clear" w:color="auto" w:fill="BFE4FF"/>
          </w:tcPr>
          <w:p>
            <w:pPr>
              <w:spacing w:after="0"/>
              <w:rPr>
                <w:sz w:val="18"/>
                <w:szCs w:val="18"/>
                <w:color w:val="auto"/>
              </w:rPr>
            </w:pPr>
          </w:p>
        </w:tc>
        <w:tc>
          <w:tcPr>
            <w:tcW w:w="320" w:type="dxa"/>
            <w:vAlign w:val="bottom"/>
            <w:shd w:val="clear" w:color="auto" w:fill="BFE4FF"/>
          </w:tcPr>
          <w:p>
            <w:pPr>
              <w:spacing w:after="0"/>
              <w:rPr>
                <w:sz w:val="18"/>
                <w:szCs w:val="18"/>
                <w:color w:val="auto"/>
              </w:rPr>
            </w:pPr>
          </w:p>
        </w:tc>
        <w:tc>
          <w:tcPr>
            <w:tcW w:w="1260" w:type="dxa"/>
            <w:vAlign w:val="bottom"/>
            <w:shd w:val="clear" w:color="auto" w:fill="BFE4FF"/>
          </w:tcPr>
          <w:p>
            <w:pPr>
              <w:spacing w:after="0"/>
              <w:rPr>
                <w:sz w:val="18"/>
                <w:szCs w:val="18"/>
                <w:color w:val="auto"/>
              </w:rPr>
            </w:pPr>
          </w:p>
        </w:tc>
        <w:tc>
          <w:tcPr>
            <w:tcW w:w="120" w:type="dxa"/>
            <w:vAlign w:val="bottom"/>
            <w:shd w:val="clear" w:color="auto" w:fill="BFE4FF"/>
          </w:tcPr>
          <w:p>
            <w:pPr>
              <w:spacing w:after="0"/>
              <w:rPr>
                <w:sz w:val="18"/>
                <w:szCs w:val="18"/>
                <w:color w:val="auto"/>
              </w:rPr>
            </w:pPr>
          </w:p>
        </w:tc>
        <w:tc>
          <w:tcPr>
            <w:tcW w:w="320" w:type="dxa"/>
            <w:vAlign w:val="bottom"/>
            <w:shd w:val="clear" w:color="auto" w:fill="BFE4FF"/>
          </w:tcPr>
          <w:p>
            <w:pPr>
              <w:spacing w:after="0"/>
              <w:rPr>
                <w:sz w:val="18"/>
                <w:szCs w:val="18"/>
                <w:color w:val="auto"/>
              </w:rPr>
            </w:pPr>
          </w:p>
        </w:tc>
        <w:tc>
          <w:tcPr>
            <w:tcW w:w="1260" w:type="dxa"/>
            <w:vAlign w:val="bottom"/>
            <w:shd w:val="clear" w:color="auto" w:fill="BFE4FF"/>
          </w:tcPr>
          <w:p>
            <w:pPr>
              <w:spacing w:after="0"/>
              <w:rPr>
                <w:sz w:val="18"/>
                <w:szCs w:val="18"/>
                <w:color w:val="auto"/>
              </w:rPr>
            </w:pPr>
          </w:p>
        </w:tc>
        <w:tc>
          <w:tcPr>
            <w:tcW w:w="120" w:type="dxa"/>
            <w:vAlign w:val="bottom"/>
            <w:shd w:val="clear" w:color="auto" w:fill="BFE4FF"/>
          </w:tcPr>
          <w:p>
            <w:pPr>
              <w:spacing w:after="0"/>
              <w:rPr>
                <w:sz w:val="18"/>
                <w:szCs w:val="18"/>
                <w:color w:val="auto"/>
              </w:rPr>
            </w:pPr>
          </w:p>
        </w:tc>
        <w:tc>
          <w:tcPr>
            <w:tcW w:w="180" w:type="dxa"/>
            <w:vAlign w:val="bottom"/>
            <w:shd w:val="clear" w:color="auto" w:fill="BFE4FF"/>
          </w:tcPr>
          <w:p>
            <w:pPr>
              <w:spacing w:after="0"/>
              <w:rPr>
                <w:sz w:val="18"/>
                <w:szCs w:val="18"/>
                <w:color w:val="auto"/>
              </w:rPr>
            </w:pPr>
          </w:p>
        </w:tc>
        <w:tc>
          <w:tcPr>
            <w:tcW w:w="1400" w:type="dxa"/>
            <w:vAlign w:val="bottom"/>
            <w:shd w:val="clear" w:color="auto" w:fill="BFE4FF"/>
          </w:tcPr>
          <w:p>
            <w:pPr>
              <w:spacing w:after="0"/>
              <w:rPr>
                <w:sz w:val="18"/>
                <w:szCs w:val="18"/>
                <w:color w:val="auto"/>
              </w:rPr>
            </w:pPr>
          </w:p>
        </w:tc>
      </w:tr>
      <w:tr>
        <w:trPr>
          <w:trHeight w:val="200"/>
        </w:trPr>
        <w:tc>
          <w:tcPr>
            <w:tcW w:w="2980" w:type="dxa"/>
            <w:vAlign w:val="bottom"/>
            <w:shd w:val="clear" w:color="auto" w:fill="BFE4FF"/>
          </w:tcPr>
          <w:p>
            <w:pPr>
              <w:ind w:left="360"/>
              <w:spacing w:after="0"/>
              <w:rPr>
                <w:sz w:val="20"/>
                <w:szCs w:val="20"/>
                <w:color w:val="auto"/>
              </w:rPr>
            </w:pPr>
            <w:r>
              <w:rPr>
                <w:rFonts w:ascii="Arial" w:cs="Arial" w:eastAsia="Arial" w:hAnsi="Arial"/>
                <w:sz w:val="17"/>
                <w:szCs w:val="17"/>
                <w:color w:val="auto"/>
              </w:rPr>
              <w:t>damage and liability claims</w:t>
            </w:r>
          </w:p>
        </w:tc>
        <w:tc>
          <w:tcPr>
            <w:tcW w:w="380" w:type="dxa"/>
            <w:vAlign w:val="bottom"/>
            <w:shd w:val="clear" w:color="auto" w:fill="BFE4FF"/>
          </w:tcPr>
          <w:p>
            <w:pPr>
              <w:spacing w:after="0"/>
              <w:rPr>
                <w:sz w:val="17"/>
                <w:szCs w:val="17"/>
                <w:color w:val="auto"/>
              </w:rPr>
            </w:pPr>
          </w:p>
        </w:tc>
        <w:tc>
          <w:tcPr>
            <w:tcW w:w="1240" w:type="dxa"/>
            <w:vAlign w:val="bottom"/>
            <w:shd w:val="clear" w:color="auto" w:fill="BFE4FF"/>
          </w:tcPr>
          <w:p>
            <w:pPr>
              <w:spacing w:after="0"/>
              <w:rPr>
                <w:sz w:val="17"/>
                <w:szCs w:val="17"/>
                <w:color w:val="auto"/>
              </w:rPr>
            </w:pPr>
          </w:p>
        </w:tc>
        <w:tc>
          <w:tcPr>
            <w:tcW w:w="320" w:type="dxa"/>
            <w:vAlign w:val="bottom"/>
            <w:shd w:val="clear" w:color="auto" w:fill="BFE4FF"/>
          </w:tcPr>
          <w:p>
            <w:pPr>
              <w:spacing w:after="0"/>
              <w:rPr>
                <w:sz w:val="17"/>
                <w:szCs w:val="17"/>
                <w:color w:val="auto"/>
              </w:rPr>
            </w:pPr>
          </w:p>
        </w:tc>
        <w:tc>
          <w:tcPr>
            <w:tcW w:w="1360" w:type="dxa"/>
            <w:vAlign w:val="bottom"/>
            <w:shd w:val="clear" w:color="auto" w:fill="BFE4FF"/>
          </w:tcPr>
          <w:p>
            <w:pPr>
              <w:spacing w:after="0"/>
              <w:rPr>
                <w:sz w:val="17"/>
                <w:szCs w:val="17"/>
                <w:color w:val="auto"/>
              </w:rPr>
            </w:pPr>
          </w:p>
        </w:tc>
        <w:tc>
          <w:tcPr>
            <w:tcW w:w="120" w:type="dxa"/>
            <w:vAlign w:val="bottom"/>
            <w:shd w:val="clear" w:color="auto" w:fill="BFE4FF"/>
          </w:tcPr>
          <w:p>
            <w:pPr>
              <w:spacing w:after="0"/>
              <w:rPr>
                <w:sz w:val="17"/>
                <w:szCs w:val="17"/>
                <w:color w:val="auto"/>
              </w:rPr>
            </w:pPr>
          </w:p>
        </w:tc>
        <w:tc>
          <w:tcPr>
            <w:tcW w:w="320" w:type="dxa"/>
            <w:vAlign w:val="bottom"/>
            <w:shd w:val="clear" w:color="auto" w:fill="BFE4FF"/>
          </w:tcPr>
          <w:p>
            <w:pPr>
              <w:spacing w:after="0"/>
              <w:rPr>
                <w:sz w:val="17"/>
                <w:szCs w:val="17"/>
                <w:color w:val="auto"/>
              </w:rPr>
            </w:pPr>
          </w:p>
        </w:tc>
        <w:tc>
          <w:tcPr>
            <w:tcW w:w="1260" w:type="dxa"/>
            <w:vAlign w:val="bottom"/>
            <w:shd w:val="clear" w:color="auto" w:fill="BFE4FF"/>
          </w:tcPr>
          <w:p>
            <w:pPr>
              <w:spacing w:after="0"/>
              <w:rPr>
                <w:sz w:val="17"/>
                <w:szCs w:val="17"/>
                <w:color w:val="auto"/>
              </w:rPr>
            </w:pPr>
          </w:p>
        </w:tc>
        <w:tc>
          <w:tcPr>
            <w:tcW w:w="120" w:type="dxa"/>
            <w:vAlign w:val="bottom"/>
            <w:shd w:val="clear" w:color="auto" w:fill="BFE4FF"/>
          </w:tcPr>
          <w:p>
            <w:pPr>
              <w:spacing w:after="0"/>
              <w:rPr>
                <w:sz w:val="17"/>
                <w:szCs w:val="17"/>
                <w:color w:val="auto"/>
              </w:rPr>
            </w:pPr>
          </w:p>
        </w:tc>
        <w:tc>
          <w:tcPr>
            <w:tcW w:w="320" w:type="dxa"/>
            <w:vAlign w:val="bottom"/>
            <w:shd w:val="clear" w:color="auto" w:fill="BFE4FF"/>
          </w:tcPr>
          <w:p>
            <w:pPr>
              <w:spacing w:after="0"/>
              <w:rPr>
                <w:sz w:val="17"/>
                <w:szCs w:val="17"/>
                <w:color w:val="auto"/>
              </w:rPr>
            </w:pPr>
          </w:p>
        </w:tc>
        <w:tc>
          <w:tcPr>
            <w:tcW w:w="1260" w:type="dxa"/>
            <w:vAlign w:val="bottom"/>
            <w:shd w:val="clear" w:color="auto" w:fill="BFE4FF"/>
          </w:tcPr>
          <w:p>
            <w:pPr>
              <w:spacing w:after="0"/>
              <w:rPr>
                <w:sz w:val="17"/>
                <w:szCs w:val="17"/>
                <w:color w:val="auto"/>
              </w:rPr>
            </w:pPr>
          </w:p>
        </w:tc>
        <w:tc>
          <w:tcPr>
            <w:tcW w:w="120" w:type="dxa"/>
            <w:vAlign w:val="bottom"/>
            <w:shd w:val="clear" w:color="auto" w:fill="BFE4FF"/>
          </w:tcPr>
          <w:p>
            <w:pPr>
              <w:spacing w:after="0"/>
              <w:rPr>
                <w:sz w:val="17"/>
                <w:szCs w:val="17"/>
                <w:color w:val="auto"/>
              </w:rPr>
            </w:pPr>
          </w:p>
        </w:tc>
        <w:tc>
          <w:tcPr>
            <w:tcW w:w="180" w:type="dxa"/>
            <w:vAlign w:val="bottom"/>
            <w:shd w:val="clear" w:color="auto" w:fill="BFE4FF"/>
          </w:tcPr>
          <w:p>
            <w:pPr>
              <w:spacing w:after="0"/>
              <w:rPr>
                <w:sz w:val="17"/>
                <w:szCs w:val="17"/>
                <w:color w:val="auto"/>
              </w:rPr>
            </w:pPr>
          </w:p>
        </w:tc>
        <w:tc>
          <w:tcPr>
            <w:tcW w:w="1400" w:type="dxa"/>
            <w:vAlign w:val="bottom"/>
            <w:shd w:val="clear" w:color="auto" w:fill="BFE4FF"/>
          </w:tcPr>
          <w:p>
            <w:pPr>
              <w:spacing w:after="0"/>
              <w:rPr>
                <w:sz w:val="17"/>
                <w:szCs w:val="17"/>
                <w:color w:val="auto"/>
              </w:rPr>
            </w:pPr>
          </w:p>
        </w:tc>
      </w:tr>
      <w:tr>
        <w:trPr>
          <w:trHeight w:val="240"/>
        </w:trPr>
        <w:tc>
          <w:tcPr>
            <w:tcW w:w="2980" w:type="dxa"/>
            <w:vAlign w:val="bottom"/>
            <w:shd w:val="clear" w:color="auto" w:fill="BFE4FF"/>
          </w:tcPr>
          <w:p>
            <w:pPr>
              <w:ind w:left="360"/>
              <w:spacing w:after="0" w:line="241" w:lineRule="exact"/>
              <w:rPr>
                <w:sz w:val="20"/>
                <w:szCs w:val="20"/>
                <w:color w:val="auto"/>
              </w:rPr>
            </w:pPr>
            <w:r>
              <w:rPr>
                <w:rFonts w:ascii="Arial" w:cs="Arial" w:eastAsia="Arial" w:hAnsi="Arial"/>
                <w:sz w:val="17"/>
                <w:szCs w:val="17"/>
                <w:color w:val="auto"/>
              </w:rPr>
              <w:t>obligations</w:t>
            </w:r>
            <w:r>
              <w:rPr>
                <w:rFonts w:ascii="Arial" w:cs="Arial" w:eastAsia="Arial" w:hAnsi="Arial"/>
                <w:sz w:val="23"/>
                <w:szCs w:val="23"/>
                <w:color w:val="auto"/>
                <w:vertAlign w:val="superscript"/>
              </w:rPr>
              <w:t>(e)</w:t>
            </w:r>
          </w:p>
        </w:tc>
        <w:tc>
          <w:tcPr>
            <w:tcW w:w="380" w:type="dxa"/>
            <w:vAlign w:val="bottom"/>
            <w:shd w:val="clear" w:color="auto" w:fill="BFE4FF"/>
          </w:tcPr>
          <w:p>
            <w:pPr>
              <w:spacing w:after="0"/>
              <w:rPr>
                <w:sz w:val="20"/>
                <w:szCs w:val="20"/>
                <w:color w:val="auto"/>
              </w:rPr>
            </w:pPr>
          </w:p>
        </w:tc>
        <w:tc>
          <w:tcPr>
            <w:tcW w:w="1240" w:type="dxa"/>
            <w:vAlign w:val="bottom"/>
            <w:shd w:val="clear" w:color="auto" w:fill="BFE4FF"/>
          </w:tcPr>
          <w:p>
            <w:pPr>
              <w:jc w:val="right"/>
              <w:ind w:right="58"/>
              <w:spacing w:after="0"/>
              <w:rPr>
                <w:sz w:val="20"/>
                <w:szCs w:val="20"/>
                <w:color w:val="auto"/>
              </w:rPr>
            </w:pPr>
            <w:r>
              <w:rPr>
                <w:rFonts w:ascii="Arial" w:cs="Arial" w:eastAsia="Arial" w:hAnsi="Arial"/>
                <w:sz w:val="17"/>
                <w:szCs w:val="17"/>
                <w:color w:val="auto"/>
              </w:rPr>
              <w:t>367.9</w:t>
            </w:r>
          </w:p>
        </w:tc>
        <w:tc>
          <w:tcPr>
            <w:tcW w:w="320" w:type="dxa"/>
            <w:vAlign w:val="bottom"/>
            <w:shd w:val="clear" w:color="auto" w:fill="BFE4FF"/>
          </w:tcPr>
          <w:p>
            <w:pPr>
              <w:spacing w:after="0"/>
              <w:rPr>
                <w:sz w:val="20"/>
                <w:szCs w:val="20"/>
                <w:color w:val="auto"/>
              </w:rPr>
            </w:pPr>
          </w:p>
        </w:tc>
        <w:tc>
          <w:tcPr>
            <w:tcW w:w="1360" w:type="dxa"/>
            <w:vAlign w:val="bottom"/>
            <w:shd w:val="clear" w:color="auto" w:fill="BFE4FF"/>
          </w:tcPr>
          <w:p>
            <w:pPr>
              <w:jc w:val="right"/>
              <w:ind w:right="38"/>
              <w:spacing w:after="0"/>
              <w:rPr>
                <w:sz w:val="20"/>
                <w:szCs w:val="20"/>
                <w:color w:val="auto"/>
              </w:rPr>
            </w:pPr>
            <w:r>
              <w:rPr>
                <w:rFonts w:ascii="Arial" w:cs="Arial" w:eastAsia="Arial" w:hAnsi="Arial"/>
                <w:sz w:val="17"/>
                <w:szCs w:val="17"/>
                <w:color w:val="auto"/>
              </w:rPr>
              <w:t>101.1</w:t>
            </w:r>
          </w:p>
        </w:tc>
        <w:tc>
          <w:tcPr>
            <w:tcW w:w="120" w:type="dxa"/>
            <w:vAlign w:val="bottom"/>
            <w:shd w:val="clear" w:color="auto" w:fill="BFE4FF"/>
          </w:tcPr>
          <w:p>
            <w:pPr>
              <w:spacing w:after="0"/>
              <w:rPr>
                <w:sz w:val="20"/>
                <w:szCs w:val="20"/>
                <w:color w:val="auto"/>
              </w:rPr>
            </w:pPr>
          </w:p>
        </w:tc>
        <w:tc>
          <w:tcPr>
            <w:tcW w:w="320" w:type="dxa"/>
            <w:vAlign w:val="bottom"/>
            <w:shd w:val="clear" w:color="auto" w:fill="BFE4FF"/>
          </w:tcPr>
          <w:p>
            <w:pPr>
              <w:spacing w:after="0"/>
              <w:rPr>
                <w:sz w:val="20"/>
                <w:szCs w:val="20"/>
                <w:color w:val="auto"/>
              </w:rPr>
            </w:pPr>
          </w:p>
        </w:tc>
        <w:tc>
          <w:tcPr>
            <w:tcW w:w="1260" w:type="dxa"/>
            <w:vAlign w:val="bottom"/>
            <w:shd w:val="clear" w:color="auto" w:fill="BFE4FF"/>
          </w:tcPr>
          <w:p>
            <w:pPr>
              <w:jc w:val="right"/>
              <w:ind w:right="39"/>
              <w:spacing w:after="0"/>
              <w:rPr>
                <w:sz w:val="20"/>
                <w:szCs w:val="20"/>
                <w:color w:val="auto"/>
              </w:rPr>
            </w:pPr>
            <w:r>
              <w:rPr>
                <w:rFonts w:ascii="Arial" w:cs="Arial" w:eastAsia="Arial" w:hAnsi="Arial"/>
                <w:sz w:val="17"/>
                <w:szCs w:val="17"/>
                <w:color w:val="auto"/>
              </w:rPr>
              <w:t>117.1</w:t>
            </w:r>
          </w:p>
        </w:tc>
        <w:tc>
          <w:tcPr>
            <w:tcW w:w="120" w:type="dxa"/>
            <w:vAlign w:val="bottom"/>
            <w:shd w:val="clear" w:color="auto" w:fill="BFE4FF"/>
          </w:tcPr>
          <w:p>
            <w:pPr>
              <w:spacing w:after="0"/>
              <w:rPr>
                <w:sz w:val="20"/>
                <w:szCs w:val="20"/>
                <w:color w:val="auto"/>
              </w:rPr>
            </w:pPr>
          </w:p>
        </w:tc>
        <w:tc>
          <w:tcPr>
            <w:tcW w:w="320" w:type="dxa"/>
            <w:vAlign w:val="bottom"/>
            <w:shd w:val="clear" w:color="auto" w:fill="BFE4FF"/>
          </w:tcPr>
          <w:p>
            <w:pPr>
              <w:spacing w:after="0"/>
              <w:rPr>
                <w:sz w:val="20"/>
                <w:szCs w:val="20"/>
                <w:color w:val="auto"/>
              </w:rPr>
            </w:pPr>
          </w:p>
        </w:tc>
        <w:tc>
          <w:tcPr>
            <w:tcW w:w="1260" w:type="dxa"/>
            <w:vAlign w:val="bottom"/>
            <w:shd w:val="clear" w:color="auto" w:fill="BFE4FF"/>
          </w:tcPr>
          <w:p>
            <w:pPr>
              <w:jc w:val="right"/>
              <w:ind w:right="38"/>
              <w:spacing w:after="0"/>
              <w:rPr>
                <w:sz w:val="20"/>
                <w:szCs w:val="20"/>
                <w:color w:val="auto"/>
              </w:rPr>
            </w:pPr>
            <w:r>
              <w:rPr>
                <w:rFonts w:ascii="Arial" w:cs="Arial" w:eastAsia="Arial" w:hAnsi="Arial"/>
                <w:sz w:val="17"/>
                <w:szCs w:val="17"/>
                <w:color w:val="auto"/>
              </w:rPr>
              <w:t>52.0</w:t>
            </w:r>
          </w:p>
        </w:tc>
        <w:tc>
          <w:tcPr>
            <w:tcW w:w="120" w:type="dxa"/>
            <w:vAlign w:val="bottom"/>
            <w:shd w:val="clear" w:color="auto" w:fill="BFE4FF"/>
          </w:tcPr>
          <w:p>
            <w:pPr>
              <w:spacing w:after="0"/>
              <w:rPr>
                <w:sz w:val="20"/>
                <w:szCs w:val="20"/>
                <w:color w:val="auto"/>
              </w:rPr>
            </w:pPr>
          </w:p>
        </w:tc>
        <w:tc>
          <w:tcPr>
            <w:tcW w:w="180" w:type="dxa"/>
            <w:vAlign w:val="bottom"/>
            <w:shd w:val="clear" w:color="auto" w:fill="BFE4FF"/>
          </w:tcPr>
          <w:p>
            <w:pPr>
              <w:spacing w:after="0"/>
              <w:rPr>
                <w:sz w:val="20"/>
                <w:szCs w:val="20"/>
                <w:color w:val="auto"/>
              </w:rPr>
            </w:pPr>
          </w:p>
        </w:tc>
        <w:tc>
          <w:tcPr>
            <w:tcW w:w="1400" w:type="dxa"/>
            <w:vAlign w:val="bottom"/>
            <w:shd w:val="clear" w:color="auto" w:fill="BFE4FF"/>
          </w:tcPr>
          <w:p>
            <w:pPr>
              <w:jc w:val="right"/>
              <w:ind w:right="38"/>
              <w:spacing w:after="0"/>
              <w:rPr>
                <w:sz w:val="20"/>
                <w:szCs w:val="20"/>
                <w:color w:val="auto"/>
              </w:rPr>
            </w:pPr>
            <w:r>
              <w:rPr>
                <w:rFonts w:ascii="Arial" w:cs="Arial" w:eastAsia="Arial" w:hAnsi="Arial"/>
                <w:sz w:val="17"/>
                <w:szCs w:val="17"/>
                <w:color w:val="auto"/>
              </w:rPr>
              <w:t>97.7</w:t>
            </w:r>
          </w:p>
        </w:tc>
      </w:tr>
      <w:tr>
        <w:trPr>
          <w:trHeight w:val="252"/>
        </w:trPr>
        <w:tc>
          <w:tcPr>
            <w:tcW w:w="2980" w:type="dxa"/>
            <w:vAlign w:val="bottom"/>
          </w:tcPr>
          <w:p>
            <w:pPr>
              <w:ind w:left="360"/>
              <w:spacing w:after="0" w:line="252" w:lineRule="exact"/>
              <w:rPr>
                <w:sz w:val="20"/>
                <w:szCs w:val="20"/>
                <w:color w:val="auto"/>
              </w:rPr>
            </w:pPr>
            <w:r>
              <w:rPr>
                <w:rFonts w:ascii="Arial" w:cs="Arial" w:eastAsia="Arial" w:hAnsi="Arial"/>
                <w:sz w:val="17"/>
                <w:szCs w:val="17"/>
                <w:color w:val="auto"/>
              </w:rPr>
              <w:t>Operating leases</w:t>
            </w:r>
            <w:r>
              <w:rPr>
                <w:rFonts w:ascii="Arial" w:cs="Arial" w:eastAsia="Arial" w:hAnsi="Arial"/>
                <w:sz w:val="23"/>
                <w:szCs w:val="23"/>
                <w:color w:val="auto"/>
                <w:vertAlign w:val="superscript"/>
              </w:rPr>
              <w:t>(f)</w:t>
            </w:r>
          </w:p>
        </w:tc>
        <w:tc>
          <w:tcPr>
            <w:tcW w:w="380" w:type="dxa"/>
            <w:vAlign w:val="bottom"/>
          </w:tcPr>
          <w:p>
            <w:pPr>
              <w:spacing w:after="0"/>
              <w:rPr>
                <w:sz w:val="21"/>
                <w:szCs w:val="21"/>
                <w:color w:val="auto"/>
              </w:rPr>
            </w:pPr>
          </w:p>
        </w:tc>
        <w:tc>
          <w:tcPr>
            <w:tcW w:w="1240" w:type="dxa"/>
            <w:vAlign w:val="bottom"/>
          </w:tcPr>
          <w:p>
            <w:pPr>
              <w:jc w:val="right"/>
              <w:ind w:right="58"/>
              <w:spacing w:after="0"/>
              <w:rPr>
                <w:sz w:val="20"/>
                <w:szCs w:val="20"/>
                <w:color w:val="auto"/>
              </w:rPr>
            </w:pPr>
            <w:r>
              <w:rPr>
                <w:rFonts w:ascii="Arial" w:cs="Arial" w:eastAsia="Arial" w:hAnsi="Arial"/>
                <w:sz w:val="17"/>
                <w:szCs w:val="17"/>
                <w:color w:val="auto"/>
              </w:rPr>
              <w:t>316.6</w:t>
            </w:r>
          </w:p>
        </w:tc>
        <w:tc>
          <w:tcPr>
            <w:tcW w:w="320" w:type="dxa"/>
            <w:vAlign w:val="bottom"/>
          </w:tcPr>
          <w:p>
            <w:pPr>
              <w:spacing w:after="0"/>
              <w:rPr>
                <w:sz w:val="21"/>
                <w:szCs w:val="21"/>
                <w:color w:val="auto"/>
              </w:rPr>
            </w:pPr>
          </w:p>
        </w:tc>
        <w:tc>
          <w:tcPr>
            <w:tcW w:w="1360" w:type="dxa"/>
            <w:vAlign w:val="bottom"/>
          </w:tcPr>
          <w:p>
            <w:pPr>
              <w:jc w:val="right"/>
              <w:ind w:right="38"/>
              <w:spacing w:after="0"/>
              <w:rPr>
                <w:sz w:val="20"/>
                <w:szCs w:val="20"/>
                <w:color w:val="auto"/>
              </w:rPr>
            </w:pPr>
            <w:r>
              <w:rPr>
                <w:rFonts w:ascii="Arial" w:cs="Arial" w:eastAsia="Arial" w:hAnsi="Arial"/>
                <w:sz w:val="17"/>
                <w:szCs w:val="17"/>
                <w:color w:val="auto"/>
              </w:rPr>
              <w:t>103.8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ind w:right="39"/>
              <w:spacing w:after="0"/>
              <w:rPr>
                <w:sz w:val="20"/>
                <w:szCs w:val="20"/>
                <w:color w:val="auto"/>
              </w:rPr>
            </w:pPr>
            <w:r>
              <w:rPr>
                <w:rFonts w:ascii="Arial" w:cs="Arial" w:eastAsia="Arial" w:hAnsi="Arial"/>
                <w:sz w:val="17"/>
                <w:szCs w:val="17"/>
                <w:color w:val="auto"/>
              </w:rPr>
              <w:t>142.7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ind w:right="38"/>
              <w:spacing w:after="0"/>
              <w:rPr>
                <w:sz w:val="20"/>
                <w:szCs w:val="20"/>
                <w:color w:val="auto"/>
              </w:rPr>
            </w:pPr>
            <w:r>
              <w:rPr>
                <w:rFonts w:ascii="Arial" w:cs="Arial" w:eastAsia="Arial" w:hAnsi="Arial"/>
                <w:sz w:val="17"/>
                <w:szCs w:val="17"/>
                <w:color w:val="auto"/>
              </w:rPr>
              <w:t>53.1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38"/>
              <w:spacing w:after="0"/>
              <w:rPr>
                <w:sz w:val="20"/>
                <w:szCs w:val="20"/>
                <w:color w:val="auto"/>
              </w:rPr>
            </w:pPr>
            <w:r>
              <w:rPr>
                <w:rFonts w:ascii="Arial" w:cs="Arial" w:eastAsia="Arial" w:hAnsi="Arial"/>
                <w:sz w:val="17"/>
                <w:szCs w:val="17"/>
                <w:color w:val="auto"/>
              </w:rPr>
              <w:t>17.0</w:t>
            </w:r>
          </w:p>
        </w:tc>
      </w:tr>
      <w:tr>
        <w:trPr>
          <w:trHeight w:val="252"/>
        </w:trPr>
        <w:tc>
          <w:tcPr>
            <w:tcW w:w="2980" w:type="dxa"/>
            <w:vAlign w:val="bottom"/>
            <w:shd w:val="clear" w:color="auto" w:fill="BFE4FF"/>
          </w:tcPr>
          <w:p>
            <w:pPr>
              <w:ind w:left="360"/>
              <w:spacing w:after="0" w:line="252" w:lineRule="exact"/>
              <w:rPr>
                <w:sz w:val="20"/>
                <w:szCs w:val="20"/>
                <w:color w:val="auto"/>
              </w:rPr>
            </w:pPr>
            <w:r>
              <w:rPr>
                <w:rFonts w:ascii="Arial" w:cs="Arial" w:eastAsia="Arial" w:hAnsi="Arial"/>
                <w:sz w:val="17"/>
                <w:szCs w:val="17"/>
                <w:color w:val="auto"/>
              </w:rPr>
              <w:t>Other contractual obligations</w:t>
            </w:r>
            <w:r>
              <w:rPr>
                <w:rFonts w:ascii="Arial" w:cs="Arial" w:eastAsia="Arial" w:hAnsi="Arial"/>
                <w:sz w:val="23"/>
                <w:szCs w:val="23"/>
                <w:color w:val="auto"/>
                <w:vertAlign w:val="superscript"/>
              </w:rPr>
              <w:t>(g)</w:t>
            </w:r>
          </w:p>
        </w:tc>
        <w:tc>
          <w:tcPr>
            <w:tcW w:w="380" w:type="dxa"/>
            <w:vAlign w:val="bottom"/>
            <w:shd w:val="clear" w:color="auto" w:fill="BFE4FF"/>
          </w:tcPr>
          <w:p>
            <w:pPr>
              <w:spacing w:after="0"/>
              <w:rPr>
                <w:sz w:val="21"/>
                <w:szCs w:val="21"/>
                <w:color w:val="auto"/>
              </w:rPr>
            </w:pPr>
          </w:p>
        </w:tc>
        <w:tc>
          <w:tcPr>
            <w:tcW w:w="1240" w:type="dxa"/>
            <w:vAlign w:val="bottom"/>
            <w:shd w:val="clear" w:color="auto" w:fill="BFE4FF"/>
          </w:tcPr>
          <w:p>
            <w:pPr>
              <w:jc w:val="right"/>
              <w:ind w:right="58"/>
              <w:spacing w:after="0"/>
              <w:rPr>
                <w:sz w:val="20"/>
                <w:szCs w:val="20"/>
                <w:color w:val="auto"/>
              </w:rPr>
            </w:pPr>
            <w:r>
              <w:rPr>
                <w:rFonts w:ascii="Arial" w:cs="Arial" w:eastAsia="Arial" w:hAnsi="Arial"/>
                <w:sz w:val="17"/>
                <w:szCs w:val="17"/>
                <w:color w:val="auto"/>
              </w:rPr>
              <w:t>16.6</w:t>
            </w:r>
          </w:p>
        </w:tc>
        <w:tc>
          <w:tcPr>
            <w:tcW w:w="320" w:type="dxa"/>
            <w:vAlign w:val="bottom"/>
            <w:shd w:val="clear" w:color="auto" w:fill="BFE4FF"/>
          </w:tcPr>
          <w:p>
            <w:pPr>
              <w:spacing w:after="0"/>
              <w:rPr>
                <w:sz w:val="21"/>
                <w:szCs w:val="21"/>
                <w:color w:val="auto"/>
              </w:rPr>
            </w:pPr>
          </w:p>
        </w:tc>
        <w:tc>
          <w:tcPr>
            <w:tcW w:w="1360" w:type="dxa"/>
            <w:vAlign w:val="bottom"/>
            <w:shd w:val="clear" w:color="auto" w:fill="BFE4FF"/>
          </w:tcPr>
          <w:p>
            <w:pPr>
              <w:jc w:val="right"/>
              <w:ind w:right="38"/>
              <w:spacing w:after="0"/>
              <w:rPr>
                <w:sz w:val="20"/>
                <w:szCs w:val="20"/>
                <w:color w:val="auto"/>
              </w:rPr>
            </w:pPr>
            <w:r>
              <w:rPr>
                <w:rFonts w:ascii="Arial" w:cs="Arial" w:eastAsia="Arial" w:hAnsi="Arial"/>
                <w:sz w:val="17"/>
                <w:szCs w:val="17"/>
                <w:color w:val="auto"/>
              </w:rPr>
              <w:t>15.8</w:t>
            </w:r>
          </w:p>
        </w:tc>
        <w:tc>
          <w:tcPr>
            <w:tcW w:w="120" w:type="dxa"/>
            <w:vAlign w:val="bottom"/>
            <w:shd w:val="clear" w:color="auto" w:fill="BFE4FF"/>
          </w:tcPr>
          <w:p>
            <w:pPr>
              <w:spacing w:after="0"/>
              <w:rPr>
                <w:sz w:val="21"/>
                <w:szCs w:val="21"/>
                <w:color w:val="auto"/>
              </w:rPr>
            </w:pPr>
          </w:p>
        </w:tc>
        <w:tc>
          <w:tcPr>
            <w:tcW w:w="320" w:type="dxa"/>
            <w:vAlign w:val="bottom"/>
            <w:shd w:val="clear" w:color="auto" w:fill="BFE4FF"/>
          </w:tcPr>
          <w:p>
            <w:pPr>
              <w:spacing w:after="0"/>
              <w:rPr>
                <w:sz w:val="21"/>
                <w:szCs w:val="21"/>
                <w:color w:val="auto"/>
              </w:rPr>
            </w:pPr>
          </w:p>
        </w:tc>
        <w:tc>
          <w:tcPr>
            <w:tcW w:w="1260" w:type="dxa"/>
            <w:vAlign w:val="bottom"/>
            <w:shd w:val="clear" w:color="auto" w:fill="BFE4FF"/>
          </w:tcPr>
          <w:p>
            <w:pPr>
              <w:jc w:val="right"/>
              <w:ind w:right="39"/>
              <w:spacing w:after="0"/>
              <w:rPr>
                <w:sz w:val="20"/>
                <w:szCs w:val="20"/>
                <w:color w:val="auto"/>
              </w:rPr>
            </w:pPr>
            <w:r>
              <w:rPr>
                <w:rFonts w:ascii="Arial" w:cs="Arial" w:eastAsia="Arial" w:hAnsi="Arial"/>
                <w:sz w:val="17"/>
                <w:szCs w:val="17"/>
                <w:color w:val="auto"/>
              </w:rPr>
              <w:t>0.7</w:t>
            </w:r>
          </w:p>
        </w:tc>
        <w:tc>
          <w:tcPr>
            <w:tcW w:w="120" w:type="dxa"/>
            <w:vAlign w:val="bottom"/>
            <w:shd w:val="clear" w:color="auto" w:fill="BFE4FF"/>
          </w:tcPr>
          <w:p>
            <w:pPr>
              <w:spacing w:after="0"/>
              <w:rPr>
                <w:sz w:val="21"/>
                <w:szCs w:val="21"/>
                <w:color w:val="auto"/>
              </w:rPr>
            </w:pPr>
          </w:p>
        </w:tc>
        <w:tc>
          <w:tcPr>
            <w:tcW w:w="320" w:type="dxa"/>
            <w:vAlign w:val="bottom"/>
            <w:shd w:val="clear" w:color="auto" w:fill="BFE4FF"/>
          </w:tcPr>
          <w:p>
            <w:pPr>
              <w:spacing w:after="0"/>
              <w:rPr>
                <w:sz w:val="21"/>
                <w:szCs w:val="21"/>
                <w:color w:val="auto"/>
              </w:rPr>
            </w:pPr>
          </w:p>
        </w:tc>
        <w:tc>
          <w:tcPr>
            <w:tcW w:w="1260" w:type="dxa"/>
            <w:vAlign w:val="bottom"/>
            <w:shd w:val="clear" w:color="auto" w:fill="BFE4FF"/>
          </w:tcPr>
          <w:p>
            <w:pPr>
              <w:jc w:val="right"/>
              <w:ind w:right="38"/>
              <w:spacing w:after="0"/>
              <w:rPr>
                <w:sz w:val="20"/>
                <w:szCs w:val="20"/>
                <w:color w:val="auto"/>
              </w:rPr>
            </w:pPr>
            <w:r>
              <w:rPr>
                <w:rFonts w:ascii="Arial" w:cs="Arial" w:eastAsia="Arial" w:hAnsi="Arial"/>
                <w:sz w:val="17"/>
                <w:szCs w:val="17"/>
                <w:color w:val="auto"/>
              </w:rPr>
              <w:t>0.1</w:t>
            </w:r>
          </w:p>
        </w:tc>
        <w:tc>
          <w:tcPr>
            <w:tcW w:w="120" w:type="dxa"/>
            <w:vAlign w:val="bottom"/>
            <w:shd w:val="clear" w:color="auto" w:fill="BFE4FF"/>
          </w:tcPr>
          <w:p>
            <w:pPr>
              <w:spacing w:after="0"/>
              <w:rPr>
                <w:sz w:val="21"/>
                <w:szCs w:val="21"/>
                <w:color w:val="auto"/>
              </w:rPr>
            </w:pPr>
          </w:p>
        </w:tc>
        <w:tc>
          <w:tcPr>
            <w:tcW w:w="180" w:type="dxa"/>
            <w:vAlign w:val="bottom"/>
            <w:shd w:val="clear" w:color="auto" w:fill="BFE4FF"/>
          </w:tcPr>
          <w:p>
            <w:pPr>
              <w:spacing w:after="0"/>
              <w:rPr>
                <w:sz w:val="21"/>
                <w:szCs w:val="21"/>
                <w:color w:val="auto"/>
              </w:rPr>
            </w:pPr>
          </w:p>
        </w:tc>
        <w:tc>
          <w:tcPr>
            <w:tcW w:w="1400" w:type="dxa"/>
            <w:vAlign w:val="bottom"/>
            <w:shd w:val="clear" w:color="auto" w:fill="BFE4FF"/>
          </w:tcPr>
          <w:p>
            <w:pPr>
              <w:jc w:val="right"/>
              <w:ind w:right="38"/>
              <w:spacing w:after="0"/>
              <w:rPr>
                <w:sz w:val="20"/>
                <w:szCs w:val="20"/>
                <w:color w:val="auto"/>
              </w:rPr>
            </w:pPr>
            <w:r>
              <w:rPr>
                <w:rFonts w:ascii="Arial" w:cs="Arial" w:eastAsia="Arial" w:hAnsi="Arial"/>
                <w:sz w:val="17"/>
                <w:szCs w:val="17"/>
                <w:color w:val="auto"/>
              </w:rPr>
              <w:t>—</w:t>
            </w:r>
          </w:p>
        </w:tc>
      </w:tr>
      <w:tr>
        <w:trPr>
          <w:trHeight w:val="252"/>
        </w:trPr>
        <w:tc>
          <w:tcPr>
            <w:tcW w:w="2980" w:type="dxa"/>
            <w:vAlign w:val="bottom"/>
          </w:tcPr>
          <w:p>
            <w:pPr>
              <w:ind w:left="360"/>
              <w:spacing w:after="0" w:line="252" w:lineRule="exact"/>
              <w:rPr>
                <w:sz w:val="20"/>
                <w:szCs w:val="20"/>
                <w:color w:val="auto"/>
              </w:rPr>
            </w:pPr>
            <w:r>
              <w:rPr>
                <w:rFonts w:ascii="Arial" w:cs="Arial" w:eastAsia="Arial" w:hAnsi="Arial"/>
                <w:sz w:val="17"/>
                <w:szCs w:val="17"/>
                <w:color w:val="auto"/>
              </w:rPr>
              <w:t>Capital expenditures</w:t>
            </w:r>
            <w:r>
              <w:rPr>
                <w:rFonts w:ascii="Arial" w:cs="Arial" w:eastAsia="Arial" w:hAnsi="Arial"/>
                <w:sz w:val="23"/>
                <w:szCs w:val="23"/>
                <w:color w:val="auto"/>
                <w:vertAlign w:val="superscript"/>
              </w:rPr>
              <w:t>(h)</w:t>
            </w:r>
          </w:p>
        </w:tc>
        <w:tc>
          <w:tcPr>
            <w:tcW w:w="380" w:type="dxa"/>
            <w:vAlign w:val="bottom"/>
          </w:tcPr>
          <w:p>
            <w:pPr>
              <w:spacing w:after="0"/>
              <w:rPr>
                <w:sz w:val="21"/>
                <w:szCs w:val="21"/>
                <w:color w:val="auto"/>
              </w:rPr>
            </w:pPr>
          </w:p>
        </w:tc>
        <w:tc>
          <w:tcPr>
            <w:tcW w:w="1240" w:type="dxa"/>
            <w:vAlign w:val="bottom"/>
          </w:tcPr>
          <w:p>
            <w:pPr>
              <w:jc w:val="right"/>
              <w:ind w:right="58"/>
              <w:spacing w:after="0"/>
              <w:rPr>
                <w:sz w:val="20"/>
                <w:szCs w:val="20"/>
                <w:color w:val="auto"/>
              </w:rPr>
            </w:pPr>
            <w:r>
              <w:rPr>
                <w:rFonts w:ascii="Arial" w:cs="Arial" w:eastAsia="Arial" w:hAnsi="Arial"/>
                <w:sz w:val="17"/>
                <w:szCs w:val="17"/>
                <w:color w:val="auto"/>
              </w:rPr>
              <w:t>14.7</w:t>
            </w:r>
          </w:p>
        </w:tc>
        <w:tc>
          <w:tcPr>
            <w:tcW w:w="320" w:type="dxa"/>
            <w:vAlign w:val="bottom"/>
          </w:tcPr>
          <w:p>
            <w:pPr>
              <w:spacing w:after="0"/>
              <w:rPr>
                <w:sz w:val="21"/>
                <w:szCs w:val="21"/>
                <w:color w:val="auto"/>
              </w:rPr>
            </w:pPr>
          </w:p>
        </w:tc>
        <w:tc>
          <w:tcPr>
            <w:tcW w:w="1360" w:type="dxa"/>
            <w:vAlign w:val="bottom"/>
          </w:tcPr>
          <w:p>
            <w:pPr>
              <w:jc w:val="right"/>
              <w:ind w:right="38"/>
              <w:spacing w:after="0"/>
              <w:rPr>
                <w:sz w:val="20"/>
                <w:szCs w:val="20"/>
                <w:color w:val="auto"/>
              </w:rPr>
            </w:pPr>
            <w:r>
              <w:rPr>
                <w:rFonts w:ascii="Arial" w:cs="Arial" w:eastAsia="Arial" w:hAnsi="Arial"/>
                <w:sz w:val="17"/>
                <w:szCs w:val="17"/>
                <w:color w:val="auto"/>
              </w:rPr>
              <w:t>14.7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21"/>
                <w:szCs w:val="21"/>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1"/>
                <w:szCs w:val="21"/>
                <w:color w:val="auto"/>
              </w:rPr>
            </w:pPr>
          </w:p>
        </w:tc>
        <w:tc>
          <w:tcPr>
            <w:tcW w:w="1400" w:type="dxa"/>
            <w:vAlign w:val="bottom"/>
          </w:tcPr>
          <w:p>
            <w:pPr>
              <w:jc w:val="right"/>
              <w:ind w:right="38"/>
              <w:spacing w:after="0"/>
              <w:rPr>
                <w:sz w:val="20"/>
                <w:szCs w:val="20"/>
                <w:color w:val="auto"/>
              </w:rPr>
            </w:pPr>
            <w:r>
              <w:rPr>
                <w:rFonts w:ascii="Arial" w:cs="Arial" w:eastAsia="Arial" w:hAnsi="Arial"/>
                <w:sz w:val="17"/>
                <w:szCs w:val="17"/>
                <w:color w:val="auto"/>
              </w:rPr>
              <w:t>—</w:t>
            </w:r>
          </w:p>
        </w:tc>
      </w:tr>
      <w:tr>
        <w:trPr>
          <w:trHeight w:val="249"/>
        </w:trPr>
        <w:tc>
          <w:tcPr>
            <w:tcW w:w="2980" w:type="dxa"/>
            <w:vAlign w:val="bottom"/>
            <w:tcBorders>
              <w:top w:val="single" w:sz="8" w:color="BFE4FF"/>
              <w:bottom w:val="single" w:sz="8" w:color="BFE4FF"/>
            </w:tcBorders>
            <w:shd w:val="clear" w:color="auto" w:fill="BFE4FF"/>
          </w:tcPr>
          <w:p>
            <w:pPr>
              <w:ind w:left="20"/>
              <w:spacing w:after="0"/>
              <w:rPr>
                <w:sz w:val="20"/>
                <w:szCs w:val="20"/>
                <w:color w:val="auto"/>
              </w:rPr>
            </w:pPr>
            <w:r>
              <w:rPr>
                <w:rFonts w:ascii="Arial" w:cs="Arial" w:eastAsia="Arial" w:hAnsi="Arial"/>
                <w:sz w:val="17"/>
                <w:szCs w:val="17"/>
                <w:color w:val="auto"/>
              </w:rPr>
              <w:t>Total contractual obligations</w:t>
            </w:r>
          </w:p>
        </w:tc>
        <w:tc>
          <w:tcPr>
            <w:tcW w:w="380" w:type="dxa"/>
            <w:vAlign w:val="bottom"/>
            <w:tcBorders>
              <w:top w:val="single" w:sz="8" w:color="auto"/>
              <w:bottom w:val="single" w:sz="8" w:color="BFE4FF"/>
            </w:tcBorders>
            <w:shd w:val="clear" w:color="auto" w:fill="BFE4FF"/>
          </w:tcPr>
          <w:p>
            <w:pPr>
              <w:jc w:val="right"/>
              <w:ind w:right="196"/>
              <w:spacing w:after="0"/>
              <w:rPr>
                <w:sz w:val="20"/>
                <w:szCs w:val="20"/>
                <w:color w:val="auto"/>
              </w:rPr>
            </w:pPr>
            <w:r>
              <w:rPr>
                <w:rFonts w:ascii="Arial" w:cs="Arial" w:eastAsia="Arial" w:hAnsi="Arial"/>
                <w:sz w:val="17"/>
                <w:szCs w:val="17"/>
                <w:color w:val="auto"/>
                <w:w w:val="84"/>
              </w:rPr>
              <w:t>$</w:t>
            </w:r>
          </w:p>
        </w:tc>
        <w:tc>
          <w:tcPr>
            <w:tcW w:w="1240" w:type="dxa"/>
            <w:vAlign w:val="bottom"/>
            <w:tcBorders>
              <w:top w:val="single" w:sz="8" w:color="auto"/>
              <w:bottom w:val="single" w:sz="8" w:color="BFE4FF"/>
            </w:tcBorders>
            <w:shd w:val="clear" w:color="auto" w:fill="BFE4FF"/>
          </w:tcPr>
          <w:p>
            <w:pPr>
              <w:jc w:val="right"/>
              <w:ind w:right="58"/>
              <w:spacing w:after="0"/>
              <w:rPr>
                <w:sz w:val="20"/>
                <w:szCs w:val="20"/>
                <w:color w:val="auto"/>
              </w:rPr>
            </w:pPr>
            <w:r>
              <w:rPr>
                <w:rFonts w:ascii="Arial" w:cs="Arial" w:eastAsia="Arial" w:hAnsi="Arial"/>
                <w:sz w:val="17"/>
                <w:szCs w:val="17"/>
                <w:color w:val="auto"/>
              </w:rPr>
              <w:t>1,722.7</w:t>
            </w:r>
          </w:p>
        </w:tc>
        <w:tc>
          <w:tcPr>
            <w:tcW w:w="320" w:type="dxa"/>
            <w:vAlign w:val="bottom"/>
            <w:tcBorders>
              <w:top w:val="single" w:sz="8" w:color="auto"/>
              <w:bottom w:val="single" w:sz="8" w:color="BFE4FF"/>
            </w:tcBorders>
            <w:shd w:val="clear" w:color="auto" w:fill="BFE4FF"/>
          </w:tcPr>
          <w:p>
            <w:pPr>
              <w:jc w:val="right"/>
              <w:ind w:right="36"/>
              <w:spacing w:after="0"/>
              <w:rPr>
                <w:sz w:val="20"/>
                <w:szCs w:val="20"/>
                <w:color w:val="auto"/>
              </w:rPr>
            </w:pPr>
            <w:r>
              <w:rPr>
                <w:rFonts w:ascii="Arial" w:cs="Arial" w:eastAsia="Arial" w:hAnsi="Arial"/>
                <w:sz w:val="17"/>
                <w:szCs w:val="17"/>
                <w:color w:val="auto"/>
              </w:rPr>
              <w:t>$</w:t>
            </w:r>
          </w:p>
        </w:tc>
        <w:tc>
          <w:tcPr>
            <w:tcW w:w="1360" w:type="dxa"/>
            <w:vAlign w:val="bottom"/>
            <w:tcBorders>
              <w:top w:val="single" w:sz="8" w:color="auto"/>
              <w:bottom w:val="single" w:sz="8" w:color="BFE4FF"/>
            </w:tcBorders>
            <w:shd w:val="clear" w:color="auto" w:fill="BFE4FF"/>
          </w:tcPr>
          <w:p>
            <w:pPr>
              <w:jc w:val="right"/>
              <w:ind w:right="38"/>
              <w:spacing w:after="0"/>
              <w:rPr>
                <w:sz w:val="20"/>
                <w:szCs w:val="20"/>
                <w:color w:val="auto"/>
              </w:rPr>
            </w:pPr>
            <w:r>
              <w:rPr>
                <w:rFonts w:ascii="Arial" w:cs="Arial" w:eastAsia="Arial" w:hAnsi="Arial"/>
                <w:sz w:val="17"/>
                <w:szCs w:val="17"/>
                <w:color w:val="auto"/>
              </w:rPr>
              <w:t>353.9</w:t>
            </w:r>
          </w:p>
        </w:tc>
        <w:tc>
          <w:tcPr>
            <w:tcW w:w="120" w:type="dxa"/>
            <w:vAlign w:val="bottom"/>
            <w:tcBorders>
              <w:top w:val="single" w:sz="8" w:color="BFE4FF"/>
              <w:bottom w:val="single" w:sz="8" w:color="BFE4FF"/>
            </w:tcBorders>
            <w:shd w:val="clear" w:color="auto" w:fill="BFE4FF"/>
          </w:tcPr>
          <w:p>
            <w:pPr>
              <w:spacing w:after="0"/>
              <w:rPr>
                <w:sz w:val="21"/>
                <w:szCs w:val="21"/>
                <w:color w:val="auto"/>
              </w:rPr>
            </w:pPr>
          </w:p>
        </w:tc>
        <w:tc>
          <w:tcPr>
            <w:tcW w:w="320" w:type="dxa"/>
            <w:vAlign w:val="bottom"/>
            <w:tcBorders>
              <w:top w:val="single" w:sz="8" w:color="auto"/>
              <w:bottom w:val="single" w:sz="8" w:color="BFE4FF"/>
            </w:tcBorders>
            <w:shd w:val="clear" w:color="auto" w:fill="BFE4FF"/>
          </w:tcPr>
          <w:p>
            <w:pPr>
              <w:jc w:val="right"/>
              <w:ind w:right="136"/>
              <w:spacing w:after="0"/>
              <w:rPr>
                <w:sz w:val="20"/>
                <w:szCs w:val="20"/>
                <w:color w:val="auto"/>
              </w:rPr>
            </w:pPr>
            <w:r>
              <w:rPr>
                <w:rFonts w:ascii="Arial" w:cs="Arial" w:eastAsia="Arial" w:hAnsi="Arial"/>
                <w:sz w:val="17"/>
                <w:szCs w:val="17"/>
                <w:color w:val="auto"/>
                <w:w w:val="84"/>
              </w:rPr>
              <w:t>$</w:t>
            </w:r>
          </w:p>
        </w:tc>
        <w:tc>
          <w:tcPr>
            <w:tcW w:w="1260" w:type="dxa"/>
            <w:vAlign w:val="bottom"/>
            <w:tcBorders>
              <w:top w:val="single" w:sz="8" w:color="auto"/>
              <w:bottom w:val="single" w:sz="8" w:color="BFE4FF"/>
            </w:tcBorders>
            <w:shd w:val="clear" w:color="auto" w:fill="BFE4FF"/>
          </w:tcPr>
          <w:p>
            <w:pPr>
              <w:jc w:val="right"/>
              <w:ind w:right="39"/>
              <w:spacing w:after="0"/>
              <w:rPr>
                <w:sz w:val="20"/>
                <w:szCs w:val="20"/>
                <w:color w:val="auto"/>
              </w:rPr>
            </w:pPr>
            <w:r>
              <w:rPr>
                <w:rFonts w:ascii="Arial" w:cs="Arial" w:eastAsia="Arial" w:hAnsi="Arial"/>
                <w:sz w:val="17"/>
                <w:szCs w:val="17"/>
                <w:color w:val="auto"/>
              </w:rPr>
              <w:t>1,115.5</w:t>
            </w:r>
          </w:p>
        </w:tc>
        <w:tc>
          <w:tcPr>
            <w:tcW w:w="120" w:type="dxa"/>
            <w:vAlign w:val="bottom"/>
            <w:tcBorders>
              <w:top w:val="single" w:sz="8" w:color="BFE4FF"/>
              <w:bottom w:val="single" w:sz="8" w:color="BFE4FF"/>
            </w:tcBorders>
            <w:shd w:val="clear" w:color="auto" w:fill="BFE4FF"/>
          </w:tcPr>
          <w:p>
            <w:pPr>
              <w:spacing w:after="0"/>
              <w:rPr>
                <w:sz w:val="21"/>
                <w:szCs w:val="21"/>
                <w:color w:val="auto"/>
              </w:rPr>
            </w:pPr>
          </w:p>
        </w:tc>
        <w:tc>
          <w:tcPr>
            <w:tcW w:w="320" w:type="dxa"/>
            <w:vAlign w:val="bottom"/>
            <w:tcBorders>
              <w:top w:val="single" w:sz="8" w:color="auto"/>
              <w:bottom w:val="single" w:sz="8" w:color="BFE4FF"/>
            </w:tcBorders>
            <w:shd w:val="clear" w:color="auto" w:fill="BFE4FF"/>
          </w:tcPr>
          <w:p>
            <w:pPr>
              <w:jc w:val="right"/>
              <w:ind w:right="136"/>
              <w:spacing w:after="0"/>
              <w:rPr>
                <w:sz w:val="20"/>
                <w:szCs w:val="20"/>
                <w:color w:val="auto"/>
              </w:rPr>
            </w:pPr>
            <w:r>
              <w:rPr>
                <w:rFonts w:ascii="Arial" w:cs="Arial" w:eastAsia="Arial" w:hAnsi="Arial"/>
                <w:sz w:val="17"/>
                <w:szCs w:val="17"/>
                <w:color w:val="auto"/>
                <w:w w:val="84"/>
              </w:rPr>
              <w:t>$</w:t>
            </w:r>
          </w:p>
        </w:tc>
        <w:tc>
          <w:tcPr>
            <w:tcW w:w="1260" w:type="dxa"/>
            <w:vAlign w:val="bottom"/>
            <w:tcBorders>
              <w:top w:val="single" w:sz="8" w:color="auto"/>
              <w:bottom w:val="single" w:sz="8" w:color="BFE4FF"/>
            </w:tcBorders>
            <w:shd w:val="clear" w:color="auto" w:fill="BFE4FF"/>
          </w:tcPr>
          <w:p>
            <w:pPr>
              <w:jc w:val="right"/>
              <w:ind w:right="38"/>
              <w:spacing w:after="0"/>
              <w:rPr>
                <w:sz w:val="20"/>
                <w:szCs w:val="20"/>
                <w:color w:val="auto"/>
              </w:rPr>
            </w:pPr>
            <w:r>
              <w:rPr>
                <w:rFonts w:ascii="Arial" w:cs="Arial" w:eastAsia="Arial" w:hAnsi="Arial"/>
                <w:sz w:val="17"/>
                <w:szCs w:val="17"/>
                <w:color w:val="auto"/>
              </w:rPr>
              <w:t>121.2</w:t>
            </w:r>
          </w:p>
        </w:tc>
        <w:tc>
          <w:tcPr>
            <w:tcW w:w="120" w:type="dxa"/>
            <w:vAlign w:val="bottom"/>
            <w:tcBorders>
              <w:top w:val="single" w:sz="8" w:color="BFE4FF"/>
              <w:bottom w:val="single" w:sz="8" w:color="BFE4FF"/>
            </w:tcBorders>
            <w:shd w:val="clear" w:color="auto" w:fill="BFE4FF"/>
          </w:tcPr>
          <w:p>
            <w:pPr>
              <w:spacing w:after="0"/>
              <w:rPr>
                <w:sz w:val="21"/>
                <w:szCs w:val="21"/>
                <w:color w:val="auto"/>
              </w:rPr>
            </w:pPr>
          </w:p>
        </w:tc>
        <w:tc>
          <w:tcPr>
            <w:tcW w:w="180" w:type="dxa"/>
            <w:vAlign w:val="bottom"/>
            <w:tcBorders>
              <w:top w:val="single" w:sz="8" w:color="auto"/>
              <w:bottom w:val="single" w:sz="8" w:color="BFE4FF"/>
            </w:tcBorders>
            <w:shd w:val="clear" w:color="auto" w:fill="BFE4FF"/>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Borders>
              <w:top w:val="single" w:sz="8" w:color="auto"/>
              <w:bottom w:val="single" w:sz="8" w:color="BFE4FF"/>
            </w:tcBorders>
            <w:shd w:val="clear" w:color="auto" w:fill="BFE4FF"/>
          </w:tcPr>
          <w:p>
            <w:pPr>
              <w:jc w:val="right"/>
              <w:ind w:right="38"/>
              <w:spacing w:after="0"/>
              <w:rPr>
                <w:sz w:val="20"/>
                <w:szCs w:val="20"/>
                <w:color w:val="auto"/>
              </w:rPr>
            </w:pPr>
            <w:r>
              <w:rPr>
                <w:rFonts w:ascii="Arial" w:cs="Arial" w:eastAsia="Arial" w:hAnsi="Arial"/>
                <w:sz w:val="17"/>
                <w:szCs w:val="17"/>
                <w:color w:val="auto"/>
              </w:rPr>
              <w:t>132.1</w:t>
            </w:r>
          </w:p>
        </w:tc>
      </w:tr>
      <w:tr>
        <w:trPr>
          <w:trHeight w:val="20"/>
        </w:trPr>
        <w:tc>
          <w:tcPr>
            <w:tcW w:w="2980" w:type="dxa"/>
            <w:vAlign w:val="bottom"/>
            <w:tcBorders>
              <w:top w:val="single" w:sz="8" w:color="BFE4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BFE4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BFE4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BFE4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32" w:lineRule="exact"/>
        <w:rPr>
          <w:sz w:val="20"/>
          <w:szCs w:val="20"/>
          <w:color w:val="auto"/>
        </w:rPr>
      </w:pPr>
    </w:p>
    <w:p>
      <w:pPr>
        <w:ind w:left="300" w:hanging="299"/>
        <w:spacing w:after="0"/>
        <w:tabs>
          <w:tab w:leader="none" w:pos="3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The ABL Facility includes future payments for the letter of credit and unused line fees and are not included on the Company’s consolidated balance sheets.</w:t>
      </w:r>
    </w:p>
    <w:p>
      <w:pPr>
        <w:spacing w:after="0" w:line="13" w:lineRule="exact"/>
        <w:rPr>
          <w:rFonts w:ascii="Arial" w:cs="Arial" w:eastAsia="Arial" w:hAnsi="Arial"/>
          <w:sz w:val="13"/>
          <w:szCs w:val="13"/>
          <w:color w:val="auto"/>
        </w:rPr>
      </w:pPr>
    </w:p>
    <w:p>
      <w:pPr>
        <w:ind w:left="300" w:hanging="299"/>
        <w:spacing w:after="0"/>
        <w:tabs>
          <w:tab w:leader="none" w:pos="3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The Term Loan includes principal and interest payments, but excludes unamortized discounts.</w:t>
      </w:r>
    </w:p>
    <w:p>
      <w:pPr>
        <w:spacing w:after="0" w:line="1" w:lineRule="exact"/>
        <w:rPr>
          <w:rFonts w:ascii="Arial" w:cs="Arial" w:eastAsia="Arial" w:hAnsi="Arial"/>
          <w:sz w:val="13"/>
          <w:szCs w:val="13"/>
          <w:color w:val="auto"/>
        </w:rPr>
      </w:pPr>
    </w:p>
    <w:p>
      <w:pPr>
        <w:ind w:left="300" w:hanging="299"/>
        <w:spacing w:after="0" w:line="242" w:lineRule="auto"/>
        <w:tabs>
          <w:tab w:leader="none" w:pos="3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The lease financing obligations include interest payments of $86.9 million and principal payments of $44.7 million. The remaining principal obligation is offset by the estimated book value of leased property at the expiration date of each lease agreement.</w:t>
      </w:r>
    </w:p>
    <w:p>
      <w:pPr>
        <w:ind w:left="300" w:hanging="299"/>
        <w:spacing w:after="0"/>
        <w:tabs>
          <w:tab w:leader="none" w:pos="3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Pension deferral obligations includes principal and interest payments on the Second A&amp;R CDA.</w:t>
      </w:r>
    </w:p>
    <w:p>
      <w:pPr>
        <w:spacing w:after="0" w:line="1" w:lineRule="exact"/>
        <w:rPr>
          <w:rFonts w:ascii="Arial" w:cs="Arial" w:eastAsia="Arial" w:hAnsi="Arial"/>
          <w:sz w:val="13"/>
          <w:szCs w:val="13"/>
          <w:color w:val="auto"/>
        </w:rPr>
      </w:pPr>
    </w:p>
    <w:p>
      <w:pPr>
        <w:ind w:left="300" w:hanging="299"/>
        <w:spacing w:after="0"/>
        <w:tabs>
          <w:tab w:leader="none" w:pos="3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The workers’ compensation, property damage and liability claims obligations represent our estimate of future payments for these obligations, not all of which are contractually required.</w:t>
      </w:r>
    </w:p>
    <w:p>
      <w:pPr>
        <w:spacing w:after="0" w:line="1" w:lineRule="exact"/>
        <w:rPr>
          <w:rFonts w:ascii="Arial" w:cs="Arial" w:eastAsia="Arial" w:hAnsi="Arial"/>
          <w:sz w:val="13"/>
          <w:szCs w:val="13"/>
          <w:color w:val="auto"/>
        </w:rPr>
      </w:pPr>
    </w:p>
    <w:p>
      <w:pPr>
        <w:ind w:left="300" w:hanging="299"/>
        <w:spacing w:after="0"/>
        <w:tabs>
          <w:tab w:leader="none" w:pos="300" w:val="left"/>
        </w:tabs>
        <w:numPr>
          <w:ilvl w:val="0"/>
          <w:numId w:val="18"/>
        </w:numPr>
        <w:rPr>
          <w:rFonts w:ascii="Arial" w:cs="Arial" w:eastAsia="Arial" w:hAnsi="Arial"/>
          <w:sz w:val="12"/>
          <w:szCs w:val="12"/>
          <w:color w:val="auto"/>
        </w:rPr>
      </w:pPr>
      <w:r>
        <w:rPr>
          <w:rFonts w:ascii="Arial" w:cs="Arial" w:eastAsia="Arial" w:hAnsi="Arial"/>
          <w:sz w:val="12"/>
          <w:szCs w:val="12"/>
          <w:color w:val="auto"/>
        </w:rPr>
        <w:t>Operating leases represent future payments, which include interest, under contractual lease arrangements primarily for revenue equipment and are not included on the Company’s consolidated balance sheets.</w:t>
      </w:r>
    </w:p>
    <w:p>
      <w:pPr>
        <w:spacing w:after="0" w:line="13" w:lineRule="exact"/>
        <w:rPr>
          <w:rFonts w:ascii="Arial" w:cs="Arial" w:eastAsia="Arial" w:hAnsi="Arial"/>
          <w:sz w:val="12"/>
          <w:szCs w:val="12"/>
          <w:color w:val="auto"/>
        </w:rPr>
      </w:pPr>
    </w:p>
    <w:p>
      <w:pPr>
        <w:ind w:left="300" w:hanging="299"/>
        <w:spacing w:after="0"/>
        <w:tabs>
          <w:tab w:leader="none" w:pos="3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Other contractual obligations includes future service agreements and certain maintenance agreements and are not included on the Company’s consolidated balance sheets.</w:t>
      </w:r>
    </w:p>
    <w:p>
      <w:pPr>
        <w:spacing w:after="0" w:line="1" w:lineRule="exact"/>
        <w:rPr>
          <w:rFonts w:ascii="Arial" w:cs="Arial" w:eastAsia="Arial" w:hAnsi="Arial"/>
          <w:sz w:val="13"/>
          <w:szCs w:val="13"/>
          <w:color w:val="auto"/>
        </w:rPr>
      </w:pPr>
    </w:p>
    <w:p>
      <w:pPr>
        <w:ind w:left="300" w:hanging="299"/>
        <w:spacing w:after="0"/>
        <w:tabs>
          <w:tab w:leader="none" w:pos="3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Capital expenditure obligations primarily includes noncancelable purchase orders for revenue equipment not yet delivered and are not included in the Company’s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34" w:lineRule="exact"/>
        <w:rPr>
          <w:sz w:val="20"/>
          <w:szCs w:val="20"/>
          <w:color w:val="auto"/>
        </w:rPr>
      </w:pPr>
    </w:p>
    <w:p>
      <w:pPr>
        <w:ind w:left="60"/>
        <w:spacing w:after="0"/>
        <w:rPr>
          <w:sz w:val="20"/>
          <w:szCs w:val="20"/>
          <w:color w:val="auto"/>
        </w:rPr>
      </w:pPr>
      <w:r>
        <w:rPr>
          <w:rFonts w:ascii="Arial" w:cs="Arial" w:eastAsia="Arial" w:hAnsi="Arial"/>
          <w:sz w:val="17"/>
          <w:szCs w:val="17"/>
          <w:i w:val="1"/>
          <w:iCs w:val="1"/>
          <w:color w:val="auto"/>
        </w:rPr>
        <w:t>Other Commercial Commitments</w:t>
      </w:r>
    </w:p>
    <w:p>
      <w:pPr>
        <w:spacing w:after="0" w:line="20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following table reflects other commercial commitments or potential cash outflows that may result from a contingent event, such as a need to borrow short-term funds due to insufficient free cash flow.</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35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040" w:type="dxa"/>
            <w:vAlign w:val="bottom"/>
            <w:tcBorders>
              <w:bottom w:val="single" w:sz="8" w:color="auto"/>
            </w:tcBorders>
            <w:gridSpan w:val="5"/>
          </w:tcPr>
          <w:p>
            <w:pPr>
              <w:ind w:left="40"/>
              <w:spacing w:after="0"/>
              <w:rPr>
                <w:sz w:val="20"/>
                <w:szCs w:val="20"/>
                <w:color w:val="auto"/>
              </w:rPr>
            </w:pPr>
            <w:r>
              <w:rPr>
                <w:rFonts w:ascii="Arial" w:cs="Arial" w:eastAsia="Arial" w:hAnsi="Arial"/>
                <w:sz w:val="13"/>
                <w:szCs w:val="13"/>
                <w:b w:val="1"/>
                <w:bCs w:val="1"/>
                <w:color w:val="auto"/>
              </w:rPr>
              <w:t>Amount of Commitment Expiration Per Period</w:t>
            </w:r>
          </w:p>
        </w:tc>
        <w:tc>
          <w:tcPr>
            <w:tcW w:w="1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r>
        <w:trPr>
          <w:trHeight w:val="244"/>
        </w:trPr>
        <w:tc>
          <w:tcPr>
            <w:tcW w:w="35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(in millions)</w:t>
            </w:r>
          </w:p>
        </w:tc>
        <w:tc>
          <w:tcPr>
            <w:tcW w:w="3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gridSpan w:val="2"/>
          </w:tcPr>
          <w:p>
            <w:pPr>
              <w:ind w:left="260"/>
              <w:spacing w:after="0"/>
              <w:rPr>
                <w:sz w:val="20"/>
                <w:szCs w:val="20"/>
                <w:color w:val="auto"/>
              </w:rPr>
            </w:pPr>
            <w:r>
              <w:rPr>
                <w:rFonts w:ascii="Arial" w:cs="Arial" w:eastAsia="Arial" w:hAnsi="Arial"/>
                <w:sz w:val="13"/>
                <w:szCs w:val="13"/>
                <w:b w:val="1"/>
                <w:bCs w:val="1"/>
                <w:color w:val="auto"/>
              </w:rPr>
              <w:t>Total</w:t>
            </w:r>
          </w:p>
        </w:tc>
        <w:tc>
          <w:tcPr>
            <w:tcW w:w="2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199"/>
              <w:spacing w:after="0"/>
              <w:rPr>
                <w:sz w:val="20"/>
                <w:szCs w:val="20"/>
                <w:color w:val="auto"/>
              </w:rPr>
            </w:pPr>
            <w:r>
              <w:rPr>
                <w:rFonts w:ascii="Arial" w:cs="Arial" w:eastAsia="Arial" w:hAnsi="Arial"/>
                <w:sz w:val="13"/>
                <w:szCs w:val="13"/>
                <w:b w:val="1"/>
                <w:bCs w:val="1"/>
                <w:color w:val="auto"/>
                <w:w w:val="98"/>
              </w:rPr>
              <w:t>Less than 1 year</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402"/>
              <w:spacing w:after="0"/>
              <w:rPr>
                <w:sz w:val="20"/>
                <w:szCs w:val="20"/>
                <w:color w:val="auto"/>
              </w:rPr>
            </w:pPr>
            <w:r>
              <w:rPr>
                <w:rFonts w:ascii="Arial" w:cs="Arial" w:eastAsia="Arial" w:hAnsi="Arial"/>
                <w:sz w:val="13"/>
                <w:szCs w:val="13"/>
                <w:b w:val="1"/>
                <w:bCs w:val="1"/>
                <w:color w:val="auto"/>
              </w:rPr>
              <w:t>1-3 years</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399"/>
              <w:spacing w:after="0"/>
              <w:rPr>
                <w:sz w:val="20"/>
                <w:szCs w:val="20"/>
                <w:color w:val="auto"/>
              </w:rPr>
            </w:pPr>
            <w:r>
              <w:rPr>
                <w:rFonts w:ascii="Arial" w:cs="Arial" w:eastAsia="Arial" w:hAnsi="Arial"/>
                <w:sz w:val="13"/>
                <w:szCs w:val="13"/>
                <w:b w:val="1"/>
                <w:bCs w:val="1"/>
                <w:color w:val="auto"/>
              </w:rPr>
              <w:t>3-5 years</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More than 5 years</w:t>
            </w:r>
          </w:p>
        </w:tc>
      </w:tr>
      <w:tr>
        <w:trPr>
          <w:trHeight w:val="249"/>
        </w:trPr>
        <w:tc>
          <w:tcPr>
            <w:tcW w:w="3540" w:type="dxa"/>
            <w:vAlign w:val="bottom"/>
            <w:shd w:val="clear" w:color="auto" w:fill="CCEEFF"/>
          </w:tcPr>
          <w:p>
            <w:pPr>
              <w:ind w:left="20"/>
              <w:spacing w:after="0" w:line="250" w:lineRule="exact"/>
              <w:rPr>
                <w:sz w:val="20"/>
                <w:szCs w:val="20"/>
                <w:color w:val="auto"/>
              </w:rPr>
            </w:pPr>
            <w:r>
              <w:rPr>
                <w:rFonts w:ascii="Arial" w:cs="Arial" w:eastAsia="Arial" w:hAnsi="Arial"/>
                <w:sz w:val="17"/>
                <w:szCs w:val="17"/>
                <w:color w:val="auto"/>
              </w:rPr>
              <w:t xml:space="preserve">ABL Facility availability </w:t>
            </w:r>
            <w:r>
              <w:rPr>
                <w:rFonts w:ascii="Arial" w:cs="Arial" w:eastAsia="Arial" w:hAnsi="Arial"/>
                <w:sz w:val="23"/>
                <w:szCs w:val="23"/>
                <w:color w:val="auto"/>
                <w:vertAlign w:val="superscript"/>
              </w:rPr>
              <w:t>(a)</w:t>
            </w: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7"/>
                <w:szCs w:val="17"/>
                <w:color w:val="auto"/>
              </w:rPr>
              <w:t>61.9</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ind w:right="42"/>
              <w:spacing w:after="0"/>
              <w:rPr>
                <w:sz w:val="20"/>
                <w:szCs w:val="20"/>
                <w:color w:val="auto"/>
              </w:rPr>
            </w:pPr>
            <w:r>
              <w:rPr>
                <w:rFonts w:ascii="Arial" w:cs="Arial" w:eastAsia="Arial" w:hAnsi="Arial"/>
                <w:sz w:val="17"/>
                <w:szCs w:val="17"/>
                <w:color w:val="auto"/>
              </w:rPr>
              <w:t>61.9</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ind w:left="1020"/>
              <w:spacing w:after="0"/>
              <w:rPr>
                <w:sz w:val="20"/>
                <w:szCs w:val="20"/>
                <w:color w:val="auto"/>
              </w:rPr>
            </w:pPr>
            <w:r>
              <w:rPr>
                <w:rFonts w:ascii="Arial" w:cs="Arial" w:eastAsia="Arial" w:hAnsi="Arial"/>
                <w:sz w:val="17"/>
                <w:szCs w:val="17"/>
                <w:color w:val="auto"/>
              </w:rPr>
              <w:t>—</w:t>
            </w:r>
          </w:p>
        </w:tc>
      </w:tr>
      <w:tr>
        <w:trPr>
          <w:trHeight w:val="252"/>
        </w:trPr>
        <w:tc>
          <w:tcPr>
            <w:tcW w:w="3540" w:type="dxa"/>
            <w:vAlign w:val="bottom"/>
          </w:tcPr>
          <w:p>
            <w:pPr>
              <w:ind w:left="20"/>
              <w:spacing w:after="0" w:line="252" w:lineRule="exact"/>
              <w:rPr>
                <w:sz w:val="20"/>
                <w:szCs w:val="20"/>
                <w:color w:val="auto"/>
              </w:rPr>
            </w:pPr>
            <w:r>
              <w:rPr>
                <w:rFonts w:ascii="Arial" w:cs="Arial" w:eastAsia="Arial" w:hAnsi="Arial"/>
                <w:sz w:val="17"/>
                <w:szCs w:val="17"/>
                <w:color w:val="auto"/>
              </w:rPr>
              <w:t>Letters of credit</w:t>
            </w:r>
            <w:r>
              <w:rPr>
                <w:rFonts w:ascii="Arial" w:cs="Arial" w:eastAsia="Arial" w:hAnsi="Arial"/>
                <w:sz w:val="23"/>
                <w:szCs w:val="23"/>
                <w:color w:val="auto"/>
                <w:vertAlign w:val="superscript"/>
              </w:rPr>
              <w:t>(b)</w:t>
            </w:r>
          </w:p>
        </w:tc>
        <w:tc>
          <w:tcPr>
            <w:tcW w:w="360" w:type="dxa"/>
            <w:vAlign w:val="bottom"/>
          </w:tcPr>
          <w:p>
            <w:pPr>
              <w:spacing w:after="0"/>
              <w:rPr>
                <w:sz w:val="21"/>
                <w:szCs w:val="21"/>
                <w:color w:val="auto"/>
              </w:rPr>
            </w:pPr>
          </w:p>
        </w:tc>
        <w:tc>
          <w:tcPr>
            <w:tcW w:w="1160" w:type="dxa"/>
            <w:vAlign w:val="bottom"/>
          </w:tcPr>
          <w:p>
            <w:pPr>
              <w:jc w:val="right"/>
              <w:ind w:right="39"/>
              <w:spacing w:after="0"/>
              <w:rPr>
                <w:sz w:val="20"/>
                <w:szCs w:val="20"/>
                <w:color w:val="auto"/>
              </w:rPr>
            </w:pPr>
            <w:r>
              <w:rPr>
                <w:rFonts w:ascii="Arial" w:cs="Arial" w:eastAsia="Arial" w:hAnsi="Arial"/>
                <w:sz w:val="17"/>
                <w:szCs w:val="17"/>
                <w:color w:val="auto"/>
              </w:rPr>
              <w:t>359.2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1"/>
                <w:szCs w:val="21"/>
                <w:color w:val="auto"/>
              </w:rPr>
            </w:pPr>
          </w:p>
        </w:tc>
        <w:tc>
          <w:tcPr>
            <w:tcW w:w="1340" w:type="dxa"/>
            <w:vAlign w:val="bottom"/>
          </w:tcPr>
          <w:p>
            <w:pPr>
              <w:jc w:val="right"/>
              <w:ind w:right="42"/>
              <w:spacing w:after="0"/>
              <w:rPr>
                <w:sz w:val="20"/>
                <w:szCs w:val="20"/>
                <w:color w:val="auto"/>
              </w:rPr>
            </w:pPr>
            <w:r>
              <w:rPr>
                <w:rFonts w:ascii="Arial" w:cs="Arial" w:eastAsia="Arial" w:hAnsi="Arial"/>
                <w:sz w:val="17"/>
                <w:szCs w:val="17"/>
                <w:color w:val="auto"/>
              </w:rPr>
              <w:t>359.2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1"/>
                <w:szCs w:val="21"/>
                <w:color w:val="auto"/>
              </w:rPr>
            </w:pPr>
          </w:p>
        </w:tc>
        <w:tc>
          <w:tcPr>
            <w:tcW w:w="1300" w:type="dxa"/>
            <w:vAlign w:val="bottom"/>
          </w:tcPr>
          <w:p>
            <w:pPr>
              <w:ind w:left="1020"/>
              <w:spacing w:after="0"/>
              <w:rPr>
                <w:sz w:val="20"/>
                <w:szCs w:val="20"/>
                <w:color w:val="auto"/>
              </w:rPr>
            </w:pPr>
            <w:r>
              <w:rPr>
                <w:rFonts w:ascii="Arial" w:cs="Arial" w:eastAsia="Arial" w:hAnsi="Arial"/>
                <w:sz w:val="17"/>
                <w:szCs w:val="17"/>
                <w:color w:val="auto"/>
              </w:rPr>
              <w:t>—</w:t>
            </w:r>
          </w:p>
        </w:tc>
      </w:tr>
      <w:tr>
        <w:trPr>
          <w:trHeight w:val="252"/>
        </w:trPr>
        <w:tc>
          <w:tcPr>
            <w:tcW w:w="3540" w:type="dxa"/>
            <w:vAlign w:val="bottom"/>
            <w:shd w:val="clear" w:color="auto" w:fill="CCEEFF"/>
          </w:tcPr>
          <w:p>
            <w:pPr>
              <w:ind w:left="20"/>
              <w:spacing w:after="0" w:line="252" w:lineRule="exact"/>
              <w:rPr>
                <w:sz w:val="20"/>
                <w:szCs w:val="20"/>
                <w:color w:val="auto"/>
              </w:rPr>
            </w:pPr>
            <w:r>
              <w:rPr>
                <w:rFonts w:ascii="Arial" w:cs="Arial" w:eastAsia="Arial" w:hAnsi="Arial"/>
                <w:sz w:val="17"/>
                <w:szCs w:val="17"/>
                <w:color w:val="auto"/>
              </w:rPr>
              <w:t>Surety bonds</w:t>
            </w:r>
            <w:r>
              <w:rPr>
                <w:rFonts w:ascii="Arial" w:cs="Arial" w:eastAsia="Arial" w:hAnsi="Arial"/>
                <w:sz w:val="23"/>
                <w:szCs w:val="23"/>
                <w:color w:val="auto"/>
                <w:vertAlign w:val="superscript"/>
              </w:rPr>
              <w:t>(c)</w:t>
            </w:r>
          </w:p>
        </w:tc>
        <w:tc>
          <w:tcPr>
            <w:tcW w:w="3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7"/>
                <w:szCs w:val="17"/>
                <w:color w:val="auto"/>
              </w:rPr>
              <w:t>126.0</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7"/>
                <w:szCs w:val="17"/>
                <w:color w:val="auto"/>
              </w:rPr>
              <w:t>125.8</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7"/>
                <w:szCs w:val="17"/>
                <w:color w:val="auto"/>
              </w:rPr>
              <w:t>0.1</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7"/>
                <w:szCs w:val="17"/>
                <w:color w:val="auto"/>
              </w:rPr>
              <w:t>0.1</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ind w:left="1020"/>
              <w:spacing w:after="0"/>
              <w:rPr>
                <w:sz w:val="20"/>
                <w:szCs w:val="20"/>
                <w:color w:val="auto"/>
              </w:rPr>
            </w:pPr>
            <w:r>
              <w:rPr>
                <w:rFonts w:ascii="Arial" w:cs="Arial" w:eastAsia="Arial" w:hAnsi="Arial"/>
                <w:sz w:val="17"/>
                <w:szCs w:val="17"/>
                <w:color w:val="auto"/>
              </w:rPr>
              <w:t>—</w:t>
            </w:r>
          </w:p>
        </w:tc>
      </w:tr>
      <w:tr>
        <w:trPr>
          <w:trHeight w:val="219"/>
        </w:trPr>
        <w:tc>
          <w:tcPr>
            <w:tcW w:w="3540" w:type="dxa"/>
            <w:vAlign w:val="bottom"/>
          </w:tcPr>
          <w:p>
            <w:pPr>
              <w:ind w:left="20"/>
              <w:spacing w:after="0"/>
              <w:rPr>
                <w:sz w:val="20"/>
                <w:szCs w:val="20"/>
                <w:color w:val="auto"/>
              </w:rPr>
            </w:pPr>
            <w:r>
              <w:rPr>
                <w:rFonts w:ascii="Arial" w:cs="Arial" w:eastAsia="Arial" w:hAnsi="Arial"/>
                <w:sz w:val="17"/>
                <w:szCs w:val="17"/>
                <w:color w:val="auto"/>
              </w:rPr>
              <w:t>Total commercial commitments</w:t>
            </w:r>
          </w:p>
        </w:tc>
        <w:tc>
          <w:tcPr>
            <w:tcW w:w="360" w:type="dxa"/>
            <w:vAlign w:val="bottom"/>
          </w:tcPr>
          <w:p>
            <w:pPr>
              <w:jc w:val="right"/>
              <w:ind w:right="156"/>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39"/>
              <w:spacing w:after="0"/>
              <w:rPr>
                <w:sz w:val="20"/>
                <w:szCs w:val="20"/>
                <w:color w:val="auto"/>
              </w:rPr>
            </w:pPr>
            <w:r>
              <w:rPr>
                <w:rFonts w:ascii="Arial" w:cs="Arial" w:eastAsia="Arial" w:hAnsi="Arial"/>
                <w:sz w:val="17"/>
                <w:szCs w:val="17"/>
                <w:color w:val="auto"/>
              </w:rPr>
              <w:t>547.1</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39"/>
              <w:spacing w:after="0"/>
              <w:rPr>
                <w:sz w:val="20"/>
                <w:szCs w:val="20"/>
                <w:color w:val="auto"/>
              </w:rPr>
            </w:pPr>
            <w:r>
              <w:rPr>
                <w:rFonts w:ascii="Arial" w:cs="Arial" w:eastAsia="Arial" w:hAnsi="Arial"/>
                <w:sz w:val="17"/>
                <w:szCs w:val="17"/>
                <w:color w:val="auto"/>
              </w:rPr>
              <w:t>125.8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340" w:type="dxa"/>
            <w:vAlign w:val="bottom"/>
          </w:tcPr>
          <w:p>
            <w:pPr>
              <w:jc w:val="right"/>
              <w:ind w:right="42"/>
              <w:spacing w:after="0"/>
              <w:rPr>
                <w:sz w:val="20"/>
                <w:szCs w:val="20"/>
                <w:color w:val="auto"/>
              </w:rPr>
            </w:pPr>
            <w:r>
              <w:rPr>
                <w:rFonts w:ascii="Arial" w:cs="Arial" w:eastAsia="Arial" w:hAnsi="Arial"/>
                <w:sz w:val="17"/>
                <w:szCs w:val="17"/>
                <w:color w:val="auto"/>
              </w:rPr>
              <w:t>421.2</w:t>
            </w:r>
          </w:p>
        </w:tc>
        <w:tc>
          <w:tcPr>
            <w:tcW w:w="100" w:type="dxa"/>
            <w:vAlign w:val="bottom"/>
          </w:tcPr>
          <w:p>
            <w:pPr>
              <w:spacing w:after="0"/>
              <w:rPr>
                <w:sz w:val="19"/>
                <w:szCs w:val="19"/>
                <w:color w:val="auto"/>
              </w:rPr>
            </w:pPr>
          </w:p>
        </w:tc>
        <w:tc>
          <w:tcPr>
            <w:tcW w:w="300" w:type="dxa"/>
            <w:vAlign w:val="bottom"/>
          </w:tcPr>
          <w:p>
            <w:pPr>
              <w:jc w:val="right"/>
              <w:ind w:right="96"/>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39"/>
              <w:spacing w:after="0"/>
              <w:rPr>
                <w:sz w:val="20"/>
                <w:szCs w:val="20"/>
                <w:color w:val="auto"/>
              </w:rPr>
            </w:pPr>
            <w:r>
              <w:rPr>
                <w:rFonts w:ascii="Arial" w:cs="Arial" w:eastAsia="Arial" w:hAnsi="Arial"/>
                <w:sz w:val="17"/>
                <w:szCs w:val="17"/>
                <w:color w:val="auto"/>
              </w:rPr>
              <w:t>0.1</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Pr>
          <w:p>
            <w:pPr>
              <w:ind w:left="1020"/>
              <w:spacing w:after="0"/>
              <w:rPr>
                <w:sz w:val="20"/>
                <w:szCs w:val="20"/>
                <w:color w:val="auto"/>
              </w:rPr>
            </w:pPr>
            <w:r>
              <w:rPr>
                <w:rFonts w:ascii="Arial" w:cs="Arial" w:eastAsia="Arial" w:hAnsi="Arial"/>
                <w:sz w:val="17"/>
                <w:szCs w:val="17"/>
                <w:color w:val="auto"/>
              </w:rPr>
              <w:t>—</w:t>
            </w:r>
          </w:p>
        </w:tc>
      </w:tr>
      <w:tr>
        <w:trPr>
          <w:trHeight w:val="26"/>
        </w:trPr>
        <w:tc>
          <w:tcPr>
            <w:tcW w:w="35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35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83" w:lineRule="exact"/>
        <w:rPr>
          <w:sz w:val="20"/>
          <w:szCs w:val="20"/>
          <w:color w:val="auto"/>
        </w:rPr>
      </w:pPr>
    </w:p>
    <w:p>
      <w:pPr>
        <w:ind w:left="300" w:hanging="299"/>
        <w:spacing w:after="0" w:line="252" w:lineRule="auto"/>
        <w:tabs>
          <w:tab w:leader="none" w:pos="3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Availability under the ABL Facility is derived by reducing the amount that may be advanced against eligible receivables plus eligible borrowing base cash by certain reserves imposed by the ABL Agent and our outstanding letters of credit. Managed Accessibility, as defined, was $19.6 million.</w:t>
      </w:r>
    </w:p>
    <w:p>
      <w:pPr>
        <w:ind w:left="300" w:hanging="299"/>
        <w:spacing w:after="0" w:line="242" w:lineRule="auto"/>
        <w:tabs>
          <w:tab w:leader="none" w:pos="3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Letters of credit outstanding are generally required as collateral to support self-insurance programs and do not represent additional liabilities as the underlying self-insurance accruals are already included in our consolidated balance sheets.</w:t>
      </w:r>
    </w:p>
    <w:p>
      <w:pPr>
        <w:ind w:left="300" w:hanging="299"/>
        <w:spacing w:after="0" w:line="258" w:lineRule="auto"/>
        <w:tabs>
          <w:tab w:leader="none" w:pos="3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Surety bonds are generally required for workers’ compensation to support self-insurance programs, which include certain bonds that do not have an expiration date but are redeemable on demand, and do not represent additional liabilities as the underlying self-insurance accruals are already included in our consolidated balance sheets.</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Off-Balance Sheet Arrangements</w:t>
      </w:r>
    </w:p>
    <w:p>
      <w:pPr>
        <w:spacing w:after="0" w:line="207" w:lineRule="exact"/>
        <w:rPr>
          <w:sz w:val="20"/>
          <w:szCs w:val="20"/>
          <w:color w:val="auto"/>
        </w:rPr>
      </w:pPr>
    </w:p>
    <w:p>
      <w:pPr>
        <w:ind w:left="60"/>
        <w:spacing w:after="0" w:line="269" w:lineRule="auto"/>
        <w:rPr>
          <w:sz w:val="20"/>
          <w:szCs w:val="20"/>
          <w:color w:val="auto"/>
        </w:rPr>
      </w:pPr>
      <w:r>
        <w:rPr>
          <w:rFonts w:ascii="Arial" w:cs="Arial" w:eastAsia="Arial" w:hAnsi="Arial"/>
          <w:sz w:val="17"/>
          <w:szCs w:val="17"/>
          <w:color w:val="auto"/>
        </w:rPr>
        <w:t>We have no off-balance sheet arrangements other than operating leases, other contractual obligations for service agreements and capital purchases, letters of credit and surety bonds, which are reflected in the above tables.</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Quantitative and Qualitative Disclosures About Market Risk</w:t>
      </w:r>
    </w:p>
    <w:p>
      <w:pPr>
        <w:spacing w:after="0" w:line="207"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We are primarily exposed to the market risk associated with unfavorable movements in interest rates, foreign currencies, and fuel price volatility. The risk inherent in our market risk sensitive instruments and positions is the potential loss or increased expense arising from adverse changes in those factors. There have been no material changes to our market risk policies or our market risk sensitive instruments and positions as described in our annual report on Form 10-K for the year ended December 31, 2016.</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Controls and Procedures</w:t>
      </w:r>
    </w:p>
    <w:p>
      <w:pPr>
        <w:spacing w:after="0" w:line="207" w:lineRule="exact"/>
        <w:rPr>
          <w:sz w:val="20"/>
          <w:szCs w:val="20"/>
          <w:color w:val="auto"/>
        </w:rPr>
      </w:pPr>
    </w:p>
    <w:p>
      <w:pPr>
        <w:jc w:val="both"/>
        <w:spacing w:after="0" w:line="291" w:lineRule="auto"/>
        <w:rPr>
          <w:sz w:val="20"/>
          <w:szCs w:val="20"/>
          <w:color w:val="auto"/>
        </w:rPr>
      </w:pPr>
      <w:r>
        <w:rPr>
          <w:rFonts w:ascii="Arial" w:cs="Arial" w:eastAsia="Arial" w:hAnsi="Arial"/>
          <w:sz w:val="15"/>
          <w:szCs w:val="15"/>
          <w:color w:val="auto"/>
        </w:rPr>
        <w:t>As required by the Exchange Act, we maintain disclosure controls and procedures designed to ensure that information we are required to disclose in reports that we file or submit under the Exchange Act is recorded, processed, summarized and reported within the time periods specified in the SEC’s rules and forms. Our disclosure controls and procedures include, without limitation, controls and procedures designed to ensure that information we are required to disclose in reports that we file or submit under the Exchange Act is accumulated and communicated to our management, including our principal executive and principal financial officers, as appropriate to allow timely decisions regarding required disclosure. Our management, with the participation of our principal executive and financial officers, has evaluated our disclosure controls and procedures as of March 31, 2017 and have concluded that our disclosure controls and procedures were effective as of March 31, 2017.</w:t>
      </w:r>
    </w:p>
    <w:p>
      <w:pPr>
        <w:spacing w:after="0" w:line="155"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We are in the process of implementing the human resources and payroll modules of a new comprehensive enterprise resource planning (ERP) system across most of our operating companies, expected to be completed by the end of fiscal 2017. The system implementation was designed, in part, to enhance the overall system of internal control over financial reporting through enhanced automation and streamlining business processes across operating companies. Although the processes that constitute our internal control over financial reporting have been affected by the implementation, the Company is performing pre-implementation procedures as part of its assessment of the effectiveness of internal control over financial reporting. We do not believe that the implementation will have a material adverse effect on our internal controls over financial reporting.</w:t>
      </w:r>
    </w:p>
    <w:p>
      <w:pPr>
        <w:spacing w:after="0" w:line="18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Other than as described above, there were no additional changes in our internal controls over financial reporting that occurred during the fiscal quarter ended March 31, 2017 that have materially affected, or are reasonably likely to materially affect, our internal controls over financial reporting.</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PART II—OTHER INFORMATION</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 Legal Proceedings</w:t>
      </w:r>
    </w:p>
    <w:p>
      <w:pPr>
        <w:spacing w:after="0" w:line="19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discuss legal proceedings in the “Commitments, Contingencies and Uncertainties” note to our consolidated financial statements included elsewhere in this report and that discussion is incorporated by reference herein.</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Risk Factors</w:t>
      </w:r>
    </w:p>
    <w:p>
      <w:pPr>
        <w:spacing w:after="0" w:line="207"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There were no material changes during the quarter to the Risk Factors disclosed in Part I, Item 1A - “Risk Factors” in our annual report on Form 10-K for the year ended December 31, 2016.</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Other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Annual Meeting Results</w:t>
      </w:r>
    </w:p>
    <w:p>
      <w:pPr>
        <w:spacing w:after="0" w:line="20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are providing the following disclosure in lieu of providing this information in a current report on Form 8-K pursuant to Item 5.07, “Submission of Matters to a Vote of Security Holders.”</w:t>
      </w:r>
    </w:p>
    <w:p>
      <w:pPr>
        <w:spacing w:after="0" w:line="166" w:lineRule="exact"/>
        <w:rPr>
          <w:sz w:val="20"/>
          <w:szCs w:val="20"/>
          <w:color w:val="auto"/>
        </w:rPr>
      </w:pPr>
    </w:p>
    <w:p>
      <w:pPr>
        <w:ind w:right="240"/>
        <w:spacing w:after="0" w:line="269" w:lineRule="auto"/>
        <w:rPr>
          <w:sz w:val="20"/>
          <w:szCs w:val="20"/>
          <w:color w:val="auto"/>
        </w:rPr>
      </w:pPr>
      <w:r>
        <w:rPr>
          <w:rFonts w:ascii="Arial" w:cs="Arial" w:eastAsia="Arial" w:hAnsi="Arial"/>
          <w:sz w:val="17"/>
          <w:szCs w:val="17"/>
          <w:color w:val="auto"/>
        </w:rPr>
        <w:t>The holders of our outstanding common stock and Series A Voting Preferred Stock voted together as a single class on all proposals at the Annual Meeting held May 2, 2017. Each share of common stock and Series A Voting Preferred Stock was entitled to one vote.</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At the Annual Meeting, holders of our common stock and Series A Voting Preferred Stock voted on the following proposals:</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Proposal 1</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Each nominee under Proposal 1 was elected to the Board of Directors.</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25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Director Nominees</w:t>
            </w:r>
          </w:p>
        </w:tc>
        <w:tc>
          <w:tcPr>
            <w:tcW w:w="3060" w:type="dxa"/>
            <w:vAlign w:val="bottom"/>
            <w:tcBorders>
              <w:bottom w:val="single" w:sz="8" w:color="auto"/>
            </w:tcBorders>
          </w:tcPr>
          <w:p>
            <w:pPr>
              <w:jc w:val="center"/>
              <w:ind w:left="258"/>
              <w:spacing w:after="0"/>
              <w:rPr>
                <w:sz w:val="20"/>
                <w:szCs w:val="20"/>
                <w:color w:val="auto"/>
              </w:rPr>
            </w:pPr>
            <w:r>
              <w:rPr>
                <w:rFonts w:ascii="Arial" w:cs="Arial" w:eastAsia="Arial" w:hAnsi="Arial"/>
                <w:sz w:val="13"/>
                <w:szCs w:val="13"/>
                <w:b w:val="1"/>
                <w:bCs w:val="1"/>
                <w:color w:val="auto"/>
                <w:w w:val="93"/>
              </w:rPr>
              <w:t>Number of Votes For</w:t>
            </w:r>
          </w:p>
        </w:tc>
        <w:tc>
          <w:tcPr>
            <w:tcW w:w="30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Number of Votes Withheld</w:t>
            </w:r>
          </w:p>
        </w:tc>
        <w:tc>
          <w:tcPr>
            <w:tcW w:w="2720" w:type="dxa"/>
            <w:vAlign w:val="bottom"/>
            <w:tcBorders>
              <w:bottom w:val="single" w:sz="8" w:color="auto"/>
            </w:tcBorders>
          </w:tcPr>
          <w:p>
            <w:pPr>
              <w:jc w:val="center"/>
              <w:ind w:right="38"/>
              <w:spacing w:after="0"/>
              <w:rPr>
                <w:sz w:val="20"/>
                <w:szCs w:val="20"/>
                <w:color w:val="auto"/>
              </w:rPr>
            </w:pPr>
            <w:r>
              <w:rPr>
                <w:rFonts w:ascii="Arial" w:cs="Arial" w:eastAsia="Arial" w:hAnsi="Arial"/>
                <w:sz w:val="13"/>
                <w:szCs w:val="13"/>
                <w:b w:val="1"/>
                <w:bCs w:val="1"/>
                <w:color w:val="auto"/>
                <w:w w:val="94"/>
              </w:rPr>
              <w:t>Broker Non-Votes</w:t>
            </w:r>
          </w:p>
        </w:tc>
      </w:tr>
      <w:tr>
        <w:trPr>
          <w:trHeight w:val="229"/>
        </w:trPr>
        <w:tc>
          <w:tcPr>
            <w:tcW w:w="2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Raymond J. Bromark</w:t>
            </w:r>
          </w:p>
        </w:tc>
        <w:tc>
          <w:tcPr>
            <w:tcW w:w="3060" w:type="dxa"/>
            <w:vAlign w:val="bottom"/>
            <w:tcBorders>
              <w:bottom w:val="single" w:sz="8" w:color="CCEEFF"/>
            </w:tcBorders>
            <w:shd w:val="clear" w:color="auto" w:fill="CCEEFF"/>
          </w:tcPr>
          <w:p>
            <w:pPr>
              <w:jc w:val="center"/>
              <w:ind w:left="258"/>
              <w:spacing w:after="0"/>
              <w:rPr>
                <w:sz w:val="20"/>
                <w:szCs w:val="20"/>
                <w:color w:val="auto"/>
              </w:rPr>
            </w:pPr>
            <w:r>
              <w:rPr>
                <w:rFonts w:ascii="Arial" w:cs="Arial" w:eastAsia="Arial" w:hAnsi="Arial"/>
                <w:sz w:val="17"/>
                <w:szCs w:val="17"/>
                <w:color w:val="auto"/>
                <w:w w:val="89"/>
              </w:rPr>
              <w:t>24,469,512</w:t>
            </w:r>
          </w:p>
        </w:tc>
        <w:tc>
          <w:tcPr>
            <w:tcW w:w="3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91"/>
              </w:rPr>
              <w:t>380,478</w:t>
            </w:r>
          </w:p>
        </w:tc>
        <w:tc>
          <w:tcPr>
            <w:tcW w:w="2720" w:type="dxa"/>
            <w:vAlign w:val="bottom"/>
            <w:tcBorders>
              <w:bottom w:val="single" w:sz="8" w:color="CCEEFF"/>
            </w:tcBorders>
            <w:shd w:val="clear" w:color="auto" w:fill="CCEEFF"/>
          </w:tcPr>
          <w:p>
            <w:pPr>
              <w:jc w:val="center"/>
              <w:ind w:right="38"/>
              <w:spacing w:after="0"/>
              <w:rPr>
                <w:sz w:val="20"/>
                <w:szCs w:val="20"/>
                <w:color w:val="auto"/>
              </w:rPr>
            </w:pPr>
            <w:r>
              <w:rPr>
                <w:rFonts w:ascii="Arial" w:cs="Arial" w:eastAsia="Arial" w:hAnsi="Arial"/>
                <w:sz w:val="17"/>
                <w:szCs w:val="17"/>
                <w:color w:val="auto"/>
                <w:w w:val="89"/>
              </w:rPr>
              <w:t>4,601,730</w:t>
            </w:r>
          </w:p>
        </w:tc>
      </w:tr>
      <w:tr>
        <w:trPr>
          <w:trHeight w:val="226"/>
        </w:trPr>
        <w:tc>
          <w:tcPr>
            <w:tcW w:w="2580" w:type="dxa"/>
            <w:vAlign w:val="bottom"/>
          </w:tcPr>
          <w:p>
            <w:pPr>
              <w:ind w:left="20"/>
              <w:spacing w:after="0"/>
              <w:rPr>
                <w:sz w:val="20"/>
                <w:szCs w:val="20"/>
                <w:color w:val="auto"/>
              </w:rPr>
            </w:pPr>
            <w:r>
              <w:rPr>
                <w:rFonts w:ascii="Arial" w:cs="Arial" w:eastAsia="Arial" w:hAnsi="Arial"/>
                <w:sz w:val="17"/>
                <w:szCs w:val="17"/>
                <w:color w:val="auto"/>
              </w:rPr>
              <w:t>Matthew A. Doheny</w:t>
            </w:r>
          </w:p>
        </w:tc>
        <w:tc>
          <w:tcPr>
            <w:tcW w:w="3060" w:type="dxa"/>
            <w:vAlign w:val="bottom"/>
          </w:tcPr>
          <w:p>
            <w:pPr>
              <w:jc w:val="center"/>
              <w:ind w:left="258"/>
              <w:spacing w:after="0"/>
              <w:rPr>
                <w:sz w:val="20"/>
                <w:szCs w:val="20"/>
                <w:color w:val="auto"/>
              </w:rPr>
            </w:pPr>
            <w:r>
              <w:rPr>
                <w:rFonts w:ascii="Arial" w:cs="Arial" w:eastAsia="Arial" w:hAnsi="Arial"/>
                <w:sz w:val="17"/>
                <w:szCs w:val="17"/>
                <w:color w:val="auto"/>
                <w:w w:val="89"/>
              </w:rPr>
              <w:t>24,465,212</w:t>
            </w:r>
          </w:p>
        </w:tc>
        <w:tc>
          <w:tcPr>
            <w:tcW w:w="3060" w:type="dxa"/>
            <w:vAlign w:val="bottom"/>
          </w:tcPr>
          <w:p>
            <w:pPr>
              <w:jc w:val="center"/>
              <w:spacing w:after="0"/>
              <w:rPr>
                <w:sz w:val="20"/>
                <w:szCs w:val="20"/>
                <w:color w:val="auto"/>
              </w:rPr>
            </w:pPr>
            <w:r>
              <w:rPr>
                <w:rFonts w:ascii="Arial" w:cs="Arial" w:eastAsia="Arial" w:hAnsi="Arial"/>
                <w:sz w:val="17"/>
                <w:szCs w:val="17"/>
                <w:color w:val="auto"/>
                <w:w w:val="91"/>
              </w:rPr>
              <w:t>384,778</w:t>
            </w:r>
          </w:p>
        </w:tc>
        <w:tc>
          <w:tcPr>
            <w:tcW w:w="2720" w:type="dxa"/>
            <w:vAlign w:val="bottom"/>
          </w:tcPr>
          <w:p>
            <w:pPr>
              <w:jc w:val="center"/>
              <w:ind w:right="38"/>
              <w:spacing w:after="0"/>
              <w:rPr>
                <w:sz w:val="20"/>
                <w:szCs w:val="20"/>
                <w:color w:val="auto"/>
              </w:rPr>
            </w:pPr>
            <w:r>
              <w:rPr>
                <w:rFonts w:ascii="Arial" w:cs="Arial" w:eastAsia="Arial" w:hAnsi="Arial"/>
                <w:sz w:val="17"/>
                <w:szCs w:val="17"/>
                <w:color w:val="auto"/>
                <w:w w:val="89"/>
              </w:rPr>
              <w:t>4,601,730</w:t>
            </w:r>
          </w:p>
        </w:tc>
      </w:tr>
      <w:tr>
        <w:trPr>
          <w:trHeight w:val="26"/>
        </w:trPr>
        <w:tc>
          <w:tcPr>
            <w:tcW w:w="2580" w:type="dxa"/>
            <w:vAlign w:val="bottom"/>
          </w:tcPr>
          <w:p>
            <w:pPr>
              <w:spacing w:after="0"/>
              <w:rPr>
                <w:sz w:val="2"/>
                <w:szCs w:val="2"/>
                <w:color w:val="auto"/>
              </w:rPr>
            </w:pPr>
          </w:p>
        </w:tc>
        <w:tc>
          <w:tcPr>
            <w:tcW w:w="306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720" w:type="dxa"/>
            <w:vAlign w:val="bottom"/>
          </w:tcPr>
          <w:p>
            <w:pPr>
              <w:spacing w:after="0"/>
              <w:rPr>
                <w:sz w:val="2"/>
                <w:szCs w:val="2"/>
                <w:color w:val="auto"/>
              </w:rPr>
            </w:pPr>
          </w:p>
        </w:tc>
      </w:tr>
      <w:tr>
        <w:trPr>
          <w:trHeight w:val="232"/>
        </w:trPr>
        <w:tc>
          <w:tcPr>
            <w:tcW w:w="2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Robert L. Friedman</w:t>
            </w:r>
          </w:p>
        </w:tc>
        <w:tc>
          <w:tcPr>
            <w:tcW w:w="3060" w:type="dxa"/>
            <w:vAlign w:val="bottom"/>
            <w:tcBorders>
              <w:bottom w:val="single" w:sz="8" w:color="CCEEFF"/>
            </w:tcBorders>
            <w:shd w:val="clear" w:color="auto" w:fill="CCEEFF"/>
          </w:tcPr>
          <w:p>
            <w:pPr>
              <w:jc w:val="center"/>
              <w:ind w:left="258"/>
              <w:spacing w:after="0"/>
              <w:rPr>
                <w:sz w:val="20"/>
                <w:szCs w:val="20"/>
                <w:color w:val="auto"/>
              </w:rPr>
            </w:pPr>
            <w:r>
              <w:rPr>
                <w:rFonts w:ascii="Arial" w:cs="Arial" w:eastAsia="Arial" w:hAnsi="Arial"/>
                <w:sz w:val="17"/>
                <w:szCs w:val="17"/>
                <w:color w:val="auto"/>
                <w:w w:val="89"/>
              </w:rPr>
              <w:t>24,499,822</w:t>
            </w:r>
          </w:p>
        </w:tc>
        <w:tc>
          <w:tcPr>
            <w:tcW w:w="3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91"/>
              </w:rPr>
              <w:t>350,168</w:t>
            </w:r>
          </w:p>
        </w:tc>
        <w:tc>
          <w:tcPr>
            <w:tcW w:w="2720" w:type="dxa"/>
            <w:vAlign w:val="bottom"/>
            <w:tcBorders>
              <w:bottom w:val="single" w:sz="8" w:color="CCEEFF"/>
            </w:tcBorders>
            <w:shd w:val="clear" w:color="auto" w:fill="CCEEFF"/>
          </w:tcPr>
          <w:p>
            <w:pPr>
              <w:jc w:val="center"/>
              <w:ind w:right="38"/>
              <w:spacing w:after="0"/>
              <w:rPr>
                <w:sz w:val="20"/>
                <w:szCs w:val="20"/>
                <w:color w:val="auto"/>
              </w:rPr>
            </w:pPr>
            <w:r>
              <w:rPr>
                <w:rFonts w:ascii="Arial" w:cs="Arial" w:eastAsia="Arial" w:hAnsi="Arial"/>
                <w:sz w:val="17"/>
                <w:szCs w:val="17"/>
                <w:color w:val="auto"/>
                <w:w w:val="89"/>
              </w:rPr>
              <w:t>4,601,730</w:t>
            </w:r>
          </w:p>
        </w:tc>
      </w:tr>
      <w:tr>
        <w:trPr>
          <w:trHeight w:val="226"/>
        </w:trPr>
        <w:tc>
          <w:tcPr>
            <w:tcW w:w="2580" w:type="dxa"/>
            <w:vAlign w:val="bottom"/>
          </w:tcPr>
          <w:p>
            <w:pPr>
              <w:ind w:left="20"/>
              <w:spacing w:after="0"/>
              <w:rPr>
                <w:sz w:val="20"/>
                <w:szCs w:val="20"/>
                <w:color w:val="auto"/>
              </w:rPr>
            </w:pPr>
            <w:r>
              <w:rPr>
                <w:rFonts w:ascii="Arial" w:cs="Arial" w:eastAsia="Arial" w:hAnsi="Arial"/>
                <w:sz w:val="17"/>
                <w:szCs w:val="17"/>
                <w:color w:val="auto"/>
              </w:rPr>
              <w:t>James E. Hoffman</w:t>
            </w:r>
          </w:p>
        </w:tc>
        <w:tc>
          <w:tcPr>
            <w:tcW w:w="3060" w:type="dxa"/>
            <w:vAlign w:val="bottom"/>
          </w:tcPr>
          <w:p>
            <w:pPr>
              <w:jc w:val="center"/>
              <w:ind w:left="258"/>
              <w:spacing w:after="0"/>
              <w:rPr>
                <w:sz w:val="20"/>
                <w:szCs w:val="20"/>
                <w:color w:val="auto"/>
              </w:rPr>
            </w:pPr>
            <w:r>
              <w:rPr>
                <w:rFonts w:ascii="Arial" w:cs="Arial" w:eastAsia="Arial" w:hAnsi="Arial"/>
                <w:sz w:val="17"/>
                <w:szCs w:val="17"/>
                <w:color w:val="auto"/>
                <w:w w:val="89"/>
              </w:rPr>
              <w:t>24,501,085</w:t>
            </w:r>
          </w:p>
        </w:tc>
        <w:tc>
          <w:tcPr>
            <w:tcW w:w="3060" w:type="dxa"/>
            <w:vAlign w:val="bottom"/>
          </w:tcPr>
          <w:p>
            <w:pPr>
              <w:jc w:val="center"/>
              <w:spacing w:after="0"/>
              <w:rPr>
                <w:sz w:val="20"/>
                <w:szCs w:val="20"/>
                <w:color w:val="auto"/>
              </w:rPr>
            </w:pPr>
            <w:r>
              <w:rPr>
                <w:rFonts w:ascii="Arial" w:cs="Arial" w:eastAsia="Arial" w:hAnsi="Arial"/>
                <w:sz w:val="17"/>
                <w:szCs w:val="17"/>
                <w:color w:val="auto"/>
                <w:w w:val="91"/>
              </w:rPr>
              <w:t>348,905</w:t>
            </w:r>
          </w:p>
        </w:tc>
        <w:tc>
          <w:tcPr>
            <w:tcW w:w="2720" w:type="dxa"/>
            <w:vAlign w:val="bottom"/>
          </w:tcPr>
          <w:p>
            <w:pPr>
              <w:jc w:val="center"/>
              <w:ind w:right="38"/>
              <w:spacing w:after="0"/>
              <w:rPr>
                <w:sz w:val="20"/>
                <w:szCs w:val="20"/>
                <w:color w:val="auto"/>
              </w:rPr>
            </w:pPr>
            <w:r>
              <w:rPr>
                <w:rFonts w:ascii="Arial" w:cs="Arial" w:eastAsia="Arial" w:hAnsi="Arial"/>
                <w:sz w:val="17"/>
                <w:szCs w:val="17"/>
                <w:color w:val="auto"/>
                <w:w w:val="89"/>
              </w:rPr>
              <w:t>4,601,730</w:t>
            </w:r>
          </w:p>
        </w:tc>
      </w:tr>
      <w:tr>
        <w:trPr>
          <w:trHeight w:val="26"/>
        </w:trPr>
        <w:tc>
          <w:tcPr>
            <w:tcW w:w="2580" w:type="dxa"/>
            <w:vAlign w:val="bottom"/>
          </w:tcPr>
          <w:p>
            <w:pPr>
              <w:spacing w:after="0"/>
              <w:rPr>
                <w:sz w:val="2"/>
                <w:szCs w:val="2"/>
                <w:color w:val="auto"/>
              </w:rPr>
            </w:pPr>
          </w:p>
        </w:tc>
        <w:tc>
          <w:tcPr>
            <w:tcW w:w="306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720" w:type="dxa"/>
            <w:vAlign w:val="bottom"/>
          </w:tcPr>
          <w:p>
            <w:pPr>
              <w:spacing w:after="0"/>
              <w:rPr>
                <w:sz w:val="2"/>
                <w:szCs w:val="2"/>
                <w:color w:val="auto"/>
              </w:rPr>
            </w:pPr>
          </w:p>
        </w:tc>
      </w:tr>
      <w:tr>
        <w:trPr>
          <w:trHeight w:val="232"/>
        </w:trPr>
        <w:tc>
          <w:tcPr>
            <w:tcW w:w="2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Michael J. Kneeland</w:t>
            </w:r>
          </w:p>
        </w:tc>
        <w:tc>
          <w:tcPr>
            <w:tcW w:w="3060" w:type="dxa"/>
            <w:vAlign w:val="bottom"/>
            <w:tcBorders>
              <w:bottom w:val="single" w:sz="8" w:color="CCEEFF"/>
            </w:tcBorders>
            <w:shd w:val="clear" w:color="auto" w:fill="CCEEFF"/>
          </w:tcPr>
          <w:p>
            <w:pPr>
              <w:jc w:val="center"/>
              <w:ind w:left="258"/>
              <w:spacing w:after="0"/>
              <w:rPr>
                <w:sz w:val="20"/>
                <w:szCs w:val="20"/>
                <w:color w:val="auto"/>
              </w:rPr>
            </w:pPr>
            <w:r>
              <w:rPr>
                <w:rFonts w:ascii="Arial" w:cs="Arial" w:eastAsia="Arial" w:hAnsi="Arial"/>
                <w:sz w:val="17"/>
                <w:szCs w:val="17"/>
                <w:color w:val="auto"/>
                <w:w w:val="89"/>
              </w:rPr>
              <w:t>24,465,821</w:t>
            </w:r>
          </w:p>
        </w:tc>
        <w:tc>
          <w:tcPr>
            <w:tcW w:w="3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91"/>
              </w:rPr>
              <w:t>384,169</w:t>
            </w:r>
          </w:p>
        </w:tc>
        <w:tc>
          <w:tcPr>
            <w:tcW w:w="2720" w:type="dxa"/>
            <w:vAlign w:val="bottom"/>
            <w:tcBorders>
              <w:bottom w:val="single" w:sz="8" w:color="CCEEFF"/>
            </w:tcBorders>
            <w:shd w:val="clear" w:color="auto" w:fill="CCEEFF"/>
          </w:tcPr>
          <w:p>
            <w:pPr>
              <w:jc w:val="center"/>
              <w:ind w:right="38"/>
              <w:spacing w:after="0"/>
              <w:rPr>
                <w:sz w:val="20"/>
                <w:szCs w:val="20"/>
                <w:color w:val="auto"/>
              </w:rPr>
            </w:pPr>
            <w:r>
              <w:rPr>
                <w:rFonts w:ascii="Arial" w:cs="Arial" w:eastAsia="Arial" w:hAnsi="Arial"/>
                <w:sz w:val="17"/>
                <w:szCs w:val="17"/>
                <w:color w:val="auto"/>
                <w:w w:val="89"/>
              </w:rPr>
              <w:t>4,601,730</w:t>
            </w:r>
          </w:p>
        </w:tc>
      </w:tr>
      <w:tr>
        <w:trPr>
          <w:trHeight w:val="226"/>
        </w:trPr>
        <w:tc>
          <w:tcPr>
            <w:tcW w:w="2580" w:type="dxa"/>
            <w:vAlign w:val="bottom"/>
          </w:tcPr>
          <w:p>
            <w:pPr>
              <w:ind w:left="20"/>
              <w:spacing w:after="0"/>
              <w:rPr>
                <w:sz w:val="20"/>
                <w:szCs w:val="20"/>
                <w:color w:val="auto"/>
              </w:rPr>
            </w:pPr>
            <w:r>
              <w:rPr>
                <w:rFonts w:ascii="Arial" w:cs="Arial" w:eastAsia="Arial" w:hAnsi="Arial"/>
                <w:sz w:val="17"/>
                <w:szCs w:val="17"/>
                <w:color w:val="auto"/>
              </w:rPr>
              <w:t>Patricia M. Nazemetz</w:t>
            </w:r>
          </w:p>
        </w:tc>
        <w:tc>
          <w:tcPr>
            <w:tcW w:w="3060" w:type="dxa"/>
            <w:vAlign w:val="bottom"/>
          </w:tcPr>
          <w:p>
            <w:pPr>
              <w:jc w:val="center"/>
              <w:ind w:left="258"/>
              <w:spacing w:after="0"/>
              <w:rPr>
                <w:sz w:val="20"/>
                <w:szCs w:val="20"/>
                <w:color w:val="auto"/>
              </w:rPr>
            </w:pPr>
            <w:r>
              <w:rPr>
                <w:rFonts w:ascii="Arial" w:cs="Arial" w:eastAsia="Arial" w:hAnsi="Arial"/>
                <w:sz w:val="17"/>
                <w:szCs w:val="17"/>
                <w:color w:val="auto"/>
                <w:w w:val="89"/>
              </w:rPr>
              <w:t>24,452,563</w:t>
            </w:r>
          </w:p>
        </w:tc>
        <w:tc>
          <w:tcPr>
            <w:tcW w:w="3060" w:type="dxa"/>
            <w:vAlign w:val="bottom"/>
          </w:tcPr>
          <w:p>
            <w:pPr>
              <w:jc w:val="center"/>
              <w:spacing w:after="0"/>
              <w:rPr>
                <w:sz w:val="20"/>
                <w:szCs w:val="20"/>
                <w:color w:val="auto"/>
              </w:rPr>
            </w:pPr>
            <w:r>
              <w:rPr>
                <w:rFonts w:ascii="Arial" w:cs="Arial" w:eastAsia="Arial" w:hAnsi="Arial"/>
                <w:sz w:val="17"/>
                <w:szCs w:val="17"/>
                <w:color w:val="auto"/>
                <w:w w:val="91"/>
              </w:rPr>
              <w:t>397,427</w:t>
            </w:r>
          </w:p>
        </w:tc>
        <w:tc>
          <w:tcPr>
            <w:tcW w:w="2720" w:type="dxa"/>
            <w:vAlign w:val="bottom"/>
          </w:tcPr>
          <w:p>
            <w:pPr>
              <w:jc w:val="center"/>
              <w:ind w:right="38"/>
              <w:spacing w:after="0"/>
              <w:rPr>
                <w:sz w:val="20"/>
                <w:szCs w:val="20"/>
                <w:color w:val="auto"/>
              </w:rPr>
            </w:pPr>
            <w:r>
              <w:rPr>
                <w:rFonts w:ascii="Arial" w:cs="Arial" w:eastAsia="Arial" w:hAnsi="Arial"/>
                <w:sz w:val="17"/>
                <w:szCs w:val="17"/>
                <w:color w:val="auto"/>
                <w:w w:val="89"/>
              </w:rPr>
              <w:t>4,601,730</w:t>
            </w:r>
          </w:p>
        </w:tc>
      </w:tr>
      <w:tr>
        <w:trPr>
          <w:trHeight w:val="26"/>
        </w:trPr>
        <w:tc>
          <w:tcPr>
            <w:tcW w:w="2580" w:type="dxa"/>
            <w:vAlign w:val="bottom"/>
          </w:tcPr>
          <w:p>
            <w:pPr>
              <w:spacing w:after="0"/>
              <w:rPr>
                <w:sz w:val="2"/>
                <w:szCs w:val="2"/>
                <w:color w:val="auto"/>
              </w:rPr>
            </w:pPr>
          </w:p>
        </w:tc>
        <w:tc>
          <w:tcPr>
            <w:tcW w:w="306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720" w:type="dxa"/>
            <w:vAlign w:val="bottom"/>
          </w:tcPr>
          <w:p>
            <w:pPr>
              <w:spacing w:after="0"/>
              <w:rPr>
                <w:sz w:val="2"/>
                <w:szCs w:val="2"/>
                <w:color w:val="auto"/>
              </w:rPr>
            </w:pPr>
          </w:p>
        </w:tc>
      </w:tr>
      <w:tr>
        <w:trPr>
          <w:trHeight w:val="232"/>
        </w:trPr>
        <w:tc>
          <w:tcPr>
            <w:tcW w:w="2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James L. Welch</w:t>
            </w:r>
          </w:p>
        </w:tc>
        <w:tc>
          <w:tcPr>
            <w:tcW w:w="3060" w:type="dxa"/>
            <w:vAlign w:val="bottom"/>
            <w:tcBorders>
              <w:bottom w:val="single" w:sz="8" w:color="CCEEFF"/>
            </w:tcBorders>
            <w:shd w:val="clear" w:color="auto" w:fill="CCEEFF"/>
          </w:tcPr>
          <w:p>
            <w:pPr>
              <w:jc w:val="center"/>
              <w:ind w:left="258"/>
              <w:spacing w:after="0"/>
              <w:rPr>
                <w:sz w:val="20"/>
                <w:szCs w:val="20"/>
                <w:color w:val="auto"/>
              </w:rPr>
            </w:pPr>
            <w:r>
              <w:rPr>
                <w:rFonts w:ascii="Arial" w:cs="Arial" w:eastAsia="Arial" w:hAnsi="Arial"/>
                <w:sz w:val="17"/>
                <w:szCs w:val="17"/>
                <w:color w:val="auto"/>
                <w:w w:val="89"/>
              </w:rPr>
              <w:t>24,509,633</w:t>
            </w:r>
          </w:p>
        </w:tc>
        <w:tc>
          <w:tcPr>
            <w:tcW w:w="3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91"/>
              </w:rPr>
              <w:t>340,357</w:t>
            </w:r>
          </w:p>
        </w:tc>
        <w:tc>
          <w:tcPr>
            <w:tcW w:w="2720" w:type="dxa"/>
            <w:vAlign w:val="bottom"/>
            <w:tcBorders>
              <w:bottom w:val="single" w:sz="8" w:color="CCEEFF"/>
            </w:tcBorders>
            <w:shd w:val="clear" w:color="auto" w:fill="CCEEFF"/>
          </w:tcPr>
          <w:p>
            <w:pPr>
              <w:jc w:val="center"/>
              <w:ind w:right="38"/>
              <w:spacing w:after="0"/>
              <w:rPr>
                <w:sz w:val="20"/>
                <w:szCs w:val="20"/>
                <w:color w:val="auto"/>
              </w:rPr>
            </w:pPr>
            <w:r>
              <w:rPr>
                <w:rFonts w:ascii="Arial" w:cs="Arial" w:eastAsia="Arial" w:hAnsi="Arial"/>
                <w:sz w:val="17"/>
                <w:szCs w:val="17"/>
                <w:color w:val="auto"/>
                <w:w w:val="89"/>
              </w:rPr>
              <w:t>4,601,730</w:t>
            </w:r>
          </w:p>
        </w:tc>
      </w:tr>
      <w:tr>
        <w:trPr>
          <w:trHeight w:val="226"/>
        </w:trPr>
        <w:tc>
          <w:tcPr>
            <w:tcW w:w="2580" w:type="dxa"/>
            <w:vAlign w:val="bottom"/>
          </w:tcPr>
          <w:p>
            <w:pPr>
              <w:ind w:left="20"/>
              <w:spacing w:after="0"/>
              <w:rPr>
                <w:sz w:val="20"/>
                <w:szCs w:val="20"/>
                <w:color w:val="auto"/>
              </w:rPr>
            </w:pPr>
            <w:r>
              <w:rPr>
                <w:rFonts w:ascii="Arial" w:cs="Arial" w:eastAsia="Arial" w:hAnsi="Arial"/>
                <w:sz w:val="17"/>
                <w:szCs w:val="17"/>
                <w:color w:val="auto"/>
              </w:rPr>
              <w:t>James F. Winestock</w:t>
            </w:r>
          </w:p>
        </w:tc>
        <w:tc>
          <w:tcPr>
            <w:tcW w:w="3060" w:type="dxa"/>
            <w:vAlign w:val="bottom"/>
          </w:tcPr>
          <w:p>
            <w:pPr>
              <w:jc w:val="center"/>
              <w:ind w:left="258"/>
              <w:spacing w:after="0"/>
              <w:rPr>
                <w:sz w:val="20"/>
                <w:szCs w:val="20"/>
                <w:color w:val="auto"/>
              </w:rPr>
            </w:pPr>
            <w:r>
              <w:rPr>
                <w:rFonts w:ascii="Arial" w:cs="Arial" w:eastAsia="Arial" w:hAnsi="Arial"/>
                <w:sz w:val="17"/>
                <w:szCs w:val="17"/>
                <w:color w:val="auto"/>
                <w:w w:val="89"/>
              </w:rPr>
              <w:t>24,505,323</w:t>
            </w:r>
          </w:p>
        </w:tc>
        <w:tc>
          <w:tcPr>
            <w:tcW w:w="3060" w:type="dxa"/>
            <w:vAlign w:val="bottom"/>
          </w:tcPr>
          <w:p>
            <w:pPr>
              <w:jc w:val="center"/>
              <w:spacing w:after="0"/>
              <w:rPr>
                <w:sz w:val="20"/>
                <w:szCs w:val="20"/>
                <w:color w:val="auto"/>
              </w:rPr>
            </w:pPr>
            <w:r>
              <w:rPr>
                <w:rFonts w:ascii="Arial" w:cs="Arial" w:eastAsia="Arial" w:hAnsi="Arial"/>
                <w:sz w:val="17"/>
                <w:szCs w:val="17"/>
                <w:color w:val="auto"/>
                <w:w w:val="91"/>
              </w:rPr>
              <w:t>344,667</w:t>
            </w:r>
          </w:p>
        </w:tc>
        <w:tc>
          <w:tcPr>
            <w:tcW w:w="2720" w:type="dxa"/>
            <w:vAlign w:val="bottom"/>
          </w:tcPr>
          <w:p>
            <w:pPr>
              <w:jc w:val="center"/>
              <w:ind w:right="38"/>
              <w:spacing w:after="0"/>
              <w:rPr>
                <w:sz w:val="20"/>
                <w:szCs w:val="20"/>
                <w:color w:val="auto"/>
              </w:rPr>
            </w:pPr>
            <w:r>
              <w:rPr>
                <w:rFonts w:ascii="Arial" w:cs="Arial" w:eastAsia="Arial" w:hAnsi="Arial"/>
                <w:sz w:val="17"/>
                <w:szCs w:val="17"/>
                <w:color w:val="auto"/>
                <w:w w:val="89"/>
              </w:rPr>
              <w:t>4,601,730</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Proposal 2</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The appointment of KPMG LLP as our independent registered public accounting firm for 2017 was ratified.</w:t>
      </w:r>
    </w:p>
    <w:p>
      <w:pPr>
        <w:spacing w:after="0" w:line="350" w:lineRule="exact"/>
        <w:rPr>
          <w:sz w:val="20"/>
          <w:szCs w:val="20"/>
          <w:color w:val="auto"/>
        </w:rPr>
      </w:pPr>
    </w:p>
    <w:tbl>
      <w:tblPr>
        <w:tblLayout w:type="fixed"/>
        <w:tblInd w:w="1100" w:type="dxa"/>
        <w:tblCellMar>
          <w:top w:w="0" w:type="dxa"/>
          <w:left w:w="0" w:type="dxa"/>
          <w:bottom w:w="0" w:type="dxa"/>
          <w:right w:w="0" w:type="dxa"/>
        </w:tblCellMar>
      </w:tblPr>
      <w:tr>
        <w:trPr>
          <w:trHeight w:val="179"/>
        </w:trPr>
        <w:tc>
          <w:tcPr>
            <w:tcW w:w="3040" w:type="dxa"/>
            <w:vAlign w:val="bottom"/>
            <w:tcBorders>
              <w:bottom w:val="single" w:sz="8" w:color="auto"/>
            </w:tcBorders>
          </w:tcPr>
          <w:p>
            <w:pPr>
              <w:jc w:val="center"/>
              <w:ind w:left="25"/>
              <w:spacing w:after="0"/>
              <w:rPr>
                <w:sz w:val="20"/>
                <w:szCs w:val="20"/>
                <w:color w:val="auto"/>
              </w:rPr>
            </w:pPr>
            <w:r>
              <w:rPr>
                <w:rFonts w:ascii="Arial" w:cs="Arial" w:eastAsia="Arial" w:hAnsi="Arial"/>
                <w:sz w:val="13"/>
                <w:szCs w:val="13"/>
                <w:b w:val="1"/>
                <w:bCs w:val="1"/>
                <w:color w:val="auto"/>
                <w:w w:val="94"/>
              </w:rPr>
              <w:t>Number of Votes For</w:t>
            </w:r>
          </w:p>
        </w:tc>
        <w:tc>
          <w:tcPr>
            <w:tcW w:w="3120" w:type="dxa"/>
            <w:vAlign w:val="bottom"/>
            <w:tcBorders>
              <w:bottom w:val="single" w:sz="8" w:color="auto"/>
            </w:tcBorders>
          </w:tcPr>
          <w:p>
            <w:pPr>
              <w:jc w:val="center"/>
              <w:ind w:left="65"/>
              <w:spacing w:after="0"/>
              <w:rPr>
                <w:sz w:val="20"/>
                <w:szCs w:val="20"/>
                <w:color w:val="auto"/>
              </w:rPr>
            </w:pPr>
            <w:r>
              <w:rPr>
                <w:rFonts w:ascii="Arial" w:cs="Arial" w:eastAsia="Arial" w:hAnsi="Arial"/>
                <w:sz w:val="13"/>
                <w:szCs w:val="13"/>
                <w:b w:val="1"/>
                <w:bCs w:val="1"/>
                <w:color w:val="auto"/>
                <w:w w:val="94"/>
              </w:rPr>
              <w:t>Number of Votes Withheld</w:t>
            </w:r>
          </w:p>
        </w:tc>
        <w:tc>
          <w:tcPr>
            <w:tcW w:w="30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Number of Votes Abstaining</w:t>
            </w:r>
          </w:p>
        </w:tc>
      </w:tr>
      <w:tr>
        <w:trPr>
          <w:trHeight w:val="224"/>
        </w:trPr>
        <w:tc>
          <w:tcPr>
            <w:tcW w:w="3040" w:type="dxa"/>
            <w:vAlign w:val="bottom"/>
            <w:shd w:val="clear" w:color="auto" w:fill="CCEEFF"/>
          </w:tcPr>
          <w:p>
            <w:pPr>
              <w:jc w:val="right"/>
              <w:ind w:right="1025"/>
              <w:spacing w:after="0"/>
              <w:rPr>
                <w:sz w:val="20"/>
                <w:szCs w:val="20"/>
                <w:color w:val="auto"/>
              </w:rPr>
            </w:pPr>
            <w:r>
              <w:rPr>
                <w:rFonts w:ascii="Arial" w:cs="Arial" w:eastAsia="Arial" w:hAnsi="Arial"/>
                <w:sz w:val="17"/>
                <w:szCs w:val="17"/>
                <w:color w:val="auto"/>
              </w:rPr>
              <w:t>28,185,873</w:t>
            </w:r>
          </w:p>
        </w:tc>
        <w:tc>
          <w:tcPr>
            <w:tcW w:w="3120" w:type="dxa"/>
            <w:vAlign w:val="bottom"/>
            <w:shd w:val="clear" w:color="auto" w:fill="CCEEFF"/>
          </w:tcPr>
          <w:p>
            <w:pPr>
              <w:jc w:val="right"/>
              <w:ind w:right="1145"/>
              <w:spacing w:after="0"/>
              <w:rPr>
                <w:sz w:val="20"/>
                <w:szCs w:val="20"/>
                <w:color w:val="auto"/>
              </w:rPr>
            </w:pPr>
            <w:r>
              <w:rPr>
                <w:rFonts w:ascii="Arial" w:cs="Arial" w:eastAsia="Arial" w:hAnsi="Arial"/>
                <w:sz w:val="17"/>
                <w:szCs w:val="17"/>
                <w:color w:val="auto"/>
              </w:rPr>
              <w:t>654,098</w:t>
            </w:r>
          </w:p>
        </w:tc>
        <w:tc>
          <w:tcPr>
            <w:tcW w:w="3080" w:type="dxa"/>
            <w:vAlign w:val="bottom"/>
            <w:shd w:val="clear" w:color="auto" w:fill="CCEEFF"/>
          </w:tcPr>
          <w:p>
            <w:pPr>
              <w:jc w:val="right"/>
              <w:ind w:right="1185"/>
              <w:spacing w:after="0"/>
              <w:rPr>
                <w:sz w:val="20"/>
                <w:szCs w:val="20"/>
                <w:color w:val="auto"/>
              </w:rPr>
            </w:pPr>
            <w:r>
              <w:rPr>
                <w:rFonts w:ascii="Arial" w:cs="Arial" w:eastAsia="Arial" w:hAnsi="Arial"/>
                <w:sz w:val="17"/>
                <w:szCs w:val="17"/>
                <w:color w:val="auto"/>
              </w:rPr>
              <w:t>611,749</w:t>
            </w:r>
          </w:p>
        </w:tc>
      </w:tr>
      <w:tr>
        <w:trPr>
          <w:trHeight w:val="26"/>
        </w:trPr>
        <w:tc>
          <w:tcPr>
            <w:tcW w:w="3040" w:type="dxa"/>
            <w:vAlign w:val="bottom"/>
            <w:shd w:val="clear" w:color="auto" w:fill="CCEEFF"/>
          </w:tcPr>
          <w:p>
            <w:pPr>
              <w:spacing w:after="0"/>
              <w:rPr>
                <w:sz w:val="2"/>
                <w:szCs w:val="2"/>
                <w:color w:val="auto"/>
              </w:rPr>
            </w:pPr>
          </w:p>
        </w:tc>
        <w:tc>
          <w:tcPr>
            <w:tcW w:w="3120" w:type="dxa"/>
            <w:vAlign w:val="bottom"/>
            <w:shd w:val="clear" w:color="auto" w:fill="CCEEFF"/>
          </w:tcPr>
          <w:p>
            <w:pPr>
              <w:spacing w:after="0"/>
              <w:rPr>
                <w:sz w:val="2"/>
                <w:szCs w:val="2"/>
                <w:color w:val="auto"/>
              </w:rPr>
            </w:pPr>
          </w:p>
        </w:tc>
        <w:tc>
          <w:tcPr>
            <w:tcW w:w="3080" w:type="dxa"/>
            <w:vAlign w:val="bottom"/>
            <w:shd w:val="clear" w:color="auto" w:fill="CCEEFF"/>
          </w:tcPr>
          <w:p>
            <w:pPr>
              <w:spacing w:after="0"/>
              <w:rPr>
                <w:sz w:val="2"/>
                <w:szCs w:val="2"/>
                <w:color w:val="auto"/>
              </w:rPr>
            </w:pPr>
          </w:p>
        </w:tc>
      </w:tr>
    </w:tbl>
    <w:p>
      <w:pPr>
        <w:spacing w:after="0" w:line="39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Proposal 3</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The advisory vote on named executive officer compensation was approved.</w:t>
      </w:r>
    </w:p>
    <w:p>
      <w:pPr>
        <w:spacing w:after="0" w:line="350" w:lineRule="exact"/>
        <w:rPr>
          <w:sz w:val="20"/>
          <w:szCs w:val="20"/>
          <w:color w:val="auto"/>
        </w:rPr>
      </w:pPr>
    </w:p>
    <w:tbl>
      <w:tblPr>
        <w:tblLayout w:type="fixed"/>
        <w:tblInd w:w="1080" w:type="dxa"/>
        <w:tblCellMar>
          <w:top w:w="0" w:type="dxa"/>
          <w:left w:w="0" w:type="dxa"/>
          <w:bottom w:w="0" w:type="dxa"/>
          <w:right w:w="0" w:type="dxa"/>
        </w:tblCellMar>
      </w:tblPr>
      <w:tr>
        <w:trPr>
          <w:trHeight w:val="179"/>
        </w:trPr>
        <w:tc>
          <w:tcPr>
            <w:tcW w:w="22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Number of Votes For</w:t>
            </w:r>
          </w:p>
        </w:tc>
        <w:tc>
          <w:tcPr>
            <w:tcW w:w="2120" w:type="dxa"/>
            <w:vAlign w:val="bottom"/>
            <w:tcBorders>
              <w:bottom w:val="single" w:sz="8" w:color="auto"/>
            </w:tcBorders>
          </w:tcPr>
          <w:p>
            <w:pPr>
              <w:jc w:val="center"/>
              <w:ind w:left="245"/>
              <w:spacing w:after="0"/>
              <w:rPr>
                <w:sz w:val="20"/>
                <w:szCs w:val="20"/>
                <w:color w:val="auto"/>
              </w:rPr>
            </w:pPr>
            <w:r>
              <w:rPr>
                <w:rFonts w:ascii="Arial" w:cs="Arial" w:eastAsia="Arial" w:hAnsi="Arial"/>
                <w:sz w:val="13"/>
                <w:szCs w:val="13"/>
                <w:b w:val="1"/>
                <w:bCs w:val="1"/>
                <w:color w:val="auto"/>
                <w:w w:val="92"/>
              </w:rPr>
              <w:t>Number of Votes Against</w:t>
            </w:r>
          </w:p>
        </w:tc>
        <w:tc>
          <w:tcPr>
            <w:tcW w:w="2720" w:type="dxa"/>
            <w:vAlign w:val="bottom"/>
            <w:tcBorders>
              <w:bottom w:val="single" w:sz="8" w:color="auto"/>
            </w:tcBorders>
          </w:tcPr>
          <w:p>
            <w:pPr>
              <w:jc w:val="center"/>
              <w:ind w:left="22"/>
              <w:spacing w:after="0"/>
              <w:rPr>
                <w:sz w:val="20"/>
                <w:szCs w:val="20"/>
                <w:color w:val="auto"/>
              </w:rPr>
            </w:pPr>
            <w:r>
              <w:rPr>
                <w:rFonts w:ascii="Arial" w:cs="Arial" w:eastAsia="Arial" w:hAnsi="Arial"/>
                <w:sz w:val="13"/>
                <w:szCs w:val="13"/>
                <w:b w:val="1"/>
                <w:bCs w:val="1"/>
                <w:color w:val="auto"/>
                <w:w w:val="92"/>
              </w:rPr>
              <w:t>Number of Votes Abstaining</w:t>
            </w:r>
          </w:p>
        </w:tc>
        <w:tc>
          <w:tcPr>
            <w:tcW w:w="2180" w:type="dxa"/>
            <w:vAlign w:val="bottom"/>
            <w:tcBorders>
              <w:bottom w:val="single" w:sz="8" w:color="auto"/>
            </w:tcBorders>
          </w:tcPr>
          <w:p>
            <w:pPr>
              <w:jc w:val="center"/>
              <w:ind w:right="85"/>
              <w:spacing w:after="0"/>
              <w:rPr>
                <w:sz w:val="20"/>
                <w:szCs w:val="20"/>
                <w:color w:val="auto"/>
              </w:rPr>
            </w:pPr>
            <w:r>
              <w:rPr>
                <w:rFonts w:ascii="Arial" w:cs="Arial" w:eastAsia="Arial" w:hAnsi="Arial"/>
                <w:sz w:val="13"/>
                <w:szCs w:val="13"/>
                <w:b w:val="1"/>
                <w:bCs w:val="1"/>
                <w:color w:val="auto"/>
                <w:w w:val="92"/>
              </w:rPr>
              <w:t>Broker Non-Votes</w:t>
            </w:r>
          </w:p>
        </w:tc>
      </w:tr>
      <w:tr>
        <w:trPr>
          <w:trHeight w:val="229"/>
        </w:trPr>
        <w:tc>
          <w:tcPr>
            <w:tcW w:w="2260" w:type="dxa"/>
            <w:vAlign w:val="bottom"/>
            <w:tcBorders>
              <w:bottom w:val="single" w:sz="8" w:color="CCEEFF"/>
            </w:tcBorders>
            <w:shd w:val="clear" w:color="auto" w:fill="CCEEFF"/>
          </w:tcPr>
          <w:p>
            <w:pPr>
              <w:jc w:val="right"/>
              <w:ind w:right="645"/>
              <w:spacing w:after="0"/>
              <w:rPr>
                <w:sz w:val="20"/>
                <w:szCs w:val="20"/>
                <w:color w:val="auto"/>
              </w:rPr>
            </w:pPr>
            <w:r>
              <w:rPr>
                <w:rFonts w:ascii="Arial" w:cs="Arial" w:eastAsia="Arial" w:hAnsi="Arial"/>
                <w:sz w:val="17"/>
                <w:szCs w:val="17"/>
                <w:color w:val="auto"/>
              </w:rPr>
              <w:t>23,677,017</w:t>
            </w:r>
          </w:p>
        </w:tc>
        <w:tc>
          <w:tcPr>
            <w:tcW w:w="2120" w:type="dxa"/>
            <w:vAlign w:val="bottom"/>
            <w:tcBorders>
              <w:bottom w:val="single" w:sz="8" w:color="CCEEFF"/>
            </w:tcBorders>
            <w:shd w:val="clear" w:color="auto" w:fill="CCEEFF"/>
          </w:tcPr>
          <w:p>
            <w:pPr>
              <w:jc w:val="right"/>
              <w:ind w:right="485"/>
              <w:spacing w:after="0"/>
              <w:rPr>
                <w:sz w:val="20"/>
                <w:szCs w:val="20"/>
                <w:color w:val="auto"/>
              </w:rPr>
            </w:pPr>
            <w:r>
              <w:rPr>
                <w:rFonts w:ascii="Arial" w:cs="Arial" w:eastAsia="Arial" w:hAnsi="Arial"/>
                <w:sz w:val="17"/>
                <w:szCs w:val="17"/>
                <w:color w:val="auto"/>
              </w:rPr>
              <w:t>1,084,906</w:t>
            </w:r>
          </w:p>
        </w:tc>
        <w:tc>
          <w:tcPr>
            <w:tcW w:w="2720" w:type="dxa"/>
            <w:vAlign w:val="bottom"/>
            <w:tcBorders>
              <w:bottom w:val="single" w:sz="8" w:color="CCEEFF"/>
            </w:tcBorders>
            <w:shd w:val="clear" w:color="auto" w:fill="CCEEFF"/>
          </w:tcPr>
          <w:p>
            <w:pPr>
              <w:jc w:val="right"/>
              <w:ind w:right="1002"/>
              <w:spacing w:after="0"/>
              <w:rPr>
                <w:sz w:val="20"/>
                <w:szCs w:val="20"/>
                <w:color w:val="auto"/>
              </w:rPr>
            </w:pPr>
            <w:r>
              <w:rPr>
                <w:rFonts w:ascii="Arial" w:cs="Arial" w:eastAsia="Arial" w:hAnsi="Arial"/>
                <w:sz w:val="17"/>
                <w:szCs w:val="17"/>
                <w:color w:val="auto"/>
              </w:rPr>
              <w:t>88,067</w:t>
            </w:r>
          </w:p>
        </w:tc>
        <w:tc>
          <w:tcPr>
            <w:tcW w:w="2180" w:type="dxa"/>
            <w:vAlign w:val="bottom"/>
            <w:tcBorders>
              <w:bottom w:val="single" w:sz="8" w:color="CCEEFF"/>
            </w:tcBorders>
            <w:shd w:val="clear" w:color="auto" w:fill="CCEEFF"/>
          </w:tcPr>
          <w:p>
            <w:pPr>
              <w:jc w:val="right"/>
              <w:ind w:right="765"/>
              <w:spacing w:after="0"/>
              <w:rPr>
                <w:sz w:val="20"/>
                <w:szCs w:val="20"/>
                <w:color w:val="auto"/>
              </w:rPr>
            </w:pPr>
            <w:r>
              <w:rPr>
                <w:rFonts w:ascii="Arial" w:cs="Arial" w:eastAsia="Arial" w:hAnsi="Arial"/>
                <w:sz w:val="17"/>
                <w:szCs w:val="17"/>
                <w:color w:val="auto"/>
              </w:rPr>
              <w:t>4,601,730</w:t>
            </w:r>
          </w:p>
        </w:tc>
      </w:tr>
      <w:tr>
        <w:trPr>
          <w:trHeight w:val="428"/>
        </w:trPr>
        <w:tc>
          <w:tcPr>
            <w:tcW w:w="22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720" w:type="dxa"/>
            <w:vAlign w:val="bottom"/>
          </w:tcPr>
          <w:p>
            <w:pPr>
              <w:jc w:val="right"/>
              <w:ind w:right="2302"/>
              <w:spacing w:after="0"/>
              <w:rPr>
                <w:sz w:val="20"/>
                <w:szCs w:val="20"/>
                <w:color w:val="auto"/>
              </w:rPr>
            </w:pPr>
            <w:r>
              <w:rPr>
                <w:rFonts w:ascii="Arial" w:cs="Arial" w:eastAsia="Arial" w:hAnsi="Arial"/>
                <w:sz w:val="17"/>
                <w:szCs w:val="17"/>
                <w:color w:val="auto"/>
              </w:rPr>
              <w:t>26</w:t>
            </w:r>
          </w:p>
        </w:tc>
        <w:tc>
          <w:tcPr>
            <w:tcW w:w="218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Proposal 4</w:t>
      </w:r>
    </w:p>
    <w:p>
      <w:pPr>
        <w:spacing w:after="0" w:line="207" w:lineRule="exact"/>
        <w:rPr>
          <w:sz w:val="20"/>
          <w:szCs w:val="20"/>
          <w:color w:val="auto"/>
        </w:rPr>
      </w:pPr>
    </w:p>
    <w:p>
      <w:pPr>
        <w:ind w:right="320"/>
        <w:spacing w:after="0" w:line="269" w:lineRule="auto"/>
        <w:rPr>
          <w:sz w:val="20"/>
          <w:szCs w:val="20"/>
          <w:color w:val="auto"/>
        </w:rPr>
      </w:pPr>
      <w:r>
        <w:rPr>
          <w:rFonts w:ascii="Arial" w:cs="Arial" w:eastAsia="Arial" w:hAnsi="Arial"/>
          <w:sz w:val="17"/>
          <w:szCs w:val="17"/>
          <w:color w:val="auto"/>
        </w:rPr>
        <w:t>The advisory vote to recommend the frequency of the stockholder vote to approve the compensation of our named executive officer was approved to occur every one year.</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940" w:type="dxa"/>
            <w:vAlign w:val="bottom"/>
          </w:tcPr>
          <w:p>
            <w:pPr>
              <w:jc w:val="center"/>
              <w:ind w:right="545"/>
              <w:spacing w:after="0"/>
              <w:rPr>
                <w:sz w:val="20"/>
                <w:szCs w:val="20"/>
                <w:color w:val="auto"/>
              </w:rPr>
            </w:pPr>
            <w:r>
              <w:rPr>
                <w:rFonts w:ascii="Arial" w:cs="Arial" w:eastAsia="Arial" w:hAnsi="Arial"/>
                <w:sz w:val="13"/>
                <w:szCs w:val="13"/>
                <w:b w:val="1"/>
                <w:bCs w:val="1"/>
                <w:color w:val="auto"/>
                <w:w w:val="95"/>
              </w:rPr>
              <w:t>Every One Year</w:t>
            </w:r>
          </w:p>
        </w:tc>
        <w:tc>
          <w:tcPr>
            <w:tcW w:w="1680" w:type="dxa"/>
            <w:vAlign w:val="bottom"/>
          </w:tcPr>
          <w:p>
            <w:pPr>
              <w:jc w:val="center"/>
              <w:ind w:right="525"/>
              <w:spacing w:after="0"/>
              <w:rPr>
                <w:sz w:val="20"/>
                <w:szCs w:val="20"/>
                <w:color w:val="auto"/>
              </w:rPr>
            </w:pPr>
            <w:r>
              <w:rPr>
                <w:rFonts w:ascii="Arial" w:cs="Arial" w:eastAsia="Arial" w:hAnsi="Arial"/>
                <w:sz w:val="13"/>
                <w:szCs w:val="13"/>
                <w:b w:val="1"/>
                <w:bCs w:val="1"/>
                <w:color w:val="auto"/>
                <w:w w:val="92"/>
              </w:rPr>
              <w:t>Every Two Years</w:t>
            </w:r>
          </w:p>
        </w:tc>
        <w:tc>
          <w:tcPr>
            <w:tcW w:w="2480" w:type="dxa"/>
            <w:vAlign w:val="bottom"/>
          </w:tcPr>
          <w:p>
            <w:pPr>
              <w:jc w:val="center"/>
              <w:ind w:right="45"/>
              <w:spacing w:after="0"/>
              <w:rPr>
                <w:sz w:val="20"/>
                <w:szCs w:val="20"/>
                <w:color w:val="auto"/>
              </w:rPr>
            </w:pPr>
            <w:r>
              <w:rPr>
                <w:rFonts w:ascii="Arial" w:cs="Arial" w:eastAsia="Arial" w:hAnsi="Arial"/>
                <w:sz w:val="13"/>
                <w:szCs w:val="13"/>
                <w:b w:val="1"/>
                <w:bCs w:val="1"/>
                <w:color w:val="auto"/>
                <w:w w:val="95"/>
              </w:rPr>
              <w:t>Every Three Years</w:t>
            </w:r>
          </w:p>
        </w:tc>
        <w:tc>
          <w:tcPr>
            <w:tcW w:w="3240" w:type="dxa"/>
            <w:vAlign w:val="bottom"/>
            <w:gridSpan w:val="2"/>
          </w:tcPr>
          <w:p>
            <w:pPr>
              <w:ind w:left="800"/>
              <w:spacing w:after="0"/>
              <w:rPr>
                <w:sz w:val="20"/>
                <w:szCs w:val="20"/>
                <w:color w:val="auto"/>
              </w:rPr>
            </w:pPr>
            <w:r>
              <w:rPr>
                <w:rFonts w:ascii="Arial" w:cs="Arial" w:eastAsia="Arial" w:hAnsi="Arial"/>
                <w:sz w:val="13"/>
                <w:szCs w:val="13"/>
                <w:b w:val="1"/>
                <w:bCs w:val="1"/>
                <w:color w:val="auto"/>
              </w:rPr>
              <w:t>Abstain</w:t>
            </w:r>
          </w:p>
        </w:tc>
      </w:tr>
      <w:tr>
        <w:trPr>
          <w:trHeight w:val="229"/>
        </w:trPr>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940" w:type="dxa"/>
            <w:vAlign w:val="bottom"/>
            <w:tcBorders>
              <w:top w:val="single" w:sz="8" w:color="auto"/>
              <w:bottom w:val="single" w:sz="8" w:color="CCEEFF"/>
            </w:tcBorders>
            <w:shd w:val="clear" w:color="auto" w:fill="CCEEFF"/>
          </w:tcPr>
          <w:p>
            <w:pPr>
              <w:jc w:val="right"/>
              <w:ind w:right="1325"/>
              <w:spacing w:after="0"/>
              <w:rPr>
                <w:sz w:val="20"/>
                <w:szCs w:val="20"/>
                <w:color w:val="auto"/>
              </w:rPr>
            </w:pPr>
            <w:r>
              <w:rPr>
                <w:rFonts w:ascii="Arial" w:cs="Arial" w:eastAsia="Arial" w:hAnsi="Arial"/>
                <w:sz w:val="17"/>
                <w:szCs w:val="17"/>
                <w:color w:val="auto"/>
              </w:rPr>
              <w:t>21,540,751</w:t>
            </w:r>
          </w:p>
        </w:tc>
        <w:tc>
          <w:tcPr>
            <w:tcW w:w="1680" w:type="dxa"/>
            <w:vAlign w:val="bottom"/>
            <w:tcBorders>
              <w:top w:val="single" w:sz="8" w:color="auto"/>
              <w:bottom w:val="single" w:sz="8" w:color="CCEEFF"/>
            </w:tcBorders>
            <w:shd w:val="clear" w:color="auto" w:fill="CCEEFF"/>
          </w:tcPr>
          <w:p>
            <w:pPr>
              <w:jc w:val="right"/>
              <w:ind w:right="825"/>
              <w:spacing w:after="0"/>
              <w:rPr>
                <w:sz w:val="20"/>
                <w:szCs w:val="20"/>
                <w:color w:val="auto"/>
              </w:rPr>
            </w:pPr>
            <w:r>
              <w:rPr>
                <w:rFonts w:ascii="Arial" w:cs="Arial" w:eastAsia="Arial" w:hAnsi="Arial"/>
                <w:sz w:val="17"/>
                <w:szCs w:val="17"/>
                <w:color w:val="auto"/>
              </w:rPr>
              <w:t>15,849</w:t>
            </w:r>
          </w:p>
        </w:tc>
        <w:tc>
          <w:tcPr>
            <w:tcW w:w="2480" w:type="dxa"/>
            <w:vAlign w:val="bottom"/>
            <w:tcBorders>
              <w:top w:val="single" w:sz="8" w:color="auto"/>
              <w:bottom w:val="single" w:sz="8" w:color="CCEEFF"/>
            </w:tcBorders>
            <w:shd w:val="clear" w:color="auto" w:fill="CCEEFF"/>
          </w:tcPr>
          <w:p>
            <w:pPr>
              <w:jc w:val="right"/>
              <w:ind w:right="885"/>
              <w:spacing w:after="0"/>
              <w:rPr>
                <w:sz w:val="20"/>
                <w:szCs w:val="20"/>
                <w:color w:val="auto"/>
              </w:rPr>
            </w:pPr>
            <w:r>
              <w:rPr>
                <w:rFonts w:ascii="Arial" w:cs="Arial" w:eastAsia="Arial" w:hAnsi="Arial"/>
                <w:sz w:val="17"/>
                <w:szCs w:val="17"/>
                <w:color w:val="auto"/>
              </w:rPr>
              <w:t>3,251,566</w:t>
            </w:r>
          </w:p>
        </w:tc>
        <w:tc>
          <w:tcPr>
            <w:tcW w:w="2180" w:type="dxa"/>
            <w:vAlign w:val="bottom"/>
            <w:tcBorders>
              <w:top w:val="single" w:sz="8" w:color="auto"/>
              <w:bottom w:val="single" w:sz="8" w:color="CCEEFF"/>
            </w:tcBorders>
            <w:shd w:val="clear" w:color="auto" w:fill="CCEEFF"/>
          </w:tcPr>
          <w:p>
            <w:pPr>
              <w:ind w:left="780"/>
              <w:spacing w:after="0"/>
              <w:rPr>
                <w:sz w:val="20"/>
                <w:szCs w:val="20"/>
                <w:color w:val="auto"/>
              </w:rPr>
            </w:pPr>
            <w:r>
              <w:rPr>
                <w:rFonts w:ascii="Arial" w:cs="Arial" w:eastAsia="Arial" w:hAnsi="Arial"/>
                <w:sz w:val="17"/>
                <w:szCs w:val="17"/>
                <w:color w:val="auto"/>
              </w:rPr>
              <w:t>41,824</w:t>
            </w:r>
          </w:p>
        </w:tc>
        <w:tc>
          <w:tcPr>
            <w:tcW w:w="1060" w:type="dxa"/>
            <w:vAlign w:val="bottom"/>
          </w:tcPr>
          <w:p>
            <w:pPr>
              <w:spacing w:after="0"/>
              <w:rPr>
                <w:sz w:val="19"/>
                <w:szCs w:val="19"/>
                <w:color w:val="auto"/>
              </w:rPr>
            </w:pPr>
          </w:p>
        </w:tc>
      </w:tr>
      <w:tr>
        <w:trPr>
          <w:trHeight w:val="566"/>
        </w:trPr>
        <w:tc>
          <w:tcPr>
            <w:tcW w:w="4020" w:type="dxa"/>
            <w:vAlign w:val="bottom"/>
            <w:gridSpan w:val="5"/>
          </w:tcPr>
          <w:p>
            <w:pPr>
              <w:spacing w:after="0"/>
              <w:rPr>
                <w:sz w:val="20"/>
                <w:szCs w:val="20"/>
                <w:color w:val="auto"/>
              </w:rPr>
            </w:pPr>
            <w:r>
              <w:rPr>
                <w:rFonts w:ascii="Arial" w:cs="Arial" w:eastAsia="Arial" w:hAnsi="Arial"/>
                <w:sz w:val="17"/>
                <w:szCs w:val="17"/>
                <w:color w:val="auto"/>
              </w:rPr>
              <w:t>Item 6. Exhibits</w:t>
            </w:r>
          </w:p>
        </w:tc>
        <w:tc>
          <w:tcPr>
            <w:tcW w:w="16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
        </w:trPr>
        <w:tc>
          <w:tcPr>
            <w:tcW w:w="4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340" w:type="dxa"/>
            <w:vAlign w:val="bottom"/>
            <w:gridSpan w:val="5"/>
          </w:tcPr>
          <w:p>
            <w:pPr>
              <w:spacing w:after="0" w:line="20" w:lineRule="exact"/>
              <w:rPr>
                <w:sz w:val="1"/>
                <w:szCs w:val="1"/>
                <w:color w:val="auto"/>
              </w:rPr>
            </w:pPr>
          </w:p>
        </w:tc>
      </w:tr>
      <w:tr>
        <w:trPr>
          <w:trHeight w:val="408"/>
        </w:trPr>
        <w:tc>
          <w:tcPr>
            <w:tcW w:w="480" w:type="dxa"/>
            <w:vAlign w:val="bottom"/>
          </w:tcPr>
          <w:p>
            <w:pPr>
              <w:ind w:left="60"/>
              <w:spacing w:after="0"/>
              <w:rPr>
                <w:sz w:val="20"/>
                <w:szCs w:val="20"/>
                <w:color w:val="auto"/>
              </w:rPr>
            </w:pPr>
            <w:r>
              <w:rPr>
                <w:rFonts w:ascii="Arial" w:cs="Arial" w:eastAsia="Arial" w:hAnsi="Arial"/>
                <w:sz w:val="17"/>
                <w:szCs w:val="17"/>
                <w:color w:val="auto"/>
                <w:w w:val="92"/>
              </w:rPr>
              <w:t>10.1+</w:t>
            </w: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560" w:type="dxa"/>
            <w:vAlign w:val="bottom"/>
            <w:gridSpan w:val="6"/>
          </w:tcPr>
          <w:p>
            <w:pPr>
              <w:ind w:left="140"/>
              <w:spacing w:after="0"/>
              <w:rPr>
                <w:sz w:val="20"/>
                <w:szCs w:val="20"/>
                <w:color w:val="auto"/>
              </w:rPr>
            </w:pPr>
            <w:r>
              <w:rPr>
                <w:rFonts w:ascii="Arial" w:cs="Arial" w:eastAsia="Arial" w:hAnsi="Arial"/>
                <w:sz w:val="17"/>
                <w:szCs w:val="17"/>
                <w:color w:val="auto"/>
                <w:w w:val="90"/>
              </w:rPr>
              <w:t>General Release and Post-Employment Consulting Agreement between Jamie G. Pierson and YRC Worldwide Inc. (incorporated by reference to Exhibit</w:t>
            </w:r>
          </w:p>
        </w:tc>
      </w:tr>
      <w:tr>
        <w:trPr>
          <w:trHeight w:val="213"/>
        </w:trPr>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320" w:type="dxa"/>
            <w:vAlign w:val="bottom"/>
            <w:gridSpan w:val="4"/>
          </w:tcPr>
          <w:p>
            <w:pPr>
              <w:ind w:left="140"/>
              <w:spacing w:after="0"/>
              <w:rPr>
                <w:sz w:val="20"/>
                <w:szCs w:val="20"/>
                <w:color w:val="auto"/>
              </w:rPr>
            </w:pPr>
            <w:r>
              <w:rPr>
                <w:rFonts w:ascii="Arial" w:cs="Arial" w:eastAsia="Arial" w:hAnsi="Arial"/>
                <w:sz w:val="17"/>
                <w:szCs w:val="17"/>
                <w:color w:val="auto"/>
              </w:rPr>
              <w:t>10.1 to Current Report on Form 8-K, filed on January 4, 2017, File No. 000-12255).</w:t>
            </w:r>
          </w:p>
        </w:tc>
        <w:tc>
          <w:tcPr>
            <w:tcW w:w="21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391"/>
        </w:trPr>
        <w:tc>
          <w:tcPr>
            <w:tcW w:w="480" w:type="dxa"/>
            <w:vAlign w:val="bottom"/>
          </w:tcPr>
          <w:p>
            <w:pPr>
              <w:ind w:left="20"/>
              <w:spacing w:after="0"/>
              <w:rPr>
                <w:sz w:val="20"/>
                <w:szCs w:val="20"/>
                <w:color w:val="auto"/>
              </w:rPr>
            </w:pPr>
            <w:r>
              <w:rPr>
                <w:rFonts w:ascii="Arial" w:cs="Arial" w:eastAsia="Arial" w:hAnsi="Arial"/>
                <w:sz w:val="17"/>
                <w:szCs w:val="17"/>
                <w:color w:val="auto"/>
              </w:rPr>
              <w:t>10.2</w:t>
            </w: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560" w:type="dxa"/>
            <w:vAlign w:val="bottom"/>
            <w:gridSpan w:val="6"/>
          </w:tcPr>
          <w:p>
            <w:pPr>
              <w:ind w:left="120"/>
              <w:spacing w:after="0"/>
              <w:rPr>
                <w:sz w:val="20"/>
                <w:szCs w:val="20"/>
                <w:color w:val="auto"/>
              </w:rPr>
            </w:pPr>
            <w:r>
              <w:rPr>
                <w:rFonts w:ascii="Arial" w:cs="Arial" w:eastAsia="Arial" w:hAnsi="Arial"/>
                <w:sz w:val="17"/>
                <w:szCs w:val="17"/>
                <w:color w:val="auto"/>
                <w:w w:val="95"/>
              </w:rPr>
              <w:t>Amendment No. 3 to Credit Agreement, by and among the Company, the lenders party thereto and Credit Suisse AG, Cayman Islands Branch as</w:t>
            </w:r>
          </w:p>
        </w:tc>
      </w:tr>
      <w:tr>
        <w:trPr>
          <w:trHeight w:val="213"/>
        </w:trPr>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560" w:type="dxa"/>
            <w:vAlign w:val="bottom"/>
            <w:gridSpan w:val="6"/>
          </w:tcPr>
          <w:p>
            <w:pPr>
              <w:ind w:left="120"/>
              <w:spacing w:after="0"/>
              <w:rPr>
                <w:sz w:val="20"/>
                <w:szCs w:val="20"/>
                <w:color w:val="auto"/>
              </w:rPr>
            </w:pPr>
            <w:r>
              <w:rPr>
                <w:rFonts w:ascii="Arial" w:cs="Arial" w:eastAsia="Arial" w:hAnsi="Arial"/>
                <w:sz w:val="17"/>
                <w:szCs w:val="17"/>
                <w:color w:val="auto"/>
                <w:w w:val="97"/>
              </w:rPr>
              <w:t>administrative agent (incorporated by reference to Exhibit 10.1 to Current Report on Form 8-K, filed on January 31, 2017, File No. 000-12255).</w:t>
            </w:r>
          </w:p>
        </w:tc>
      </w:tr>
      <w:tr>
        <w:trPr>
          <w:trHeight w:val="391"/>
        </w:trPr>
        <w:tc>
          <w:tcPr>
            <w:tcW w:w="480" w:type="dxa"/>
            <w:vAlign w:val="bottom"/>
          </w:tcPr>
          <w:p>
            <w:pPr>
              <w:ind w:left="20"/>
              <w:spacing w:after="0"/>
              <w:rPr>
                <w:sz w:val="20"/>
                <w:szCs w:val="20"/>
                <w:color w:val="auto"/>
              </w:rPr>
            </w:pPr>
            <w:r>
              <w:rPr>
                <w:rFonts w:ascii="Arial" w:cs="Arial" w:eastAsia="Arial" w:hAnsi="Arial"/>
                <w:sz w:val="17"/>
                <w:szCs w:val="17"/>
                <w:color w:val="auto"/>
              </w:rPr>
              <w:t>10.3+</w:t>
            </w: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560" w:type="dxa"/>
            <w:vAlign w:val="bottom"/>
            <w:gridSpan w:val="6"/>
          </w:tcPr>
          <w:p>
            <w:pPr>
              <w:ind w:left="120"/>
              <w:spacing w:after="0"/>
              <w:rPr>
                <w:sz w:val="20"/>
                <w:szCs w:val="20"/>
                <w:color w:val="auto"/>
              </w:rPr>
            </w:pPr>
            <w:r>
              <w:rPr>
                <w:rFonts w:ascii="Arial" w:cs="Arial" w:eastAsia="Arial" w:hAnsi="Arial"/>
                <w:sz w:val="17"/>
                <w:szCs w:val="17"/>
                <w:color w:val="auto"/>
                <w:w w:val="92"/>
              </w:rPr>
              <w:t>YRC Worldwide Inc. Form of Restricted Stock Agreement (incorporated by reference to Exhibit 10.1 to Current Report on Form 8-K, filed on February</w:t>
            </w:r>
          </w:p>
        </w:tc>
      </w:tr>
      <w:tr>
        <w:trPr>
          <w:trHeight w:val="213"/>
        </w:trPr>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160" w:type="dxa"/>
            <w:vAlign w:val="bottom"/>
            <w:gridSpan w:val="2"/>
          </w:tcPr>
          <w:p>
            <w:pPr>
              <w:ind w:left="120"/>
              <w:spacing w:after="0"/>
              <w:rPr>
                <w:sz w:val="20"/>
                <w:szCs w:val="20"/>
                <w:color w:val="auto"/>
              </w:rPr>
            </w:pPr>
            <w:r>
              <w:rPr>
                <w:rFonts w:ascii="Arial" w:cs="Arial" w:eastAsia="Arial" w:hAnsi="Arial"/>
                <w:sz w:val="17"/>
                <w:szCs w:val="17"/>
                <w:color w:val="auto"/>
              </w:rPr>
              <w:t>24, 2017, File No. 000-12255).</w:t>
            </w:r>
          </w:p>
        </w:tc>
        <w:tc>
          <w:tcPr>
            <w:tcW w:w="168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391"/>
        </w:trPr>
        <w:tc>
          <w:tcPr>
            <w:tcW w:w="480" w:type="dxa"/>
            <w:vAlign w:val="bottom"/>
          </w:tcPr>
          <w:p>
            <w:pPr>
              <w:ind w:left="20"/>
              <w:spacing w:after="0"/>
              <w:rPr>
                <w:sz w:val="20"/>
                <w:szCs w:val="20"/>
                <w:color w:val="auto"/>
              </w:rPr>
            </w:pPr>
            <w:r>
              <w:rPr>
                <w:rFonts w:ascii="Arial" w:cs="Arial" w:eastAsia="Arial" w:hAnsi="Arial"/>
                <w:sz w:val="17"/>
                <w:szCs w:val="17"/>
                <w:color w:val="auto"/>
              </w:rPr>
              <w:t>31.1*</w:t>
            </w: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560" w:type="dxa"/>
            <w:vAlign w:val="bottom"/>
            <w:gridSpan w:val="6"/>
          </w:tcPr>
          <w:p>
            <w:pPr>
              <w:ind w:left="120"/>
              <w:spacing w:after="0"/>
              <w:rPr>
                <w:sz w:val="20"/>
                <w:szCs w:val="20"/>
                <w:color w:val="auto"/>
              </w:rPr>
            </w:pPr>
            <w:r>
              <w:rPr>
                <w:rFonts w:ascii="Arial" w:cs="Arial" w:eastAsia="Arial" w:hAnsi="Arial"/>
                <w:sz w:val="17"/>
                <w:szCs w:val="17"/>
                <w:color w:val="auto"/>
                <w:w w:val="89"/>
              </w:rPr>
              <w:t>Certification of James L. Welch filed pursuant to Exchange Act Rules 13a-14 and 15d-14, as adopted pursuant to Section 302 of the Sarbanes-Oxley Act of</w:t>
            </w:r>
          </w:p>
        </w:tc>
      </w:tr>
      <w:tr>
        <w:trPr>
          <w:trHeight w:val="213"/>
        </w:trPr>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160" w:type="dxa"/>
            <w:vAlign w:val="bottom"/>
            <w:gridSpan w:val="2"/>
          </w:tcPr>
          <w:p>
            <w:pPr>
              <w:ind w:left="120"/>
              <w:spacing w:after="0"/>
              <w:rPr>
                <w:sz w:val="20"/>
                <w:szCs w:val="20"/>
                <w:color w:val="auto"/>
              </w:rPr>
            </w:pPr>
            <w:r>
              <w:rPr>
                <w:rFonts w:ascii="Arial" w:cs="Arial" w:eastAsia="Arial" w:hAnsi="Arial"/>
                <w:sz w:val="17"/>
                <w:szCs w:val="17"/>
                <w:color w:val="auto"/>
              </w:rPr>
              <w:t>2002.</w:t>
            </w:r>
          </w:p>
        </w:tc>
        <w:tc>
          <w:tcPr>
            <w:tcW w:w="168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391"/>
        </w:trPr>
        <w:tc>
          <w:tcPr>
            <w:tcW w:w="480" w:type="dxa"/>
            <w:vAlign w:val="bottom"/>
          </w:tcPr>
          <w:p>
            <w:pPr>
              <w:ind w:left="20"/>
              <w:spacing w:after="0"/>
              <w:rPr>
                <w:sz w:val="20"/>
                <w:szCs w:val="20"/>
                <w:color w:val="auto"/>
              </w:rPr>
            </w:pPr>
            <w:r>
              <w:rPr>
                <w:rFonts w:ascii="Arial" w:cs="Arial" w:eastAsia="Arial" w:hAnsi="Arial"/>
                <w:sz w:val="17"/>
                <w:szCs w:val="17"/>
                <w:color w:val="auto"/>
              </w:rPr>
              <w:t>31.2*</w:t>
            </w: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560" w:type="dxa"/>
            <w:vAlign w:val="bottom"/>
            <w:gridSpan w:val="6"/>
          </w:tcPr>
          <w:p>
            <w:pPr>
              <w:ind w:left="120"/>
              <w:spacing w:after="0"/>
              <w:rPr>
                <w:sz w:val="20"/>
                <w:szCs w:val="20"/>
                <w:color w:val="auto"/>
              </w:rPr>
            </w:pPr>
            <w:r>
              <w:rPr>
                <w:rFonts w:ascii="Arial" w:cs="Arial" w:eastAsia="Arial" w:hAnsi="Arial"/>
                <w:sz w:val="17"/>
                <w:szCs w:val="17"/>
                <w:color w:val="auto"/>
                <w:w w:val="90"/>
              </w:rPr>
              <w:t>Certification of Stephanie D. Fisher filed pursuant to Exchange Act Rules 13a-14 and 15d-14, as adopted pursuant to Section 302 of the Sarbanes-Oxley</w:t>
            </w:r>
          </w:p>
        </w:tc>
      </w:tr>
      <w:tr>
        <w:trPr>
          <w:trHeight w:val="213"/>
        </w:trPr>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160" w:type="dxa"/>
            <w:vAlign w:val="bottom"/>
            <w:gridSpan w:val="2"/>
          </w:tcPr>
          <w:p>
            <w:pPr>
              <w:ind w:left="120"/>
              <w:spacing w:after="0"/>
              <w:rPr>
                <w:sz w:val="20"/>
                <w:szCs w:val="20"/>
                <w:color w:val="auto"/>
              </w:rPr>
            </w:pPr>
            <w:r>
              <w:rPr>
                <w:rFonts w:ascii="Arial" w:cs="Arial" w:eastAsia="Arial" w:hAnsi="Arial"/>
                <w:sz w:val="17"/>
                <w:szCs w:val="17"/>
                <w:color w:val="auto"/>
              </w:rPr>
              <w:t>Act of 2002.</w:t>
            </w:r>
          </w:p>
        </w:tc>
        <w:tc>
          <w:tcPr>
            <w:tcW w:w="168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403"/>
        </w:trPr>
        <w:tc>
          <w:tcPr>
            <w:tcW w:w="480" w:type="dxa"/>
            <w:vAlign w:val="bottom"/>
          </w:tcPr>
          <w:p>
            <w:pPr>
              <w:ind w:left="20"/>
              <w:spacing w:after="0"/>
              <w:rPr>
                <w:sz w:val="20"/>
                <w:szCs w:val="20"/>
                <w:color w:val="auto"/>
              </w:rPr>
            </w:pPr>
            <w:r>
              <w:rPr>
                <w:rFonts w:ascii="Arial" w:cs="Arial" w:eastAsia="Arial" w:hAnsi="Arial"/>
                <w:sz w:val="17"/>
                <w:szCs w:val="17"/>
                <w:color w:val="auto"/>
              </w:rPr>
              <w:t>32.1*</w:t>
            </w: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560" w:type="dxa"/>
            <w:vAlign w:val="bottom"/>
            <w:gridSpan w:val="6"/>
          </w:tcPr>
          <w:p>
            <w:pPr>
              <w:ind w:left="120"/>
              <w:spacing w:after="0"/>
              <w:rPr>
                <w:sz w:val="20"/>
                <w:szCs w:val="20"/>
                <w:color w:val="auto"/>
              </w:rPr>
            </w:pPr>
            <w:r>
              <w:rPr>
                <w:rFonts w:ascii="Arial" w:cs="Arial" w:eastAsia="Arial" w:hAnsi="Arial"/>
                <w:sz w:val="17"/>
                <w:szCs w:val="17"/>
                <w:color w:val="auto"/>
                <w:w w:val="92"/>
              </w:rPr>
              <w:t>Certification of James L. Welch furnished pursuant to 18 U.S.C. Section 1350, as adopted pursuant to Section 906 of the Sarbanes-Oxley Act of 2002.</w:t>
            </w:r>
          </w:p>
        </w:tc>
      </w:tr>
      <w:tr>
        <w:trPr>
          <w:trHeight w:val="403"/>
        </w:trPr>
        <w:tc>
          <w:tcPr>
            <w:tcW w:w="480" w:type="dxa"/>
            <w:vAlign w:val="bottom"/>
          </w:tcPr>
          <w:p>
            <w:pPr>
              <w:ind w:left="20"/>
              <w:spacing w:after="0"/>
              <w:rPr>
                <w:sz w:val="20"/>
                <w:szCs w:val="20"/>
                <w:color w:val="auto"/>
              </w:rPr>
            </w:pPr>
            <w:r>
              <w:rPr>
                <w:rFonts w:ascii="Arial" w:cs="Arial" w:eastAsia="Arial" w:hAnsi="Arial"/>
                <w:sz w:val="17"/>
                <w:szCs w:val="17"/>
                <w:color w:val="auto"/>
              </w:rPr>
              <w:t>32.2*</w:t>
            </w: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560" w:type="dxa"/>
            <w:vAlign w:val="bottom"/>
            <w:gridSpan w:val="6"/>
          </w:tcPr>
          <w:p>
            <w:pPr>
              <w:ind w:left="120"/>
              <w:spacing w:after="0"/>
              <w:rPr>
                <w:sz w:val="20"/>
                <w:szCs w:val="20"/>
                <w:color w:val="auto"/>
              </w:rPr>
            </w:pPr>
            <w:r>
              <w:rPr>
                <w:rFonts w:ascii="Arial" w:cs="Arial" w:eastAsia="Arial" w:hAnsi="Arial"/>
                <w:sz w:val="17"/>
                <w:szCs w:val="17"/>
                <w:color w:val="auto"/>
                <w:w w:val="90"/>
              </w:rPr>
              <w:t>Certification of Stephanie D. Fisher furnished pursuant to 18 U.S.C. Section 1350, as adopted pursuant to Section 906 of the Sarbanes-Oxley Act of 2002.</w:t>
            </w:r>
          </w:p>
        </w:tc>
      </w:tr>
      <w:tr>
        <w:trPr>
          <w:trHeight w:val="403"/>
        </w:trPr>
        <w:tc>
          <w:tcPr>
            <w:tcW w:w="860" w:type="dxa"/>
            <w:vAlign w:val="bottom"/>
            <w:gridSpan w:val="3"/>
          </w:tcPr>
          <w:p>
            <w:pPr>
              <w:ind w:left="20"/>
              <w:spacing w:after="0"/>
              <w:rPr>
                <w:sz w:val="20"/>
                <w:szCs w:val="20"/>
                <w:color w:val="auto"/>
              </w:rPr>
            </w:pPr>
            <w:r>
              <w:rPr>
                <w:rFonts w:ascii="Arial" w:cs="Arial" w:eastAsia="Arial" w:hAnsi="Arial"/>
                <w:sz w:val="17"/>
                <w:szCs w:val="17"/>
                <w:color w:val="auto"/>
              </w:rPr>
              <w:t>101.INS*</w:t>
            </w:r>
          </w:p>
        </w:tc>
        <w:tc>
          <w:tcPr>
            <w:tcW w:w="3160" w:type="dxa"/>
            <w:vAlign w:val="bottom"/>
            <w:gridSpan w:val="2"/>
          </w:tcPr>
          <w:p>
            <w:pPr>
              <w:ind w:left="120"/>
              <w:spacing w:after="0"/>
              <w:rPr>
                <w:sz w:val="20"/>
                <w:szCs w:val="20"/>
                <w:color w:val="auto"/>
              </w:rPr>
            </w:pPr>
            <w:r>
              <w:rPr>
                <w:rFonts w:ascii="Arial" w:cs="Arial" w:eastAsia="Arial" w:hAnsi="Arial"/>
                <w:sz w:val="17"/>
                <w:szCs w:val="17"/>
                <w:color w:val="auto"/>
              </w:rPr>
              <w:t>XBRL Instance Document</w:t>
            </w:r>
          </w:p>
        </w:tc>
        <w:tc>
          <w:tcPr>
            <w:tcW w:w="16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403"/>
        </w:trPr>
        <w:tc>
          <w:tcPr>
            <w:tcW w:w="860" w:type="dxa"/>
            <w:vAlign w:val="bottom"/>
            <w:gridSpan w:val="3"/>
          </w:tcPr>
          <w:p>
            <w:pPr>
              <w:ind w:left="20"/>
              <w:spacing w:after="0"/>
              <w:rPr>
                <w:sz w:val="20"/>
                <w:szCs w:val="20"/>
                <w:color w:val="auto"/>
              </w:rPr>
            </w:pPr>
            <w:r>
              <w:rPr>
                <w:rFonts w:ascii="Arial" w:cs="Arial" w:eastAsia="Arial" w:hAnsi="Arial"/>
                <w:sz w:val="17"/>
                <w:szCs w:val="17"/>
                <w:color w:val="auto"/>
              </w:rPr>
              <w:t>101.SCH*</w:t>
            </w:r>
          </w:p>
        </w:tc>
        <w:tc>
          <w:tcPr>
            <w:tcW w:w="3160" w:type="dxa"/>
            <w:vAlign w:val="bottom"/>
            <w:gridSpan w:val="2"/>
          </w:tcPr>
          <w:p>
            <w:pPr>
              <w:ind w:left="120"/>
              <w:spacing w:after="0"/>
              <w:rPr>
                <w:sz w:val="20"/>
                <w:szCs w:val="20"/>
                <w:color w:val="auto"/>
              </w:rPr>
            </w:pPr>
            <w:r>
              <w:rPr>
                <w:rFonts w:ascii="Arial" w:cs="Arial" w:eastAsia="Arial" w:hAnsi="Arial"/>
                <w:sz w:val="17"/>
                <w:szCs w:val="17"/>
                <w:color w:val="auto"/>
              </w:rPr>
              <w:t>XBRL Taxonomy Extension Schema</w:t>
            </w:r>
          </w:p>
        </w:tc>
        <w:tc>
          <w:tcPr>
            <w:tcW w:w="16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403"/>
        </w:trPr>
        <w:tc>
          <w:tcPr>
            <w:tcW w:w="860" w:type="dxa"/>
            <w:vAlign w:val="bottom"/>
            <w:gridSpan w:val="3"/>
          </w:tcPr>
          <w:p>
            <w:pPr>
              <w:ind w:left="20"/>
              <w:spacing w:after="0"/>
              <w:rPr>
                <w:sz w:val="20"/>
                <w:szCs w:val="20"/>
                <w:color w:val="auto"/>
              </w:rPr>
            </w:pPr>
            <w:r>
              <w:rPr>
                <w:rFonts w:ascii="Arial" w:cs="Arial" w:eastAsia="Arial" w:hAnsi="Arial"/>
                <w:sz w:val="17"/>
                <w:szCs w:val="17"/>
                <w:color w:val="auto"/>
              </w:rPr>
              <w:t>101.CAL*</w:t>
            </w:r>
          </w:p>
        </w:tc>
        <w:tc>
          <w:tcPr>
            <w:tcW w:w="4840" w:type="dxa"/>
            <w:vAlign w:val="bottom"/>
            <w:gridSpan w:val="3"/>
          </w:tcPr>
          <w:p>
            <w:pPr>
              <w:ind w:left="120"/>
              <w:spacing w:after="0"/>
              <w:rPr>
                <w:sz w:val="20"/>
                <w:szCs w:val="20"/>
                <w:color w:val="auto"/>
              </w:rPr>
            </w:pPr>
            <w:r>
              <w:rPr>
                <w:rFonts w:ascii="Arial" w:cs="Arial" w:eastAsia="Arial" w:hAnsi="Arial"/>
                <w:sz w:val="17"/>
                <w:szCs w:val="17"/>
                <w:color w:val="auto"/>
              </w:rPr>
              <w:t>XBRL Taxonomy Extension Calculation Linkbase</w:t>
            </w:r>
          </w:p>
        </w:tc>
        <w:tc>
          <w:tcPr>
            <w:tcW w:w="24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403"/>
        </w:trPr>
        <w:tc>
          <w:tcPr>
            <w:tcW w:w="860" w:type="dxa"/>
            <w:vAlign w:val="bottom"/>
            <w:gridSpan w:val="3"/>
          </w:tcPr>
          <w:p>
            <w:pPr>
              <w:ind w:left="20"/>
              <w:spacing w:after="0"/>
              <w:rPr>
                <w:sz w:val="20"/>
                <w:szCs w:val="20"/>
                <w:color w:val="auto"/>
              </w:rPr>
            </w:pPr>
            <w:r>
              <w:rPr>
                <w:rFonts w:ascii="Arial" w:cs="Arial" w:eastAsia="Arial" w:hAnsi="Arial"/>
                <w:sz w:val="17"/>
                <w:szCs w:val="17"/>
                <w:color w:val="auto"/>
              </w:rPr>
              <w:t>101.DEF*</w:t>
            </w:r>
          </w:p>
        </w:tc>
        <w:tc>
          <w:tcPr>
            <w:tcW w:w="4840" w:type="dxa"/>
            <w:vAlign w:val="bottom"/>
            <w:gridSpan w:val="3"/>
          </w:tcPr>
          <w:p>
            <w:pPr>
              <w:ind w:left="120"/>
              <w:spacing w:after="0"/>
              <w:rPr>
                <w:sz w:val="20"/>
                <w:szCs w:val="20"/>
                <w:color w:val="auto"/>
              </w:rPr>
            </w:pPr>
            <w:r>
              <w:rPr>
                <w:rFonts w:ascii="Arial" w:cs="Arial" w:eastAsia="Arial" w:hAnsi="Arial"/>
                <w:sz w:val="17"/>
                <w:szCs w:val="17"/>
                <w:color w:val="auto"/>
              </w:rPr>
              <w:t>XBRL Taxonomy Extension Definition Linkbase</w:t>
            </w:r>
          </w:p>
        </w:tc>
        <w:tc>
          <w:tcPr>
            <w:tcW w:w="24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403"/>
        </w:trPr>
        <w:tc>
          <w:tcPr>
            <w:tcW w:w="860" w:type="dxa"/>
            <w:vAlign w:val="bottom"/>
            <w:gridSpan w:val="3"/>
          </w:tcPr>
          <w:p>
            <w:pPr>
              <w:ind w:left="20"/>
              <w:spacing w:after="0"/>
              <w:rPr>
                <w:sz w:val="20"/>
                <w:szCs w:val="20"/>
                <w:color w:val="auto"/>
              </w:rPr>
            </w:pPr>
            <w:r>
              <w:rPr>
                <w:rFonts w:ascii="Arial" w:cs="Arial" w:eastAsia="Arial" w:hAnsi="Arial"/>
                <w:sz w:val="17"/>
                <w:szCs w:val="17"/>
                <w:color w:val="auto"/>
              </w:rPr>
              <w:t>101.LAB*</w:t>
            </w:r>
          </w:p>
        </w:tc>
        <w:tc>
          <w:tcPr>
            <w:tcW w:w="3160" w:type="dxa"/>
            <w:vAlign w:val="bottom"/>
            <w:gridSpan w:val="2"/>
          </w:tcPr>
          <w:p>
            <w:pPr>
              <w:ind w:left="120"/>
              <w:spacing w:after="0"/>
              <w:rPr>
                <w:sz w:val="20"/>
                <w:szCs w:val="20"/>
                <w:color w:val="auto"/>
              </w:rPr>
            </w:pPr>
            <w:r>
              <w:rPr>
                <w:rFonts w:ascii="Arial" w:cs="Arial" w:eastAsia="Arial" w:hAnsi="Arial"/>
                <w:sz w:val="17"/>
                <w:szCs w:val="17"/>
                <w:color w:val="auto"/>
                <w:w w:val="92"/>
              </w:rPr>
              <w:t>XBRL Taxonomy Extension Label Linkbase</w:t>
            </w:r>
          </w:p>
        </w:tc>
        <w:tc>
          <w:tcPr>
            <w:tcW w:w="16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403"/>
        </w:trPr>
        <w:tc>
          <w:tcPr>
            <w:tcW w:w="860" w:type="dxa"/>
            <w:vAlign w:val="bottom"/>
            <w:gridSpan w:val="3"/>
          </w:tcPr>
          <w:p>
            <w:pPr>
              <w:ind w:left="20"/>
              <w:spacing w:after="0"/>
              <w:rPr>
                <w:sz w:val="20"/>
                <w:szCs w:val="20"/>
                <w:color w:val="auto"/>
              </w:rPr>
            </w:pPr>
            <w:r>
              <w:rPr>
                <w:rFonts w:ascii="Arial" w:cs="Arial" w:eastAsia="Arial" w:hAnsi="Arial"/>
                <w:sz w:val="17"/>
                <w:szCs w:val="17"/>
                <w:color w:val="auto"/>
              </w:rPr>
              <w:t>101.PRE*</w:t>
            </w:r>
          </w:p>
        </w:tc>
        <w:tc>
          <w:tcPr>
            <w:tcW w:w="4840" w:type="dxa"/>
            <w:vAlign w:val="bottom"/>
            <w:gridSpan w:val="3"/>
          </w:tcPr>
          <w:p>
            <w:pPr>
              <w:ind w:left="120"/>
              <w:spacing w:after="0"/>
              <w:rPr>
                <w:sz w:val="20"/>
                <w:szCs w:val="20"/>
                <w:color w:val="auto"/>
              </w:rPr>
            </w:pPr>
            <w:r>
              <w:rPr>
                <w:rFonts w:ascii="Arial" w:cs="Arial" w:eastAsia="Arial" w:hAnsi="Arial"/>
                <w:sz w:val="17"/>
                <w:szCs w:val="17"/>
                <w:color w:val="auto"/>
              </w:rPr>
              <w:t>XBRL Taxonomy Extension Presentation Linkbase</w:t>
            </w:r>
          </w:p>
        </w:tc>
        <w:tc>
          <w:tcPr>
            <w:tcW w:w="24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pacing w:after="0" w:line="391"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 Indicates documents filed herewith.</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 Indicates management contract, compensation plan or arrangement.</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SIGNATURES</w:t>
      </w:r>
    </w:p>
    <w:p>
      <w:pPr>
        <w:spacing w:after="0" w:line="157"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Pursuant to the requirements of the Securities Exchange Act of 1934, as amended, the registrant has duly caused this report to be signed on its behalf by the undersigned thereunto duly authorized.</w:t>
      </w:r>
    </w:p>
    <w:p>
      <w:pPr>
        <w:spacing w:after="0" w:line="292"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5580" w:type="dxa"/>
            <w:vAlign w:val="bottom"/>
          </w:tcPr>
          <w:p>
            <w:pPr>
              <w:spacing w:after="0"/>
              <w:rPr>
                <w:sz w:val="18"/>
                <w:szCs w:val="18"/>
                <w:color w:val="auto"/>
              </w:rPr>
            </w:pPr>
          </w:p>
        </w:tc>
        <w:tc>
          <w:tcPr>
            <w:tcW w:w="5820" w:type="dxa"/>
            <w:vAlign w:val="bottom"/>
          </w:tcPr>
          <w:p>
            <w:pPr>
              <w:ind w:left="140"/>
              <w:spacing w:after="0"/>
              <w:rPr>
                <w:sz w:val="20"/>
                <w:szCs w:val="20"/>
                <w:color w:val="auto"/>
              </w:rPr>
            </w:pPr>
            <w:r>
              <w:rPr>
                <w:rFonts w:ascii="Arial" w:cs="Arial" w:eastAsia="Arial" w:hAnsi="Arial"/>
                <w:sz w:val="17"/>
                <w:szCs w:val="17"/>
                <w:color w:val="auto"/>
              </w:rPr>
              <w:t>YRC WORLDWIDE INC.</w:t>
            </w:r>
          </w:p>
        </w:tc>
      </w:tr>
      <w:tr>
        <w:trPr>
          <w:trHeight w:val="856"/>
        </w:trPr>
        <w:tc>
          <w:tcPr>
            <w:tcW w:w="5580" w:type="dxa"/>
            <w:vAlign w:val="bottom"/>
          </w:tcPr>
          <w:p>
            <w:pPr>
              <w:spacing w:after="0"/>
              <w:rPr>
                <w:sz w:val="20"/>
                <w:szCs w:val="20"/>
                <w:color w:val="auto"/>
              </w:rPr>
            </w:pPr>
            <w:r>
              <w:rPr>
                <w:rFonts w:ascii="Arial" w:cs="Arial" w:eastAsia="Arial" w:hAnsi="Arial"/>
                <w:sz w:val="17"/>
                <w:szCs w:val="17"/>
                <w:color w:val="auto"/>
              </w:rPr>
              <w:t>Date: May 4, 2017</w:t>
            </w:r>
          </w:p>
        </w:tc>
        <w:tc>
          <w:tcPr>
            <w:tcW w:w="5820" w:type="dxa"/>
            <w:vAlign w:val="bottom"/>
          </w:tcPr>
          <w:p>
            <w:pPr>
              <w:ind w:left="140"/>
              <w:spacing w:after="0"/>
              <w:rPr>
                <w:sz w:val="20"/>
                <w:szCs w:val="20"/>
                <w:color w:val="auto"/>
              </w:rPr>
            </w:pPr>
            <w:r>
              <w:rPr>
                <w:rFonts w:ascii="Arial" w:cs="Arial" w:eastAsia="Arial" w:hAnsi="Arial"/>
                <w:sz w:val="17"/>
                <w:szCs w:val="17"/>
                <w:color w:val="auto"/>
              </w:rPr>
              <w:t>/s/ James L. Welch</w:t>
            </w:r>
          </w:p>
        </w:tc>
      </w:tr>
      <w:tr>
        <w:trPr>
          <w:trHeight w:val="26"/>
        </w:trPr>
        <w:tc>
          <w:tcPr>
            <w:tcW w:w="5580" w:type="dxa"/>
            <w:vAlign w:val="bottom"/>
          </w:tcPr>
          <w:p>
            <w:pPr>
              <w:spacing w:after="0"/>
              <w:rPr>
                <w:sz w:val="2"/>
                <w:szCs w:val="2"/>
                <w:color w:val="auto"/>
              </w:rPr>
            </w:pPr>
          </w:p>
        </w:tc>
        <w:tc>
          <w:tcPr>
            <w:tcW w:w="5820" w:type="dxa"/>
            <w:vAlign w:val="bottom"/>
            <w:tcBorders>
              <w:bottom w:val="single" w:sz="8" w:color="auto"/>
            </w:tcBorders>
          </w:tcPr>
          <w:p>
            <w:pPr>
              <w:spacing w:after="0"/>
              <w:rPr>
                <w:sz w:val="2"/>
                <w:szCs w:val="2"/>
                <w:color w:val="auto"/>
              </w:rPr>
            </w:pPr>
          </w:p>
        </w:tc>
      </w:tr>
      <w:tr>
        <w:trPr>
          <w:trHeight w:val="219"/>
        </w:trPr>
        <w:tc>
          <w:tcPr>
            <w:tcW w:w="5580" w:type="dxa"/>
            <w:vAlign w:val="bottom"/>
          </w:tcPr>
          <w:p>
            <w:pPr>
              <w:spacing w:after="0"/>
              <w:rPr>
                <w:sz w:val="19"/>
                <w:szCs w:val="19"/>
                <w:color w:val="auto"/>
              </w:rPr>
            </w:pPr>
          </w:p>
        </w:tc>
        <w:tc>
          <w:tcPr>
            <w:tcW w:w="5820" w:type="dxa"/>
            <w:vAlign w:val="bottom"/>
          </w:tcPr>
          <w:p>
            <w:pPr>
              <w:ind w:left="140"/>
              <w:spacing w:after="0"/>
              <w:rPr>
                <w:sz w:val="20"/>
                <w:szCs w:val="20"/>
                <w:color w:val="auto"/>
              </w:rPr>
            </w:pPr>
            <w:r>
              <w:rPr>
                <w:rFonts w:ascii="Arial" w:cs="Arial" w:eastAsia="Arial" w:hAnsi="Arial"/>
                <w:sz w:val="17"/>
                <w:szCs w:val="17"/>
                <w:color w:val="auto"/>
              </w:rPr>
              <w:t>James L. Welch</w:t>
            </w:r>
          </w:p>
        </w:tc>
      </w:tr>
      <w:tr>
        <w:trPr>
          <w:trHeight w:val="252"/>
        </w:trPr>
        <w:tc>
          <w:tcPr>
            <w:tcW w:w="5580" w:type="dxa"/>
            <w:vAlign w:val="bottom"/>
          </w:tcPr>
          <w:p>
            <w:pPr>
              <w:spacing w:after="0"/>
              <w:rPr>
                <w:sz w:val="21"/>
                <w:szCs w:val="21"/>
                <w:color w:val="auto"/>
              </w:rPr>
            </w:pPr>
          </w:p>
        </w:tc>
        <w:tc>
          <w:tcPr>
            <w:tcW w:w="5820" w:type="dxa"/>
            <w:vAlign w:val="bottom"/>
          </w:tcPr>
          <w:p>
            <w:pPr>
              <w:ind w:left="140"/>
              <w:spacing w:after="0"/>
              <w:rPr>
                <w:sz w:val="20"/>
                <w:szCs w:val="20"/>
                <w:color w:val="auto"/>
              </w:rPr>
            </w:pPr>
            <w:r>
              <w:rPr>
                <w:rFonts w:ascii="Arial" w:cs="Arial" w:eastAsia="Arial" w:hAnsi="Arial"/>
                <w:sz w:val="17"/>
                <w:szCs w:val="17"/>
                <w:color w:val="auto"/>
              </w:rPr>
              <w:t>Chief Executive Officer</w:t>
            </w:r>
          </w:p>
        </w:tc>
      </w:tr>
      <w:tr>
        <w:trPr>
          <w:trHeight w:val="554"/>
        </w:trPr>
        <w:tc>
          <w:tcPr>
            <w:tcW w:w="5580" w:type="dxa"/>
            <w:vAlign w:val="bottom"/>
          </w:tcPr>
          <w:p>
            <w:pPr>
              <w:spacing w:after="0"/>
              <w:rPr>
                <w:sz w:val="20"/>
                <w:szCs w:val="20"/>
                <w:color w:val="auto"/>
              </w:rPr>
            </w:pPr>
            <w:r>
              <w:rPr>
                <w:rFonts w:ascii="Arial" w:cs="Arial" w:eastAsia="Arial" w:hAnsi="Arial"/>
                <w:sz w:val="17"/>
                <w:szCs w:val="17"/>
                <w:color w:val="auto"/>
              </w:rPr>
              <w:t>Date: May 4, 2017</w:t>
            </w:r>
          </w:p>
        </w:tc>
        <w:tc>
          <w:tcPr>
            <w:tcW w:w="5820" w:type="dxa"/>
            <w:vAlign w:val="bottom"/>
          </w:tcPr>
          <w:p>
            <w:pPr>
              <w:ind w:left="140"/>
              <w:spacing w:after="0"/>
              <w:rPr>
                <w:sz w:val="20"/>
                <w:szCs w:val="20"/>
                <w:color w:val="auto"/>
              </w:rPr>
            </w:pPr>
            <w:r>
              <w:rPr>
                <w:rFonts w:ascii="Arial" w:cs="Arial" w:eastAsia="Arial" w:hAnsi="Arial"/>
                <w:sz w:val="17"/>
                <w:szCs w:val="17"/>
                <w:color w:val="auto"/>
              </w:rPr>
              <w:t>/s/ Stephanie D. Fisher</w:t>
            </w:r>
          </w:p>
        </w:tc>
      </w:tr>
      <w:tr>
        <w:trPr>
          <w:trHeight w:val="26"/>
        </w:trPr>
        <w:tc>
          <w:tcPr>
            <w:tcW w:w="5580" w:type="dxa"/>
            <w:vAlign w:val="bottom"/>
          </w:tcPr>
          <w:p>
            <w:pPr>
              <w:spacing w:after="0"/>
              <w:rPr>
                <w:sz w:val="2"/>
                <w:szCs w:val="2"/>
                <w:color w:val="auto"/>
              </w:rPr>
            </w:pPr>
          </w:p>
        </w:tc>
        <w:tc>
          <w:tcPr>
            <w:tcW w:w="5820" w:type="dxa"/>
            <w:vAlign w:val="bottom"/>
            <w:tcBorders>
              <w:bottom w:val="single" w:sz="8" w:color="auto"/>
            </w:tcBorders>
          </w:tcPr>
          <w:p>
            <w:pPr>
              <w:spacing w:after="0"/>
              <w:rPr>
                <w:sz w:val="2"/>
                <w:szCs w:val="2"/>
                <w:color w:val="auto"/>
              </w:rPr>
            </w:pPr>
          </w:p>
        </w:tc>
      </w:tr>
      <w:tr>
        <w:trPr>
          <w:trHeight w:val="219"/>
        </w:trPr>
        <w:tc>
          <w:tcPr>
            <w:tcW w:w="5580" w:type="dxa"/>
            <w:vAlign w:val="bottom"/>
          </w:tcPr>
          <w:p>
            <w:pPr>
              <w:spacing w:after="0"/>
              <w:rPr>
                <w:sz w:val="19"/>
                <w:szCs w:val="19"/>
                <w:color w:val="auto"/>
              </w:rPr>
            </w:pPr>
          </w:p>
        </w:tc>
        <w:tc>
          <w:tcPr>
            <w:tcW w:w="5820" w:type="dxa"/>
            <w:vAlign w:val="bottom"/>
          </w:tcPr>
          <w:p>
            <w:pPr>
              <w:ind w:left="140"/>
              <w:spacing w:after="0"/>
              <w:rPr>
                <w:sz w:val="20"/>
                <w:szCs w:val="20"/>
                <w:color w:val="auto"/>
              </w:rPr>
            </w:pPr>
            <w:r>
              <w:rPr>
                <w:rFonts w:ascii="Arial" w:cs="Arial" w:eastAsia="Arial" w:hAnsi="Arial"/>
                <w:sz w:val="17"/>
                <w:szCs w:val="17"/>
                <w:color w:val="auto"/>
              </w:rPr>
              <w:t>Stephanie D. Fisher</w:t>
            </w:r>
          </w:p>
        </w:tc>
      </w:tr>
      <w:tr>
        <w:trPr>
          <w:trHeight w:val="252"/>
        </w:trPr>
        <w:tc>
          <w:tcPr>
            <w:tcW w:w="5580" w:type="dxa"/>
            <w:vAlign w:val="bottom"/>
          </w:tcPr>
          <w:p>
            <w:pPr>
              <w:spacing w:after="0"/>
              <w:rPr>
                <w:sz w:val="21"/>
                <w:szCs w:val="21"/>
                <w:color w:val="auto"/>
              </w:rPr>
            </w:pPr>
          </w:p>
        </w:tc>
        <w:tc>
          <w:tcPr>
            <w:tcW w:w="5820" w:type="dxa"/>
            <w:vAlign w:val="bottom"/>
          </w:tcPr>
          <w:p>
            <w:pPr>
              <w:ind w:left="140"/>
              <w:spacing w:after="0"/>
              <w:rPr>
                <w:sz w:val="20"/>
                <w:szCs w:val="20"/>
                <w:color w:val="auto"/>
              </w:rPr>
            </w:pPr>
            <w:r>
              <w:rPr>
                <w:rFonts w:ascii="Arial" w:cs="Arial" w:eastAsia="Arial" w:hAnsi="Arial"/>
                <w:sz w:val="17"/>
                <w:szCs w:val="17"/>
                <w:color w:val="auto"/>
              </w:rPr>
              <w:t>Acting Chief Financial Officer and Vice President and</w:t>
            </w:r>
          </w:p>
        </w:tc>
      </w:tr>
      <w:tr>
        <w:trPr>
          <w:trHeight w:val="252"/>
        </w:trPr>
        <w:tc>
          <w:tcPr>
            <w:tcW w:w="5580" w:type="dxa"/>
            <w:vAlign w:val="bottom"/>
          </w:tcPr>
          <w:p>
            <w:pPr>
              <w:spacing w:after="0"/>
              <w:rPr>
                <w:sz w:val="21"/>
                <w:szCs w:val="21"/>
                <w:color w:val="auto"/>
              </w:rPr>
            </w:pPr>
          </w:p>
        </w:tc>
        <w:tc>
          <w:tcPr>
            <w:tcW w:w="5820" w:type="dxa"/>
            <w:vAlign w:val="bottom"/>
          </w:tcPr>
          <w:p>
            <w:pPr>
              <w:ind w:left="140"/>
              <w:spacing w:after="0"/>
              <w:rPr>
                <w:sz w:val="20"/>
                <w:szCs w:val="20"/>
                <w:color w:val="auto"/>
              </w:rPr>
            </w:pPr>
            <w:r>
              <w:rPr>
                <w:rFonts w:ascii="Arial" w:cs="Arial" w:eastAsia="Arial" w:hAnsi="Arial"/>
                <w:sz w:val="17"/>
                <w:szCs w:val="17"/>
                <w:color w:val="auto"/>
              </w:rPr>
              <w:t>Controller</w:t>
            </w:r>
          </w:p>
        </w:tc>
      </w:tr>
      <w:tr>
        <w:trPr>
          <w:trHeight w:val="453"/>
        </w:trPr>
        <w:tc>
          <w:tcPr>
            <w:tcW w:w="5580" w:type="dxa"/>
            <w:vAlign w:val="bottom"/>
          </w:tcPr>
          <w:p>
            <w:pPr>
              <w:spacing w:after="0"/>
              <w:rPr>
                <w:sz w:val="24"/>
                <w:szCs w:val="24"/>
                <w:color w:val="auto"/>
              </w:rPr>
            </w:pPr>
          </w:p>
        </w:tc>
        <w:tc>
          <w:tcPr>
            <w:tcW w:w="5820" w:type="dxa"/>
            <w:vAlign w:val="bottom"/>
          </w:tcPr>
          <w:p>
            <w:pPr>
              <w:ind w:left="40"/>
              <w:spacing w:after="0"/>
              <w:rPr>
                <w:sz w:val="20"/>
                <w:szCs w:val="20"/>
                <w:color w:val="auto"/>
              </w:rPr>
            </w:pPr>
            <w:r>
              <w:rPr>
                <w:rFonts w:ascii="Arial" w:cs="Arial" w:eastAsia="Arial" w:hAnsi="Arial"/>
                <w:sz w:val="17"/>
                <w:szCs w:val="17"/>
                <w:color w:val="auto"/>
              </w:rPr>
              <w:t>28</w:t>
            </w:r>
          </w:p>
        </w:tc>
      </w:tr>
    </w:tbl>
    <w:p>
      <w:pPr>
        <w:sectPr>
          <w:pgSz w:w="11900" w:h="16838" w:orient="portrait"/>
          <w:cols w:equalWidth="0" w:num="1">
            <w:col w:w="11420"/>
          </w:cols>
          <w:pgMar w:left="240" w:top="121" w:right="239" w:bottom="1440" w:gutter="0" w:footer="0" w:header="0"/>
        </w:sectPr>
      </w:pPr>
    </w:p>
    <w:bookmarkStart w:id="28" w:name="page29"/>
    <w:bookmarkEnd w:id="28"/>
    <w:p>
      <w:pPr>
        <w:jc w:val="right"/>
        <w:spacing w:after="0"/>
        <w:rPr>
          <w:sz w:val="20"/>
          <w:szCs w:val="20"/>
          <w:color w:val="auto"/>
        </w:rPr>
      </w:pPr>
      <w:r>
        <w:rPr>
          <w:rFonts w:ascii="Arial" w:cs="Arial" w:eastAsia="Arial" w:hAnsi="Arial"/>
          <w:sz w:val="17"/>
          <w:szCs w:val="17"/>
          <w:b w:val="1"/>
          <w:bCs w:val="1"/>
          <w:color w:val="auto"/>
        </w:rPr>
        <w:t>EXHIBIT 31.1</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CERTIFICATION PURSUANT TO</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EXCHANGE ACT RULES 13A-14 AND 15D-14,</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AS ADOPTED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SECTION 302 OF THE SARBANES-OXLEY ACT OF 2002</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color w:val="auto"/>
        </w:rPr>
        <w:t>I, James L. Welch, certify that:</w:t>
      </w:r>
    </w:p>
    <w:p>
      <w:pPr>
        <w:spacing w:after="0" w:line="81" w:lineRule="exact"/>
        <w:rPr>
          <w:sz w:val="20"/>
          <w:szCs w:val="20"/>
          <w:color w:val="auto"/>
        </w:rPr>
      </w:pPr>
    </w:p>
    <w:p>
      <w:pPr>
        <w:ind w:left="600" w:hanging="599"/>
        <w:spacing w:after="0"/>
        <w:tabs>
          <w:tab w:leader="none" w:pos="6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YRC Worldwide Inc.;</w:t>
      </w:r>
    </w:p>
    <w:p>
      <w:pPr>
        <w:spacing w:after="0" w:line="81" w:lineRule="exact"/>
        <w:rPr>
          <w:rFonts w:ascii="Arial" w:cs="Arial" w:eastAsia="Arial" w:hAnsi="Arial"/>
          <w:sz w:val="17"/>
          <w:szCs w:val="17"/>
          <w:color w:val="auto"/>
        </w:rPr>
      </w:pPr>
    </w:p>
    <w:p>
      <w:pPr>
        <w:ind w:left="600" w:right="300" w:hanging="599"/>
        <w:spacing w:after="0" w:line="332" w:lineRule="auto"/>
        <w:tabs>
          <w:tab w:leader="none" w:pos="600" w:val="left"/>
        </w:tabs>
        <w:numPr>
          <w:ilvl w:val="0"/>
          <w:numId w:val="2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5"/>
          <w:szCs w:val="15"/>
          <w:color w:val="auto"/>
        </w:rPr>
      </w:pPr>
    </w:p>
    <w:p>
      <w:pPr>
        <w:ind w:left="600" w:right="400" w:hanging="599"/>
        <w:spacing w:after="0" w:line="269" w:lineRule="auto"/>
        <w:tabs>
          <w:tab w:leader="none" w:pos="6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Arial" w:cs="Arial" w:eastAsia="Arial" w:hAnsi="Arial"/>
          <w:sz w:val="17"/>
          <w:szCs w:val="17"/>
          <w:color w:val="auto"/>
        </w:rPr>
      </w:pPr>
    </w:p>
    <w:p>
      <w:pPr>
        <w:jc w:val="both"/>
        <w:ind w:left="600" w:right="200" w:hanging="599"/>
        <w:spacing w:after="0" w:line="258" w:lineRule="auto"/>
        <w:tabs>
          <w:tab w:leader="none" w:pos="6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24" w:lineRule="exact"/>
        <w:rPr>
          <w:rFonts w:ascii="Arial" w:cs="Arial" w:eastAsia="Arial" w:hAnsi="Arial"/>
          <w:sz w:val="17"/>
          <w:szCs w:val="17"/>
          <w:color w:val="auto"/>
        </w:rPr>
      </w:pPr>
    </w:p>
    <w:p>
      <w:pPr>
        <w:ind w:left="1060" w:right="2940" w:hanging="418"/>
        <w:spacing w:after="0" w:line="254" w:lineRule="auto"/>
        <w:tabs>
          <w:tab w:leader="none" w:pos="1060" w:val="left"/>
        </w:tabs>
        <w:numPr>
          <w:ilvl w:val="1"/>
          <w:numId w:val="2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4" w:lineRule="exact"/>
        <w:rPr>
          <w:rFonts w:ascii="Arial" w:cs="Arial" w:eastAsia="Arial" w:hAnsi="Arial"/>
          <w:sz w:val="17"/>
          <w:szCs w:val="17"/>
          <w:color w:val="auto"/>
        </w:rPr>
      </w:pPr>
    </w:p>
    <w:p>
      <w:pPr>
        <w:ind w:left="1060" w:right="2920" w:hanging="418"/>
        <w:spacing w:after="0" w:line="254" w:lineRule="auto"/>
        <w:tabs>
          <w:tab w:leader="none" w:pos="1060" w:val="left"/>
        </w:tabs>
        <w:numPr>
          <w:ilvl w:val="1"/>
          <w:numId w:val="2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4" w:lineRule="exact"/>
        <w:rPr>
          <w:rFonts w:ascii="Arial" w:cs="Arial" w:eastAsia="Arial" w:hAnsi="Arial"/>
          <w:sz w:val="17"/>
          <w:szCs w:val="17"/>
          <w:color w:val="auto"/>
        </w:rPr>
      </w:pPr>
    </w:p>
    <w:p>
      <w:pPr>
        <w:jc w:val="both"/>
        <w:ind w:left="1060" w:right="3080" w:hanging="418"/>
        <w:spacing w:after="0" w:line="258" w:lineRule="auto"/>
        <w:tabs>
          <w:tab w:leader="none" w:pos="1060" w:val="left"/>
        </w:tabs>
        <w:numPr>
          <w:ilvl w:val="1"/>
          <w:numId w:val="2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9" w:lineRule="exact"/>
        <w:rPr>
          <w:rFonts w:ascii="Arial" w:cs="Arial" w:eastAsia="Arial" w:hAnsi="Arial"/>
          <w:sz w:val="17"/>
          <w:szCs w:val="17"/>
          <w:color w:val="auto"/>
        </w:rPr>
      </w:pPr>
    </w:p>
    <w:p>
      <w:pPr>
        <w:ind w:left="1060" w:right="3020" w:hanging="418"/>
        <w:spacing w:after="0" w:line="254" w:lineRule="auto"/>
        <w:tabs>
          <w:tab w:leader="none" w:pos="1060" w:val="left"/>
        </w:tabs>
        <w:numPr>
          <w:ilvl w:val="1"/>
          <w:numId w:val="2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 w:lineRule="exact"/>
        <w:rPr>
          <w:rFonts w:ascii="Arial" w:cs="Arial" w:eastAsia="Arial" w:hAnsi="Arial"/>
          <w:sz w:val="17"/>
          <w:szCs w:val="17"/>
          <w:color w:val="auto"/>
        </w:rPr>
      </w:pPr>
    </w:p>
    <w:p>
      <w:pPr>
        <w:ind w:left="600" w:right="160" w:hanging="599"/>
        <w:spacing w:after="0" w:line="269" w:lineRule="auto"/>
        <w:tabs>
          <w:tab w:leader="none" w:pos="6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5" w:lineRule="exact"/>
        <w:rPr>
          <w:rFonts w:ascii="Arial" w:cs="Arial" w:eastAsia="Arial" w:hAnsi="Arial"/>
          <w:sz w:val="17"/>
          <w:szCs w:val="17"/>
          <w:color w:val="auto"/>
        </w:rPr>
      </w:pPr>
    </w:p>
    <w:p>
      <w:pPr>
        <w:ind w:left="1060" w:right="2880" w:hanging="418"/>
        <w:spacing w:after="0" w:line="258" w:lineRule="auto"/>
        <w:tabs>
          <w:tab w:leader="none" w:pos="1060" w:val="left"/>
        </w:tabs>
        <w:numPr>
          <w:ilvl w:val="1"/>
          <w:numId w:val="2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9" w:lineRule="exact"/>
        <w:rPr>
          <w:rFonts w:ascii="Arial" w:cs="Arial" w:eastAsia="Arial" w:hAnsi="Arial"/>
          <w:sz w:val="17"/>
          <w:szCs w:val="17"/>
          <w:color w:val="auto"/>
        </w:rPr>
      </w:pPr>
    </w:p>
    <w:p>
      <w:pPr>
        <w:ind w:left="1060" w:right="3000" w:hanging="418"/>
        <w:spacing w:after="0" w:line="269" w:lineRule="auto"/>
        <w:tabs>
          <w:tab w:leader="none" w:pos="1060" w:val="left"/>
        </w:tabs>
        <w:numPr>
          <w:ilvl w:val="1"/>
          <w:numId w:val="20"/>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317" w:lineRule="exact"/>
        <w:rPr>
          <w:sz w:val="20"/>
          <w:szCs w:val="20"/>
          <w:color w:val="auto"/>
        </w:rPr>
      </w:pPr>
    </w:p>
    <w:p>
      <w:pPr>
        <w:ind w:left="20"/>
        <w:spacing w:after="0"/>
        <w:tabs>
          <w:tab w:leader="none" w:pos="5720" w:val="left"/>
        </w:tabs>
        <w:rPr>
          <w:sz w:val="20"/>
          <w:szCs w:val="20"/>
          <w:color w:val="auto"/>
        </w:rPr>
      </w:pPr>
      <w:r>
        <w:rPr>
          <w:rFonts w:ascii="Arial" w:cs="Arial" w:eastAsia="Arial" w:hAnsi="Arial"/>
          <w:sz w:val="17"/>
          <w:szCs w:val="17"/>
          <w:color w:val="auto"/>
        </w:rPr>
        <w:t>Date: May 4, 2017</w:t>
      </w:r>
      <w:r>
        <w:rPr>
          <w:sz w:val="20"/>
          <w:szCs w:val="20"/>
          <w:color w:val="auto"/>
        </w:rPr>
        <w:tab/>
      </w:r>
      <w:r>
        <w:rPr>
          <w:rFonts w:ascii="Arial" w:cs="Arial" w:eastAsia="Arial" w:hAnsi="Arial"/>
          <w:sz w:val="14"/>
          <w:szCs w:val="14"/>
          <w:color w:val="auto"/>
        </w:rPr>
        <w:t>/s/ James L. Welch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3628390</wp:posOffset>
            </wp:positionH>
            <wp:positionV relativeFrom="paragraph">
              <wp:posOffset>27305</wp:posOffset>
            </wp:positionV>
            <wp:extent cx="362775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627755" cy="8255"/>
                    </a:xfrm>
                    <a:prstGeom prst="rect">
                      <a:avLst/>
                    </a:prstGeom>
                    <a:noFill/>
                  </pic:spPr>
                </pic:pic>
              </a:graphicData>
            </a:graphic>
          </wp:anchor>
        </w:drawing>
      </w:r>
    </w:p>
    <w:p>
      <w:pPr>
        <w:spacing w:after="0" w:line="49"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James L. Welch</w:t>
      </w:r>
    </w:p>
    <w:p>
      <w:pPr>
        <w:spacing w:after="0" w:line="56"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Chief Executive Officer</w:t>
      </w:r>
    </w:p>
    <w:p>
      <w:pPr>
        <w:sectPr>
          <w:pgSz w:w="11900" w:h="16838" w:orient="portrait"/>
          <w:cols w:equalWidth="0" w:num="1">
            <w:col w:w="11420"/>
          </w:cols>
          <w:pgMar w:left="240" w:top="551"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7"/>
          <w:szCs w:val="17"/>
          <w:b w:val="1"/>
          <w:bCs w:val="1"/>
          <w:color w:val="auto"/>
        </w:rPr>
        <w:t>EXHIBIT 31.2</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CERTIFICATION PURSUANT TO</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EXCHANGE ACT RULES 13A-14 AND 15D-14,</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AS ADOPTED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SECTION 302 OF THE SARBANES-OXLEY ACT OF 2002</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color w:val="auto"/>
        </w:rPr>
        <w:t>I, Stephanie D. Fisher, certify that:</w:t>
      </w:r>
    </w:p>
    <w:p>
      <w:pPr>
        <w:spacing w:after="0" w:line="81" w:lineRule="exact"/>
        <w:rPr>
          <w:sz w:val="20"/>
          <w:szCs w:val="20"/>
          <w:color w:val="auto"/>
        </w:rPr>
      </w:pPr>
    </w:p>
    <w:p>
      <w:pPr>
        <w:ind w:left="600" w:hanging="599"/>
        <w:spacing w:after="0"/>
        <w:tabs>
          <w:tab w:leader="none" w:pos="6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YRC Worldwide Inc.;</w:t>
      </w:r>
    </w:p>
    <w:p>
      <w:pPr>
        <w:spacing w:after="0" w:line="81" w:lineRule="exact"/>
        <w:rPr>
          <w:rFonts w:ascii="Arial" w:cs="Arial" w:eastAsia="Arial" w:hAnsi="Arial"/>
          <w:sz w:val="17"/>
          <w:szCs w:val="17"/>
          <w:color w:val="auto"/>
        </w:rPr>
      </w:pPr>
    </w:p>
    <w:p>
      <w:pPr>
        <w:ind w:left="600" w:right="300" w:hanging="599"/>
        <w:spacing w:after="0" w:line="332" w:lineRule="auto"/>
        <w:tabs>
          <w:tab w:leader="none" w:pos="600" w:val="left"/>
        </w:tabs>
        <w:numPr>
          <w:ilvl w:val="0"/>
          <w:numId w:val="2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5"/>
          <w:szCs w:val="15"/>
          <w:color w:val="auto"/>
        </w:rPr>
      </w:pPr>
    </w:p>
    <w:p>
      <w:pPr>
        <w:ind w:left="600" w:right="400" w:hanging="599"/>
        <w:spacing w:after="0" w:line="269" w:lineRule="auto"/>
        <w:tabs>
          <w:tab w:leader="none" w:pos="6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Arial" w:cs="Arial" w:eastAsia="Arial" w:hAnsi="Arial"/>
          <w:sz w:val="17"/>
          <w:szCs w:val="17"/>
          <w:color w:val="auto"/>
        </w:rPr>
      </w:pPr>
    </w:p>
    <w:p>
      <w:pPr>
        <w:jc w:val="both"/>
        <w:ind w:left="600" w:right="200" w:hanging="599"/>
        <w:spacing w:after="0" w:line="258" w:lineRule="auto"/>
        <w:tabs>
          <w:tab w:leader="none" w:pos="6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24" w:lineRule="exact"/>
        <w:rPr>
          <w:rFonts w:ascii="Arial" w:cs="Arial" w:eastAsia="Arial" w:hAnsi="Arial"/>
          <w:sz w:val="17"/>
          <w:szCs w:val="17"/>
          <w:color w:val="auto"/>
        </w:rPr>
      </w:pPr>
    </w:p>
    <w:p>
      <w:pPr>
        <w:ind w:left="1060" w:right="2940" w:hanging="418"/>
        <w:spacing w:after="0" w:line="254" w:lineRule="auto"/>
        <w:tabs>
          <w:tab w:leader="none" w:pos="1060" w:val="left"/>
        </w:tabs>
        <w:numPr>
          <w:ilvl w:val="1"/>
          <w:numId w:val="2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4" w:lineRule="exact"/>
        <w:rPr>
          <w:rFonts w:ascii="Arial" w:cs="Arial" w:eastAsia="Arial" w:hAnsi="Arial"/>
          <w:sz w:val="17"/>
          <w:szCs w:val="17"/>
          <w:color w:val="auto"/>
        </w:rPr>
      </w:pPr>
    </w:p>
    <w:p>
      <w:pPr>
        <w:ind w:left="1060" w:right="2920" w:hanging="418"/>
        <w:spacing w:after="0" w:line="254" w:lineRule="auto"/>
        <w:tabs>
          <w:tab w:leader="none" w:pos="1060" w:val="left"/>
        </w:tabs>
        <w:numPr>
          <w:ilvl w:val="1"/>
          <w:numId w:val="2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4" w:lineRule="exact"/>
        <w:rPr>
          <w:rFonts w:ascii="Arial" w:cs="Arial" w:eastAsia="Arial" w:hAnsi="Arial"/>
          <w:sz w:val="17"/>
          <w:szCs w:val="17"/>
          <w:color w:val="auto"/>
        </w:rPr>
      </w:pPr>
    </w:p>
    <w:p>
      <w:pPr>
        <w:jc w:val="both"/>
        <w:ind w:left="1060" w:right="3080" w:hanging="418"/>
        <w:spacing w:after="0" w:line="258" w:lineRule="auto"/>
        <w:tabs>
          <w:tab w:leader="none" w:pos="1060" w:val="left"/>
        </w:tabs>
        <w:numPr>
          <w:ilvl w:val="1"/>
          <w:numId w:val="2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9" w:lineRule="exact"/>
        <w:rPr>
          <w:rFonts w:ascii="Arial" w:cs="Arial" w:eastAsia="Arial" w:hAnsi="Arial"/>
          <w:sz w:val="17"/>
          <w:szCs w:val="17"/>
          <w:color w:val="auto"/>
        </w:rPr>
      </w:pPr>
    </w:p>
    <w:p>
      <w:pPr>
        <w:ind w:left="1060" w:right="3020" w:hanging="418"/>
        <w:spacing w:after="0" w:line="254" w:lineRule="auto"/>
        <w:tabs>
          <w:tab w:leader="none" w:pos="1060" w:val="left"/>
        </w:tabs>
        <w:numPr>
          <w:ilvl w:val="1"/>
          <w:numId w:val="2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 w:lineRule="exact"/>
        <w:rPr>
          <w:rFonts w:ascii="Arial" w:cs="Arial" w:eastAsia="Arial" w:hAnsi="Arial"/>
          <w:sz w:val="17"/>
          <w:szCs w:val="17"/>
          <w:color w:val="auto"/>
        </w:rPr>
      </w:pPr>
    </w:p>
    <w:p>
      <w:pPr>
        <w:ind w:left="600" w:right="160" w:hanging="599"/>
        <w:spacing w:after="0" w:line="269" w:lineRule="auto"/>
        <w:tabs>
          <w:tab w:leader="none" w:pos="6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5" w:lineRule="exact"/>
        <w:rPr>
          <w:rFonts w:ascii="Arial" w:cs="Arial" w:eastAsia="Arial" w:hAnsi="Arial"/>
          <w:sz w:val="17"/>
          <w:szCs w:val="17"/>
          <w:color w:val="auto"/>
        </w:rPr>
      </w:pPr>
    </w:p>
    <w:p>
      <w:pPr>
        <w:ind w:left="1060" w:right="2880" w:hanging="418"/>
        <w:spacing w:after="0" w:line="258" w:lineRule="auto"/>
        <w:tabs>
          <w:tab w:leader="none" w:pos="1060" w:val="left"/>
        </w:tabs>
        <w:numPr>
          <w:ilvl w:val="1"/>
          <w:numId w:val="2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9" w:lineRule="exact"/>
        <w:rPr>
          <w:rFonts w:ascii="Arial" w:cs="Arial" w:eastAsia="Arial" w:hAnsi="Arial"/>
          <w:sz w:val="17"/>
          <w:szCs w:val="17"/>
          <w:color w:val="auto"/>
        </w:rPr>
      </w:pPr>
    </w:p>
    <w:p>
      <w:pPr>
        <w:ind w:left="1060" w:right="3000" w:hanging="418"/>
        <w:spacing w:after="0" w:line="269" w:lineRule="auto"/>
        <w:tabs>
          <w:tab w:leader="none" w:pos="1060" w:val="left"/>
        </w:tabs>
        <w:numPr>
          <w:ilvl w:val="1"/>
          <w:numId w:val="21"/>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317" w:lineRule="exact"/>
        <w:rPr>
          <w:sz w:val="20"/>
          <w:szCs w:val="20"/>
          <w:color w:val="auto"/>
        </w:rPr>
      </w:pPr>
    </w:p>
    <w:p>
      <w:pPr>
        <w:ind w:left="20"/>
        <w:spacing w:after="0"/>
        <w:tabs>
          <w:tab w:leader="none" w:pos="5720" w:val="left"/>
        </w:tabs>
        <w:rPr>
          <w:sz w:val="20"/>
          <w:szCs w:val="20"/>
          <w:color w:val="auto"/>
        </w:rPr>
      </w:pPr>
      <w:r>
        <w:rPr>
          <w:rFonts w:ascii="Arial" w:cs="Arial" w:eastAsia="Arial" w:hAnsi="Arial"/>
          <w:sz w:val="17"/>
          <w:szCs w:val="17"/>
          <w:color w:val="auto"/>
        </w:rPr>
        <w:t>Date: May 4, 2017</w:t>
      </w:r>
      <w:r>
        <w:rPr>
          <w:sz w:val="20"/>
          <w:szCs w:val="20"/>
          <w:color w:val="auto"/>
        </w:rPr>
        <w:tab/>
      </w:r>
      <w:r>
        <w:rPr>
          <w:rFonts w:ascii="Arial" w:cs="Arial" w:eastAsia="Arial" w:hAnsi="Arial"/>
          <w:sz w:val="14"/>
          <w:szCs w:val="14"/>
          <w:color w:val="auto"/>
        </w:rPr>
        <w:t>/s/ Stephanie D. Fisher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3628390</wp:posOffset>
            </wp:positionH>
            <wp:positionV relativeFrom="paragraph">
              <wp:posOffset>27305</wp:posOffset>
            </wp:positionV>
            <wp:extent cx="362775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627755" cy="8255"/>
                    </a:xfrm>
                    <a:prstGeom prst="rect">
                      <a:avLst/>
                    </a:prstGeom>
                    <a:noFill/>
                  </pic:spPr>
                </pic:pic>
              </a:graphicData>
            </a:graphic>
          </wp:anchor>
        </w:drawing>
      </w:r>
    </w:p>
    <w:p>
      <w:pPr>
        <w:spacing w:after="0" w:line="49"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Stephanie D. Fisher</w:t>
      </w:r>
    </w:p>
    <w:p>
      <w:pPr>
        <w:spacing w:after="0" w:line="56"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Acting Chief Financial Officer and Vice President and</w:t>
      </w:r>
    </w:p>
    <w:p>
      <w:pPr>
        <w:spacing w:after="0" w:line="56"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Controller</w:t>
      </w:r>
    </w:p>
    <w:p>
      <w:pPr>
        <w:sectPr>
          <w:pgSz w:w="11900" w:h="16838" w:orient="portrait"/>
          <w:cols w:equalWidth="0" w:num="1">
            <w:col w:w="11420"/>
          </w:cols>
          <w:pgMar w:left="240" w:top="551"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7"/>
          <w:szCs w:val="17"/>
          <w:b w:val="1"/>
          <w:bCs w:val="1"/>
          <w:color w:val="auto"/>
        </w:rPr>
        <w:t>EXHIBIT 32.1</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CERTIFICATION PURSUANT TO</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 U.S.C. SECTION 1350,</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AS ADOPTED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SECTION 906 OF THE SARBANES-OXLEY ACT OF 2002</w:t>
      </w:r>
    </w:p>
    <w:p>
      <w:pPr>
        <w:spacing w:after="0" w:line="145" w:lineRule="exact"/>
        <w:rPr>
          <w:sz w:val="20"/>
          <w:szCs w:val="20"/>
          <w:color w:val="auto"/>
        </w:rPr>
      </w:pPr>
    </w:p>
    <w:p>
      <w:pPr>
        <w:ind w:right="500"/>
        <w:spacing w:after="0" w:line="258" w:lineRule="auto"/>
        <w:rPr>
          <w:sz w:val="20"/>
          <w:szCs w:val="20"/>
          <w:color w:val="auto"/>
        </w:rPr>
      </w:pPr>
      <w:r>
        <w:rPr>
          <w:rFonts w:ascii="Arial" w:cs="Arial" w:eastAsia="Arial" w:hAnsi="Arial"/>
          <w:sz w:val="17"/>
          <w:szCs w:val="17"/>
          <w:color w:val="auto"/>
        </w:rPr>
        <w:t>In connection with the quarterly report of YRC Worldwide Inc. on Form 10-Q for the period ended March 31, 2017, as filed with the Securities and Exchange Commission on the date hereof (the “Report”), I, James L. Welch, Chief Executive Officer of YRC Worldwide Inc., certify, pursuant to 18 U.S.C. Section 1350, as adopted pursuant to Section 906 of the Sarbanes-Oxley Act of 2002, that:</w:t>
      </w:r>
    </w:p>
    <w:p>
      <w:pPr>
        <w:spacing w:after="0" w:line="49" w:lineRule="exact"/>
        <w:rPr>
          <w:sz w:val="20"/>
          <w:szCs w:val="20"/>
          <w:color w:val="auto"/>
        </w:rPr>
      </w:pPr>
    </w:p>
    <w:p>
      <w:pPr>
        <w:ind w:left="600" w:hanging="599"/>
        <w:spacing w:after="0"/>
        <w:tabs>
          <w:tab w:leader="none" w:pos="6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 (a) or 15 (d) of the Securities Exchange Act of 1934; and</w:t>
      </w:r>
    </w:p>
    <w:p>
      <w:pPr>
        <w:spacing w:after="0" w:line="81" w:lineRule="exact"/>
        <w:rPr>
          <w:rFonts w:ascii="Arial" w:cs="Arial" w:eastAsia="Arial" w:hAnsi="Arial"/>
          <w:sz w:val="17"/>
          <w:szCs w:val="17"/>
          <w:color w:val="auto"/>
        </w:rPr>
      </w:pPr>
    </w:p>
    <w:p>
      <w:pPr>
        <w:ind w:left="600" w:hanging="599"/>
        <w:spacing w:after="0"/>
        <w:tabs>
          <w:tab w:leader="none" w:pos="6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YRC Worldwide Inc.</w:t>
      </w:r>
    </w:p>
    <w:p>
      <w:pPr>
        <w:spacing w:after="0" w:line="244" w:lineRule="exact"/>
        <w:rPr>
          <w:sz w:val="20"/>
          <w:szCs w:val="20"/>
          <w:color w:val="auto"/>
        </w:rPr>
      </w:pPr>
    </w:p>
    <w:p>
      <w:pPr>
        <w:ind w:left="20"/>
        <w:spacing w:after="0"/>
        <w:tabs>
          <w:tab w:leader="none" w:pos="5720" w:val="left"/>
        </w:tabs>
        <w:rPr>
          <w:sz w:val="20"/>
          <w:szCs w:val="20"/>
          <w:color w:val="auto"/>
        </w:rPr>
      </w:pPr>
      <w:r>
        <w:rPr>
          <w:rFonts w:ascii="Arial" w:cs="Arial" w:eastAsia="Arial" w:hAnsi="Arial"/>
          <w:sz w:val="17"/>
          <w:szCs w:val="17"/>
          <w:color w:val="auto"/>
        </w:rPr>
        <w:t>Date: May 4, 2017</w:t>
      </w:r>
      <w:r>
        <w:rPr>
          <w:sz w:val="20"/>
          <w:szCs w:val="20"/>
          <w:color w:val="auto"/>
        </w:rPr>
        <w:tab/>
      </w:r>
      <w:r>
        <w:rPr>
          <w:rFonts w:ascii="Arial" w:cs="Arial" w:eastAsia="Arial" w:hAnsi="Arial"/>
          <w:sz w:val="14"/>
          <w:szCs w:val="14"/>
          <w:color w:val="auto"/>
        </w:rPr>
        <w:t>/s/ James L. Welch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3628390</wp:posOffset>
            </wp:positionH>
            <wp:positionV relativeFrom="paragraph">
              <wp:posOffset>27305</wp:posOffset>
            </wp:positionV>
            <wp:extent cx="362775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627755" cy="8255"/>
                    </a:xfrm>
                    <a:prstGeom prst="rect">
                      <a:avLst/>
                    </a:prstGeom>
                    <a:noFill/>
                  </pic:spPr>
                </pic:pic>
              </a:graphicData>
            </a:graphic>
          </wp:anchor>
        </w:drawing>
      </w:r>
    </w:p>
    <w:p>
      <w:pPr>
        <w:spacing w:after="0" w:line="49"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James L. Welch</w:t>
      </w:r>
    </w:p>
    <w:p>
      <w:pPr>
        <w:spacing w:after="0" w:line="56"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Chief Executive Officer</w:t>
      </w:r>
    </w:p>
    <w:p>
      <w:pPr>
        <w:sectPr>
          <w:pgSz w:w="11900" w:h="16838" w:orient="portrait"/>
          <w:cols w:equalWidth="0" w:num="1">
            <w:col w:w="11420"/>
          </w:cols>
          <w:pgMar w:left="240" w:top="551"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7"/>
          <w:szCs w:val="17"/>
          <w:b w:val="1"/>
          <w:bCs w:val="1"/>
          <w:color w:val="auto"/>
        </w:rPr>
        <w:t>EXHIBIT 32.2</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CERTIFICATION PURSUANT TO</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 U.S.C. SECTION 1350,</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AS ADOPTED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SECTION 906 OF THE SARBANES-OXLEY ACT OF 2002</w:t>
      </w:r>
    </w:p>
    <w:p>
      <w:pPr>
        <w:spacing w:after="0" w:line="145" w:lineRule="exact"/>
        <w:rPr>
          <w:sz w:val="20"/>
          <w:szCs w:val="20"/>
          <w:color w:val="auto"/>
        </w:rPr>
      </w:pPr>
    </w:p>
    <w:p>
      <w:pPr>
        <w:ind w:right="820"/>
        <w:spacing w:after="0" w:line="258" w:lineRule="auto"/>
        <w:rPr>
          <w:sz w:val="20"/>
          <w:szCs w:val="20"/>
          <w:color w:val="auto"/>
        </w:rPr>
      </w:pPr>
      <w:r>
        <w:rPr>
          <w:rFonts w:ascii="Arial" w:cs="Arial" w:eastAsia="Arial" w:hAnsi="Arial"/>
          <w:sz w:val="17"/>
          <w:szCs w:val="17"/>
          <w:color w:val="auto"/>
        </w:rPr>
        <w:t>In connection with the quarterly report of YRC Worldwide Inc. on Form 10-Q for the period ended March 31, 2017, as filed with the Securities and Exchange Commission on the date hereof (the “Report”), I, Stephanie D. Fisher, Acting Chief Financial Officer of YRC Worldwide Inc., certify, pursuant to 18 U.S.C. Section 1350, as adopted pursuant to Section 906 of the Sarbanes-Oxley Act of 2002, that:</w:t>
      </w:r>
    </w:p>
    <w:p>
      <w:pPr>
        <w:spacing w:after="0" w:line="49" w:lineRule="exact"/>
        <w:rPr>
          <w:sz w:val="20"/>
          <w:szCs w:val="20"/>
          <w:color w:val="auto"/>
        </w:rPr>
      </w:pPr>
    </w:p>
    <w:p>
      <w:pPr>
        <w:ind w:left="600" w:hanging="599"/>
        <w:spacing w:after="0"/>
        <w:tabs>
          <w:tab w:leader="none" w:pos="6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 (a) or 15 (d) of the Securities Exchange Act of 1934; and</w:t>
      </w:r>
    </w:p>
    <w:p>
      <w:pPr>
        <w:spacing w:after="0" w:line="81" w:lineRule="exact"/>
        <w:rPr>
          <w:rFonts w:ascii="Arial" w:cs="Arial" w:eastAsia="Arial" w:hAnsi="Arial"/>
          <w:sz w:val="17"/>
          <w:szCs w:val="17"/>
          <w:color w:val="auto"/>
        </w:rPr>
      </w:pPr>
    </w:p>
    <w:p>
      <w:pPr>
        <w:ind w:left="600" w:hanging="599"/>
        <w:spacing w:after="0"/>
        <w:tabs>
          <w:tab w:leader="none" w:pos="6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YRC Worldwide Inc.</w:t>
      </w:r>
    </w:p>
    <w:p>
      <w:pPr>
        <w:spacing w:after="0" w:line="244" w:lineRule="exact"/>
        <w:rPr>
          <w:sz w:val="20"/>
          <w:szCs w:val="20"/>
          <w:color w:val="auto"/>
        </w:rPr>
      </w:pPr>
    </w:p>
    <w:p>
      <w:pPr>
        <w:ind w:left="20"/>
        <w:spacing w:after="0"/>
        <w:tabs>
          <w:tab w:leader="none" w:pos="5720" w:val="left"/>
        </w:tabs>
        <w:rPr>
          <w:sz w:val="20"/>
          <w:szCs w:val="20"/>
          <w:color w:val="auto"/>
        </w:rPr>
      </w:pPr>
      <w:r>
        <w:rPr>
          <w:rFonts w:ascii="Arial" w:cs="Arial" w:eastAsia="Arial" w:hAnsi="Arial"/>
          <w:sz w:val="17"/>
          <w:szCs w:val="17"/>
          <w:color w:val="auto"/>
        </w:rPr>
        <w:t>Date: May 4, 2017</w:t>
      </w:r>
      <w:r>
        <w:rPr>
          <w:sz w:val="20"/>
          <w:szCs w:val="20"/>
          <w:color w:val="auto"/>
        </w:rPr>
        <w:tab/>
      </w:r>
      <w:r>
        <w:rPr>
          <w:rFonts w:ascii="Arial" w:cs="Arial" w:eastAsia="Arial" w:hAnsi="Arial"/>
          <w:sz w:val="14"/>
          <w:szCs w:val="14"/>
          <w:color w:val="auto"/>
        </w:rPr>
        <w:t>/s/ Stephanie D. Fisher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3628390</wp:posOffset>
            </wp:positionH>
            <wp:positionV relativeFrom="paragraph">
              <wp:posOffset>27305</wp:posOffset>
            </wp:positionV>
            <wp:extent cx="362775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627755" cy="8255"/>
                    </a:xfrm>
                    <a:prstGeom prst="rect">
                      <a:avLst/>
                    </a:prstGeom>
                    <a:noFill/>
                  </pic:spPr>
                </pic:pic>
              </a:graphicData>
            </a:graphic>
          </wp:anchor>
        </w:drawing>
      </w:r>
    </w:p>
    <w:p>
      <w:pPr>
        <w:spacing w:after="0" w:line="49"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Stephanie D. Fisher</w:t>
      </w:r>
    </w:p>
    <w:p>
      <w:pPr>
        <w:spacing w:after="0" w:line="56"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Acting Chief Financial Officer and Vice President and</w:t>
      </w:r>
    </w:p>
    <w:p>
      <w:pPr>
        <w:spacing w:after="0" w:line="56"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Controller</w:t>
      </w:r>
    </w:p>
    <w:sectPr>
      <w:pgSz w:w="11900" w:h="16838" w:orient="portrait"/>
      <w:cols w:equalWidth="0" w:num="1">
        <w:col w:w="11420"/>
      </w:cols>
      <w:pgMar w:left="240" w:top="55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o"/>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1)"/>
      <w:numFmt w:val="lowerLetter"/>
      <w:start w:val="1"/>
    </w:lvl>
  </w:abstractNum>
  <w:abstractNum w:abstractNumId="4">
    <w:nsid w:val="DED7263"/>
    <w:multiLevelType w:val="hybridMultilevel"/>
    <w:lvl w:ilvl="0">
      <w:lvlJc w:val="left"/>
      <w:lvlText w:val="•"/>
      <w:numFmt w:val="bullet"/>
      <w:start w:val="1"/>
    </w:lvl>
  </w:abstractNum>
  <w:abstractNum w:abstractNumId="5">
    <w:nsid w:val="7FDCC233"/>
    <w:multiLevelType w:val="hybridMultilevel"/>
    <w:lvl w:ilvl="0">
      <w:lvlJc w:val="left"/>
      <w:lvlText w:val="•"/>
      <w:numFmt w:val="bullet"/>
      <w:start w:val="1"/>
    </w:lvl>
    <w:lvl w:ilvl="1">
      <w:lvlJc w:val="left"/>
      <w:lvlText w:val="◦"/>
      <w:numFmt w:val="bullet"/>
      <w:start w:val="1"/>
    </w:lvl>
  </w:abstractNum>
  <w:abstractNum w:abstractNumId="6">
    <w:nsid w:val="1BEFD79F"/>
    <w:multiLevelType w:val="hybridMultilevel"/>
    <w:lvl w:ilvl="0">
      <w:lvlJc w:val="left"/>
      <w:lvlText w:val="◦"/>
      <w:numFmt w:val="bullet"/>
      <w:start w:val="1"/>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1)"/>
      <w:numFmt w:val="lowerLetter"/>
      <w:start w:val="1"/>
    </w:lvl>
    <w:lvl w:ilvl="1">
      <w:lvlJc w:val="left"/>
      <w:lvlText w:val="(*)"/>
      <w:numFmt w:val="bullet"/>
      <w:start w:val="1"/>
    </w:lvl>
  </w:abstractNum>
  <w:abstractNum w:abstractNumId="10">
    <w:nsid w:val="25E45D32"/>
    <w:multiLevelType w:val="hybridMultilevel"/>
    <w:lvl w:ilvl="0">
      <w:lvlJc w:val="left"/>
      <w:lvlText w:val="(%1)"/>
      <w:numFmt w:val="lowerLetter"/>
      <w:start w:val="1"/>
    </w:lvl>
  </w:abstractNum>
  <w:abstractNum w:abstractNumId="11">
    <w:nsid w:val="519B500D"/>
    <w:multiLevelType w:val="hybridMultilevel"/>
    <w:lvl w:ilvl="0">
      <w:lvlJc w:val="left"/>
      <w:lvlText w:val="(%1)"/>
      <w:numFmt w:val="lowerLetter"/>
      <w:start w:val="1"/>
    </w:lvl>
  </w:abstractNum>
  <w:abstractNum w:abstractNumId="12">
    <w:nsid w:val="431BD7B7"/>
    <w:multiLevelType w:val="hybridMultilevel"/>
    <w:lvl w:ilvl="0">
      <w:lvlJc w:val="left"/>
      <w:lvlText w:val="(%1)"/>
      <w:numFmt w:val="lowerLetter"/>
      <w:start w:val="1"/>
    </w:lvl>
  </w:abstractNum>
  <w:abstractNum w:abstractNumId="13">
    <w:nsid w:val="3F2DBA31"/>
    <w:multiLevelType w:val="hybridMultilevel"/>
    <w:lvl w:ilvl="0">
      <w:lvlJc w:val="left"/>
      <w:lvlText w:val="(%1)"/>
      <w:numFmt w:val="lowerLetter"/>
      <w:start w:val="1"/>
    </w:lvl>
  </w:abstractNum>
  <w:abstractNum w:abstractNumId="14">
    <w:nsid w:val="7C83E458"/>
    <w:multiLevelType w:val="hybridMultilevel"/>
    <w:lvl w:ilvl="0">
      <w:lvlJc w:val="left"/>
      <w:lvlText w:val="(%1)"/>
      <w:numFmt w:val="lowerLetter"/>
      <w:start w:val="1"/>
    </w:lvl>
  </w:abstractNum>
  <w:abstractNum w:abstractNumId="15">
    <w:nsid w:val="257130A3"/>
    <w:multiLevelType w:val="hybridMultilevel"/>
    <w:lvl w:ilvl="0">
      <w:lvlJc w:val="left"/>
      <w:lvlText w:val="(%1)"/>
      <w:numFmt w:val="lowerLetter"/>
      <w:start w:val="1"/>
    </w:lvl>
  </w:abstractNum>
  <w:abstractNum w:abstractNumId="16">
    <w:nsid w:val="62BBD95A"/>
    <w:multiLevelType w:val="hybridMultilevel"/>
    <w:lvl w:ilvl="0">
      <w:lvlJc w:val="left"/>
      <w:lvlText w:val="(%1)"/>
      <w:numFmt w:val="lowerLetter"/>
      <w:start w:val="1"/>
    </w:lvl>
  </w:abstractNum>
  <w:abstractNum w:abstractNumId="17">
    <w:nsid w:val="436C6125"/>
    <w:multiLevelType w:val="hybridMultilevel"/>
    <w:lvl w:ilvl="0">
      <w:lvlJc w:val="left"/>
      <w:lvlText w:val="(%1)"/>
      <w:numFmt w:val="lowerLetter"/>
      <w:start w:val="1"/>
    </w:lvl>
  </w:abstractNum>
  <w:abstractNum w:abstractNumId="18">
    <w:nsid w:val="628C895D"/>
    <w:multiLevelType w:val="hybridMultilevel"/>
    <w:lvl w:ilvl="0">
      <w:lvlJc w:val="left"/>
      <w:lvlText w:val="(%1)"/>
      <w:numFmt w:val="lowerLetter"/>
      <w:start w:val="1"/>
    </w:lvl>
  </w:abstractNum>
  <w:abstractNum w:abstractNumId="19">
    <w:nsid w:val="333AB105"/>
    <w:multiLevelType w:val="hybridMultilevel"/>
    <w:lvl w:ilvl="0">
      <w:lvlJc w:val="left"/>
      <w:lvlText w:val="(%1)"/>
      <w:numFmt w:val="decimal"/>
      <w:start w:val="1"/>
    </w:lvl>
    <w:lvl w:ilvl="1">
      <w:lvlJc w:val="left"/>
      <w:lvlText w:val="%2."/>
      <w:numFmt w:val="lowerLetter"/>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2019-12-29T07:11:13Z</dcterms:created>
  <dcterms:modified xsi:type="dcterms:W3CDTF">2019-12-29T07:11:13Z</dcterms:modified>
</cp:coreProperties>
</file>